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031D18">
      <w:pPr>
        <w:widowControl/>
        <w:jc w:val="left"/>
        <w:rPr>
          <w:rFonts w:ascii="宋体" w:hAnsi="宋体" w:eastAsia="宋体"/>
          <w:sz w:val="30"/>
        </w:rPr>
      </w:pPr>
    </w:p>
    <w:p w14:paraId="43CD4410">
      <w:pPr>
        <w:widowControl/>
        <w:jc w:val="left"/>
        <w:rPr>
          <w:rFonts w:ascii="宋体" w:hAnsi="宋体" w:eastAsia="宋体"/>
          <w:sz w:val="30"/>
        </w:rPr>
      </w:pPr>
    </w:p>
    <w:p w14:paraId="4E413B68">
      <w:pPr>
        <w:widowControl/>
        <w:jc w:val="left"/>
        <w:rPr>
          <w:rFonts w:ascii="宋体" w:hAnsi="宋体" w:eastAsia="宋体"/>
          <w:sz w:val="30"/>
        </w:rPr>
      </w:pPr>
    </w:p>
    <w:p w14:paraId="4DFDEDD4">
      <w:pPr>
        <w:widowControl/>
        <w:jc w:val="left"/>
        <w:rPr>
          <w:rFonts w:ascii="宋体" w:hAnsi="宋体" w:eastAsia="宋体"/>
          <w:sz w:val="30"/>
        </w:rPr>
      </w:pPr>
    </w:p>
    <w:p w14:paraId="7E75F9A1">
      <w:pPr>
        <w:widowControl/>
        <w:spacing w:line="800" w:lineRule="exact"/>
        <w:jc w:val="center"/>
        <w:rPr>
          <w:rFonts w:ascii="宋体" w:hAnsi="宋体" w:eastAsia="宋体"/>
          <w:b/>
          <w:sz w:val="52"/>
        </w:rPr>
      </w:pPr>
      <w:r>
        <w:rPr>
          <w:rFonts w:hint="eastAsia" w:ascii="宋体" w:hAnsi="宋体" w:eastAsia="宋体"/>
          <w:b/>
          <w:sz w:val="52"/>
        </w:rPr>
        <w:t>博时标普</w:t>
      </w:r>
      <w:r>
        <w:rPr>
          <w:rFonts w:ascii="宋体" w:hAnsi="宋体" w:eastAsia="宋体"/>
          <w:b/>
          <w:sz w:val="52"/>
        </w:rPr>
        <w:t>500交易型开放式指数证券投资基金</w:t>
      </w:r>
    </w:p>
    <w:p w14:paraId="6DE8EA94">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0E421527">
      <w:pPr>
        <w:widowControl/>
        <w:spacing w:line="800" w:lineRule="exact"/>
        <w:jc w:val="center"/>
        <w:rPr>
          <w:rFonts w:ascii="宋体" w:hAnsi="宋体" w:eastAsia="宋体"/>
          <w:b/>
          <w:sz w:val="52"/>
        </w:rPr>
      </w:pPr>
    </w:p>
    <w:p w14:paraId="018B15CB">
      <w:pPr>
        <w:widowControl/>
        <w:spacing w:line="800" w:lineRule="exact"/>
        <w:jc w:val="center"/>
        <w:rPr>
          <w:rFonts w:ascii="宋体" w:hAnsi="宋体" w:eastAsia="宋体"/>
          <w:b/>
          <w:sz w:val="52"/>
        </w:rPr>
      </w:pPr>
    </w:p>
    <w:p w14:paraId="4293A76D">
      <w:pPr>
        <w:widowControl/>
        <w:spacing w:line="800" w:lineRule="exact"/>
        <w:jc w:val="center"/>
        <w:rPr>
          <w:rFonts w:ascii="宋体" w:hAnsi="宋体" w:eastAsia="宋体"/>
          <w:b/>
          <w:sz w:val="52"/>
        </w:rPr>
      </w:pPr>
    </w:p>
    <w:p w14:paraId="1F04BEF7">
      <w:pPr>
        <w:widowControl/>
        <w:spacing w:line="800" w:lineRule="exact"/>
        <w:jc w:val="center"/>
        <w:rPr>
          <w:rFonts w:ascii="宋体" w:hAnsi="宋体" w:eastAsia="宋体"/>
          <w:b/>
          <w:sz w:val="52"/>
        </w:rPr>
      </w:pPr>
    </w:p>
    <w:p w14:paraId="4C8928AA">
      <w:pPr>
        <w:widowControl/>
        <w:spacing w:line="800" w:lineRule="exact"/>
        <w:jc w:val="center"/>
        <w:rPr>
          <w:rFonts w:ascii="宋体" w:hAnsi="宋体" w:eastAsia="宋体"/>
          <w:b/>
          <w:sz w:val="52"/>
        </w:rPr>
      </w:pPr>
    </w:p>
    <w:p w14:paraId="38DF4B1C">
      <w:pPr>
        <w:widowControl/>
        <w:spacing w:line="800" w:lineRule="exact"/>
        <w:jc w:val="center"/>
        <w:rPr>
          <w:rFonts w:ascii="宋体" w:hAnsi="宋体" w:eastAsia="宋体"/>
          <w:b/>
          <w:sz w:val="52"/>
        </w:rPr>
      </w:pPr>
    </w:p>
    <w:p w14:paraId="761195A1">
      <w:pPr>
        <w:widowControl/>
        <w:spacing w:line="800" w:lineRule="exact"/>
        <w:jc w:val="center"/>
        <w:rPr>
          <w:rFonts w:ascii="宋体" w:hAnsi="宋体" w:eastAsia="宋体"/>
          <w:b/>
          <w:sz w:val="52"/>
        </w:rPr>
      </w:pPr>
    </w:p>
    <w:p w14:paraId="644966C6">
      <w:pPr>
        <w:widowControl/>
        <w:spacing w:line="800" w:lineRule="exact"/>
        <w:jc w:val="center"/>
        <w:rPr>
          <w:rFonts w:ascii="宋体" w:hAnsi="宋体" w:eastAsia="宋体"/>
          <w:b/>
          <w:sz w:val="52"/>
        </w:rPr>
      </w:pPr>
    </w:p>
    <w:p w14:paraId="599131D8">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49C2534E">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中国工商银行股份有限公司</w:t>
      </w:r>
      <w:r>
        <w:rPr>
          <w:rFonts w:ascii="宋体" w:hAnsi="宋体" w:eastAsia="宋体"/>
          <w:b/>
          <w:sz w:val="30"/>
        </w:rPr>
        <w:br w:type="page"/>
      </w:r>
    </w:p>
    <w:p w14:paraId="7EF870DD">
      <w:pPr>
        <w:pStyle w:val="2"/>
        <w:jc w:val="center"/>
        <w:rPr>
          <w:rFonts w:ascii="宋体" w:hAnsi="宋体" w:eastAsia="宋体"/>
          <w:sz w:val="30"/>
        </w:rPr>
      </w:pPr>
      <w:bookmarkStart w:id="0" w:name="_Toc209441834"/>
      <w:r>
        <w:rPr>
          <w:rFonts w:hint="eastAsia" w:ascii="宋体" w:hAnsi="宋体" w:eastAsia="宋体"/>
          <w:sz w:val="30"/>
        </w:rPr>
        <w:t>【重要提示】</w:t>
      </w:r>
      <w:bookmarkEnd w:id="0"/>
    </w:p>
    <w:p w14:paraId="142130C4">
      <w:pPr>
        <w:pStyle w:val="8"/>
        <w:spacing w:before="0" w:beforeAutospacing="0" w:after="0" w:afterAutospacing="0" w:line="360" w:lineRule="auto"/>
        <w:ind w:firstLine="420"/>
        <w:rPr>
          <w:sz w:val="21"/>
          <w:szCs w:val="21"/>
        </w:rPr>
      </w:pPr>
      <w:r>
        <w:rPr>
          <w:rFonts w:hint="eastAsia"/>
          <w:sz w:val="21"/>
          <w:szCs w:val="21"/>
        </w:rPr>
        <w:t>本基金根据2013年6月6日中国证券监督管理委员会《关于核准</w:t>
      </w:r>
      <w:bookmarkStart w:id="1" w:name="field_0_productfullname_1"/>
      <w:r>
        <w:rPr>
          <w:rFonts w:hint="eastAsia"/>
          <w:sz w:val="21"/>
          <w:szCs w:val="21"/>
        </w:rPr>
        <w:t>博时标普</w:t>
      </w:r>
      <w:r>
        <w:rPr>
          <w:sz w:val="21"/>
          <w:szCs w:val="21"/>
        </w:rPr>
        <w:t>500交易型开放式指数证券投资基金</w:t>
      </w:r>
      <w:bookmarkEnd w:id="1"/>
      <w:r>
        <w:rPr>
          <w:rFonts w:hint="eastAsia"/>
          <w:sz w:val="21"/>
          <w:szCs w:val="21"/>
        </w:rPr>
        <w:t>募集的批复》（证监许可【2013】750号）和2013年10月18日《关于</w:t>
      </w:r>
      <w:bookmarkStart w:id="2" w:name="field_0_productfullname_2"/>
      <w:r>
        <w:rPr>
          <w:rFonts w:hint="eastAsia"/>
          <w:sz w:val="21"/>
          <w:szCs w:val="21"/>
        </w:rPr>
        <w:t>博时标普</w:t>
      </w:r>
      <w:r>
        <w:rPr>
          <w:sz w:val="21"/>
          <w:szCs w:val="21"/>
        </w:rPr>
        <w:t>500交易型开放式指数证券投资基金</w:t>
      </w:r>
      <w:bookmarkEnd w:id="2"/>
      <w:r>
        <w:rPr>
          <w:rFonts w:hint="eastAsia"/>
          <w:sz w:val="21"/>
          <w:szCs w:val="21"/>
        </w:rPr>
        <w:t xml:space="preserve">募集时间安排的确认函》（基金部函【2013】882号）的核准，进行募集。  </w:t>
      </w:r>
    </w:p>
    <w:p w14:paraId="5B89E070">
      <w:pPr>
        <w:pStyle w:val="8"/>
        <w:spacing w:before="0" w:beforeAutospacing="0" w:after="0" w:afterAutospacing="0" w:line="360" w:lineRule="auto"/>
        <w:ind w:firstLine="420"/>
        <w:rPr>
          <w:sz w:val="21"/>
          <w:szCs w:val="21"/>
        </w:rPr>
      </w:pPr>
      <w:r>
        <w:rPr>
          <w:rFonts w:hint="eastAsia"/>
          <w:sz w:val="21"/>
          <w:szCs w:val="21"/>
        </w:rPr>
        <w:t xml:space="preserve">本基金管理人保证招募说明书的内容真实、准确、完整。 </w:t>
      </w:r>
    </w:p>
    <w:p w14:paraId="6D10C157">
      <w:pPr>
        <w:pStyle w:val="8"/>
        <w:spacing w:before="0" w:beforeAutospacing="0" w:after="0" w:afterAutospacing="0" w:line="360" w:lineRule="auto"/>
        <w:ind w:firstLine="420"/>
        <w:rPr>
          <w:sz w:val="21"/>
          <w:szCs w:val="21"/>
        </w:rPr>
      </w:pPr>
      <w:r>
        <w:rPr>
          <w:rFonts w:hint="eastAsia"/>
          <w:sz w:val="21"/>
          <w:szCs w:val="21"/>
        </w:rPr>
        <w:t xml:space="preserve">本招募说明书经中国证监会核准，但中国证监会对本基金募集的核准，并不表明其对本基金的价值和收益作出实质性判断或保证，也不表明投资于本基金没有风险。 </w:t>
      </w:r>
    </w:p>
    <w:p w14:paraId="4272AC4D">
      <w:pPr>
        <w:pStyle w:val="8"/>
        <w:spacing w:before="0" w:beforeAutospacing="0" w:after="0" w:afterAutospacing="0" w:line="360" w:lineRule="auto"/>
        <w:ind w:firstLine="420"/>
        <w:rPr>
          <w:sz w:val="21"/>
          <w:szCs w:val="21"/>
        </w:rPr>
      </w:pPr>
      <w:r>
        <w:rPr>
          <w:rFonts w:hint="eastAsia"/>
          <w:sz w:val="21"/>
          <w:szCs w:val="21"/>
        </w:rPr>
        <w:t xml:space="preserve">本基金的标的指数为标普500净总收益指数（S&amp;P500 Index（Net TR）），编制方案如下： </w:t>
      </w:r>
    </w:p>
    <w:p w14:paraId="471E63FB">
      <w:pPr>
        <w:pStyle w:val="8"/>
        <w:spacing w:before="0" w:beforeAutospacing="0" w:after="0" w:afterAutospacing="0" w:line="360" w:lineRule="auto"/>
        <w:ind w:firstLine="420"/>
        <w:rPr>
          <w:sz w:val="21"/>
          <w:szCs w:val="21"/>
        </w:rPr>
      </w:pPr>
      <w:r>
        <w:rPr>
          <w:rFonts w:hint="eastAsia"/>
          <w:sz w:val="21"/>
          <w:szCs w:val="21"/>
        </w:rPr>
        <w:t xml:space="preserve">（1）样本空间 </w:t>
      </w:r>
    </w:p>
    <w:p w14:paraId="0E36D587">
      <w:pPr>
        <w:pStyle w:val="8"/>
        <w:spacing w:before="0" w:beforeAutospacing="0" w:after="0" w:afterAutospacing="0" w:line="360" w:lineRule="auto"/>
        <w:ind w:firstLine="420"/>
        <w:rPr>
          <w:sz w:val="21"/>
          <w:szCs w:val="21"/>
        </w:rPr>
      </w:pPr>
      <w:r>
        <w:rPr>
          <w:rFonts w:hint="eastAsia"/>
          <w:sz w:val="21"/>
          <w:szCs w:val="21"/>
        </w:rPr>
        <w:t xml:space="preserve">指数成分股选自标普全市场指数。 </w:t>
      </w:r>
    </w:p>
    <w:p w14:paraId="13557739">
      <w:pPr>
        <w:pStyle w:val="8"/>
        <w:spacing w:before="0" w:beforeAutospacing="0" w:after="0" w:afterAutospacing="0" w:line="360" w:lineRule="auto"/>
        <w:ind w:firstLine="420"/>
        <w:rPr>
          <w:sz w:val="21"/>
          <w:szCs w:val="21"/>
        </w:rPr>
      </w:pPr>
      <w:r>
        <w:rPr>
          <w:rFonts w:hint="eastAsia"/>
          <w:sz w:val="21"/>
          <w:szCs w:val="21"/>
        </w:rPr>
        <w:t xml:space="preserve">（2）选样方法 </w:t>
      </w:r>
    </w:p>
    <w:p w14:paraId="0BE4E042">
      <w:pPr>
        <w:pStyle w:val="8"/>
        <w:spacing w:before="0" w:beforeAutospacing="0" w:after="0" w:afterAutospacing="0" w:line="360" w:lineRule="auto"/>
        <w:ind w:firstLine="420"/>
        <w:rPr>
          <w:sz w:val="21"/>
          <w:szCs w:val="21"/>
        </w:rPr>
      </w:pPr>
      <w:r>
        <w:rPr>
          <w:rFonts w:hint="eastAsia"/>
          <w:sz w:val="21"/>
          <w:szCs w:val="21"/>
        </w:rPr>
        <w:t xml:space="preserve">成分股依指数委员会的自由裁量权及根据资格标准选择。该等指数具有500个固定的成分股公司数目。行业平衡乃通过在相关市值范围内，比较每个GICS行业在指数中的权重与其在标普全市场指数中的权重而衡量，在为该等指数选择公司时也会予以考虑。选样个股市值详见标普道琼斯指数官方网站。  </w:t>
      </w:r>
    </w:p>
    <w:p w14:paraId="11EBFFFA">
      <w:pPr>
        <w:pStyle w:val="8"/>
        <w:spacing w:before="0" w:beforeAutospacing="0" w:after="0" w:afterAutospacing="0" w:line="360" w:lineRule="auto"/>
        <w:ind w:firstLine="420"/>
        <w:rPr>
          <w:sz w:val="21"/>
          <w:szCs w:val="21"/>
        </w:rPr>
      </w:pPr>
      <w:r>
        <w:rPr>
          <w:rFonts w:hint="eastAsia"/>
          <w:sz w:val="21"/>
          <w:szCs w:val="21"/>
        </w:rPr>
        <w:t xml:space="preserve">（3）加权方式   </w:t>
      </w:r>
    </w:p>
    <w:p w14:paraId="5D907D8E">
      <w:pPr>
        <w:pStyle w:val="8"/>
        <w:spacing w:before="0" w:beforeAutospacing="0" w:after="0" w:afterAutospacing="0" w:line="360" w:lineRule="auto"/>
        <w:ind w:firstLine="420"/>
        <w:rPr>
          <w:sz w:val="21"/>
          <w:szCs w:val="21"/>
        </w:rPr>
      </w:pPr>
      <w:r>
        <w:rPr>
          <w:rFonts w:hint="eastAsia"/>
          <w:sz w:val="21"/>
          <w:szCs w:val="21"/>
        </w:rPr>
        <w:t xml:space="preserve">指数按流通市值加权成份股。 </w:t>
      </w:r>
    </w:p>
    <w:p w14:paraId="3D43119D">
      <w:pPr>
        <w:pStyle w:val="8"/>
        <w:spacing w:before="0" w:beforeAutospacing="0" w:after="0" w:afterAutospacing="0" w:line="360" w:lineRule="auto"/>
        <w:ind w:firstLine="420"/>
        <w:rPr>
          <w:sz w:val="21"/>
          <w:szCs w:val="21"/>
        </w:rPr>
      </w:pPr>
      <w:r>
        <w:rPr>
          <w:rFonts w:hint="eastAsia"/>
          <w:sz w:val="21"/>
          <w:szCs w:val="21"/>
        </w:rPr>
        <w:t xml:space="preserve"> 有关标的指数具体编制方案及成份股信息详见标普道琼斯指数官方网站，网址：www.spglobal.com/spdji/zh/。 </w:t>
      </w:r>
    </w:p>
    <w:p w14:paraId="094EF6C1">
      <w:pPr>
        <w:pStyle w:val="8"/>
        <w:spacing w:before="0" w:beforeAutospacing="0" w:after="0" w:afterAutospacing="0" w:line="360" w:lineRule="auto"/>
        <w:ind w:firstLine="420"/>
        <w:rPr>
          <w:sz w:val="21"/>
          <w:szCs w:val="21"/>
        </w:rPr>
      </w:pPr>
      <w:r>
        <w:rPr>
          <w:rFonts w:hint="eastAsia"/>
          <w:sz w:val="21"/>
          <w:szCs w:val="21"/>
        </w:rPr>
        <w:t xml:space="preserve">本基金投资于证券市场，基金资产净值会因为证券市场波动等因素产生波动，投资人根据所持有的基金份额享受基金收益，同时承担相应的投资风险。本基金投资中的风险包括但不限于：因整体政治、经济、社会等环境因素对证券市场价格产生影响而形成的系统性风险，个别证券特有的非系统性风险，标的指数波动的风险、基金投资组合回报与标的指数回报偏离的风险、标的指数变更的风险、基金管理人代理申赎投资人买券卖券的风险、基金份额二级市场交易价格折溢价的风险、退市风险、申购失败的风险、赎回失败的风险、投资人参考IOPV做出投资决策的风险和IOPV计算错误等的本基金的特定风险。本基金属于股票型基金，其预期收益及风险水平高于混合型基金、债券型基金与货币市场基金，属于高风险、高收益的开放式基金。本基金为被动式投资的交易型开放式指数证券投资基金，主要采用完全复制策略，其风险收益特征与标的指数所表征的市场组合的风险收益特征相似。投资人在投资本基金之前，请仔细阅读本基金的招募说明书和基金合同，全面认识本基金的风险收益特征和产品特性，并充分考虑自身的风险承受能力，理性判断市场，谨慎做出投资决策。 </w:t>
      </w:r>
    </w:p>
    <w:p w14:paraId="618EBDF6">
      <w:pPr>
        <w:pStyle w:val="8"/>
        <w:spacing w:before="0" w:beforeAutospacing="0" w:after="0" w:afterAutospacing="0" w:line="360" w:lineRule="auto"/>
        <w:ind w:firstLine="420"/>
        <w:rPr>
          <w:sz w:val="21"/>
          <w:szCs w:val="21"/>
        </w:rPr>
      </w:pPr>
      <w:r>
        <w:rPr>
          <w:rFonts w:hint="eastAsia"/>
          <w:sz w:val="21"/>
          <w:szCs w:val="21"/>
        </w:rPr>
        <w:t xml:space="preserve">本基金投资对象是在境外依法发行上市的标的指数成份股、备选成份股、境外上市交易的跟踪同一标的指数的公募基金，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630AA0D3">
      <w:pPr>
        <w:pStyle w:val="8"/>
        <w:spacing w:before="0" w:beforeAutospacing="0" w:after="0" w:afterAutospacing="0" w:line="360" w:lineRule="auto"/>
        <w:ind w:firstLine="420"/>
        <w:rPr>
          <w:sz w:val="21"/>
          <w:szCs w:val="21"/>
        </w:rPr>
      </w:pPr>
      <w:r>
        <w:rPr>
          <w:rFonts w:hint="eastAsia"/>
          <w:sz w:val="21"/>
          <w:szCs w:val="21"/>
        </w:rPr>
        <w:t xml:space="preserve">本基金为投资美国市场的ETF，基金份额的清算交收和境内普通ETF存在一定差异，通常情况下，投资人当日申购的基金份额，清算交收完成后方可卖出和赎回。当日买入的基金份额，同日可以赎回或卖出。由于登记结算机构对现金替代采取非净额结算交收模式，当投资人赎回申请被登记结算机构确认后，被赎回的基金份额即被记减，但此时投资人尚未收到赎回现金替代款。投资人认购本基金时需具有证券账户，证券账户是指上海证券交易所A股账户或上海证券交易所证券投资基金账户。但需注意：使用基金账户只能参与本基金的现金认购和二级市场交易，如投资人需要参与基金的申购、赎回，则应使用A股账户。本基金以人民币募集和计价，经过换汇后主要投资于美国市场以美元计价的金融工具，人民币对美元的汇率的波动可能加大基金净值的波动，从而对基金业绩产生影响。 </w:t>
      </w:r>
    </w:p>
    <w:p w14:paraId="6C920167">
      <w:pPr>
        <w:pStyle w:val="8"/>
        <w:spacing w:before="0" w:beforeAutospacing="0" w:after="0" w:afterAutospacing="0" w:line="360" w:lineRule="auto"/>
        <w:ind w:firstLine="420"/>
        <w:rPr>
          <w:sz w:val="21"/>
          <w:szCs w:val="21"/>
        </w:rPr>
      </w:pPr>
      <w:r>
        <w:rPr>
          <w:rFonts w:hint="eastAsia"/>
          <w:sz w:val="21"/>
          <w:szCs w:val="21"/>
        </w:rPr>
        <w:t xml:space="preserve">投资有风险，投资人认购（或申购）基金时应认真阅读本招募说明书、基金合同、基金产品资料概要等信息披露文件及其更新。 </w:t>
      </w:r>
    </w:p>
    <w:p w14:paraId="36393EEE">
      <w:pPr>
        <w:pStyle w:val="8"/>
        <w:spacing w:before="0" w:beforeAutospacing="0" w:after="0" w:afterAutospacing="0" w:line="360" w:lineRule="auto"/>
        <w:ind w:firstLine="420"/>
        <w:rPr>
          <w:sz w:val="21"/>
          <w:szCs w:val="21"/>
        </w:rPr>
      </w:pPr>
      <w:r>
        <w:rPr>
          <w:rFonts w:hint="eastAsia"/>
          <w:sz w:val="21"/>
          <w:szCs w:val="21"/>
        </w:rPr>
        <w:t xml:space="preserve">基金的过往业绩并不预示其未来表现。 </w:t>
      </w:r>
    </w:p>
    <w:p w14:paraId="6196EA93">
      <w:pPr>
        <w:pStyle w:val="8"/>
        <w:spacing w:before="0" w:beforeAutospacing="0" w:after="0" w:afterAutospacing="0" w:line="360" w:lineRule="auto"/>
        <w:ind w:firstLine="420"/>
        <w:rPr>
          <w:sz w:val="21"/>
          <w:szCs w:val="21"/>
        </w:rPr>
      </w:pPr>
      <w:r>
        <w:rPr>
          <w:rFonts w:hint="eastAsia"/>
          <w:sz w:val="21"/>
          <w:szCs w:val="21"/>
        </w:rPr>
        <w:t xml:space="preserve">基金管理人依照恪尽职守、诚实信用、谨慎勤勉的原则管理和运用基金财产，但不保证基金一定盈利，也不保证最低收益。基金管理人提醒投资人基金投资的“买者自负”原则，在投资人作出投资决策后，基金运营状况与基金净值变化引致的投资风险，由投资人自行负责。 </w:t>
      </w:r>
    </w:p>
    <w:p w14:paraId="15D9426B">
      <w:pPr>
        <w:pStyle w:val="8"/>
        <w:spacing w:before="0" w:beforeAutospacing="0" w:after="0" w:afterAutospacing="0" w:line="360" w:lineRule="auto"/>
        <w:ind w:firstLine="420"/>
        <w:rPr>
          <w:sz w:val="21"/>
          <w:szCs w:val="21"/>
        </w:rPr>
      </w:pPr>
      <w:r>
        <w:rPr>
          <w:rFonts w:hint="eastAsia"/>
          <w:sz w:val="21"/>
          <w:szCs w:val="21"/>
        </w:rPr>
        <w:t xml:space="preserve">基金招募说明书自基金合同生效日起，除重大事项变更外其他信息有变动的，每年应至少更新一次。 </w:t>
      </w:r>
    </w:p>
    <w:p w14:paraId="7C39913B">
      <w:pPr>
        <w:pStyle w:val="8"/>
        <w:spacing w:before="0" w:beforeAutospacing="0" w:after="0" w:afterAutospacing="0" w:line="360" w:lineRule="auto"/>
        <w:ind w:firstLine="420"/>
        <w:rPr>
          <w:sz w:val="21"/>
          <w:szCs w:val="21"/>
        </w:rPr>
      </w:pPr>
      <w:r>
        <w:rPr>
          <w:rFonts w:hint="eastAsia"/>
          <w:sz w:val="21"/>
          <w:szCs w:val="21"/>
        </w:rPr>
        <w:t>本招募说明书（更新）所载内容截止日为</w:t>
      </w:r>
      <w:bookmarkStart w:id="3" w:name="field_2343_infoendday_1"/>
      <w:r>
        <w:rPr>
          <w:sz w:val="21"/>
          <w:szCs w:val="21"/>
        </w:rPr>
        <w:t>2025年</w:t>
      </w:r>
      <w:r>
        <w:rPr>
          <w:rFonts w:hint="eastAsia"/>
          <w:sz w:val="21"/>
          <w:szCs w:val="21"/>
          <w:lang w:val="en-US" w:eastAsia="zh-CN"/>
        </w:rPr>
        <w:t>11</w:t>
      </w:r>
      <w:r>
        <w:rPr>
          <w:sz w:val="21"/>
          <w:szCs w:val="21"/>
        </w:rPr>
        <w:t>月</w:t>
      </w:r>
      <w:r>
        <w:rPr>
          <w:rFonts w:hint="eastAsia"/>
          <w:sz w:val="21"/>
          <w:szCs w:val="21"/>
          <w:lang w:val="en-US" w:eastAsia="zh-CN"/>
        </w:rPr>
        <w:t>17</w:t>
      </w:r>
      <w:r>
        <w:rPr>
          <w:sz w:val="21"/>
          <w:szCs w:val="21"/>
        </w:rPr>
        <w:t>日</w:t>
      </w:r>
      <w:bookmarkEnd w:id="3"/>
      <w:r>
        <w:rPr>
          <w:rFonts w:hint="eastAsia"/>
          <w:sz w:val="21"/>
          <w:szCs w:val="21"/>
        </w:rPr>
        <w:t>，有关财务数据和净值表现截止日为</w:t>
      </w:r>
      <w:bookmarkStart w:id="4" w:name="field_2343_financeendday_1"/>
      <w:r>
        <w:rPr>
          <w:sz w:val="21"/>
          <w:szCs w:val="21"/>
        </w:rPr>
        <w:t>2025年6月30日</w:t>
      </w:r>
      <w:bookmarkEnd w:id="4"/>
      <w:r>
        <w:rPr>
          <w:rFonts w:hint="eastAsia"/>
          <w:sz w:val="21"/>
          <w:szCs w:val="21"/>
        </w:rPr>
        <w:t xml:space="preserve">（财务数据未经审计）。  </w:t>
      </w:r>
      <w:r>
        <w:rPr>
          <w:sz w:val="30"/>
        </w:rPr>
        <w:br w:type="page"/>
      </w:r>
    </w:p>
    <w:p w14:paraId="40ADE8C6">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155AC47A">
      <w:pPr>
        <w:pStyle w:val="7"/>
        <w:tabs>
          <w:tab w:val="right" w:leader="dot" w:pos="8290"/>
        </w:tabs>
        <w:spacing w:line="360" w:lineRule="auto"/>
        <w:rPr>
          <w:rFonts w:ascii="宋体" w:hAnsi="宋体" w:eastAsia="宋体"/>
        </w:rPr>
      </w:pPr>
      <w:r>
        <w:fldChar w:fldCharType="begin"/>
      </w:r>
      <w:r>
        <w:instrText xml:space="preserve"> HYPERLINK \l "_Toc209441834"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_Toc209441834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6CEB7822">
      <w:pPr>
        <w:pStyle w:val="7"/>
        <w:tabs>
          <w:tab w:val="right" w:leader="dot" w:pos="8290"/>
        </w:tabs>
        <w:spacing w:line="360" w:lineRule="auto"/>
        <w:rPr>
          <w:rFonts w:ascii="宋体" w:hAnsi="宋体" w:eastAsia="宋体"/>
        </w:rPr>
      </w:pPr>
      <w:r>
        <w:fldChar w:fldCharType="begin"/>
      </w:r>
      <w:r>
        <w:instrText xml:space="preserve"> HYPERLINK \l "_Toc209441835" </w:instrText>
      </w:r>
      <w:r>
        <w:fldChar w:fldCharType="separate"/>
      </w:r>
      <w:r>
        <w:rPr>
          <w:rStyle w:val="13"/>
          <w:rFonts w:hint="eastAsia" w:ascii="宋体" w:hAnsi="宋体" w:eastAsia="宋体"/>
          <w:u w:val="none"/>
        </w:rPr>
        <w:t>第一部分</w:t>
      </w:r>
      <w:r>
        <w:rPr>
          <w:rStyle w:val="13"/>
          <w:rFonts w:ascii="宋体" w:hAnsi="宋体" w:eastAsia="宋体"/>
          <w:u w:val="none"/>
        </w:rPr>
        <w:t xml:space="preserve">  </w:t>
      </w:r>
      <w:r>
        <w:rPr>
          <w:rStyle w:val="13"/>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_Toc209441835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1B6EA26E">
      <w:pPr>
        <w:pStyle w:val="7"/>
        <w:tabs>
          <w:tab w:val="right" w:leader="dot" w:pos="8290"/>
        </w:tabs>
        <w:spacing w:line="360" w:lineRule="auto"/>
        <w:rPr>
          <w:rFonts w:ascii="宋体" w:hAnsi="宋体" w:eastAsia="宋体"/>
        </w:rPr>
      </w:pPr>
      <w:r>
        <w:fldChar w:fldCharType="begin"/>
      </w:r>
      <w:r>
        <w:instrText xml:space="preserve"> HYPERLINK \l "_Toc209441836" </w:instrText>
      </w:r>
      <w:r>
        <w:fldChar w:fldCharType="separate"/>
      </w:r>
      <w:r>
        <w:rPr>
          <w:rStyle w:val="13"/>
          <w:rFonts w:hint="eastAsia" w:ascii="宋体" w:hAnsi="宋体" w:eastAsia="宋体"/>
          <w:u w:val="none"/>
        </w:rPr>
        <w:t>第二部分</w:t>
      </w:r>
      <w:r>
        <w:rPr>
          <w:rStyle w:val="13"/>
          <w:rFonts w:ascii="宋体" w:hAnsi="宋体" w:eastAsia="宋体"/>
          <w:u w:val="none"/>
        </w:rPr>
        <w:t xml:space="preserve">  </w:t>
      </w:r>
      <w:r>
        <w:rPr>
          <w:rStyle w:val="13"/>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_Toc209441836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16ADDA62">
      <w:pPr>
        <w:pStyle w:val="7"/>
        <w:tabs>
          <w:tab w:val="right" w:leader="dot" w:pos="8290"/>
        </w:tabs>
        <w:spacing w:line="360" w:lineRule="auto"/>
        <w:rPr>
          <w:rFonts w:ascii="宋体" w:hAnsi="宋体" w:eastAsia="宋体"/>
        </w:rPr>
      </w:pPr>
      <w:r>
        <w:fldChar w:fldCharType="begin"/>
      </w:r>
      <w:r>
        <w:instrText xml:space="preserve"> HYPERLINK \l "_Toc209441837" </w:instrText>
      </w:r>
      <w:r>
        <w:fldChar w:fldCharType="separate"/>
      </w:r>
      <w:r>
        <w:rPr>
          <w:rStyle w:val="13"/>
          <w:rFonts w:hint="eastAsia" w:ascii="宋体" w:hAnsi="宋体" w:eastAsia="宋体"/>
          <w:u w:val="none"/>
        </w:rPr>
        <w:t>第三部分</w:t>
      </w:r>
      <w:r>
        <w:rPr>
          <w:rStyle w:val="13"/>
          <w:rFonts w:ascii="宋体" w:hAnsi="宋体" w:eastAsia="宋体"/>
          <w:u w:val="none"/>
        </w:rPr>
        <w:t xml:space="preserve">  </w:t>
      </w:r>
      <w:r>
        <w:rPr>
          <w:rStyle w:val="13"/>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_Toc209441837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6275934B">
      <w:pPr>
        <w:pStyle w:val="7"/>
        <w:tabs>
          <w:tab w:val="right" w:leader="dot" w:pos="8290"/>
        </w:tabs>
        <w:spacing w:line="360" w:lineRule="auto"/>
        <w:rPr>
          <w:rFonts w:ascii="宋体" w:hAnsi="宋体" w:eastAsia="宋体"/>
        </w:rPr>
      </w:pPr>
      <w:r>
        <w:fldChar w:fldCharType="begin"/>
      </w:r>
      <w:r>
        <w:instrText xml:space="preserve"> HYPERLINK \l "_Toc209441838" </w:instrText>
      </w:r>
      <w:r>
        <w:fldChar w:fldCharType="separate"/>
      </w:r>
      <w:r>
        <w:rPr>
          <w:rStyle w:val="13"/>
          <w:rFonts w:hint="eastAsia" w:ascii="宋体" w:hAnsi="宋体" w:eastAsia="宋体"/>
          <w:u w:val="none"/>
        </w:rPr>
        <w:t>第四部分</w:t>
      </w:r>
      <w:r>
        <w:rPr>
          <w:rStyle w:val="13"/>
          <w:rFonts w:ascii="宋体" w:hAnsi="宋体" w:eastAsia="宋体"/>
          <w:u w:val="none"/>
        </w:rPr>
        <w:t xml:space="preserve">  </w:t>
      </w:r>
      <w:r>
        <w:rPr>
          <w:rStyle w:val="13"/>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_Toc209441838 \h </w:instrText>
      </w:r>
      <w:r>
        <w:rPr>
          <w:rFonts w:ascii="宋体" w:hAnsi="宋体" w:eastAsia="宋体"/>
        </w:rPr>
        <w:fldChar w:fldCharType="separate"/>
      </w:r>
      <w:r>
        <w:rPr>
          <w:rFonts w:ascii="宋体" w:hAnsi="宋体" w:eastAsia="宋体"/>
        </w:rPr>
        <w:t>23</w:t>
      </w:r>
      <w:r>
        <w:rPr>
          <w:rFonts w:ascii="宋体" w:hAnsi="宋体" w:eastAsia="宋体"/>
        </w:rPr>
        <w:fldChar w:fldCharType="end"/>
      </w:r>
      <w:r>
        <w:rPr>
          <w:rFonts w:ascii="宋体" w:hAnsi="宋体" w:eastAsia="宋体"/>
        </w:rPr>
        <w:fldChar w:fldCharType="end"/>
      </w:r>
    </w:p>
    <w:p w14:paraId="43BC6940">
      <w:pPr>
        <w:pStyle w:val="7"/>
        <w:tabs>
          <w:tab w:val="right" w:leader="dot" w:pos="8290"/>
        </w:tabs>
        <w:spacing w:line="360" w:lineRule="auto"/>
        <w:rPr>
          <w:rFonts w:ascii="宋体" w:hAnsi="宋体" w:eastAsia="宋体"/>
        </w:rPr>
      </w:pPr>
      <w:r>
        <w:fldChar w:fldCharType="begin"/>
      </w:r>
      <w:r>
        <w:instrText xml:space="preserve"> HYPERLINK \l "_Toc209441839" </w:instrText>
      </w:r>
      <w:r>
        <w:fldChar w:fldCharType="separate"/>
      </w:r>
      <w:r>
        <w:rPr>
          <w:rStyle w:val="13"/>
          <w:rFonts w:hint="eastAsia" w:ascii="宋体" w:hAnsi="宋体" w:eastAsia="宋体"/>
          <w:u w:val="none"/>
        </w:rPr>
        <w:t>第五部分</w:t>
      </w:r>
      <w:r>
        <w:rPr>
          <w:rStyle w:val="13"/>
          <w:rFonts w:ascii="宋体" w:hAnsi="宋体" w:eastAsia="宋体"/>
          <w:u w:val="none"/>
        </w:rPr>
        <w:t xml:space="preserve">  </w:t>
      </w:r>
      <w:r>
        <w:rPr>
          <w:rStyle w:val="13"/>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_Toc209441839 \h </w:instrText>
      </w:r>
      <w:r>
        <w:rPr>
          <w:rFonts w:ascii="宋体" w:hAnsi="宋体" w:eastAsia="宋体"/>
        </w:rPr>
        <w:fldChar w:fldCharType="separate"/>
      </w:r>
      <w:r>
        <w:rPr>
          <w:rFonts w:ascii="宋体" w:hAnsi="宋体" w:eastAsia="宋体"/>
        </w:rPr>
        <w:t>27</w:t>
      </w:r>
      <w:r>
        <w:rPr>
          <w:rFonts w:ascii="宋体" w:hAnsi="宋体" w:eastAsia="宋体"/>
        </w:rPr>
        <w:fldChar w:fldCharType="end"/>
      </w:r>
      <w:r>
        <w:rPr>
          <w:rFonts w:ascii="宋体" w:hAnsi="宋体" w:eastAsia="宋体"/>
        </w:rPr>
        <w:fldChar w:fldCharType="end"/>
      </w:r>
    </w:p>
    <w:p w14:paraId="7F987DE2">
      <w:pPr>
        <w:pStyle w:val="7"/>
        <w:tabs>
          <w:tab w:val="right" w:leader="dot" w:pos="8290"/>
        </w:tabs>
        <w:spacing w:line="360" w:lineRule="auto"/>
        <w:rPr>
          <w:rFonts w:ascii="宋体" w:hAnsi="宋体" w:eastAsia="宋体"/>
        </w:rPr>
      </w:pPr>
      <w:r>
        <w:fldChar w:fldCharType="begin"/>
      </w:r>
      <w:r>
        <w:instrText xml:space="preserve"> HYPERLINK \l "_Toc209441840" </w:instrText>
      </w:r>
      <w:r>
        <w:fldChar w:fldCharType="separate"/>
      </w:r>
      <w:r>
        <w:rPr>
          <w:rStyle w:val="13"/>
          <w:rFonts w:hint="eastAsia" w:ascii="宋体" w:hAnsi="宋体" w:eastAsia="宋体"/>
          <w:u w:val="none"/>
        </w:rPr>
        <w:t>第六部分</w:t>
      </w:r>
      <w:r>
        <w:rPr>
          <w:rStyle w:val="13"/>
          <w:rFonts w:ascii="宋体" w:hAnsi="宋体" w:eastAsia="宋体"/>
          <w:u w:val="none"/>
        </w:rPr>
        <w:t xml:space="preserve"> </w:t>
      </w:r>
      <w:r>
        <w:rPr>
          <w:rStyle w:val="13"/>
          <w:rFonts w:hint="eastAsia" w:ascii="宋体" w:hAnsi="宋体" w:eastAsia="宋体"/>
          <w:u w:val="none"/>
        </w:rPr>
        <w:t>基金的募集</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_Toc209441840 \h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Fonts w:ascii="宋体" w:hAnsi="宋体" w:eastAsia="宋体"/>
        </w:rPr>
        <w:fldChar w:fldCharType="end"/>
      </w:r>
    </w:p>
    <w:p w14:paraId="5720124E">
      <w:pPr>
        <w:pStyle w:val="7"/>
        <w:tabs>
          <w:tab w:val="right" w:leader="dot" w:pos="8290"/>
        </w:tabs>
        <w:spacing w:line="360" w:lineRule="auto"/>
        <w:rPr>
          <w:rFonts w:ascii="宋体" w:hAnsi="宋体" w:eastAsia="宋体"/>
        </w:rPr>
      </w:pPr>
      <w:r>
        <w:fldChar w:fldCharType="begin"/>
      </w:r>
      <w:r>
        <w:instrText xml:space="preserve"> HYPERLINK \l "_Toc209441841" </w:instrText>
      </w:r>
      <w:r>
        <w:fldChar w:fldCharType="separate"/>
      </w:r>
      <w:r>
        <w:rPr>
          <w:rStyle w:val="13"/>
          <w:rFonts w:hint="eastAsia" w:ascii="宋体" w:hAnsi="宋体" w:eastAsia="宋体"/>
          <w:u w:val="none"/>
        </w:rPr>
        <w:t>第七部分</w:t>
      </w:r>
      <w:r>
        <w:rPr>
          <w:rStyle w:val="13"/>
          <w:rFonts w:ascii="宋体" w:hAnsi="宋体" w:eastAsia="宋体"/>
          <w:u w:val="none"/>
        </w:rPr>
        <w:t xml:space="preserve">  </w:t>
      </w:r>
      <w:r>
        <w:rPr>
          <w:rStyle w:val="13"/>
          <w:rFonts w:hint="eastAsia" w:ascii="宋体" w:hAnsi="宋体" w:eastAsia="宋体"/>
          <w:u w:val="none"/>
        </w:rPr>
        <w:t>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_Toc209441841 \h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fldChar w:fldCharType="end"/>
      </w:r>
    </w:p>
    <w:p w14:paraId="3F3448C7">
      <w:pPr>
        <w:pStyle w:val="7"/>
        <w:tabs>
          <w:tab w:val="right" w:leader="dot" w:pos="8290"/>
        </w:tabs>
        <w:spacing w:line="360" w:lineRule="auto"/>
        <w:rPr>
          <w:rFonts w:ascii="宋体" w:hAnsi="宋体" w:eastAsia="宋体"/>
        </w:rPr>
      </w:pPr>
      <w:r>
        <w:fldChar w:fldCharType="begin"/>
      </w:r>
      <w:r>
        <w:instrText xml:space="preserve"> HYPERLINK \l "_Toc209441842" </w:instrText>
      </w:r>
      <w:r>
        <w:fldChar w:fldCharType="separate"/>
      </w:r>
      <w:r>
        <w:rPr>
          <w:rStyle w:val="13"/>
          <w:rFonts w:hint="eastAsia" w:ascii="宋体" w:hAnsi="宋体" w:eastAsia="宋体"/>
          <w:u w:val="none"/>
        </w:rPr>
        <w:t>第八部分</w:t>
      </w:r>
      <w:r>
        <w:rPr>
          <w:rStyle w:val="13"/>
          <w:rFonts w:ascii="宋体" w:hAnsi="宋体" w:eastAsia="宋体"/>
          <w:u w:val="none"/>
        </w:rPr>
        <w:t xml:space="preserve">  </w:t>
      </w:r>
      <w:r>
        <w:rPr>
          <w:rStyle w:val="13"/>
          <w:rFonts w:hint="eastAsia" w:ascii="宋体" w:hAnsi="宋体" w:eastAsia="宋体"/>
          <w:u w:val="none"/>
        </w:rPr>
        <w:t>基金份额的折算和变更登记</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_Toc209441842 \h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fldChar w:fldCharType="end"/>
      </w:r>
    </w:p>
    <w:p w14:paraId="1AEA17BE">
      <w:pPr>
        <w:pStyle w:val="7"/>
        <w:tabs>
          <w:tab w:val="right" w:leader="dot" w:pos="8290"/>
        </w:tabs>
        <w:spacing w:line="360" w:lineRule="auto"/>
        <w:rPr>
          <w:rFonts w:ascii="宋体" w:hAnsi="宋体" w:eastAsia="宋体"/>
        </w:rPr>
      </w:pPr>
      <w:r>
        <w:fldChar w:fldCharType="begin"/>
      </w:r>
      <w:r>
        <w:instrText xml:space="preserve"> HYPERLINK \l "_Toc209441843" </w:instrText>
      </w:r>
      <w:r>
        <w:fldChar w:fldCharType="separate"/>
      </w:r>
      <w:r>
        <w:rPr>
          <w:rStyle w:val="13"/>
          <w:rFonts w:hint="eastAsia" w:ascii="宋体" w:hAnsi="宋体" w:eastAsia="宋体"/>
          <w:u w:val="none"/>
        </w:rPr>
        <w:t>第九部分</w:t>
      </w:r>
      <w:r>
        <w:rPr>
          <w:rStyle w:val="13"/>
          <w:rFonts w:ascii="宋体" w:hAnsi="宋体" w:eastAsia="宋体"/>
          <w:u w:val="none"/>
        </w:rPr>
        <w:t xml:space="preserve">  </w:t>
      </w:r>
      <w:r>
        <w:rPr>
          <w:rStyle w:val="13"/>
          <w:rFonts w:hint="eastAsia" w:ascii="宋体" w:hAnsi="宋体" w:eastAsia="宋体"/>
          <w:u w:val="none"/>
        </w:rPr>
        <w:t>基金份额的交易</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_Toc209441843 \h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fldChar w:fldCharType="end"/>
      </w:r>
    </w:p>
    <w:p w14:paraId="27361D6D">
      <w:pPr>
        <w:pStyle w:val="7"/>
        <w:tabs>
          <w:tab w:val="right" w:leader="dot" w:pos="8290"/>
        </w:tabs>
        <w:spacing w:line="360" w:lineRule="auto"/>
        <w:rPr>
          <w:rFonts w:ascii="宋体" w:hAnsi="宋体" w:eastAsia="宋体"/>
        </w:rPr>
      </w:pPr>
      <w:r>
        <w:fldChar w:fldCharType="begin"/>
      </w:r>
      <w:r>
        <w:instrText xml:space="preserve"> HYPERLINK \l "_Toc209441844" </w:instrText>
      </w:r>
      <w:r>
        <w:fldChar w:fldCharType="separate"/>
      </w:r>
      <w:r>
        <w:rPr>
          <w:rStyle w:val="13"/>
          <w:rFonts w:hint="eastAsia" w:ascii="宋体" w:hAnsi="宋体" w:eastAsia="宋体"/>
          <w:u w:val="none"/>
        </w:rPr>
        <w:t>第十部分</w:t>
      </w:r>
      <w:r>
        <w:rPr>
          <w:rStyle w:val="13"/>
          <w:rFonts w:ascii="宋体" w:hAnsi="宋体" w:eastAsia="宋体"/>
          <w:u w:val="none"/>
        </w:rPr>
        <w:t xml:space="preserve">  </w:t>
      </w:r>
      <w:r>
        <w:rPr>
          <w:rStyle w:val="13"/>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_Toc209441844 \h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fldChar w:fldCharType="end"/>
      </w:r>
    </w:p>
    <w:p w14:paraId="6D31A26E">
      <w:pPr>
        <w:pStyle w:val="7"/>
        <w:tabs>
          <w:tab w:val="right" w:leader="dot" w:pos="8290"/>
        </w:tabs>
        <w:spacing w:line="360" w:lineRule="auto"/>
        <w:rPr>
          <w:rFonts w:ascii="宋体" w:hAnsi="宋体" w:eastAsia="宋体"/>
        </w:rPr>
      </w:pPr>
      <w:r>
        <w:fldChar w:fldCharType="begin"/>
      </w:r>
      <w:r>
        <w:instrText xml:space="preserve"> HYPERLINK \l "_Toc209441845" </w:instrText>
      </w:r>
      <w:r>
        <w:fldChar w:fldCharType="separate"/>
      </w:r>
      <w:r>
        <w:rPr>
          <w:rStyle w:val="13"/>
          <w:rFonts w:hint="eastAsia" w:ascii="宋体" w:hAnsi="宋体" w:eastAsia="宋体"/>
          <w:u w:val="none"/>
        </w:rPr>
        <w:t>第十一部分</w:t>
      </w:r>
      <w:r>
        <w:rPr>
          <w:rStyle w:val="13"/>
          <w:rFonts w:ascii="宋体" w:hAnsi="宋体" w:eastAsia="宋体"/>
          <w:u w:val="none"/>
        </w:rPr>
        <w:t xml:space="preserve">  </w:t>
      </w:r>
      <w:r>
        <w:rPr>
          <w:rStyle w:val="13"/>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_Toc209441845 \h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fldChar w:fldCharType="end"/>
      </w:r>
    </w:p>
    <w:p w14:paraId="76136801">
      <w:pPr>
        <w:pStyle w:val="7"/>
        <w:tabs>
          <w:tab w:val="right" w:leader="dot" w:pos="8290"/>
        </w:tabs>
        <w:spacing w:line="360" w:lineRule="auto"/>
        <w:rPr>
          <w:rFonts w:ascii="宋体" w:hAnsi="宋体" w:eastAsia="宋体"/>
        </w:rPr>
      </w:pPr>
      <w:r>
        <w:fldChar w:fldCharType="begin"/>
      </w:r>
      <w:r>
        <w:instrText xml:space="preserve"> HYPERLINK \l "_Toc209441846" </w:instrText>
      </w:r>
      <w:r>
        <w:fldChar w:fldCharType="separate"/>
      </w:r>
      <w:r>
        <w:rPr>
          <w:rStyle w:val="13"/>
          <w:rFonts w:hint="eastAsia" w:ascii="宋体" w:hAnsi="宋体" w:eastAsia="宋体"/>
          <w:u w:val="none"/>
        </w:rPr>
        <w:t>第十二部分</w:t>
      </w:r>
      <w:r>
        <w:rPr>
          <w:rStyle w:val="13"/>
          <w:rFonts w:ascii="宋体" w:hAnsi="宋体" w:eastAsia="宋体"/>
          <w:u w:val="none"/>
        </w:rPr>
        <w:t xml:space="preserve"> </w:t>
      </w:r>
      <w:r>
        <w:rPr>
          <w:rStyle w:val="13"/>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_Toc209441846 \h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fldChar w:fldCharType="end"/>
      </w:r>
    </w:p>
    <w:p w14:paraId="0098ECFF">
      <w:pPr>
        <w:pStyle w:val="7"/>
        <w:tabs>
          <w:tab w:val="right" w:leader="dot" w:pos="8290"/>
        </w:tabs>
        <w:spacing w:line="360" w:lineRule="auto"/>
        <w:rPr>
          <w:rFonts w:ascii="宋体" w:hAnsi="宋体" w:eastAsia="宋体"/>
        </w:rPr>
      </w:pPr>
      <w:r>
        <w:fldChar w:fldCharType="begin"/>
      </w:r>
      <w:r>
        <w:instrText xml:space="preserve"> HYPERLINK \l "_Toc209441847" </w:instrText>
      </w:r>
      <w:r>
        <w:fldChar w:fldCharType="separate"/>
      </w:r>
      <w:r>
        <w:rPr>
          <w:rStyle w:val="13"/>
          <w:rFonts w:hint="eastAsia" w:ascii="宋体" w:hAnsi="宋体" w:eastAsia="宋体"/>
          <w:u w:val="none"/>
        </w:rPr>
        <w:t>第十三部分</w:t>
      </w:r>
      <w:r>
        <w:rPr>
          <w:rStyle w:val="13"/>
          <w:rFonts w:ascii="宋体" w:hAnsi="宋体" w:eastAsia="宋体"/>
          <w:u w:val="none"/>
        </w:rPr>
        <w:t xml:space="preserve">  </w:t>
      </w:r>
      <w:r>
        <w:rPr>
          <w:rStyle w:val="13"/>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_Toc209441847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14:paraId="026AA807">
      <w:pPr>
        <w:pStyle w:val="7"/>
        <w:tabs>
          <w:tab w:val="right" w:leader="dot" w:pos="8290"/>
        </w:tabs>
        <w:spacing w:line="360" w:lineRule="auto"/>
        <w:rPr>
          <w:rFonts w:ascii="宋体" w:hAnsi="宋体" w:eastAsia="宋体"/>
        </w:rPr>
      </w:pPr>
      <w:r>
        <w:fldChar w:fldCharType="begin"/>
      </w:r>
      <w:r>
        <w:instrText xml:space="preserve"> HYPERLINK \l "_Toc209441848" </w:instrText>
      </w:r>
      <w:r>
        <w:fldChar w:fldCharType="separate"/>
      </w:r>
      <w:r>
        <w:rPr>
          <w:rStyle w:val="13"/>
          <w:rFonts w:hint="eastAsia" w:ascii="宋体" w:hAnsi="宋体" w:eastAsia="宋体"/>
          <w:u w:val="none"/>
        </w:rPr>
        <w:t>第十四部分</w:t>
      </w:r>
      <w:r>
        <w:rPr>
          <w:rStyle w:val="13"/>
          <w:rFonts w:ascii="宋体" w:hAnsi="宋体" w:eastAsia="宋体"/>
          <w:u w:val="none"/>
        </w:rPr>
        <w:t xml:space="preserve">  </w:t>
      </w:r>
      <w:r>
        <w:rPr>
          <w:rStyle w:val="13"/>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_Toc209441848 \h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fldChar w:fldCharType="end"/>
      </w:r>
    </w:p>
    <w:p w14:paraId="2078D80A">
      <w:pPr>
        <w:pStyle w:val="7"/>
        <w:tabs>
          <w:tab w:val="right" w:leader="dot" w:pos="8290"/>
        </w:tabs>
        <w:spacing w:line="360" w:lineRule="auto"/>
        <w:rPr>
          <w:rFonts w:ascii="宋体" w:hAnsi="宋体" w:eastAsia="宋体"/>
        </w:rPr>
      </w:pPr>
      <w:r>
        <w:fldChar w:fldCharType="begin"/>
      </w:r>
      <w:r>
        <w:instrText xml:space="preserve"> HYPERLINK \l "_Toc209441849" </w:instrText>
      </w:r>
      <w:r>
        <w:fldChar w:fldCharType="separate"/>
      </w:r>
      <w:r>
        <w:rPr>
          <w:rStyle w:val="13"/>
          <w:rFonts w:hint="eastAsia" w:ascii="宋体" w:hAnsi="宋体" w:eastAsia="宋体"/>
          <w:u w:val="none"/>
        </w:rPr>
        <w:t>第十五部分</w:t>
      </w:r>
      <w:r>
        <w:rPr>
          <w:rStyle w:val="13"/>
          <w:rFonts w:ascii="宋体" w:hAnsi="宋体" w:eastAsia="宋体"/>
          <w:u w:val="none"/>
        </w:rPr>
        <w:t xml:space="preserve">  </w:t>
      </w:r>
      <w:r>
        <w:rPr>
          <w:rStyle w:val="13"/>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_Toc209441849 \h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fldChar w:fldCharType="end"/>
      </w:r>
    </w:p>
    <w:p w14:paraId="68DB1F15">
      <w:pPr>
        <w:pStyle w:val="7"/>
        <w:tabs>
          <w:tab w:val="right" w:leader="dot" w:pos="8290"/>
        </w:tabs>
        <w:spacing w:line="360" w:lineRule="auto"/>
        <w:rPr>
          <w:rFonts w:ascii="宋体" w:hAnsi="宋体" w:eastAsia="宋体"/>
        </w:rPr>
      </w:pPr>
      <w:r>
        <w:fldChar w:fldCharType="begin"/>
      </w:r>
      <w:r>
        <w:instrText xml:space="preserve"> HYPERLINK \l "_Toc209441850" </w:instrText>
      </w:r>
      <w:r>
        <w:fldChar w:fldCharType="separate"/>
      </w:r>
      <w:r>
        <w:rPr>
          <w:rStyle w:val="13"/>
          <w:rFonts w:hint="eastAsia" w:ascii="宋体" w:hAnsi="宋体" w:eastAsia="宋体"/>
          <w:u w:val="none"/>
        </w:rPr>
        <w:t>第十六部分</w:t>
      </w:r>
      <w:r>
        <w:rPr>
          <w:rStyle w:val="13"/>
          <w:rFonts w:ascii="宋体" w:hAnsi="宋体" w:eastAsia="宋体"/>
          <w:u w:val="none"/>
        </w:rPr>
        <w:t xml:space="preserve">  </w:t>
      </w:r>
      <w:r>
        <w:rPr>
          <w:rStyle w:val="13"/>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_Toc209441850 \h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fldChar w:fldCharType="end"/>
      </w:r>
    </w:p>
    <w:p w14:paraId="1A6F797A">
      <w:pPr>
        <w:pStyle w:val="7"/>
        <w:tabs>
          <w:tab w:val="right" w:leader="dot" w:pos="8290"/>
        </w:tabs>
        <w:spacing w:line="360" w:lineRule="auto"/>
        <w:rPr>
          <w:rFonts w:ascii="宋体" w:hAnsi="宋体" w:eastAsia="宋体"/>
        </w:rPr>
      </w:pPr>
      <w:r>
        <w:fldChar w:fldCharType="begin"/>
      </w:r>
      <w:r>
        <w:instrText xml:space="preserve"> HYPERLINK \l "_Toc209441851" </w:instrText>
      </w:r>
      <w:r>
        <w:fldChar w:fldCharType="separate"/>
      </w:r>
      <w:r>
        <w:rPr>
          <w:rStyle w:val="13"/>
          <w:rFonts w:hint="eastAsia" w:ascii="宋体" w:hAnsi="宋体" w:eastAsia="宋体"/>
          <w:u w:val="none"/>
        </w:rPr>
        <w:t>第十七部分</w:t>
      </w:r>
      <w:r>
        <w:rPr>
          <w:rStyle w:val="13"/>
          <w:rFonts w:ascii="宋体" w:hAnsi="宋体" w:eastAsia="宋体"/>
          <w:u w:val="none"/>
        </w:rPr>
        <w:t xml:space="preserve">  </w:t>
      </w:r>
      <w:r>
        <w:rPr>
          <w:rStyle w:val="13"/>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_Toc209441851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14:paraId="6F0F4DE4">
      <w:pPr>
        <w:pStyle w:val="7"/>
        <w:tabs>
          <w:tab w:val="right" w:leader="dot" w:pos="8290"/>
        </w:tabs>
        <w:spacing w:line="360" w:lineRule="auto"/>
        <w:rPr>
          <w:rFonts w:ascii="宋体" w:hAnsi="宋体" w:eastAsia="宋体"/>
        </w:rPr>
      </w:pPr>
      <w:r>
        <w:fldChar w:fldCharType="begin"/>
      </w:r>
      <w:r>
        <w:instrText xml:space="preserve"> HYPERLINK \l "_Toc209441852" </w:instrText>
      </w:r>
      <w:r>
        <w:fldChar w:fldCharType="separate"/>
      </w:r>
      <w:r>
        <w:rPr>
          <w:rStyle w:val="13"/>
          <w:rFonts w:hint="eastAsia" w:ascii="宋体" w:hAnsi="宋体" w:eastAsia="宋体"/>
          <w:u w:val="none"/>
        </w:rPr>
        <w:t>第十八部分</w:t>
      </w:r>
      <w:r>
        <w:rPr>
          <w:rStyle w:val="13"/>
          <w:rFonts w:ascii="宋体" w:hAnsi="宋体" w:eastAsia="宋体"/>
          <w:u w:val="none"/>
        </w:rPr>
        <w:t xml:space="preserve">  </w:t>
      </w:r>
      <w:r>
        <w:rPr>
          <w:rStyle w:val="13"/>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_Toc209441852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14:paraId="63F5F3B7">
      <w:pPr>
        <w:pStyle w:val="7"/>
        <w:tabs>
          <w:tab w:val="right" w:leader="dot" w:pos="8290"/>
        </w:tabs>
        <w:spacing w:line="360" w:lineRule="auto"/>
        <w:rPr>
          <w:rFonts w:ascii="宋体" w:hAnsi="宋体" w:eastAsia="宋体"/>
        </w:rPr>
      </w:pPr>
      <w:r>
        <w:fldChar w:fldCharType="begin"/>
      </w:r>
      <w:r>
        <w:instrText xml:space="preserve"> HYPERLINK \l "_Toc209441853" </w:instrText>
      </w:r>
      <w:r>
        <w:fldChar w:fldCharType="separate"/>
      </w:r>
      <w:r>
        <w:rPr>
          <w:rStyle w:val="13"/>
          <w:rFonts w:hint="eastAsia" w:ascii="宋体" w:hAnsi="宋体" w:eastAsia="宋体"/>
          <w:u w:val="none"/>
        </w:rPr>
        <w:t>第十九部分</w:t>
      </w:r>
      <w:r>
        <w:rPr>
          <w:rStyle w:val="13"/>
          <w:rFonts w:ascii="宋体" w:hAnsi="宋体" w:eastAsia="宋体"/>
          <w:u w:val="none"/>
        </w:rPr>
        <w:t xml:space="preserve">  </w:t>
      </w:r>
      <w:r>
        <w:rPr>
          <w:rStyle w:val="13"/>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_Toc209441853 \h </w:instrText>
      </w:r>
      <w:r>
        <w:rPr>
          <w:rFonts w:ascii="宋体" w:hAnsi="宋体" w:eastAsia="宋体"/>
        </w:rPr>
        <w:fldChar w:fldCharType="separate"/>
      </w:r>
      <w:r>
        <w:rPr>
          <w:rFonts w:ascii="宋体" w:hAnsi="宋体" w:eastAsia="宋体"/>
        </w:rPr>
        <w:t>90</w:t>
      </w:r>
      <w:r>
        <w:rPr>
          <w:rFonts w:ascii="宋体" w:hAnsi="宋体" w:eastAsia="宋体"/>
        </w:rPr>
        <w:fldChar w:fldCharType="end"/>
      </w:r>
      <w:r>
        <w:rPr>
          <w:rFonts w:ascii="宋体" w:hAnsi="宋体" w:eastAsia="宋体"/>
        </w:rPr>
        <w:fldChar w:fldCharType="end"/>
      </w:r>
    </w:p>
    <w:p w14:paraId="7125AB70">
      <w:pPr>
        <w:pStyle w:val="7"/>
        <w:tabs>
          <w:tab w:val="right" w:leader="dot" w:pos="8290"/>
        </w:tabs>
        <w:spacing w:line="360" w:lineRule="auto"/>
        <w:rPr>
          <w:rFonts w:ascii="宋体" w:hAnsi="宋体" w:eastAsia="宋体"/>
        </w:rPr>
      </w:pPr>
      <w:r>
        <w:fldChar w:fldCharType="begin"/>
      </w:r>
      <w:r>
        <w:instrText xml:space="preserve"> HYPERLINK \l "_Toc209441854" </w:instrText>
      </w:r>
      <w:r>
        <w:fldChar w:fldCharType="separate"/>
      </w:r>
      <w:r>
        <w:rPr>
          <w:rStyle w:val="13"/>
          <w:rFonts w:hint="eastAsia" w:ascii="宋体" w:hAnsi="宋体" w:eastAsia="宋体"/>
          <w:u w:val="none"/>
        </w:rPr>
        <w:t>第二十部分</w:t>
      </w:r>
      <w:r>
        <w:rPr>
          <w:rStyle w:val="13"/>
          <w:rFonts w:ascii="宋体" w:hAnsi="宋体" w:eastAsia="宋体"/>
          <w:u w:val="none"/>
        </w:rPr>
        <w:t xml:space="preserve">  </w:t>
      </w:r>
      <w:r>
        <w:rPr>
          <w:rStyle w:val="13"/>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_Toc209441854 \h </w:instrText>
      </w:r>
      <w:r>
        <w:rPr>
          <w:rFonts w:ascii="宋体" w:hAnsi="宋体" w:eastAsia="宋体"/>
        </w:rPr>
        <w:fldChar w:fldCharType="separate"/>
      </w:r>
      <w:r>
        <w:rPr>
          <w:rFonts w:ascii="宋体" w:hAnsi="宋体" w:eastAsia="宋体"/>
        </w:rPr>
        <w:t>98</w:t>
      </w:r>
      <w:r>
        <w:rPr>
          <w:rFonts w:ascii="宋体" w:hAnsi="宋体" w:eastAsia="宋体"/>
        </w:rPr>
        <w:fldChar w:fldCharType="end"/>
      </w:r>
      <w:r>
        <w:rPr>
          <w:rFonts w:ascii="宋体" w:hAnsi="宋体" w:eastAsia="宋体"/>
        </w:rPr>
        <w:fldChar w:fldCharType="end"/>
      </w:r>
    </w:p>
    <w:p w14:paraId="0BDF45C5">
      <w:pPr>
        <w:pStyle w:val="7"/>
        <w:tabs>
          <w:tab w:val="right" w:leader="dot" w:pos="8290"/>
        </w:tabs>
        <w:spacing w:line="360" w:lineRule="auto"/>
        <w:rPr>
          <w:rFonts w:ascii="宋体" w:hAnsi="宋体" w:eastAsia="宋体"/>
        </w:rPr>
      </w:pPr>
      <w:r>
        <w:fldChar w:fldCharType="begin"/>
      </w:r>
      <w:r>
        <w:instrText xml:space="preserve"> HYPERLINK \l "_Toc209441855" </w:instrText>
      </w:r>
      <w:r>
        <w:fldChar w:fldCharType="separate"/>
      </w:r>
      <w:r>
        <w:rPr>
          <w:rStyle w:val="13"/>
          <w:rFonts w:hint="eastAsia" w:ascii="宋体" w:hAnsi="宋体" w:eastAsia="宋体"/>
          <w:u w:val="none"/>
        </w:rPr>
        <w:t>第二十一部分</w:t>
      </w:r>
      <w:r>
        <w:rPr>
          <w:rStyle w:val="13"/>
          <w:rFonts w:ascii="宋体" w:hAnsi="宋体" w:eastAsia="宋体"/>
          <w:u w:val="none"/>
        </w:rPr>
        <w:t xml:space="preserve">  </w:t>
      </w:r>
      <w:r>
        <w:rPr>
          <w:rStyle w:val="13"/>
          <w:rFonts w:hint="eastAsia" w:ascii="宋体" w:hAnsi="宋体" w:eastAsia="宋体"/>
          <w:u w:val="none"/>
        </w:rPr>
        <w:t>基金的境外托管人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_Toc209441855 \h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fldChar w:fldCharType="end"/>
      </w:r>
    </w:p>
    <w:p w14:paraId="6EBBD2A4">
      <w:pPr>
        <w:pStyle w:val="7"/>
        <w:tabs>
          <w:tab w:val="right" w:leader="dot" w:pos="8290"/>
        </w:tabs>
        <w:spacing w:line="360" w:lineRule="auto"/>
        <w:rPr>
          <w:rFonts w:ascii="宋体" w:hAnsi="宋体" w:eastAsia="宋体"/>
        </w:rPr>
      </w:pPr>
      <w:r>
        <w:fldChar w:fldCharType="begin"/>
      </w:r>
      <w:r>
        <w:instrText xml:space="preserve"> HYPERLINK \l "_Toc209441856" </w:instrText>
      </w:r>
      <w:r>
        <w:fldChar w:fldCharType="separate"/>
      </w:r>
      <w:r>
        <w:rPr>
          <w:rStyle w:val="13"/>
          <w:rFonts w:hint="eastAsia" w:ascii="宋体" w:hAnsi="宋体" w:eastAsia="宋体"/>
          <w:u w:val="none"/>
        </w:rPr>
        <w:t>第二十二部分</w:t>
      </w:r>
      <w:r>
        <w:rPr>
          <w:rStyle w:val="13"/>
          <w:rFonts w:ascii="宋体" w:hAnsi="宋体" w:eastAsia="宋体"/>
          <w:u w:val="none"/>
        </w:rPr>
        <w:t xml:space="preserve">  </w:t>
      </w:r>
      <w:r>
        <w:rPr>
          <w:rStyle w:val="13"/>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_Toc209441856 \h </w:instrText>
      </w:r>
      <w:r>
        <w:rPr>
          <w:rFonts w:ascii="宋体" w:hAnsi="宋体" w:eastAsia="宋体"/>
        </w:rPr>
        <w:fldChar w:fldCharType="separate"/>
      </w:r>
      <w:r>
        <w:rPr>
          <w:rFonts w:ascii="宋体" w:hAnsi="宋体" w:eastAsia="宋体"/>
        </w:rPr>
        <w:t>104</w:t>
      </w:r>
      <w:r>
        <w:rPr>
          <w:rFonts w:ascii="宋体" w:hAnsi="宋体" w:eastAsia="宋体"/>
        </w:rPr>
        <w:fldChar w:fldCharType="end"/>
      </w:r>
      <w:r>
        <w:rPr>
          <w:rFonts w:ascii="宋体" w:hAnsi="宋体" w:eastAsia="宋体"/>
        </w:rPr>
        <w:fldChar w:fldCharType="end"/>
      </w:r>
    </w:p>
    <w:p w14:paraId="5B4EE442">
      <w:pPr>
        <w:pStyle w:val="7"/>
        <w:tabs>
          <w:tab w:val="right" w:leader="dot" w:pos="8290"/>
        </w:tabs>
        <w:spacing w:line="360" w:lineRule="auto"/>
        <w:rPr>
          <w:rFonts w:ascii="宋体" w:hAnsi="宋体" w:eastAsia="宋体"/>
        </w:rPr>
      </w:pPr>
      <w:r>
        <w:fldChar w:fldCharType="begin"/>
      </w:r>
      <w:r>
        <w:instrText xml:space="preserve"> HYPERLINK \l "_Toc209441857" </w:instrText>
      </w:r>
      <w:r>
        <w:fldChar w:fldCharType="separate"/>
      </w:r>
      <w:r>
        <w:rPr>
          <w:rStyle w:val="13"/>
          <w:rFonts w:hint="eastAsia" w:ascii="宋体" w:hAnsi="宋体" w:eastAsia="宋体"/>
          <w:u w:val="none"/>
        </w:rPr>
        <w:t>第二十三部分</w:t>
      </w:r>
      <w:r>
        <w:rPr>
          <w:rStyle w:val="13"/>
          <w:rFonts w:ascii="宋体" w:hAnsi="宋体" w:eastAsia="宋体"/>
          <w:u w:val="none"/>
        </w:rPr>
        <w:t xml:space="preserve">  </w:t>
      </w:r>
      <w:r>
        <w:rPr>
          <w:rStyle w:val="13"/>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_Toc209441857 \h </w:instrText>
      </w:r>
      <w:r>
        <w:rPr>
          <w:rFonts w:ascii="宋体" w:hAnsi="宋体" w:eastAsia="宋体"/>
        </w:rPr>
        <w:fldChar w:fldCharType="separate"/>
      </w:r>
      <w:r>
        <w:rPr>
          <w:rFonts w:ascii="宋体" w:hAnsi="宋体" w:eastAsia="宋体"/>
        </w:rPr>
        <w:t>119</w:t>
      </w:r>
      <w:r>
        <w:rPr>
          <w:rFonts w:ascii="宋体" w:hAnsi="宋体" w:eastAsia="宋体"/>
        </w:rPr>
        <w:fldChar w:fldCharType="end"/>
      </w:r>
      <w:r>
        <w:rPr>
          <w:rFonts w:ascii="宋体" w:hAnsi="宋体" w:eastAsia="宋体"/>
        </w:rPr>
        <w:fldChar w:fldCharType="end"/>
      </w:r>
    </w:p>
    <w:p w14:paraId="21DDB1BB">
      <w:pPr>
        <w:pStyle w:val="7"/>
        <w:tabs>
          <w:tab w:val="right" w:leader="dot" w:pos="8290"/>
        </w:tabs>
        <w:spacing w:line="360" w:lineRule="auto"/>
        <w:rPr>
          <w:rFonts w:ascii="宋体" w:hAnsi="宋体" w:eastAsia="宋体"/>
        </w:rPr>
      </w:pPr>
      <w:r>
        <w:fldChar w:fldCharType="begin"/>
      </w:r>
      <w:r>
        <w:instrText xml:space="preserve"> HYPERLINK \l "_Toc209441858" </w:instrText>
      </w:r>
      <w:r>
        <w:fldChar w:fldCharType="separate"/>
      </w:r>
      <w:r>
        <w:rPr>
          <w:rStyle w:val="13"/>
          <w:rFonts w:hint="eastAsia" w:ascii="宋体" w:hAnsi="宋体" w:eastAsia="宋体"/>
          <w:u w:val="none"/>
        </w:rPr>
        <w:t>第二十四部分</w:t>
      </w:r>
      <w:r>
        <w:rPr>
          <w:rStyle w:val="13"/>
          <w:rFonts w:ascii="宋体" w:hAnsi="宋体" w:eastAsia="宋体"/>
          <w:u w:val="none"/>
        </w:rPr>
        <w:t xml:space="preserve">  </w:t>
      </w:r>
      <w:r>
        <w:rPr>
          <w:rStyle w:val="13"/>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_Toc209441858 \h </w:instrText>
      </w:r>
      <w:r>
        <w:rPr>
          <w:rFonts w:ascii="宋体" w:hAnsi="宋体" w:eastAsia="宋体"/>
        </w:rPr>
        <w:fldChar w:fldCharType="separate"/>
      </w:r>
      <w:r>
        <w:rPr>
          <w:rFonts w:ascii="宋体" w:hAnsi="宋体" w:eastAsia="宋体"/>
        </w:rPr>
        <w:t>133</w:t>
      </w:r>
      <w:r>
        <w:rPr>
          <w:rFonts w:ascii="宋体" w:hAnsi="宋体" w:eastAsia="宋体"/>
        </w:rPr>
        <w:fldChar w:fldCharType="end"/>
      </w:r>
      <w:r>
        <w:rPr>
          <w:rFonts w:ascii="宋体" w:hAnsi="宋体" w:eastAsia="宋体"/>
        </w:rPr>
        <w:fldChar w:fldCharType="end"/>
      </w:r>
    </w:p>
    <w:p w14:paraId="09BB0EB0">
      <w:pPr>
        <w:pStyle w:val="7"/>
        <w:tabs>
          <w:tab w:val="right" w:leader="dot" w:pos="8290"/>
        </w:tabs>
        <w:spacing w:line="360" w:lineRule="auto"/>
        <w:rPr>
          <w:rFonts w:ascii="宋体" w:hAnsi="宋体" w:eastAsia="宋体"/>
        </w:rPr>
      </w:pPr>
      <w:r>
        <w:fldChar w:fldCharType="begin"/>
      </w:r>
      <w:r>
        <w:instrText xml:space="preserve"> HYPERLINK \l "_Toc209441859" </w:instrText>
      </w:r>
      <w:r>
        <w:fldChar w:fldCharType="separate"/>
      </w:r>
      <w:r>
        <w:rPr>
          <w:rStyle w:val="13"/>
          <w:rFonts w:hint="eastAsia" w:ascii="宋体" w:hAnsi="宋体" w:eastAsia="宋体"/>
          <w:u w:val="none"/>
        </w:rPr>
        <w:t>第二十五部分</w:t>
      </w:r>
      <w:r>
        <w:rPr>
          <w:rStyle w:val="13"/>
          <w:rFonts w:ascii="宋体" w:hAnsi="宋体" w:eastAsia="宋体"/>
          <w:u w:val="none"/>
        </w:rPr>
        <w:t xml:space="preserve"> </w:t>
      </w:r>
      <w:r>
        <w:rPr>
          <w:rStyle w:val="13"/>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_Toc209441859 \h </w:instrText>
      </w:r>
      <w:r>
        <w:rPr>
          <w:rFonts w:ascii="宋体" w:hAnsi="宋体" w:eastAsia="宋体"/>
        </w:rPr>
        <w:fldChar w:fldCharType="separate"/>
      </w:r>
      <w:r>
        <w:rPr>
          <w:rFonts w:ascii="宋体" w:hAnsi="宋体" w:eastAsia="宋体"/>
        </w:rPr>
        <w:t>134</w:t>
      </w:r>
      <w:r>
        <w:rPr>
          <w:rFonts w:ascii="宋体" w:hAnsi="宋体" w:eastAsia="宋体"/>
        </w:rPr>
        <w:fldChar w:fldCharType="end"/>
      </w:r>
      <w:r>
        <w:rPr>
          <w:rFonts w:ascii="宋体" w:hAnsi="宋体" w:eastAsia="宋体"/>
        </w:rPr>
        <w:fldChar w:fldCharType="end"/>
      </w:r>
    </w:p>
    <w:p w14:paraId="45D3B160">
      <w:pPr>
        <w:pStyle w:val="7"/>
        <w:tabs>
          <w:tab w:val="right" w:leader="dot" w:pos="8290"/>
        </w:tabs>
        <w:spacing w:line="360" w:lineRule="auto"/>
        <w:rPr>
          <w:rFonts w:ascii="宋体" w:hAnsi="宋体" w:eastAsia="宋体"/>
        </w:rPr>
      </w:pPr>
      <w:r>
        <w:fldChar w:fldCharType="begin"/>
      </w:r>
      <w:r>
        <w:instrText xml:space="preserve"> HYPERLINK \l "_Toc209441860" </w:instrText>
      </w:r>
      <w:r>
        <w:fldChar w:fldCharType="separate"/>
      </w:r>
      <w:r>
        <w:rPr>
          <w:rStyle w:val="13"/>
          <w:rFonts w:hint="eastAsia" w:ascii="宋体" w:hAnsi="宋体" w:eastAsia="宋体"/>
          <w:u w:val="none"/>
        </w:rPr>
        <w:t>第二十六部分</w:t>
      </w:r>
      <w:r>
        <w:rPr>
          <w:rStyle w:val="13"/>
          <w:rFonts w:ascii="宋体" w:hAnsi="宋体" w:eastAsia="宋体"/>
          <w:u w:val="none"/>
        </w:rPr>
        <w:t xml:space="preserve">  </w:t>
      </w:r>
      <w:r>
        <w:rPr>
          <w:rStyle w:val="13"/>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_Toc209441860 \h </w:instrText>
      </w:r>
      <w:r>
        <w:rPr>
          <w:rFonts w:ascii="宋体" w:hAnsi="宋体" w:eastAsia="宋体"/>
        </w:rPr>
        <w:fldChar w:fldCharType="separate"/>
      </w:r>
      <w:r>
        <w:rPr>
          <w:rFonts w:ascii="宋体" w:hAnsi="宋体" w:eastAsia="宋体"/>
        </w:rPr>
        <w:t>143</w:t>
      </w:r>
      <w:r>
        <w:rPr>
          <w:rFonts w:ascii="宋体" w:hAnsi="宋体" w:eastAsia="宋体"/>
        </w:rPr>
        <w:fldChar w:fldCharType="end"/>
      </w:r>
      <w:r>
        <w:rPr>
          <w:rFonts w:ascii="宋体" w:hAnsi="宋体" w:eastAsia="宋体"/>
        </w:rPr>
        <w:fldChar w:fldCharType="end"/>
      </w:r>
    </w:p>
    <w:p w14:paraId="5BC06BBC">
      <w:pPr>
        <w:pStyle w:val="7"/>
        <w:tabs>
          <w:tab w:val="right" w:leader="dot" w:pos="8290"/>
        </w:tabs>
        <w:spacing w:line="360" w:lineRule="auto"/>
        <w:rPr>
          <w:rFonts w:ascii="宋体" w:hAnsi="宋体" w:eastAsia="宋体"/>
        </w:rPr>
      </w:pPr>
      <w:r>
        <w:fldChar w:fldCharType="begin"/>
      </w:r>
      <w:r>
        <w:instrText xml:space="preserve"> HYPERLINK \l "_Toc209441861" </w:instrText>
      </w:r>
      <w:r>
        <w:fldChar w:fldCharType="separate"/>
      </w:r>
      <w:r>
        <w:rPr>
          <w:rStyle w:val="13"/>
          <w:rFonts w:hint="eastAsia" w:ascii="宋体" w:hAnsi="宋体" w:eastAsia="宋体"/>
          <w:u w:val="none"/>
        </w:rPr>
        <w:t>第二十七部分</w:t>
      </w:r>
      <w:r>
        <w:rPr>
          <w:rStyle w:val="13"/>
          <w:rFonts w:ascii="宋体" w:hAnsi="宋体" w:eastAsia="宋体"/>
          <w:u w:val="none"/>
        </w:rPr>
        <w:t xml:space="preserve">  </w:t>
      </w:r>
      <w:r>
        <w:rPr>
          <w:rStyle w:val="13"/>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_Toc209441861 \h </w:instrText>
      </w:r>
      <w:r>
        <w:rPr>
          <w:rFonts w:ascii="宋体" w:hAnsi="宋体" w:eastAsia="宋体"/>
        </w:rPr>
        <w:fldChar w:fldCharType="separate"/>
      </w:r>
      <w:r>
        <w:rPr>
          <w:rFonts w:ascii="宋体" w:hAnsi="宋体" w:eastAsia="宋体"/>
        </w:rPr>
        <w:t>144</w:t>
      </w:r>
      <w:r>
        <w:rPr>
          <w:rFonts w:ascii="宋体" w:hAnsi="宋体" w:eastAsia="宋体"/>
        </w:rPr>
        <w:fldChar w:fldCharType="end"/>
      </w:r>
      <w:r>
        <w:rPr>
          <w:rFonts w:ascii="宋体" w:hAnsi="宋体" w:eastAsia="宋体"/>
        </w:rPr>
        <w:fldChar w:fldCharType="end"/>
      </w:r>
    </w:p>
    <w:p w14:paraId="64683BFE">
      <w:pPr>
        <w:widowControl/>
        <w:spacing w:line="360" w:lineRule="auto"/>
        <w:rPr>
          <w:rFonts w:ascii="宋体" w:hAnsi="宋体" w:eastAsia="宋体"/>
          <w:b/>
          <w:sz w:val="28"/>
        </w:rPr>
      </w:pPr>
      <w:r>
        <w:rPr>
          <w:rFonts w:ascii="宋体" w:hAnsi="宋体" w:eastAsia="宋体"/>
        </w:rPr>
        <w:fldChar w:fldCharType="end"/>
      </w:r>
    </w:p>
    <w:p w14:paraId="7E635291">
      <w:pPr>
        <w:pStyle w:val="2"/>
        <w:jc w:val="center"/>
        <w:rPr>
          <w:rFonts w:ascii="宋体" w:hAnsi="宋体" w:eastAsia="宋体"/>
          <w:sz w:val="30"/>
        </w:rPr>
      </w:pPr>
      <w:bookmarkStart w:id="5" w:name="_Toc209441835"/>
      <w:bookmarkStart w:id="6" w:name="chapter_level1_3_2344"/>
      <w:r>
        <w:rPr>
          <w:rFonts w:hint="eastAsia" w:ascii="宋体" w:hAnsi="宋体" w:eastAsia="宋体"/>
          <w:sz w:val="30"/>
        </w:rPr>
        <w:t>第一部分  绪言</w:t>
      </w:r>
      <w:bookmarkEnd w:id="5"/>
      <w:bookmarkEnd w:id="6"/>
    </w:p>
    <w:p w14:paraId="7241593C">
      <w:pPr>
        <w:pStyle w:val="8"/>
        <w:spacing w:before="0" w:beforeAutospacing="0" w:after="0" w:afterAutospacing="0" w:line="360" w:lineRule="auto"/>
        <w:ind w:firstLine="420"/>
        <w:rPr>
          <w:sz w:val="21"/>
          <w:szCs w:val="21"/>
        </w:rPr>
      </w:pPr>
      <w:bookmarkStart w:id="7" w:name="chapter_level1_3_2344_section_1"/>
      <w:bookmarkEnd w:id="7"/>
      <w:r>
        <w:rPr>
          <w:rFonts w:hint="eastAsia"/>
          <w:sz w:val="21"/>
          <w:szCs w:val="21"/>
        </w:rPr>
        <w:t>《</w:t>
      </w:r>
      <w:bookmarkStart w:id="8" w:name="field_0_productfullname_3"/>
      <w:r>
        <w:rPr>
          <w:rFonts w:hint="eastAsia"/>
          <w:sz w:val="21"/>
          <w:szCs w:val="21"/>
        </w:rPr>
        <w:t>博时标普</w:t>
      </w:r>
      <w:r>
        <w:rPr>
          <w:sz w:val="21"/>
          <w:szCs w:val="21"/>
        </w:rPr>
        <w:t>500交易型开放式指数证券投资基</w:t>
      </w:r>
      <w:bookmarkStart w:id="221" w:name="_GoBack"/>
      <w:bookmarkEnd w:id="221"/>
      <w:r>
        <w:rPr>
          <w:sz w:val="21"/>
          <w:szCs w:val="21"/>
        </w:rPr>
        <w:t>金</w:t>
      </w:r>
      <w:bookmarkEnd w:id="8"/>
      <w:r>
        <w:rPr>
          <w:rFonts w:hint="eastAsia"/>
          <w:sz w:val="21"/>
          <w:szCs w:val="21"/>
        </w:rPr>
        <w:t>招募说明书》（以下简称“招募说明书”或“本招募说明书”）依照《中华人民共和国证券投资基金法》（以下简称“《基金法》”）、《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以及《</w:t>
      </w:r>
      <w:bookmarkStart w:id="9" w:name="field_0_productfullname_4"/>
      <w:r>
        <w:rPr>
          <w:rFonts w:hint="eastAsia"/>
          <w:sz w:val="21"/>
          <w:szCs w:val="21"/>
        </w:rPr>
        <w:t>博时标普</w:t>
      </w:r>
      <w:r>
        <w:rPr>
          <w:sz w:val="21"/>
          <w:szCs w:val="21"/>
        </w:rPr>
        <w:t>500交易型开放式指数证券投资基金</w:t>
      </w:r>
      <w:bookmarkEnd w:id="9"/>
      <w:r>
        <w:rPr>
          <w:rFonts w:hint="eastAsia"/>
          <w:sz w:val="21"/>
          <w:szCs w:val="21"/>
        </w:rPr>
        <w:t xml:space="preserve">基金合同》（以下简称“基金合同”）编写。  </w:t>
      </w:r>
    </w:p>
    <w:p w14:paraId="4651719A">
      <w:pPr>
        <w:pStyle w:val="8"/>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1E68B0EE">
      <w:pPr>
        <w:pStyle w:val="8"/>
        <w:spacing w:before="0" w:beforeAutospacing="0" w:after="0" w:afterAutospacing="0" w:line="360" w:lineRule="auto"/>
        <w:ind w:firstLine="420"/>
        <w:rPr>
          <w:sz w:val="21"/>
          <w:szCs w:val="21"/>
        </w:rPr>
      </w:pPr>
      <w:bookmarkStart w:id="10" w:name="field_0_productfullname_5"/>
      <w:r>
        <w:rPr>
          <w:rFonts w:hint="eastAsia"/>
          <w:sz w:val="21"/>
          <w:szCs w:val="21"/>
        </w:rPr>
        <w:t>博时标普</w:t>
      </w:r>
      <w:r>
        <w:rPr>
          <w:sz w:val="21"/>
          <w:szCs w:val="21"/>
        </w:rPr>
        <w:t>500交易型开放式指数证券投资基金</w:t>
      </w:r>
      <w:bookmarkEnd w:id="10"/>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5D7B11B9">
      <w:pPr>
        <w:pStyle w:val="8"/>
        <w:spacing w:before="0" w:beforeAutospacing="0" w:after="0" w:afterAutospacing="0" w:line="360" w:lineRule="auto"/>
        <w:ind w:firstLine="420"/>
        <w:rPr>
          <w:sz w:val="21"/>
          <w:szCs w:val="21"/>
        </w:rPr>
      </w:pPr>
      <w:r>
        <w:rPr>
          <w:rFonts w:hint="eastAsia"/>
          <w:sz w:val="21"/>
          <w:szCs w:val="21"/>
        </w:rPr>
        <w:t xml:space="preserve">本招募说明书根据本基金的基金合同编写，并经中国证券监督管理委员会（以下简称“中国证监会”）核准。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 </w:t>
      </w:r>
    </w:p>
    <w:p w14:paraId="39DD6AF0">
      <w:pPr>
        <w:pStyle w:val="8"/>
        <w:spacing w:before="0" w:beforeAutospacing="0" w:after="0" w:afterAutospacing="0" w:line="360" w:lineRule="auto"/>
        <w:ind w:firstLine="420"/>
        <w:rPr>
          <w:sz w:val="21"/>
          <w:szCs w:val="21"/>
        </w:rPr>
      </w:pPr>
      <w:r>
        <w:rPr>
          <w:rFonts w:hint="eastAsia"/>
          <w:sz w:val="21"/>
          <w:szCs w:val="21"/>
        </w:rPr>
        <w:t xml:space="preserve">投资有风险，投资人认购（或申购）基金时应认真阅读本招募说明书。 </w:t>
      </w:r>
    </w:p>
    <w:p w14:paraId="4A6E82FE">
      <w:pPr>
        <w:pStyle w:val="8"/>
        <w:spacing w:before="0" w:beforeAutospacing="0" w:after="0" w:afterAutospacing="0" w:line="360" w:lineRule="auto"/>
        <w:ind w:firstLine="420"/>
        <w:rPr>
          <w:sz w:val="21"/>
          <w:szCs w:val="21"/>
        </w:rPr>
      </w:pPr>
      <w:r>
        <w:rPr>
          <w:rFonts w:hint="eastAsia"/>
          <w:sz w:val="21"/>
          <w:szCs w:val="21"/>
        </w:rPr>
        <w:t xml:space="preserve">基金的过往业绩并不预示其未来表现。基金管理人管理的其他基金的业绩并不构成新基金业绩表现的保证。 </w:t>
      </w:r>
    </w:p>
    <w:p w14:paraId="6C7E8D22">
      <w:pPr>
        <w:pStyle w:val="8"/>
        <w:spacing w:before="0" w:beforeAutospacing="0" w:after="0" w:afterAutospacing="0" w:line="360" w:lineRule="auto"/>
        <w:ind w:firstLine="420"/>
        <w:rPr>
          <w:sz w:val="21"/>
          <w:szCs w:val="21"/>
        </w:rPr>
      </w:pPr>
      <w:r>
        <w:rPr>
          <w:rFonts w:hint="eastAsia"/>
          <w:sz w:val="21"/>
          <w:szCs w:val="21"/>
        </w:rPr>
        <w:t>基金管理人依照恪尽职守、诚实信用、谨慎勤勉的原则管理和运用基金财产，但不保证</w:t>
      </w:r>
      <w:bookmarkStart w:id="11" w:name="chapter_level1_3_2344_section_1_end"/>
      <w:bookmarkEnd w:id="11"/>
      <w:r>
        <w:rPr>
          <w:rFonts w:hint="eastAsia"/>
          <w:sz w:val="21"/>
          <w:szCs w:val="21"/>
        </w:rPr>
        <w:t xml:space="preserve">基金一定盈利，也不保证最低收益。 </w:t>
      </w:r>
    </w:p>
    <w:p w14:paraId="6F0679C5">
      <w:pPr>
        <w:widowControl/>
        <w:jc w:val="left"/>
        <w:rPr>
          <w:rFonts w:ascii="宋体" w:hAnsi="宋体" w:eastAsia="宋体"/>
        </w:rPr>
      </w:pPr>
      <w:r>
        <w:rPr>
          <w:rFonts w:ascii="宋体" w:hAnsi="宋体" w:eastAsia="宋体"/>
        </w:rPr>
        <w:br w:type="page"/>
      </w:r>
    </w:p>
    <w:p w14:paraId="163EBE51">
      <w:pPr>
        <w:pStyle w:val="2"/>
        <w:jc w:val="center"/>
        <w:rPr>
          <w:rFonts w:ascii="宋体" w:hAnsi="宋体" w:eastAsia="宋体"/>
          <w:sz w:val="30"/>
        </w:rPr>
      </w:pPr>
      <w:bookmarkStart w:id="12" w:name="chapter_level1_4_49"/>
      <w:bookmarkStart w:id="13" w:name="_Toc209441836"/>
      <w:r>
        <w:rPr>
          <w:rFonts w:hint="eastAsia" w:ascii="宋体" w:hAnsi="宋体" w:eastAsia="宋体"/>
          <w:sz w:val="30"/>
        </w:rPr>
        <w:t>第二部分  释义</w:t>
      </w:r>
      <w:bookmarkEnd w:id="12"/>
      <w:bookmarkEnd w:id="13"/>
    </w:p>
    <w:p w14:paraId="34AFBC68">
      <w:pPr>
        <w:pStyle w:val="8"/>
        <w:spacing w:before="0" w:beforeAutospacing="0" w:after="0" w:afterAutospacing="0" w:line="360" w:lineRule="auto"/>
        <w:ind w:firstLine="420"/>
        <w:rPr>
          <w:sz w:val="21"/>
          <w:szCs w:val="21"/>
        </w:rPr>
      </w:pPr>
      <w:bookmarkStart w:id="14" w:name="chapter_level1_4_49_section_1"/>
      <w:bookmarkEnd w:id="14"/>
      <w:r>
        <w:rPr>
          <w:rFonts w:hint="eastAsia"/>
          <w:sz w:val="21"/>
          <w:szCs w:val="21"/>
        </w:rPr>
        <w:t xml:space="preserve">在本招募说明书中，除非文义另有所指，下列词语或简称具有以下含义：  </w:t>
      </w:r>
    </w:p>
    <w:p w14:paraId="14B0088A">
      <w:pPr>
        <w:pStyle w:val="8"/>
        <w:spacing w:before="0" w:beforeAutospacing="0" w:after="0" w:afterAutospacing="0" w:line="360" w:lineRule="auto"/>
        <w:ind w:firstLine="420"/>
        <w:rPr>
          <w:sz w:val="21"/>
          <w:szCs w:val="21"/>
        </w:rPr>
      </w:pPr>
      <w:r>
        <w:rPr>
          <w:rFonts w:hint="eastAsia"/>
          <w:sz w:val="21"/>
          <w:szCs w:val="21"/>
        </w:rPr>
        <w:t>基金合同：指《</w:t>
      </w:r>
      <w:bookmarkStart w:id="15" w:name="field_0_productfullname_6"/>
      <w:r>
        <w:rPr>
          <w:rFonts w:hint="eastAsia"/>
          <w:sz w:val="21"/>
          <w:szCs w:val="21"/>
        </w:rPr>
        <w:t>博时标普</w:t>
      </w:r>
      <w:r>
        <w:rPr>
          <w:sz w:val="21"/>
          <w:szCs w:val="21"/>
        </w:rPr>
        <w:t>500交易型开放式指数证券投资基金</w:t>
      </w:r>
      <w:bookmarkEnd w:id="15"/>
      <w:r>
        <w:rPr>
          <w:rFonts w:hint="eastAsia"/>
          <w:sz w:val="21"/>
          <w:szCs w:val="21"/>
        </w:rPr>
        <w:t xml:space="preserve">基金合同》及对基金合同的任何有效的修订和补充 </w:t>
      </w:r>
    </w:p>
    <w:p w14:paraId="62BFED3C">
      <w:pPr>
        <w:pStyle w:val="8"/>
        <w:spacing w:before="0" w:beforeAutospacing="0" w:after="0" w:afterAutospacing="0" w:line="360" w:lineRule="auto"/>
        <w:ind w:firstLine="420"/>
        <w:rPr>
          <w:sz w:val="21"/>
          <w:szCs w:val="21"/>
        </w:rPr>
      </w:pPr>
      <w:r>
        <w:rPr>
          <w:rFonts w:hint="eastAsia"/>
          <w:sz w:val="21"/>
          <w:szCs w:val="21"/>
        </w:rPr>
        <w:t xml:space="preserve">中国：指中华人民共和国(仅为基金合同目的不包括香港特别行政区、澳门特别行政区及台湾地区) </w:t>
      </w:r>
    </w:p>
    <w:p w14:paraId="4D3059BA">
      <w:pPr>
        <w:pStyle w:val="8"/>
        <w:spacing w:before="0" w:beforeAutospacing="0" w:after="0" w:afterAutospacing="0" w:line="360" w:lineRule="auto"/>
        <w:ind w:firstLine="420"/>
        <w:rPr>
          <w:sz w:val="21"/>
          <w:szCs w:val="21"/>
        </w:rPr>
      </w:pPr>
      <w:r>
        <w:rPr>
          <w:rFonts w:hint="eastAsia"/>
          <w:sz w:val="21"/>
          <w:szCs w:val="21"/>
        </w:rPr>
        <w:t xml:space="preserve">法律法规：指中国现时有效并公布实施的法律、行政法规、部门规章及规范性文件、司法解释、行政规章以及其他对基金合同当事人有约束力的决定、决议、通知等 </w:t>
      </w:r>
    </w:p>
    <w:p w14:paraId="3B476283">
      <w:pPr>
        <w:pStyle w:val="8"/>
        <w:spacing w:before="0" w:beforeAutospacing="0" w:after="0" w:afterAutospacing="0" w:line="360" w:lineRule="auto"/>
        <w:ind w:firstLine="420"/>
        <w:rPr>
          <w:sz w:val="21"/>
          <w:szCs w:val="21"/>
        </w:rPr>
      </w:pPr>
      <w:r>
        <w:rPr>
          <w:rFonts w:hint="eastAsia"/>
          <w:sz w:val="21"/>
          <w:szCs w:val="21"/>
        </w:rPr>
        <w:t xml:space="preserve">《基金法》：指2003年10月28日经第十届全国人民代表大会常务委员会第五次会议通过，自2004年6月1日起实施的《中华人民共和国证券投资基金法》及颁布机关对其不时做出的修订 </w:t>
      </w:r>
    </w:p>
    <w:p w14:paraId="3F32BEFD">
      <w:pPr>
        <w:pStyle w:val="8"/>
        <w:spacing w:before="0" w:beforeAutospacing="0" w:after="0" w:afterAutospacing="0" w:line="360" w:lineRule="auto"/>
        <w:ind w:firstLine="420"/>
        <w:rPr>
          <w:sz w:val="21"/>
          <w:szCs w:val="21"/>
        </w:rPr>
      </w:pPr>
      <w:r>
        <w:rPr>
          <w:rFonts w:hint="eastAsia"/>
          <w:sz w:val="21"/>
          <w:szCs w:val="21"/>
        </w:rPr>
        <w:t xml:space="preserve">《销售办法》：指中国证监会2011年6月9日颁布、同年10月1日实施的《证券投资基金销售管理办法》及颁布机关对其不时做出的修订 </w:t>
      </w:r>
    </w:p>
    <w:p w14:paraId="6214CAE8">
      <w:pPr>
        <w:pStyle w:val="8"/>
        <w:spacing w:before="0" w:beforeAutospacing="0" w:after="0" w:afterAutospacing="0" w:line="360" w:lineRule="auto"/>
        <w:ind w:firstLine="420"/>
        <w:rPr>
          <w:sz w:val="21"/>
          <w:szCs w:val="21"/>
        </w:rPr>
      </w:pPr>
      <w:r>
        <w:rPr>
          <w:rFonts w:hint="eastAsia"/>
          <w:sz w:val="21"/>
          <w:szCs w:val="21"/>
        </w:rPr>
        <w:t xml:space="preserve">《运作办法》：指中国证监会2004年6月29日颁布、同年7月1日实施的《证券投资基金运作管理办法》及颁布机关对其不时做出的修订 </w:t>
      </w:r>
    </w:p>
    <w:p w14:paraId="029F5E4E">
      <w:pPr>
        <w:pStyle w:val="8"/>
        <w:spacing w:before="0" w:beforeAutospacing="0" w:after="0" w:afterAutospacing="0" w:line="360" w:lineRule="auto"/>
        <w:ind w:firstLine="420"/>
        <w:rPr>
          <w:sz w:val="21"/>
          <w:szCs w:val="21"/>
        </w:rPr>
      </w:pPr>
      <w:r>
        <w:rPr>
          <w:rFonts w:hint="eastAsia"/>
          <w:sz w:val="21"/>
          <w:szCs w:val="21"/>
        </w:rPr>
        <w:t xml:space="preserve">《信息披露办法》：指中国证监会2019年7月26日颁布、同年9月1日实施的《公开募集证券投资基金信息披露管理办法》及颁布机关对其不时做出的修订 </w:t>
      </w:r>
    </w:p>
    <w:p w14:paraId="37CD3953">
      <w:pPr>
        <w:pStyle w:val="8"/>
        <w:spacing w:before="0" w:beforeAutospacing="0" w:after="0" w:afterAutospacing="0" w:line="360" w:lineRule="auto"/>
        <w:ind w:firstLine="420"/>
        <w:rPr>
          <w:sz w:val="21"/>
          <w:szCs w:val="21"/>
        </w:rPr>
      </w:pPr>
      <w:r>
        <w:rPr>
          <w:rFonts w:hint="eastAsia"/>
          <w:sz w:val="21"/>
          <w:szCs w:val="21"/>
        </w:rPr>
        <w:t xml:space="preserve">交易型开放式指数证券投资基金：指《上海证券交易所交易型开放式指数基金业务实施细则》定义的“交易型开放式指数基金”，以下或简称“ETF” </w:t>
      </w:r>
    </w:p>
    <w:p w14:paraId="51E12C22">
      <w:pPr>
        <w:pStyle w:val="8"/>
        <w:spacing w:before="0" w:beforeAutospacing="0" w:after="0" w:afterAutospacing="0" w:line="360" w:lineRule="auto"/>
        <w:ind w:firstLine="420"/>
        <w:rPr>
          <w:sz w:val="21"/>
          <w:szCs w:val="21"/>
        </w:rPr>
      </w:pPr>
      <w:r>
        <w:rPr>
          <w:rFonts w:hint="eastAsia"/>
          <w:sz w:val="21"/>
          <w:szCs w:val="21"/>
        </w:rPr>
        <w:t xml:space="preserve">联接基金：指将其绝大部分基金财产投资于跟踪同一标的指数的ETF，紧密跟踪标的指数表现，追求跟踪偏离度和跟踪误差最小化，采用开放式运作方式的基金 </w:t>
      </w:r>
    </w:p>
    <w:p w14:paraId="42AE1285">
      <w:pPr>
        <w:pStyle w:val="8"/>
        <w:spacing w:before="0" w:beforeAutospacing="0" w:after="0" w:afterAutospacing="0" w:line="360" w:lineRule="auto"/>
        <w:ind w:firstLine="420"/>
        <w:rPr>
          <w:sz w:val="21"/>
          <w:szCs w:val="21"/>
        </w:rPr>
      </w:pPr>
      <w:r>
        <w:rPr>
          <w:rFonts w:hint="eastAsia"/>
          <w:sz w:val="21"/>
          <w:szCs w:val="21"/>
        </w:rPr>
        <w:t xml:space="preserve">《试行办法》：指中国证监会2007年6月18日颁布、同年7月5日实施的《合格境内机构投资者境外证券投资管理试行办法》及颁布机关对其不时做出的修订 </w:t>
      </w:r>
    </w:p>
    <w:p w14:paraId="067BCD9D">
      <w:pPr>
        <w:pStyle w:val="8"/>
        <w:spacing w:before="0" w:beforeAutospacing="0" w:after="0" w:afterAutospacing="0" w:line="360" w:lineRule="auto"/>
        <w:ind w:firstLine="420"/>
        <w:rPr>
          <w:sz w:val="21"/>
          <w:szCs w:val="21"/>
        </w:rPr>
      </w:pPr>
      <w:r>
        <w:rPr>
          <w:rFonts w:hint="eastAsia"/>
          <w:sz w:val="21"/>
          <w:szCs w:val="21"/>
        </w:rPr>
        <w:t xml:space="preserve">《通知》：指中国证监会2007年6月18日公布的《关于实施&lt;合格境内机构投资者境外证券投资管理试行办法&gt;有关问题的通知》 </w:t>
      </w:r>
    </w:p>
    <w:p w14:paraId="65B7F72C">
      <w:pPr>
        <w:pStyle w:val="8"/>
        <w:spacing w:before="0" w:beforeAutospacing="0" w:after="0" w:afterAutospacing="0" w:line="360" w:lineRule="auto"/>
        <w:ind w:firstLine="420"/>
        <w:rPr>
          <w:sz w:val="21"/>
          <w:szCs w:val="21"/>
        </w:rPr>
      </w:pPr>
      <w:r>
        <w:rPr>
          <w:rFonts w:hint="eastAsia"/>
          <w:sz w:val="21"/>
          <w:szCs w:val="21"/>
        </w:rPr>
        <w:t>基金产品资料概要：指《</w:t>
      </w:r>
      <w:bookmarkStart w:id="16" w:name="field_0_productfullname_7"/>
      <w:r>
        <w:rPr>
          <w:rFonts w:hint="eastAsia"/>
          <w:sz w:val="21"/>
          <w:szCs w:val="21"/>
        </w:rPr>
        <w:t>博时标普</w:t>
      </w:r>
      <w:r>
        <w:rPr>
          <w:sz w:val="21"/>
          <w:szCs w:val="21"/>
        </w:rPr>
        <w:t>500交易型开放式指数证券投资基金</w:t>
      </w:r>
      <w:bookmarkEnd w:id="16"/>
      <w:r>
        <w:rPr>
          <w:rFonts w:hint="eastAsia"/>
          <w:sz w:val="21"/>
          <w:szCs w:val="21"/>
        </w:rPr>
        <w:t xml:space="preserve">基金产品资料概要》及其更新 </w:t>
      </w:r>
    </w:p>
    <w:p w14:paraId="5C80DC6D">
      <w:pPr>
        <w:pStyle w:val="8"/>
        <w:spacing w:before="0" w:beforeAutospacing="0" w:after="0" w:afterAutospacing="0" w:line="360" w:lineRule="auto"/>
        <w:ind w:firstLine="420"/>
        <w:rPr>
          <w:sz w:val="21"/>
          <w:szCs w:val="21"/>
        </w:rPr>
      </w:pPr>
      <w:r>
        <w:rPr>
          <w:rFonts w:hint="eastAsia"/>
          <w:sz w:val="21"/>
          <w:szCs w:val="21"/>
        </w:rPr>
        <w:t xml:space="preserve">《流动性风险管理规定》指中国证监会2017年8月31日颁布、同年10月1日实施的《公开募集开放式证券投资基金流动性风险管理规定》及颁布机关对其不时做出的修订 </w:t>
      </w:r>
    </w:p>
    <w:p w14:paraId="2169AF20">
      <w:pPr>
        <w:pStyle w:val="8"/>
        <w:spacing w:before="0" w:beforeAutospacing="0" w:after="0" w:afterAutospacing="0" w:line="360" w:lineRule="auto"/>
        <w:ind w:firstLine="420"/>
        <w:rPr>
          <w:sz w:val="21"/>
          <w:szCs w:val="21"/>
        </w:rPr>
      </w:pPr>
      <w:r>
        <w:rPr>
          <w:rFonts w:hint="eastAsia"/>
          <w:sz w:val="21"/>
          <w:szCs w:val="21"/>
        </w:rPr>
        <w:t xml:space="preserve">《指数基金指引》：指中国证监会2021年1月22日颁布、同年2月1日实施的《公开募集证券投资基金运作指引第3号——指数基金指引》及颁布机关对其不时做出的修订 </w:t>
      </w:r>
    </w:p>
    <w:p w14:paraId="159CB4DF">
      <w:pPr>
        <w:pStyle w:val="8"/>
        <w:spacing w:before="0" w:beforeAutospacing="0" w:after="0" w:afterAutospacing="0" w:line="360" w:lineRule="auto"/>
        <w:ind w:firstLine="420"/>
        <w:rPr>
          <w:sz w:val="21"/>
          <w:szCs w:val="21"/>
        </w:rPr>
      </w:pPr>
      <w:r>
        <w:rPr>
          <w:rFonts w:hint="eastAsia"/>
          <w:sz w:val="21"/>
          <w:szCs w:val="21"/>
        </w:rPr>
        <w:t xml:space="preserve">元：指中国法定货币人民币元 </w:t>
      </w:r>
    </w:p>
    <w:p w14:paraId="313EBF30">
      <w:pPr>
        <w:pStyle w:val="8"/>
        <w:spacing w:before="0" w:beforeAutospacing="0" w:after="0" w:afterAutospacing="0" w:line="360" w:lineRule="auto"/>
        <w:ind w:firstLine="420"/>
        <w:rPr>
          <w:sz w:val="21"/>
          <w:szCs w:val="21"/>
        </w:rPr>
      </w:pPr>
      <w:r>
        <w:rPr>
          <w:rFonts w:hint="eastAsia"/>
          <w:sz w:val="21"/>
          <w:szCs w:val="21"/>
        </w:rPr>
        <w:t>基金或本基金：指依据基金合同所募集的</w:t>
      </w:r>
      <w:bookmarkStart w:id="17" w:name="field_0_productfullname_8"/>
      <w:r>
        <w:rPr>
          <w:rFonts w:hint="eastAsia"/>
          <w:sz w:val="21"/>
          <w:szCs w:val="21"/>
        </w:rPr>
        <w:t>博时标普</w:t>
      </w:r>
      <w:r>
        <w:rPr>
          <w:sz w:val="21"/>
          <w:szCs w:val="21"/>
        </w:rPr>
        <w:t>500交易型开放式指数证券投资基金</w:t>
      </w:r>
      <w:bookmarkEnd w:id="17"/>
      <w:r>
        <w:rPr>
          <w:rFonts w:hint="eastAsia"/>
          <w:sz w:val="21"/>
          <w:szCs w:val="21"/>
        </w:rPr>
        <w:t xml:space="preserve">  </w:t>
      </w:r>
    </w:p>
    <w:p w14:paraId="6EE51EA1">
      <w:pPr>
        <w:pStyle w:val="8"/>
        <w:spacing w:before="0" w:beforeAutospacing="0" w:after="0" w:afterAutospacing="0" w:line="360" w:lineRule="auto"/>
        <w:ind w:firstLine="420"/>
        <w:rPr>
          <w:sz w:val="21"/>
          <w:szCs w:val="21"/>
        </w:rPr>
      </w:pPr>
      <w:r>
        <w:rPr>
          <w:rFonts w:hint="eastAsia"/>
          <w:sz w:val="21"/>
          <w:szCs w:val="21"/>
        </w:rPr>
        <w:t>招募说明书：指《</w:t>
      </w:r>
      <w:bookmarkStart w:id="18" w:name="field_0_productfullname_9"/>
      <w:r>
        <w:rPr>
          <w:rFonts w:hint="eastAsia"/>
          <w:sz w:val="21"/>
          <w:szCs w:val="21"/>
        </w:rPr>
        <w:t>博时标普</w:t>
      </w:r>
      <w:r>
        <w:rPr>
          <w:sz w:val="21"/>
          <w:szCs w:val="21"/>
        </w:rPr>
        <w:t>500交易型开放式指数证券投资基金</w:t>
      </w:r>
      <w:bookmarkEnd w:id="18"/>
      <w:r>
        <w:rPr>
          <w:rFonts w:hint="eastAsia"/>
          <w:sz w:val="21"/>
          <w:szCs w:val="21"/>
        </w:rPr>
        <w:t xml:space="preserve">招募说明书》及其更新 </w:t>
      </w:r>
    </w:p>
    <w:p w14:paraId="060274F3">
      <w:pPr>
        <w:pStyle w:val="8"/>
        <w:spacing w:before="0" w:beforeAutospacing="0" w:after="0" w:afterAutospacing="0" w:line="360" w:lineRule="auto"/>
        <w:ind w:firstLine="420"/>
        <w:rPr>
          <w:sz w:val="21"/>
          <w:szCs w:val="21"/>
        </w:rPr>
      </w:pPr>
      <w:r>
        <w:rPr>
          <w:rFonts w:hint="eastAsia"/>
          <w:sz w:val="21"/>
          <w:szCs w:val="21"/>
        </w:rPr>
        <w:t>托管协议：指基金管理人与基金托管人就本基金签订之《</w:t>
      </w:r>
      <w:bookmarkStart w:id="19" w:name="field_0_productfullname_10"/>
      <w:r>
        <w:rPr>
          <w:rFonts w:hint="eastAsia"/>
          <w:sz w:val="21"/>
          <w:szCs w:val="21"/>
        </w:rPr>
        <w:t>博时标普</w:t>
      </w:r>
      <w:r>
        <w:rPr>
          <w:sz w:val="21"/>
          <w:szCs w:val="21"/>
        </w:rPr>
        <w:t>500交易型开放式指数证券投资基金</w:t>
      </w:r>
      <w:bookmarkEnd w:id="19"/>
      <w:r>
        <w:rPr>
          <w:rFonts w:hint="eastAsia"/>
          <w:sz w:val="21"/>
          <w:szCs w:val="21"/>
        </w:rPr>
        <w:t xml:space="preserve">托管协议》及对该托管协议的任何有效修订和补充 </w:t>
      </w:r>
    </w:p>
    <w:p w14:paraId="36CF5A8B">
      <w:pPr>
        <w:pStyle w:val="8"/>
        <w:spacing w:before="0" w:beforeAutospacing="0" w:after="0" w:afterAutospacing="0" w:line="360" w:lineRule="auto"/>
        <w:ind w:firstLine="420"/>
        <w:rPr>
          <w:sz w:val="21"/>
          <w:szCs w:val="21"/>
        </w:rPr>
      </w:pPr>
      <w:r>
        <w:rPr>
          <w:rFonts w:hint="eastAsia"/>
          <w:sz w:val="21"/>
          <w:szCs w:val="21"/>
        </w:rPr>
        <w:t>基金份额发售公告：指《</w:t>
      </w:r>
      <w:bookmarkStart w:id="20" w:name="field_0_productfullname_11"/>
      <w:r>
        <w:rPr>
          <w:rFonts w:hint="eastAsia"/>
          <w:sz w:val="21"/>
          <w:szCs w:val="21"/>
        </w:rPr>
        <w:t>博时标普</w:t>
      </w:r>
      <w:r>
        <w:rPr>
          <w:sz w:val="21"/>
          <w:szCs w:val="21"/>
        </w:rPr>
        <w:t>500交易型开放式指数证券投资基金</w:t>
      </w:r>
      <w:bookmarkEnd w:id="20"/>
      <w:r>
        <w:rPr>
          <w:rFonts w:hint="eastAsia"/>
          <w:sz w:val="21"/>
          <w:szCs w:val="21"/>
        </w:rPr>
        <w:t xml:space="preserve">基金份额发售公告》 </w:t>
      </w:r>
    </w:p>
    <w:p w14:paraId="60498AEB">
      <w:pPr>
        <w:pStyle w:val="8"/>
        <w:spacing w:before="0" w:beforeAutospacing="0" w:after="0" w:afterAutospacing="0" w:line="360" w:lineRule="auto"/>
        <w:ind w:firstLine="420"/>
        <w:rPr>
          <w:sz w:val="21"/>
          <w:szCs w:val="21"/>
        </w:rPr>
      </w:pPr>
      <w:r>
        <w:rPr>
          <w:rFonts w:hint="eastAsia"/>
          <w:sz w:val="21"/>
          <w:szCs w:val="21"/>
        </w:rPr>
        <w:t xml:space="preserve">《业务规则》：指上海证券交易所发布实施的《上海证券交易所交易型开放式指数基金业务实施细则》、中国证券登记结算有限责任公司发布实施的《中国证券登记结算有限责任公司关于交易所交易型开放式证券投资基金登记结算业务实施细则》及其不时修订及中国证券登记结算有限责任公司、上海证券交易所发布的其他相关规则和规定 </w:t>
      </w:r>
    </w:p>
    <w:p w14:paraId="25C8D8E8">
      <w:pPr>
        <w:pStyle w:val="8"/>
        <w:spacing w:before="0" w:beforeAutospacing="0" w:after="0" w:afterAutospacing="0" w:line="360" w:lineRule="auto"/>
        <w:ind w:firstLine="420"/>
        <w:rPr>
          <w:sz w:val="21"/>
          <w:szCs w:val="21"/>
        </w:rPr>
      </w:pPr>
      <w:r>
        <w:rPr>
          <w:rFonts w:hint="eastAsia"/>
          <w:sz w:val="21"/>
          <w:szCs w:val="21"/>
        </w:rPr>
        <w:t xml:space="preserve">中国证监会：指中国证券监督管理委员会 </w:t>
      </w:r>
    </w:p>
    <w:p w14:paraId="0E63BCBC">
      <w:pPr>
        <w:pStyle w:val="8"/>
        <w:spacing w:before="0" w:beforeAutospacing="0" w:after="0" w:afterAutospacing="0" w:line="360" w:lineRule="auto"/>
        <w:ind w:firstLine="420"/>
        <w:rPr>
          <w:sz w:val="21"/>
          <w:szCs w:val="21"/>
        </w:rPr>
      </w:pPr>
      <w:r>
        <w:rPr>
          <w:rFonts w:hint="eastAsia"/>
          <w:sz w:val="21"/>
          <w:szCs w:val="21"/>
        </w:rPr>
        <w:t xml:space="preserve">银行监管机构：指中国银行业监督管理委员会 </w:t>
      </w:r>
    </w:p>
    <w:p w14:paraId="0A059E49">
      <w:pPr>
        <w:pStyle w:val="8"/>
        <w:spacing w:before="0" w:beforeAutospacing="0" w:after="0" w:afterAutospacing="0" w:line="360" w:lineRule="auto"/>
        <w:ind w:firstLine="420"/>
        <w:rPr>
          <w:sz w:val="21"/>
          <w:szCs w:val="21"/>
        </w:rPr>
      </w:pPr>
      <w:r>
        <w:rPr>
          <w:rFonts w:hint="eastAsia"/>
          <w:sz w:val="21"/>
          <w:szCs w:val="21"/>
        </w:rPr>
        <w:t xml:space="preserve">外管局：指国家外汇管理局或其授权的派出机构 </w:t>
      </w:r>
    </w:p>
    <w:p w14:paraId="490E9A9B">
      <w:pPr>
        <w:pStyle w:val="8"/>
        <w:spacing w:before="0" w:beforeAutospacing="0" w:after="0" w:afterAutospacing="0" w:line="360" w:lineRule="auto"/>
        <w:ind w:firstLine="420"/>
        <w:rPr>
          <w:sz w:val="21"/>
          <w:szCs w:val="21"/>
        </w:rPr>
      </w:pPr>
      <w:r>
        <w:rPr>
          <w:rFonts w:hint="eastAsia"/>
          <w:sz w:val="21"/>
          <w:szCs w:val="21"/>
        </w:rPr>
        <w:t>基金管理人：指</w:t>
      </w:r>
      <w:bookmarkStart w:id="21" w:name="field_0_managerorgfullname_1"/>
      <w:r>
        <w:rPr>
          <w:rFonts w:hint="eastAsia"/>
          <w:sz w:val="21"/>
          <w:szCs w:val="21"/>
        </w:rPr>
        <w:t>博时基金管理有限公司</w:t>
      </w:r>
      <w:bookmarkEnd w:id="21"/>
      <w:r>
        <w:rPr>
          <w:rFonts w:hint="eastAsia"/>
          <w:sz w:val="21"/>
          <w:szCs w:val="21"/>
        </w:rPr>
        <w:t xml:space="preserve">  </w:t>
      </w:r>
    </w:p>
    <w:p w14:paraId="6B4B8F6F">
      <w:pPr>
        <w:pStyle w:val="8"/>
        <w:spacing w:before="0" w:beforeAutospacing="0" w:after="0" w:afterAutospacing="0" w:line="360" w:lineRule="auto"/>
        <w:ind w:firstLine="420"/>
        <w:rPr>
          <w:sz w:val="21"/>
          <w:szCs w:val="21"/>
        </w:rPr>
      </w:pPr>
      <w:r>
        <w:rPr>
          <w:rFonts w:hint="eastAsia"/>
          <w:sz w:val="21"/>
          <w:szCs w:val="21"/>
        </w:rPr>
        <w:t>基金托管人：指</w:t>
      </w:r>
      <w:bookmarkStart w:id="22" w:name="field_0_trustorgfullname_1"/>
      <w:r>
        <w:rPr>
          <w:rFonts w:hint="eastAsia"/>
          <w:sz w:val="21"/>
          <w:szCs w:val="21"/>
        </w:rPr>
        <w:t>中国工商银行股份有限公司</w:t>
      </w:r>
      <w:bookmarkEnd w:id="22"/>
      <w:r>
        <w:rPr>
          <w:rFonts w:hint="eastAsia"/>
          <w:sz w:val="21"/>
          <w:szCs w:val="21"/>
        </w:rPr>
        <w:t xml:space="preserve">  </w:t>
      </w:r>
    </w:p>
    <w:p w14:paraId="5A76BB4F">
      <w:pPr>
        <w:pStyle w:val="8"/>
        <w:spacing w:before="0" w:beforeAutospacing="0" w:after="0" w:afterAutospacing="0" w:line="360" w:lineRule="auto"/>
        <w:ind w:firstLine="420"/>
        <w:rPr>
          <w:sz w:val="21"/>
          <w:szCs w:val="21"/>
        </w:rPr>
      </w:pPr>
      <w:r>
        <w:rPr>
          <w:rFonts w:hint="eastAsia"/>
          <w:sz w:val="21"/>
          <w:szCs w:val="21"/>
        </w:rPr>
        <w:t xml:space="preserve">境外托管人：指符合法律法规规定的条件，根据基金托管人与其签订的合同，为本基金提供境外资产托管服务的境外金融机构 </w:t>
      </w:r>
    </w:p>
    <w:p w14:paraId="416043B7">
      <w:pPr>
        <w:pStyle w:val="8"/>
        <w:spacing w:before="0" w:beforeAutospacing="0" w:after="0" w:afterAutospacing="0" w:line="360" w:lineRule="auto"/>
        <w:ind w:firstLine="420"/>
        <w:rPr>
          <w:sz w:val="21"/>
          <w:szCs w:val="21"/>
        </w:rPr>
      </w:pPr>
      <w:r>
        <w:rPr>
          <w:rFonts w:hint="eastAsia"/>
          <w:sz w:val="21"/>
          <w:szCs w:val="21"/>
        </w:rPr>
        <w:t xml:space="preserve">基金份额持有人：指根据招募说明书和基金合同及相关文件合法取得本基金基金份额的投资者 </w:t>
      </w:r>
    </w:p>
    <w:p w14:paraId="04D45E8E">
      <w:pPr>
        <w:pStyle w:val="8"/>
        <w:spacing w:before="0" w:beforeAutospacing="0" w:after="0" w:afterAutospacing="0" w:line="360" w:lineRule="auto"/>
        <w:ind w:firstLine="420"/>
        <w:rPr>
          <w:sz w:val="21"/>
          <w:szCs w:val="21"/>
        </w:rPr>
      </w:pPr>
      <w:r>
        <w:rPr>
          <w:rFonts w:hint="eastAsia"/>
          <w:sz w:val="21"/>
          <w:szCs w:val="21"/>
        </w:rPr>
        <w:t xml:space="preserve">代销机构：指符合《销售办法》和中国证监会规定的其他条件，取得基金销售业务资格，并与基金管理人签订基金销售与服务代理协议，代为办理本基金发售、申购、赎回和其他基金业务的代理机构。本基金的代销机构包括发售代理机构和申购赎回代理券商 </w:t>
      </w:r>
    </w:p>
    <w:p w14:paraId="1B3953E1">
      <w:pPr>
        <w:pStyle w:val="8"/>
        <w:spacing w:before="0" w:beforeAutospacing="0" w:after="0" w:afterAutospacing="0" w:line="360" w:lineRule="auto"/>
        <w:ind w:firstLine="420"/>
        <w:rPr>
          <w:sz w:val="21"/>
          <w:szCs w:val="21"/>
        </w:rPr>
      </w:pPr>
      <w:r>
        <w:rPr>
          <w:rFonts w:hint="eastAsia"/>
          <w:sz w:val="21"/>
          <w:szCs w:val="21"/>
        </w:rPr>
        <w:t xml:space="preserve">发售代理机构：指基金管理人指定的代理本基金发售业务的机构 </w:t>
      </w:r>
    </w:p>
    <w:p w14:paraId="1054C67F">
      <w:pPr>
        <w:pStyle w:val="8"/>
        <w:spacing w:before="0" w:beforeAutospacing="0" w:after="0" w:afterAutospacing="0" w:line="360" w:lineRule="auto"/>
        <w:ind w:firstLine="420"/>
        <w:rPr>
          <w:sz w:val="21"/>
          <w:szCs w:val="21"/>
        </w:rPr>
      </w:pPr>
      <w:r>
        <w:rPr>
          <w:rFonts w:hint="eastAsia"/>
          <w:sz w:val="21"/>
          <w:szCs w:val="21"/>
        </w:rPr>
        <w:t xml:space="preserve">发售协调人：指基金管理人指定的协调本基金发售等工作的代理机构 </w:t>
      </w:r>
    </w:p>
    <w:p w14:paraId="1D8EEF40">
      <w:pPr>
        <w:pStyle w:val="8"/>
        <w:spacing w:before="0" w:beforeAutospacing="0" w:after="0" w:afterAutospacing="0" w:line="360" w:lineRule="auto"/>
        <w:ind w:firstLine="420"/>
        <w:rPr>
          <w:sz w:val="21"/>
          <w:szCs w:val="21"/>
        </w:rPr>
      </w:pPr>
      <w:r>
        <w:rPr>
          <w:rFonts w:hint="eastAsia"/>
          <w:sz w:val="21"/>
          <w:szCs w:val="21"/>
        </w:rPr>
        <w:t xml:space="preserve">申购赎回代理券商：指基金管理人指定的、在基金合同生效后代理办理本基金申购、赎回业务的证券公司，又称为代办券商 </w:t>
      </w:r>
    </w:p>
    <w:p w14:paraId="073042C2">
      <w:pPr>
        <w:pStyle w:val="8"/>
        <w:spacing w:before="0" w:beforeAutospacing="0" w:after="0" w:afterAutospacing="0" w:line="360" w:lineRule="auto"/>
        <w:ind w:firstLine="420"/>
        <w:rPr>
          <w:sz w:val="21"/>
          <w:szCs w:val="21"/>
        </w:rPr>
      </w:pPr>
      <w:r>
        <w:rPr>
          <w:rFonts w:hint="eastAsia"/>
          <w:sz w:val="21"/>
          <w:szCs w:val="21"/>
        </w:rPr>
        <w:t xml:space="preserve">销售机构：指基金管理人及基金代销机构 </w:t>
      </w:r>
    </w:p>
    <w:p w14:paraId="1047F7F2">
      <w:pPr>
        <w:pStyle w:val="8"/>
        <w:spacing w:before="0" w:beforeAutospacing="0" w:after="0" w:afterAutospacing="0" w:line="360" w:lineRule="auto"/>
        <w:ind w:firstLine="420"/>
        <w:rPr>
          <w:sz w:val="21"/>
          <w:szCs w:val="21"/>
        </w:rPr>
      </w:pPr>
      <w:r>
        <w:rPr>
          <w:rFonts w:hint="eastAsia"/>
          <w:sz w:val="21"/>
          <w:szCs w:val="21"/>
        </w:rPr>
        <w:t xml:space="preserve">基金销售网点：指基金管理人的直销网点及基金代销机构的代销网点 </w:t>
      </w:r>
    </w:p>
    <w:p w14:paraId="2D2F4380">
      <w:pPr>
        <w:pStyle w:val="8"/>
        <w:spacing w:before="0" w:beforeAutospacing="0" w:after="0" w:afterAutospacing="0" w:line="360" w:lineRule="auto"/>
        <w:ind w:firstLine="420"/>
        <w:rPr>
          <w:sz w:val="21"/>
          <w:szCs w:val="21"/>
        </w:rPr>
      </w:pPr>
      <w:r>
        <w:rPr>
          <w:rFonts w:hint="eastAsia"/>
          <w:sz w:val="21"/>
          <w:szCs w:val="21"/>
        </w:rPr>
        <w:t>登记结算业务：指《中国证券登记结算有限责任公司关于交易所交易型开放式证券投资</w:t>
      </w:r>
      <w:bookmarkStart w:id="23" w:name="chapter_level1_4_49_section_1_end"/>
      <w:bookmarkEnd w:id="23"/>
      <w:r>
        <w:rPr>
          <w:rFonts w:hint="eastAsia"/>
          <w:sz w:val="21"/>
          <w:szCs w:val="21"/>
        </w:rPr>
        <w:t xml:space="preserve">基金登记结算业务实施细则》及其不时修订定义的基金份额的登记、存管、结算及相关业务 </w:t>
      </w:r>
    </w:p>
    <w:p w14:paraId="223255B3">
      <w:pPr>
        <w:pStyle w:val="8"/>
        <w:spacing w:before="0" w:beforeAutospacing="0" w:after="0" w:afterAutospacing="0" w:line="360" w:lineRule="auto"/>
        <w:ind w:firstLine="420"/>
        <w:rPr>
          <w:sz w:val="21"/>
          <w:szCs w:val="21"/>
        </w:rPr>
      </w:pPr>
      <w:bookmarkStart w:id="24" w:name="chapter_level1_4_49_section_2"/>
      <w:bookmarkEnd w:id="24"/>
      <w:r>
        <w:rPr>
          <w:rFonts w:hint="eastAsia"/>
          <w:sz w:val="21"/>
          <w:szCs w:val="21"/>
        </w:rPr>
        <w:t xml:space="preserve">登记结算机构：指中国证券登记结算有限责任公司  </w:t>
      </w:r>
    </w:p>
    <w:p w14:paraId="3FA0E46C">
      <w:pPr>
        <w:pStyle w:val="8"/>
        <w:spacing w:before="0" w:beforeAutospacing="0" w:after="0" w:afterAutospacing="0" w:line="360" w:lineRule="auto"/>
        <w:ind w:firstLine="420"/>
        <w:rPr>
          <w:sz w:val="21"/>
          <w:szCs w:val="21"/>
        </w:rPr>
      </w:pPr>
      <w:r>
        <w:rPr>
          <w:rFonts w:hint="eastAsia"/>
          <w:sz w:val="21"/>
          <w:szCs w:val="21"/>
        </w:rPr>
        <w:t xml:space="preserve">基金合同当事人：指受基金合同约束，根据基金合同享受权利并承担义务的法律主体，包括基金管理人、基金托管人和基金份额持有人 </w:t>
      </w:r>
    </w:p>
    <w:p w14:paraId="453A7CDA">
      <w:pPr>
        <w:pStyle w:val="8"/>
        <w:spacing w:before="0" w:beforeAutospacing="0" w:after="0" w:afterAutospacing="0" w:line="360" w:lineRule="auto"/>
        <w:ind w:firstLine="420"/>
        <w:rPr>
          <w:sz w:val="21"/>
          <w:szCs w:val="21"/>
        </w:rPr>
      </w:pPr>
      <w:r>
        <w:rPr>
          <w:rFonts w:hint="eastAsia"/>
          <w:sz w:val="21"/>
          <w:szCs w:val="21"/>
        </w:rPr>
        <w:t xml:space="preserve">个人投资者：指根据有关法律法规规定可投资开放式证券投资基金的自然人 </w:t>
      </w:r>
    </w:p>
    <w:p w14:paraId="6E0A3277">
      <w:pPr>
        <w:pStyle w:val="8"/>
        <w:spacing w:before="0" w:beforeAutospacing="0" w:after="0" w:afterAutospacing="0" w:line="360" w:lineRule="auto"/>
        <w:ind w:firstLine="420"/>
        <w:rPr>
          <w:sz w:val="21"/>
          <w:szCs w:val="21"/>
        </w:rPr>
      </w:pPr>
      <w:r>
        <w:rPr>
          <w:rFonts w:hint="eastAsia"/>
          <w:sz w:val="21"/>
          <w:szCs w:val="21"/>
        </w:rPr>
        <w:t xml:space="preserve">机构投资者：指依法可以投资证券投资基金的、在中华人民共和国境内合法登记并存续或经有关政府部门批准设立并存续的企业法人、事业法人、社会团体和其他组织 </w:t>
      </w:r>
    </w:p>
    <w:p w14:paraId="6B2D55DB">
      <w:pPr>
        <w:pStyle w:val="8"/>
        <w:spacing w:before="0" w:beforeAutospacing="0" w:after="0" w:afterAutospacing="0" w:line="360" w:lineRule="auto"/>
        <w:ind w:firstLine="420"/>
        <w:rPr>
          <w:sz w:val="21"/>
          <w:szCs w:val="21"/>
        </w:rPr>
      </w:pPr>
      <w:r>
        <w:rPr>
          <w:rFonts w:hint="eastAsia"/>
          <w:sz w:val="21"/>
          <w:szCs w:val="21"/>
        </w:rPr>
        <w:t xml:space="preserve">合格境外机构投资者：指符合《合格境外机构投资者境内证券投资管理办法》及相关法律法规规定可以投资于在中国境内依法募集的证券投资基金的中国境外的机构投资者 </w:t>
      </w:r>
    </w:p>
    <w:p w14:paraId="776AC07A">
      <w:pPr>
        <w:pStyle w:val="8"/>
        <w:spacing w:before="0" w:beforeAutospacing="0" w:after="0" w:afterAutospacing="0" w:line="360" w:lineRule="auto"/>
        <w:ind w:firstLine="420"/>
        <w:rPr>
          <w:sz w:val="21"/>
          <w:szCs w:val="21"/>
        </w:rPr>
      </w:pPr>
      <w:r>
        <w:rPr>
          <w:rFonts w:hint="eastAsia"/>
          <w:sz w:val="21"/>
          <w:szCs w:val="21"/>
        </w:rPr>
        <w:t xml:space="preserve">投资人：指个人投资者、机构投资者、合格境外机构投资者和法律法规或中国证监会允许购买证券投资基金的其他投资者的总称 </w:t>
      </w:r>
    </w:p>
    <w:p w14:paraId="4C6CF5C5">
      <w:pPr>
        <w:pStyle w:val="8"/>
        <w:spacing w:before="0" w:beforeAutospacing="0" w:after="0" w:afterAutospacing="0" w:line="360" w:lineRule="auto"/>
        <w:ind w:firstLine="420"/>
        <w:rPr>
          <w:sz w:val="21"/>
          <w:szCs w:val="21"/>
        </w:rPr>
      </w:pPr>
      <w:r>
        <w:rPr>
          <w:rFonts w:hint="eastAsia"/>
          <w:sz w:val="21"/>
          <w:szCs w:val="21"/>
        </w:rPr>
        <w:t xml:space="preserve">基金合同生效日：指基金募集达到法律规定及基金合同约定的条件，基金管理人聘请法定机构验资并办理完毕基金备案手续，获得中国证监会书面确认之日 </w:t>
      </w:r>
    </w:p>
    <w:p w14:paraId="34259415">
      <w:pPr>
        <w:pStyle w:val="8"/>
        <w:spacing w:before="0" w:beforeAutospacing="0" w:after="0" w:afterAutospacing="0" w:line="360" w:lineRule="auto"/>
        <w:ind w:firstLine="420"/>
        <w:rPr>
          <w:sz w:val="21"/>
          <w:szCs w:val="21"/>
        </w:rPr>
      </w:pPr>
      <w:r>
        <w:rPr>
          <w:rFonts w:hint="eastAsia"/>
          <w:sz w:val="21"/>
          <w:szCs w:val="21"/>
        </w:rPr>
        <w:t xml:space="preserve">募集期：指自基金份额发售之日起至发售结束之日止的期间，最长不得超过3个月 </w:t>
      </w:r>
    </w:p>
    <w:p w14:paraId="01B948D1">
      <w:pPr>
        <w:pStyle w:val="8"/>
        <w:spacing w:before="0" w:beforeAutospacing="0" w:after="0" w:afterAutospacing="0" w:line="360" w:lineRule="auto"/>
        <w:ind w:firstLine="420"/>
        <w:rPr>
          <w:sz w:val="21"/>
          <w:szCs w:val="21"/>
        </w:rPr>
      </w:pPr>
      <w:r>
        <w:rPr>
          <w:rFonts w:hint="eastAsia"/>
          <w:sz w:val="21"/>
          <w:szCs w:val="21"/>
        </w:rPr>
        <w:t xml:space="preserve">基金存续期：指基金合同生效后合法存续的不定期之期间 </w:t>
      </w:r>
    </w:p>
    <w:p w14:paraId="5E3D7977">
      <w:pPr>
        <w:pStyle w:val="8"/>
        <w:spacing w:before="0" w:beforeAutospacing="0" w:after="0" w:afterAutospacing="0" w:line="360" w:lineRule="auto"/>
        <w:ind w:firstLine="420"/>
        <w:rPr>
          <w:sz w:val="21"/>
          <w:szCs w:val="21"/>
        </w:rPr>
      </w:pPr>
      <w:r>
        <w:rPr>
          <w:rFonts w:hint="eastAsia"/>
          <w:sz w:val="21"/>
          <w:szCs w:val="21"/>
        </w:rPr>
        <w:t xml:space="preserve">日/天：指公历日 </w:t>
      </w:r>
    </w:p>
    <w:p w14:paraId="3C7FA19B">
      <w:pPr>
        <w:pStyle w:val="8"/>
        <w:spacing w:before="0" w:beforeAutospacing="0" w:after="0" w:afterAutospacing="0" w:line="360" w:lineRule="auto"/>
        <w:ind w:firstLine="420"/>
        <w:rPr>
          <w:sz w:val="21"/>
          <w:szCs w:val="21"/>
        </w:rPr>
      </w:pPr>
      <w:r>
        <w:rPr>
          <w:rFonts w:hint="eastAsia"/>
          <w:sz w:val="21"/>
          <w:szCs w:val="21"/>
        </w:rPr>
        <w:t xml:space="preserve">月：指公历月 </w:t>
      </w:r>
    </w:p>
    <w:p w14:paraId="0778E138">
      <w:pPr>
        <w:pStyle w:val="8"/>
        <w:spacing w:before="0" w:beforeAutospacing="0" w:after="0" w:afterAutospacing="0" w:line="360" w:lineRule="auto"/>
        <w:ind w:firstLine="420"/>
        <w:rPr>
          <w:sz w:val="21"/>
          <w:szCs w:val="21"/>
        </w:rPr>
      </w:pPr>
      <w:r>
        <w:rPr>
          <w:rFonts w:hint="eastAsia"/>
          <w:sz w:val="21"/>
          <w:szCs w:val="21"/>
        </w:rPr>
        <w:t xml:space="preserve">工作日：指上海证券交易所的正常交易日 </w:t>
      </w:r>
    </w:p>
    <w:p w14:paraId="4D67E1FD">
      <w:pPr>
        <w:pStyle w:val="8"/>
        <w:spacing w:before="0" w:beforeAutospacing="0" w:after="0" w:afterAutospacing="0" w:line="360" w:lineRule="auto"/>
        <w:ind w:firstLine="420"/>
        <w:rPr>
          <w:sz w:val="21"/>
          <w:szCs w:val="21"/>
        </w:rPr>
      </w:pPr>
      <w:r>
        <w:rPr>
          <w:rFonts w:hint="eastAsia"/>
          <w:sz w:val="21"/>
          <w:szCs w:val="21"/>
        </w:rPr>
        <w:t xml:space="preserve">开放日：指销售机构办理本基金份额申购、赎回等业务的工作日，即上海证券交易所和美国相关证券交易所的共同交易日 </w:t>
      </w:r>
    </w:p>
    <w:p w14:paraId="0E49A0D1">
      <w:pPr>
        <w:pStyle w:val="8"/>
        <w:spacing w:before="0" w:beforeAutospacing="0" w:after="0" w:afterAutospacing="0" w:line="360" w:lineRule="auto"/>
        <w:ind w:firstLine="420"/>
        <w:rPr>
          <w:sz w:val="21"/>
          <w:szCs w:val="21"/>
        </w:rPr>
      </w:pPr>
      <w:r>
        <w:rPr>
          <w:rFonts w:hint="eastAsia"/>
          <w:sz w:val="21"/>
          <w:szCs w:val="21"/>
        </w:rPr>
        <w:t xml:space="preserve">T日：指销售机构在规定时间受理投资人申购、赎回或其他业务申请的开放日 </w:t>
      </w:r>
    </w:p>
    <w:p w14:paraId="4C92844B">
      <w:pPr>
        <w:pStyle w:val="8"/>
        <w:spacing w:before="0" w:beforeAutospacing="0" w:after="0" w:afterAutospacing="0" w:line="360" w:lineRule="auto"/>
        <w:ind w:firstLine="420"/>
        <w:rPr>
          <w:sz w:val="21"/>
          <w:szCs w:val="21"/>
        </w:rPr>
      </w:pPr>
      <w:r>
        <w:rPr>
          <w:rFonts w:hint="eastAsia"/>
          <w:sz w:val="21"/>
          <w:szCs w:val="21"/>
        </w:rPr>
        <w:t xml:space="preserve">T+n日：指自T日起第n个工作日（不包含T日） </w:t>
      </w:r>
    </w:p>
    <w:p w14:paraId="76739B5D">
      <w:pPr>
        <w:pStyle w:val="8"/>
        <w:spacing w:before="0" w:beforeAutospacing="0" w:after="0" w:afterAutospacing="0" w:line="360" w:lineRule="auto"/>
        <w:ind w:firstLine="420"/>
        <w:rPr>
          <w:sz w:val="21"/>
          <w:szCs w:val="21"/>
        </w:rPr>
      </w:pPr>
      <w:r>
        <w:rPr>
          <w:rFonts w:hint="eastAsia"/>
          <w:sz w:val="21"/>
          <w:szCs w:val="21"/>
        </w:rPr>
        <w:t xml:space="preserve">认购：指在本基金募集期内投资人根据基金合同和招募说明书的规定购买本基金基金份额的行为 </w:t>
      </w:r>
    </w:p>
    <w:p w14:paraId="1F3D4693">
      <w:pPr>
        <w:pStyle w:val="8"/>
        <w:spacing w:before="0" w:beforeAutospacing="0" w:after="0" w:afterAutospacing="0" w:line="360" w:lineRule="auto"/>
        <w:ind w:firstLine="420"/>
        <w:rPr>
          <w:sz w:val="21"/>
          <w:szCs w:val="21"/>
        </w:rPr>
      </w:pPr>
      <w:r>
        <w:rPr>
          <w:rFonts w:hint="eastAsia"/>
          <w:sz w:val="21"/>
          <w:szCs w:val="21"/>
        </w:rPr>
        <w:t xml:space="preserve">发售：指在本基金募集期内，销售机构向投资人销售本基金份额的行为 </w:t>
      </w:r>
    </w:p>
    <w:p w14:paraId="522A8272">
      <w:pPr>
        <w:pStyle w:val="8"/>
        <w:spacing w:before="0" w:beforeAutospacing="0" w:after="0" w:afterAutospacing="0" w:line="360" w:lineRule="auto"/>
        <w:ind w:firstLine="420"/>
        <w:rPr>
          <w:sz w:val="21"/>
          <w:szCs w:val="21"/>
        </w:rPr>
      </w:pPr>
      <w:r>
        <w:rPr>
          <w:rFonts w:hint="eastAsia"/>
          <w:sz w:val="21"/>
          <w:szCs w:val="21"/>
        </w:rPr>
        <w:t xml:space="preserve">申购：指基金合同生效后，投资人根据基金合同和招募说明书的规定申请购买基金份额的行为 </w:t>
      </w:r>
    </w:p>
    <w:p w14:paraId="17DE4627">
      <w:pPr>
        <w:pStyle w:val="8"/>
        <w:spacing w:before="0" w:beforeAutospacing="0" w:after="0" w:afterAutospacing="0" w:line="360" w:lineRule="auto"/>
        <w:ind w:firstLine="420"/>
        <w:rPr>
          <w:sz w:val="21"/>
          <w:szCs w:val="21"/>
        </w:rPr>
      </w:pPr>
      <w:r>
        <w:rPr>
          <w:rFonts w:hint="eastAsia"/>
          <w:sz w:val="21"/>
          <w:szCs w:val="21"/>
        </w:rPr>
        <w:t xml:space="preserve">赎回：指基金合同生效后，基金份额持有人按基金合同和招募说明书规定的条件要求将基金份额兑换为申购、赎回清单所规定对价的行为 </w:t>
      </w:r>
    </w:p>
    <w:p w14:paraId="6D4FF3EF">
      <w:pPr>
        <w:pStyle w:val="8"/>
        <w:spacing w:before="0" w:beforeAutospacing="0" w:after="0" w:afterAutospacing="0" w:line="360" w:lineRule="auto"/>
        <w:ind w:firstLine="420"/>
        <w:rPr>
          <w:sz w:val="21"/>
          <w:szCs w:val="21"/>
        </w:rPr>
      </w:pPr>
      <w:r>
        <w:rPr>
          <w:rFonts w:hint="eastAsia"/>
          <w:sz w:val="21"/>
          <w:szCs w:val="21"/>
        </w:rPr>
        <w:t xml:space="preserve">申购、赎回清单：指由基金管理人编制的用以公告申购对价、赎回对价等信息的文件 </w:t>
      </w:r>
    </w:p>
    <w:p w14:paraId="425544AD">
      <w:pPr>
        <w:pStyle w:val="8"/>
        <w:spacing w:before="0" w:beforeAutospacing="0" w:after="0" w:afterAutospacing="0" w:line="360" w:lineRule="auto"/>
        <w:ind w:firstLine="420"/>
        <w:rPr>
          <w:sz w:val="21"/>
          <w:szCs w:val="21"/>
        </w:rPr>
      </w:pPr>
      <w:r>
        <w:rPr>
          <w:rFonts w:hint="eastAsia"/>
          <w:sz w:val="21"/>
          <w:szCs w:val="21"/>
        </w:rPr>
        <w:t xml:space="preserve">申购对价：指投资人申购基金份额时，按基金合同和招募说明书规定应交付的现金替代、现金差额及其他对价 </w:t>
      </w:r>
    </w:p>
    <w:p w14:paraId="01B85B06">
      <w:pPr>
        <w:pStyle w:val="8"/>
        <w:spacing w:before="0" w:beforeAutospacing="0" w:after="0" w:afterAutospacing="0" w:line="360" w:lineRule="auto"/>
        <w:ind w:firstLine="420"/>
        <w:rPr>
          <w:sz w:val="21"/>
          <w:szCs w:val="21"/>
        </w:rPr>
      </w:pPr>
      <w:r>
        <w:rPr>
          <w:rFonts w:hint="eastAsia"/>
          <w:sz w:val="21"/>
          <w:szCs w:val="21"/>
        </w:rPr>
        <w:t xml:space="preserve">赎回对价：指投资人赎回基金份额时，基金管理人按基金合同和招募说明书规定应交付给赎回人的现金替代、现金差额及其他对价 </w:t>
      </w:r>
    </w:p>
    <w:p w14:paraId="0C9BA27D">
      <w:pPr>
        <w:pStyle w:val="8"/>
        <w:spacing w:before="0" w:beforeAutospacing="0" w:after="0" w:afterAutospacing="0" w:line="360" w:lineRule="auto"/>
        <w:ind w:firstLine="420"/>
        <w:rPr>
          <w:sz w:val="21"/>
          <w:szCs w:val="21"/>
        </w:rPr>
      </w:pPr>
      <w:r>
        <w:rPr>
          <w:rFonts w:hint="eastAsia"/>
          <w:sz w:val="21"/>
          <w:szCs w:val="21"/>
        </w:rPr>
        <w:t xml:space="preserve">组合证券：指本基金标的指数所包含的全部或部分证券 </w:t>
      </w:r>
    </w:p>
    <w:p w14:paraId="29A3C9EA">
      <w:pPr>
        <w:pStyle w:val="8"/>
        <w:spacing w:before="0" w:beforeAutospacing="0" w:after="0" w:afterAutospacing="0" w:line="360" w:lineRule="auto"/>
        <w:ind w:firstLine="420"/>
        <w:rPr>
          <w:sz w:val="21"/>
          <w:szCs w:val="21"/>
        </w:rPr>
      </w:pPr>
      <w:r>
        <w:rPr>
          <w:rFonts w:hint="eastAsia"/>
          <w:sz w:val="21"/>
          <w:szCs w:val="21"/>
        </w:rPr>
        <w:t xml:space="preserve">标的指数：指标普500净总收益指数（S&amp;P 500 Index（Net TR））及其未来可能发生的变更 </w:t>
      </w:r>
    </w:p>
    <w:p w14:paraId="2E275172">
      <w:pPr>
        <w:pStyle w:val="8"/>
        <w:spacing w:before="0" w:beforeAutospacing="0" w:after="0" w:afterAutospacing="0" w:line="360" w:lineRule="auto"/>
        <w:ind w:firstLine="420"/>
        <w:rPr>
          <w:sz w:val="21"/>
          <w:szCs w:val="21"/>
        </w:rPr>
      </w:pPr>
      <w:r>
        <w:rPr>
          <w:rFonts w:hint="eastAsia"/>
          <w:sz w:val="21"/>
          <w:szCs w:val="21"/>
        </w:rPr>
        <w:t xml:space="preserve">完全复制法：指一种跟踪指数的方法。通过购买标的指数中的所有成份证券，并且按照每种成份证券在标的指数中的权重确定购买的比例以构建指数组合，达到复制指数的目的 </w:t>
      </w:r>
    </w:p>
    <w:p w14:paraId="6796337D">
      <w:pPr>
        <w:pStyle w:val="8"/>
        <w:spacing w:before="0" w:beforeAutospacing="0" w:after="0" w:afterAutospacing="0" w:line="360" w:lineRule="auto"/>
        <w:ind w:firstLine="420"/>
        <w:rPr>
          <w:sz w:val="21"/>
          <w:szCs w:val="21"/>
        </w:rPr>
      </w:pPr>
      <w:r>
        <w:rPr>
          <w:rFonts w:hint="eastAsia"/>
          <w:sz w:val="21"/>
          <w:szCs w:val="21"/>
        </w:rPr>
        <w:t xml:space="preserve">现金替代：指申购、赎回过程中，投资人按基金合同和招募说明书的规定，用于替代组合证券中部分证券的一定数量的现金 </w:t>
      </w:r>
    </w:p>
    <w:p w14:paraId="4993FAE8">
      <w:pPr>
        <w:pStyle w:val="8"/>
        <w:spacing w:before="0" w:beforeAutospacing="0" w:after="0" w:afterAutospacing="0" w:line="360" w:lineRule="auto"/>
        <w:ind w:firstLine="420"/>
        <w:rPr>
          <w:sz w:val="21"/>
          <w:szCs w:val="21"/>
        </w:rPr>
      </w:pPr>
      <w:r>
        <w:rPr>
          <w:rFonts w:hint="eastAsia"/>
          <w:sz w:val="21"/>
          <w:szCs w:val="21"/>
        </w:rPr>
        <w:t xml:space="preserve">现金差额：指最小申购、赎回单位的资产净值与按当日收盘价计算的最小申购、赎回单位中的组合证券市值和现金替代之差；投资人申购、赎回时应支付或应获得的现金差额根据最小申购、赎回单位对应的现金差额、申购或赎回的基金份额数计算 </w:t>
      </w:r>
    </w:p>
    <w:p w14:paraId="57E3A346">
      <w:pPr>
        <w:pStyle w:val="8"/>
        <w:spacing w:before="0" w:beforeAutospacing="0" w:after="0" w:afterAutospacing="0" w:line="360" w:lineRule="auto"/>
        <w:ind w:firstLine="420"/>
        <w:rPr>
          <w:sz w:val="21"/>
          <w:szCs w:val="21"/>
        </w:rPr>
      </w:pPr>
      <w:r>
        <w:rPr>
          <w:rFonts w:hint="eastAsia"/>
          <w:sz w:val="21"/>
          <w:szCs w:val="21"/>
        </w:rPr>
        <w:t xml:space="preserve">最小申购、赎回单位：指本基金申购份额、赎回份额的最低数量，投资人申购、赎回的基金份额应为最小申购、赎回单位的整数倍 </w:t>
      </w:r>
    </w:p>
    <w:p w14:paraId="3CB743CD">
      <w:pPr>
        <w:pStyle w:val="8"/>
        <w:spacing w:before="0" w:beforeAutospacing="0" w:after="0" w:afterAutospacing="0" w:line="360" w:lineRule="auto"/>
        <w:ind w:firstLine="420"/>
        <w:rPr>
          <w:sz w:val="21"/>
          <w:szCs w:val="21"/>
        </w:rPr>
      </w:pPr>
      <w:r>
        <w:rPr>
          <w:rFonts w:hint="eastAsia"/>
          <w:sz w:val="21"/>
          <w:szCs w:val="21"/>
        </w:rPr>
        <w:t xml:space="preserve">基金份额参考净值：指中证指数公司根据基金管理人提供的申购、赎回清单等计算并由上海证券交易所发布的基金份额参考净值，简称IOPV </w:t>
      </w:r>
    </w:p>
    <w:p w14:paraId="525B9D1A">
      <w:pPr>
        <w:pStyle w:val="8"/>
        <w:spacing w:before="0" w:beforeAutospacing="0" w:after="0" w:afterAutospacing="0" w:line="360" w:lineRule="auto"/>
        <w:ind w:firstLine="420"/>
        <w:rPr>
          <w:sz w:val="21"/>
          <w:szCs w:val="21"/>
        </w:rPr>
      </w:pPr>
      <w:r>
        <w:rPr>
          <w:rFonts w:hint="eastAsia"/>
          <w:sz w:val="21"/>
          <w:szCs w:val="21"/>
        </w:rPr>
        <w:t xml:space="preserve">预估现金部分：指为便于计算基金份额参考净值及申购赎回代理券商预先冻结申请申购、赎回的投资人的相应资金，由基金管理人计算并公布的现金数额 </w:t>
      </w:r>
    </w:p>
    <w:p w14:paraId="4160CB64">
      <w:pPr>
        <w:pStyle w:val="8"/>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 </w:t>
      </w:r>
    </w:p>
    <w:p w14:paraId="5184B0E3">
      <w:pPr>
        <w:pStyle w:val="8"/>
        <w:spacing w:before="0" w:beforeAutospacing="0" w:after="0" w:afterAutospacing="0" w:line="360" w:lineRule="auto"/>
        <w:ind w:firstLine="420"/>
        <w:rPr>
          <w:sz w:val="21"/>
          <w:szCs w:val="21"/>
        </w:rPr>
      </w:pPr>
      <w:r>
        <w:rPr>
          <w:rFonts w:hint="eastAsia"/>
          <w:sz w:val="21"/>
          <w:szCs w:val="21"/>
        </w:rPr>
        <w:t xml:space="preserve">收益评价日：指基金管理人计算本基金收益率与标的指数收益率差额之日 </w:t>
      </w:r>
    </w:p>
    <w:p w14:paraId="707F4419">
      <w:pPr>
        <w:pStyle w:val="8"/>
        <w:spacing w:before="0" w:beforeAutospacing="0" w:after="0" w:afterAutospacing="0" w:line="360" w:lineRule="auto"/>
        <w:ind w:firstLine="420"/>
        <w:rPr>
          <w:sz w:val="21"/>
          <w:szCs w:val="21"/>
        </w:rPr>
      </w:pPr>
      <w:r>
        <w:rPr>
          <w:rFonts w:hint="eastAsia"/>
          <w:sz w:val="21"/>
          <w:szCs w:val="21"/>
        </w:rPr>
        <w:t xml:space="preserve">基金累计收益率：指基金收益评价日基金份额净值与基金上市前一日基金份额净值之比减去1乘以100%，期间如发生基金份额折算，则以基金份额折算日为初始日重新计算上述指标 </w:t>
      </w:r>
    </w:p>
    <w:p w14:paraId="009245BF">
      <w:pPr>
        <w:pStyle w:val="8"/>
        <w:spacing w:before="0" w:beforeAutospacing="0" w:after="0" w:afterAutospacing="0" w:line="360" w:lineRule="auto"/>
        <w:ind w:firstLine="420"/>
        <w:rPr>
          <w:sz w:val="21"/>
          <w:szCs w:val="21"/>
        </w:rPr>
      </w:pPr>
      <w:r>
        <w:rPr>
          <w:rFonts w:hint="eastAsia"/>
          <w:sz w:val="21"/>
          <w:szCs w:val="21"/>
        </w:rPr>
        <w:t xml:space="preserve">标的指数同期累计收益率：指收益评价日标的指数收盘值与基金上市前一日标的指数收盘值之比减去1乘以100%，期间如发生基金份额折算，则以基金份额折算日为初始日重新计算上述指标 </w:t>
      </w:r>
    </w:p>
    <w:p w14:paraId="4261860E">
      <w:pPr>
        <w:pStyle w:val="8"/>
        <w:spacing w:before="0" w:beforeAutospacing="0" w:after="0" w:afterAutospacing="0" w:line="360" w:lineRule="auto"/>
        <w:ind w:firstLine="420"/>
        <w:rPr>
          <w:sz w:val="21"/>
          <w:szCs w:val="21"/>
        </w:rPr>
      </w:pPr>
      <w:r>
        <w:rPr>
          <w:rFonts w:hint="eastAsia"/>
          <w:sz w:val="21"/>
          <w:szCs w:val="21"/>
        </w:rPr>
        <w:t xml:space="preserve">基金资产总值：指基金所拥有的各类有价证券、银行存款本息和本基金应收的申购基金款以及其他资产的价值总和 </w:t>
      </w:r>
    </w:p>
    <w:p w14:paraId="7F73BF99">
      <w:pPr>
        <w:pStyle w:val="8"/>
        <w:spacing w:before="0" w:beforeAutospacing="0" w:after="0" w:afterAutospacing="0" w:line="360" w:lineRule="auto"/>
        <w:ind w:firstLine="420"/>
        <w:rPr>
          <w:sz w:val="21"/>
          <w:szCs w:val="21"/>
        </w:rPr>
      </w:pPr>
      <w:r>
        <w:rPr>
          <w:rFonts w:hint="eastAsia"/>
          <w:sz w:val="21"/>
          <w:szCs w:val="21"/>
        </w:rPr>
        <w:t xml:space="preserve">基金资产净值：指基金资产总值扣除基金负债后的价值 </w:t>
      </w:r>
    </w:p>
    <w:p w14:paraId="659D44D8">
      <w:pPr>
        <w:pStyle w:val="8"/>
        <w:spacing w:before="0" w:beforeAutospacing="0" w:after="0" w:afterAutospacing="0" w:line="360" w:lineRule="auto"/>
        <w:ind w:firstLine="420"/>
        <w:rPr>
          <w:sz w:val="21"/>
          <w:szCs w:val="21"/>
        </w:rPr>
      </w:pPr>
      <w:r>
        <w:rPr>
          <w:rFonts w:hint="eastAsia"/>
          <w:sz w:val="21"/>
          <w:szCs w:val="21"/>
        </w:rPr>
        <w:t xml:space="preserve">基金份额净值：指计算日基金资产净值除以计算日基金份额总数的数值 </w:t>
      </w:r>
    </w:p>
    <w:p w14:paraId="5471D46F">
      <w:pPr>
        <w:pStyle w:val="8"/>
        <w:spacing w:before="0" w:beforeAutospacing="0" w:after="0" w:afterAutospacing="0" w:line="360" w:lineRule="auto"/>
        <w:ind w:firstLine="420"/>
        <w:rPr>
          <w:sz w:val="21"/>
          <w:szCs w:val="21"/>
        </w:rPr>
      </w:pPr>
      <w:r>
        <w:rPr>
          <w:rFonts w:hint="eastAsia"/>
          <w:sz w:val="21"/>
          <w:szCs w:val="21"/>
        </w:rPr>
        <w:t xml:space="preserve">基金资产估值：指计算评估基金资产和负债的价值，以确定基金资产净值和基金份额净值的过程 </w:t>
      </w:r>
    </w:p>
    <w:p w14:paraId="1BC61262">
      <w:pPr>
        <w:pStyle w:val="8"/>
        <w:spacing w:before="0" w:beforeAutospacing="0" w:after="0" w:afterAutospacing="0" w:line="360" w:lineRule="auto"/>
        <w:ind w:firstLine="420"/>
        <w:rPr>
          <w:sz w:val="21"/>
          <w:szCs w:val="21"/>
        </w:rPr>
      </w:pPr>
      <w:r>
        <w:rPr>
          <w:rFonts w:hint="eastAsia"/>
          <w:sz w:val="21"/>
          <w:szCs w:val="21"/>
        </w:rPr>
        <w:t xml:space="preserve">货币市场工具：指银行存款、可转让存单、银行承兑汇票、银行票据、商业票据、回购协议、短期政府债券等中国证监会、中国人民银行认可的具有良好流动性的金融工具 </w:t>
      </w:r>
    </w:p>
    <w:p w14:paraId="5BBB3002">
      <w:pPr>
        <w:pStyle w:val="8"/>
        <w:spacing w:before="0" w:beforeAutospacing="0" w:after="0" w:afterAutospacing="0" w:line="360" w:lineRule="auto"/>
        <w:ind w:firstLine="420"/>
        <w:rPr>
          <w:sz w:val="21"/>
          <w:szCs w:val="21"/>
        </w:rPr>
      </w:pPr>
      <w:r>
        <w:rPr>
          <w:rFonts w:hint="eastAsia"/>
          <w:sz w:val="21"/>
          <w:szCs w:val="21"/>
        </w:rPr>
        <w:t xml:space="preserve">公司行为信息：指证券发行人所公告的会或将会影响到基金资产的价值及权益的任何未完成或已完成的行动，及其他与本基金持仓证券所投资的发行公司有关的重大信息，包括但不限于权益派发、配股、提前赎回等信息 </w:t>
      </w:r>
    </w:p>
    <w:p w14:paraId="18B4EC43">
      <w:pPr>
        <w:pStyle w:val="8"/>
        <w:spacing w:before="0" w:beforeAutospacing="0" w:after="0" w:afterAutospacing="0" w:line="360" w:lineRule="auto"/>
        <w:ind w:firstLine="420"/>
        <w:rPr>
          <w:sz w:val="21"/>
          <w:szCs w:val="21"/>
        </w:rPr>
      </w:pPr>
      <w:r>
        <w:rPr>
          <w:rFonts w:hint="eastAsia"/>
          <w:sz w:val="21"/>
          <w:szCs w:val="21"/>
        </w:rPr>
        <w:t xml:space="preserve">指定媒介：指中国证监会指定的用以进行信息披露的全国性报刊及指定互联网网站（包括基金管理人网站、基金托管人网站、中国证监会基金电子披露网站）等媒介 </w:t>
      </w:r>
    </w:p>
    <w:p w14:paraId="01D7D4F5">
      <w:pPr>
        <w:pStyle w:val="8"/>
        <w:spacing w:before="0" w:beforeAutospacing="0" w:after="0" w:afterAutospacing="0" w:line="360" w:lineRule="auto"/>
        <w:ind w:firstLine="420"/>
        <w:rPr>
          <w:sz w:val="21"/>
          <w:szCs w:val="21"/>
        </w:rPr>
      </w:pPr>
      <w:r>
        <w:rPr>
          <w:rFonts w:hint="eastAsia"/>
          <w:sz w:val="21"/>
          <w:szCs w:val="21"/>
        </w:rPr>
        <w:t xml:space="preserve">不可抗力：指基金合同当事人不能预见、不能避免且不能克服的客观事件 </w:t>
      </w:r>
    </w:p>
    <w:p w14:paraId="0A6E8902">
      <w:pPr>
        <w:pStyle w:val="8"/>
        <w:spacing w:before="0" w:beforeAutospacing="0" w:after="0" w:afterAutospacing="0" w:line="360" w:lineRule="auto"/>
        <w:ind w:firstLine="420"/>
        <w:rPr>
          <w:sz w:val="21"/>
          <w:szCs w:val="21"/>
        </w:rPr>
      </w:pPr>
      <w:r>
        <w:rPr>
          <w:rFonts w:hint="eastAsia"/>
          <w:sz w:val="21"/>
          <w:szCs w:val="21"/>
        </w:rPr>
        <w:t>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因发行人</w:t>
      </w:r>
      <w:bookmarkStart w:id="25" w:name="chapter_level1_4_49_section_2_end"/>
      <w:bookmarkEnd w:id="25"/>
      <w:r>
        <w:rPr>
          <w:rFonts w:hint="eastAsia"/>
          <w:sz w:val="21"/>
          <w:szCs w:val="21"/>
        </w:rPr>
        <w:t xml:space="preserve">债务违约无法进行转让或交易的债券等 </w:t>
      </w:r>
    </w:p>
    <w:p w14:paraId="18BF5D67">
      <w:pPr>
        <w:widowControl/>
        <w:jc w:val="left"/>
        <w:rPr>
          <w:rFonts w:ascii="宋体" w:hAnsi="宋体" w:eastAsia="宋体"/>
        </w:rPr>
      </w:pPr>
      <w:r>
        <w:rPr>
          <w:rFonts w:ascii="宋体" w:hAnsi="宋体" w:eastAsia="宋体"/>
        </w:rPr>
        <w:br w:type="page"/>
      </w:r>
    </w:p>
    <w:p w14:paraId="2AA8856A">
      <w:pPr>
        <w:pStyle w:val="2"/>
        <w:jc w:val="center"/>
        <w:rPr>
          <w:rFonts w:ascii="宋体" w:hAnsi="宋体" w:eastAsia="宋体"/>
          <w:sz w:val="30"/>
        </w:rPr>
      </w:pPr>
      <w:bookmarkStart w:id="26" w:name="chapter_level1_5_53"/>
      <w:bookmarkStart w:id="27" w:name="_Toc209441837"/>
      <w:r>
        <w:rPr>
          <w:rFonts w:hint="eastAsia" w:ascii="宋体" w:hAnsi="宋体" w:eastAsia="宋体"/>
          <w:sz w:val="30"/>
        </w:rPr>
        <w:t>第三部分  基金管理人</w:t>
      </w:r>
      <w:bookmarkEnd w:id="26"/>
      <w:bookmarkEnd w:id="27"/>
    </w:p>
    <w:p w14:paraId="61324E25">
      <w:pPr>
        <w:pStyle w:val="8"/>
        <w:spacing w:before="0" w:beforeAutospacing="0" w:after="0" w:afterAutospacing="0" w:line="360" w:lineRule="auto"/>
        <w:ind w:firstLine="420"/>
        <w:rPr>
          <w:sz w:val="21"/>
          <w:szCs w:val="21"/>
        </w:rPr>
      </w:pPr>
      <w:bookmarkStart w:id="28" w:name="chapter_level1_5_53_section_1"/>
      <w:bookmarkEnd w:id="28"/>
      <w:r>
        <w:rPr>
          <w:rStyle w:val="12"/>
          <w:rFonts w:hint="eastAsia"/>
          <w:sz w:val="21"/>
          <w:szCs w:val="21"/>
        </w:rPr>
        <w:t>一、基金管理人概况</w:t>
      </w:r>
    </w:p>
    <w:p w14:paraId="3834672D">
      <w:pPr>
        <w:pStyle w:val="8"/>
        <w:spacing w:before="0" w:beforeAutospacing="0" w:after="0" w:afterAutospacing="0" w:line="360" w:lineRule="auto"/>
        <w:ind w:firstLine="420"/>
        <w:rPr>
          <w:sz w:val="21"/>
          <w:szCs w:val="21"/>
        </w:rPr>
      </w:pPr>
      <w:bookmarkStart w:id="29" w:name="field_0_managercompanyinfo_1_start"/>
      <w:bookmarkEnd w:id="29"/>
      <w:r>
        <w:rPr>
          <w:rFonts w:hint="eastAsia"/>
          <w:sz w:val="21"/>
          <w:szCs w:val="21"/>
        </w:rPr>
        <w:t xml:space="preserve">名称： 博时基金管理有限公司 </w:t>
      </w:r>
    </w:p>
    <w:p w14:paraId="34BE8827">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5504E493">
      <w:pPr>
        <w:pStyle w:val="8"/>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68780540">
      <w:pPr>
        <w:pStyle w:val="8"/>
        <w:spacing w:before="0" w:beforeAutospacing="0" w:after="0" w:afterAutospacing="0" w:line="360" w:lineRule="auto"/>
        <w:ind w:firstLine="420"/>
        <w:rPr>
          <w:sz w:val="21"/>
          <w:szCs w:val="21"/>
        </w:rPr>
      </w:pPr>
      <w:r>
        <w:rPr>
          <w:rFonts w:hint="eastAsia"/>
          <w:sz w:val="21"/>
          <w:szCs w:val="21"/>
        </w:rPr>
        <w:t xml:space="preserve">法定代表人：江向阳 </w:t>
      </w:r>
    </w:p>
    <w:p w14:paraId="16389B34">
      <w:pPr>
        <w:pStyle w:val="8"/>
        <w:spacing w:before="0" w:beforeAutospacing="0" w:after="0" w:afterAutospacing="0" w:line="360" w:lineRule="auto"/>
        <w:ind w:firstLine="420"/>
        <w:rPr>
          <w:sz w:val="21"/>
          <w:szCs w:val="21"/>
        </w:rPr>
      </w:pPr>
      <w:r>
        <w:rPr>
          <w:rFonts w:hint="eastAsia"/>
          <w:sz w:val="21"/>
          <w:szCs w:val="21"/>
        </w:rPr>
        <w:t xml:space="preserve">成立时间： 1998年7月13日 </w:t>
      </w:r>
    </w:p>
    <w:p w14:paraId="5754EA71">
      <w:pPr>
        <w:pStyle w:val="8"/>
        <w:spacing w:before="0" w:beforeAutospacing="0" w:after="0" w:afterAutospacing="0" w:line="360" w:lineRule="auto"/>
        <w:ind w:firstLine="420"/>
        <w:rPr>
          <w:sz w:val="21"/>
          <w:szCs w:val="21"/>
        </w:rPr>
      </w:pPr>
      <w:r>
        <w:rPr>
          <w:rFonts w:hint="eastAsia"/>
          <w:sz w:val="21"/>
          <w:szCs w:val="21"/>
        </w:rPr>
        <w:t xml:space="preserve">注册资本： 2.5亿元人民币 </w:t>
      </w:r>
    </w:p>
    <w:p w14:paraId="284CE6F1">
      <w:pPr>
        <w:pStyle w:val="8"/>
        <w:spacing w:before="0" w:beforeAutospacing="0" w:after="0" w:afterAutospacing="0" w:line="360" w:lineRule="auto"/>
        <w:ind w:firstLine="420"/>
        <w:rPr>
          <w:sz w:val="21"/>
          <w:szCs w:val="21"/>
        </w:rPr>
      </w:pPr>
      <w:r>
        <w:rPr>
          <w:rFonts w:hint="eastAsia"/>
          <w:sz w:val="21"/>
          <w:szCs w:val="21"/>
        </w:rPr>
        <w:t xml:space="preserve">存续期间： 持续经营 </w:t>
      </w:r>
    </w:p>
    <w:p w14:paraId="73DCEEFF">
      <w:pPr>
        <w:pStyle w:val="8"/>
        <w:spacing w:before="0" w:beforeAutospacing="0" w:after="0" w:afterAutospacing="0" w:line="360" w:lineRule="auto"/>
        <w:ind w:firstLine="420"/>
        <w:rPr>
          <w:sz w:val="21"/>
          <w:szCs w:val="21"/>
        </w:rPr>
      </w:pPr>
      <w:r>
        <w:rPr>
          <w:rFonts w:hint="eastAsia"/>
          <w:sz w:val="21"/>
          <w:szCs w:val="21"/>
        </w:rPr>
        <w:t xml:space="preserve">联系人：   王济帆 </w:t>
      </w:r>
    </w:p>
    <w:p w14:paraId="08917B60">
      <w:pPr>
        <w:pStyle w:val="8"/>
        <w:spacing w:before="0" w:beforeAutospacing="0" w:after="0" w:afterAutospacing="0" w:line="360" w:lineRule="auto"/>
        <w:ind w:firstLine="420"/>
        <w:rPr>
          <w:sz w:val="21"/>
          <w:szCs w:val="21"/>
        </w:rPr>
      </w:pPr>
      <w:r>
        <w:rPr>
          <w:rFonts w:hint="eastAsia"/>
          <w:sz w:val="21"/>
          <w:szCs w:val="21"/>
        </w:rPr>
        <w:t xml:space="preserve">联系电话： （0755）8316 9999 </w:t>
      </w:r>
    </w:p>
    <w:p w14:paraId="49BF5DEE">
      <w:pPr>
        <w:pStyle w:val="8"/>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14:paraId="059404B3">
      <w:pPr>
        <w:pStyle w:val="8"/>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14:paraId="0CFA8DED">
      <w:pPr>
        <w:pStyle w:val="8"/>
        <w:spacing w:before="0" w:beforeAutospacing="0" w:after="0" w:afterAutospacing="0" w:line="360" w:lineRule="auto"/>
        <w:ind w:firstLine="420"/>
        <w:rPr>
          <w:sz w:val="21"/>
          <w:szCs w:val="21"/>
        </w:rPr>
      </w:pPr>
      <w:r>
        <w:rPr>
          <w:rFonts w:hint="eastAsia"/>
          <w:sz w:val="21"/>
          <w:szCs w:val="21"/>
        </w:rPr>
        <w:t>公司已经建立健全投资管理制度、风险控制制度、内部监察制度、财务管理制度、人事管理制度、信息披露制度和员工行为准则等公司管理制度体系。 </w:t>
      </w:r>
      <w:bookmarkStart w:id="30" w:name="field_0_managercompanyinfo_1_end"/>
      <w:bookmarkEnd w:id="30"/>
      <w:r>
        <w:rPr>
          <w:rFonts w:hint="eastAsia"/>
          <w:sz w:val="21"/>
          <w:szCs w:val="21"/>
        </w:rPr>
        <w:t xml:space="preserve">  </w:t>
      </w:r>
    </w:p>
    <w:p w14:paraId="4285E6E2">
      <w:pPr>
        <w:pStyle w:val="8"/>
        <w:spacing w:before="0" w:beforeAutospacing="0" w:after="0" w:afterAutospacing="0" w:line="360" w:lineRule="auto"/>
        <w:ind w:firstLine="420"/>
        <w:rPr>
          <w:sz w:val="21"/>
          <w:szCs w:val="21"/>
        </w:rPr>
      </w:pPr>
      <w:r>
        <w:rPr>
          <w:rStyle w:val="12"/>
          <w:rFonts w:hint="eastAsia"/>
          <w:sz w:val="21"/>
          <w:szCs w:val="21"/>
        </w:rPr>
        <w:t>二、主要成员情况</w:t>
      </w:r>
    </w:p>
    <w:p w14:paraId="36E3485A">
      <w:pPr>
        <w:pStyle w:val="8"/>
        <w:spacing w:before="0" w:beforeAutospacing="0" w:after="0" w:afterAutospacing="0" w:line="360" w:lineRule="auto"/>
        <w:ind w:firstLine="420"/>
        <w:rPr>
          <w:rFonts w:hint="eastAsia"/>
          <w:sz w:val="21"/>
          <w:szCs w:val="21"/>
        </w:rPr>
      </w:pPr>
      <w:bookmarkStart w:id="31" w:name="field_0_managerpersoninfo_1_start"/>
      <w:bookmarkEnd w:id="31"/>
      <w:r>
        <w:rPr>
          <w:rFonts w:hint="eastAsia"/>
          <w:sz w:val="21"/>
          <w:szCs w:val="21"/>
        </w:rPr>
        <w:t>1、基金管理人董事会成员</w:t>
      </w:r>
    </w:p>
    <w:p w14:paraId="1A5B4616">
      <w:pPr>
        <w:pStyle w:val="8"/>
        <w:spacing w:before="0" w:beforeAutospacing="0" w:after="0" w:afterAutospacing="0" w:line="360" w:lineRule="auto"/>
        <w:ind w:firstLine="420"/>
        <w:rPr>
          <w:rFonts w:hint="eastAsia"/>
          <w:sz w:val="21"/>
          <w:szCs w:val="21"/>
        </w:rPr>
      </w:pPr>
      <w:r>
        <w:rPr>
          <w:rFonts w:hint="eastAsia"/>
          <w:sz w:val="21"/>
          <w:szCs w:val="21"/>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w:t>
      </w:r>
    </w:p>
    <w:p w14:paraId="45B151A0">
      <w:pPr>
        <w:pStyle w:val="8"/>
        <w:spacing w:before="0" w:beforeAutospacing="0" w:after="0" w:afterAutospacing="0" w:line="360" w:lineRule="auto"/>
        <w:ind w:firstLine="420"/>
        <w:rPr>
          <w:rFonts w:hint="eastAsia"/>
          <w:sz w:val="21"/>
          <w:szCs w:val="21"/>
        </w:rPr>
      </w:pPr>
      <w:r>
        <w:rPr>
          <w:rFonts w:hint="eastAsia"/>
          <w:sz w:val="21"/>
          <w:szCs w:val="21"/>
        </w:rPr>
        <w:t>罗立女士，毕业于中央财经大学经济学院，获经济学硕士学位，美国注册管理会计师，香港证券及投资学会高级从业资格，高级经济师。现任招商局集团财务部（产权部）部长，招商局国际财务有限公司总经理。历任中国外运长航集团财务部资金主管、中外运长航财务有限公司（现更名为招商局集团财务有限公司）结算部总经理、总经理助理、党委委员、招商局集团财务部（产权部）总经理助理、招商局国际财务有限公司副总经理。</w:t>
      </w:r>
    </w:p>
    <w:p w14:paraId="0CA3765E">
      <w:pPr>
        <w:pStyle w:val="8"/>
        <w:spacing w:before="0" w:beforeAutospacing="0" w:after="0" w:afterAutospacing="0" w:line="360" w:lineRule="auto"/>
        <w:ind w:firstLine="420"/>
        <w:rPr>
          <w:rFonts w:hint="eastAsia"/>
          <w:sz w:val="21"/>
          <w:szCs w:val="21"/>
        </w:rPr>
      </w:pPr>
      <w:r>
        <w:rPr>
          <w:rFonts w:hint="eastAsia"/>
          <w:sz w:val="21"/>
          <w:szCs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5749503C">
      <w:pPr>
        <w:pStyle w:val="8"/>
        <w:spacing w:before="0" w:beforeAutospacing="0" w:after="0" w:afterAutospacing="0" w:line="360" w:lineRule="auto"/>
        <w:ind w:firstLine="420"/>
        <w:rPr>
          <w:rFonts w:hint="eastAsia"/>
          <w:sz w:val="21"/>
          <w:szCs w:val="21"/>
        </w:rPr>
      </w:pPr>
      <w:r>
        <w:rPr>
          <w:rFonts w:hint="eastAsia"/>
          <w:sz w:val="21"/>
          <w:szCs w:val="21"/>
        </w:rPr>
        <w:t>江向阳先生，博士。中共党员，南开大学国际金融博士，清华大学金融媒体EMBA。1986-1990年就读于北京师范大学信息与情报学系，获学士学位；1994-1997年就读于中国政法大学研究生院，获法学硕士学位；2003-2006年，就读于南开大学国际经济研究所，获国际金融博士学位。1997年8月至2014年12月就职于中国证监会，历任办公厅、党办副主任兼新闻办（网信办）主任；中国证监会办公厅副巡视员；中国证监会深圳专员办处长、副专员；中国证监会期货监管部副处长、处长。2015年1月至7月，任招商局金融集团副总经理、博时基金管理有限公司党委副书记。2015年7月至2020年10月任博时基金管理有限公司总经理。自2020年1月9日至2020年4月15日代为履行博时基金董事长职务。自2023年11月10日至2024年5月24日代为履行博时基金管理有限公司总经理职务。自2020年4月1日至2025年9月15日任博时基金管理有限公司党委书记。自2020年4月15日至2025年10月15日，任博时基金管理有限公司董事长。</w:t>
      </w:r>
    </w:p>
    <w:p w14:paraId="260EF917">
      <w:pPr>
        <w:pStyle w:val="8"/>
        <w:spacing w:before="0" w:beforeAutospacing="0" w:after="0" w:afterAutospacing="0" w:line="360" w:lineRule="auto"/>
        <w:ind w:firstLine="420"/>
        <w:rPr>
          <w:rFonts w:hint="eastAsia"/>
          <w:sz w:val="21"/>
          <w:szCs w:val="21"/>
        </w:rPr>
      </w:pPr>
      <w:r>
        <w:rPr>
          <w:rFonts w:hint="eastAsia"/>
          <w:sz w:val="21"/>
          <w:szCs w:val="21"/>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5510115D">
      <w:pPr>
        <w:pStyle w:val="8"/>
        <w:spacing w:before="0" w:beforeAutospacing="0" w:after="0" w:afterAutospacing="0" w:line="360" w:lineRule="auto"/>
        <w:ind w:firstLine="420"/>
        <w:rPr>
          <w:rFonts w:hint="eastAsia"/>
          <w:sz w:val="21"/>
          <w:szCs w:val="21"/>
        </w:rPr>
      </w:pPr>
      <w:r>
        <w:rPr>
          <w:rFonts w:hint="eastAsia"/>
          <w:sz w:val="21"/>
          <w:szCs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45FA6F4A">
      <w:pPr>
        <w:pStyle w:val="8"/>
        <w:spacing w:before="0" w:beforeAutospacing="0" w:after="0" w:afterAutospacing="0" w:line="360" w:lineRule="auto"/>
        <w:ind w:firstLine="420"/>
        <w:rPr>
          <w:rFonts w:hint="eastAsia"/>
          <w:sz w:val="21"/>
          <w:szCs w:val="21"/>
        </w:rPr>
      </w:pPr>
      <w:r>
        <w:rPr>
          <w:rFonts w:hint="eastAsia"/>
          <w:sz w:val="21"/>
          <w:szCs w:val="21"/>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3086B8F2">
      <w:pPr>
        <w:pStyle w:val="8"/>
        <w:spacing w:before="0" w:beforeAutospacing="0" w:after="0" w:afterAutospacing="0" w:line="360" w:lineRule="auto"/>
        <w:ind w:firstLine="420"/>
        <w:rPr>
          <w:rFonts w:hint="eastAsia"/>
          <w:sz w:val="21"/>
          <w:szCs w:val="21"/>
        </w:rPr>
      </w:pPr>
      <w:r>
        <w:rPr>
          <w:rFonts w:hint="eastAsia"/>
          <w:sz w:val="21"/>
          <w:szCs w:val="21"/>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577130F2">
      <w:pPr>
        <w:pStyle w:val="8"/>
        <w:spacing w:before="0" w:beforeAutospacing="0" w:after="0" w:afterAutospacing="0" w:line="360" w:lineRule="auto"/>
        <w:ind w:firstLine="420"/>
        <w:rPr>
          <w:rFonts w:hint="eastAsia"/>
          <w:sz w:val="21"/>
          <w:szCs w:val="21"/>
        </w:rPr>
      </w:pPr>
      <w:r>
        <w:rPr>
          <w:rFonts w:hint="eastAsia"/>
          <w:sz w:val="21"/>
          <w:szCs w:val="21"/>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5F5B8527">
      <w:pPr>
        <w:pStyle w:val="8"/>
        <w:spacing w:before="0" w:beforeAutospacing="0" w:after="0" w:afterAutospacing="0" w:line="360" w:lineRule="auto"/>
        <w:ind w:firstLine="420"/>
        <w:rPr>
          <w:rFonts w:hint="eastAsia"/>
          <w:sz w:val="21"/>
          <w:szCs w:val="21"/>
        </w:rPr>
      </w:pPr>
      <w:r>
        <w:rPr>
          <w:rFonts w:hint="eastAsia"/>
          <w:sz w:val="21"/>
          <w:szCs w:val="21"/>
        </w:rPr>
        <w:t>2、基金管理人监事会成员</w:t>
      </w:r>
    </w:p>
    <w:p w14:paraId="65636A63">
      <w:pPr>
        <w:pStyle w:val="8"/>
        <w:spacing w:before="0" w:beforeAutospacing="0" w:after="0" w:afterAutospacing="0" w:line="360" w:lineRule="auto"/>
        <w:ind w:firstLine="420"/>
        <w:rPr>
          <w:rFonts w:hint="eastAsia"/>
          <w:sz w:val="21"/>
          <w:szCs w:val="21"/>
        </w:rPr>
      </w:pPr>
      <w:r>
        <w:rPr>
          <w:rFonts w:hint="eastAsia"/>
          <w:sz w:val="21"/>
          <w:szCs w:val="21"/>
        </w:rPr>
        <w:t>胡艳君女士，经济师。本科毕业于中南财经政法大学财税系，取得学士学位；后取得中国财政科学研究院硕士学位。现任招商局集团有限公司财务部（产权部）副部长。历任招商局集团财务部总监，曾就职国家财政部。</w:t>
      </w:r>
    </w:p>
    <w:p w14:paraId="37D7DFC4">
      <w:pPr>
        <w:pStyle w:val="8"/>
        <w:spacing w:before="0" w:beforeAutospacing="0" w:after="0" w:afterAutospacing="0" w:line="360" w:lineRule="auto"/>
        <w:ind w:firstLine="420"/>
        <w:rPr>
          <w:rFonts w:hint="eastAsia"/>
          <w:sz w:val="21"/>
          <w:szCs w:val="21"/>
        </w:rPr>
      </w:pPr>
      <w:r>
        <w:rPr>
          <w:rFonts w:hint="eastAsia"/>
          <w:sz w:val="21"/>
          <w:szCs w:val="21"/>
        </w:rPr>
        <w:t>蒋伟先生，硕士。2011年3月至2017年5月就职于中国长城资产管理公司，分别任办公室外事处一级业务员、业务副主管、业务主管。2017年5月至2020年7月就职于香港长城罗斯基金管理有限公司任行政总监/执行董事。2020年7月至2024年7月历任中国长城资产管理股份有限公司资产经营三部、资产经营六部副高级经理、一级业务主管。2024年7月至今任中国长城资产管理股份有限公司资产经营六部高级经理。</w:t>
      </w:r>
    </w:p>
    <w:p w14:paraId="047FA385">
      <w:pPr>
        <w:pStyle w:val="8"/>
        <w:spacing w:before="0" w:beforeAutospacing="0" w:after="0" w:afterAutospacing="0" w:line="360" w:lineRule="auto"/>
        <w:ind w:firstLine="420"/>
        <w:rPr>
          <w:rFonts w:hint="eastAsia"/>
          <w:sz w:val="21"/>
          <w:szCs w:val="21"/>
        </w:rPr>
      </w:pPr>
      <w:r>
        <w:rPr>
          <w:rFonts w:hint="eastAsia"/>
          <w:sz w:val="21"/>
          <w:szCs w:val="21"/>
        </w:rPr>
        <w:t>冯春宝先生，硕士。2006年至2009年于天津港生活服务中心国际物流分公司任综合管理员；2009年至2017年就职于天津港（集团）有限公司，历任办公室公文文书、招商部综合科综合管理员、副科长；招商一部综合科副科长、科长；2017年至2023年就职于天津港经济技术合作有限公司，历任股权管理部部长、投资管理部部长、投资运营部经理、党委副书记、副总经理；2023年至今就职于天津津港产业发展有限公司，曾任党委副书记，现任天津津港产业发展有限公司副总经理，天津港（集团）有限公司多元经营管理中心主任（兼）。</w:t>
      </w:r>
    </w:p>
    <w:p w14:paraId="57FF8B80">
      <w:pPr>
        <w:pStyle w:val="8"/>
        <w:spacing w:before="0" w:beforeAutospacing="0" w:after="0" w:afterAutospacing="0" w:line="360" w:lineRule="auto"/>
        <w:ind w:firstLine="420"/>
        <w:rPr>
          <w:rFonts w:hint="eastAsia"/>
          <w:sz w:val="21"/>
          <w:szCs w:val="21"/>
        </w:rPr>
      </w:pPr>
      <w:r>
        <w:rPr>
          <w:rFonts w:hint="eastAsia"/>
          <w:sz w:val="21"/>
          <w:szCs w:val="21"/>
        </w:rPr>
        <w:t>车宏原先生，工学硕士。1985年至1989年在四川大学计算机系学习，获得学士学位。1989年至1992年在清华大学计算机系学习，获得硕士学位。1992年至1995年深圳市天元金融电子有限公司任技术部负责人，1995年至2000年在中国农业银行总行南方软件开发中心担任副总工程师，2001年至2003年在太极华清信息系统有限公司担任副总经理，2003年至2014年在景顺长城基金管理有限公司担任信息技术总监，2014年至2015年任中财国信（深圳）有限公司总经理，2015年11月加入博时基金管理有限公司，任信息技术部总经理。2022年3月16日起任董事总经理兼信息技术部总经理。2023年8月15日起任董事总经理兼信息技术部总经理、人工智能实验室主任。2024年4月2日起任首席数字官（总经理助理级）兼人工智能实验室主任。</w:t>
      </w:r>
    </w:p>
    <w:p w14:paraId="2629B5B1">
      <w:pPr>
        <w:pStyle w:val="8"/>
        <w:spacing w:before="0" w:beforeAutospacing="0" w:after="0" w:afterAutospacing="0" w:line="360" w:lineRule="auto"/>
        <w:ind w:firstLine="420"/>
        <w:rPr>
          <w:rFonts w:hint="eastAsia"/>
          <w:sz w:val="21"/>
          <w:szCs w:val="21"/>
        </w:rPr>
      </w:pPr>
      <w:r>
        <w:rPr>
          <w:rFonts w:hint="eastAsia"/>
          <w:sz w:val="21"/>
          <w:szCs w:val="21"/>
        </w:rPr>
        <w:t>严斌先生，硕士。1997年7月起先后在华侨城集团公司、博时基金管理有限公司工作。现任博时基金管理有限公司提质增效办主任。自2015年5月起，任博时基金管理有限公司监事。</w:t>
      </w:r>
    </w:p>
    <w:p w14:paraId="4B8B0877">
      <w:pPr>
        <w:pStyle w:val="8"/>
        <w:spacing w:before="0" w:beforeAutospacing="0" w:after="0" w:afterAutospacing="0" w:line="360" w:lineRule="auto"/>
        <w:ind w:firstLine="420"/>
        <w:rPr>
          <w:rFonts w:hint="eastAsia"/>
          <w:sz w:val="21"/>
          <w:szCs w:val="21"/>
        </w:rPr>
      </w:pPr>
      <w:r>
        <w:rPr>
          <w:rFonts w:hint="eastAsia"/>
          <w:sz w:val="21"/>
          <w:szCs w:val="21"/>
        </w:rPr>
        <w:t>何京京先生，硕士研究生，2004年8月至2006年3月在北京城建七建设工程有限公司工作，任会计、审计。2006年3月20日加入博时基金管理有限公司，任基金运作部基金清算会计。2013年7月1日起任基金运作部高级清算会计。2014年10月20日起任基金运作部TA资金清算组主管。2015年11月30日起任基金运作部副总经理兼TA资金清算组主管。2018年9月14日起任登记清算部总经理。2024年3月7日起任审计部总经理。</w:t>
      </w:r>
    </w:p>
    <w:p w14:paraId="50A7301F">
      <w:pPr>
        <w:pStyle w:val="8"/>
        <w:spacing w:before="0" w:beforeAutospacing="0" w:after="0" w:afterAutospacing="0" w:line="360" w:lineRule="auto"/>
        <w:ind w:firstLine="420"/>
        <w:rPr>
          <w:rFonts w:hint="eastAsia"/>
          <w:sz w:val="21"/>
          <w:szCs w:val="21"/>
        </w:rPr>
      </w:pPr>
      <w:r>
        <w:rPr>
          <w:rFonts w:hint="eastAsia"/>
          <w:sz w:val="21"/>
          <w:szCs w:val="21"/>
        </w:rPr>
        <w:t>3、高级管理人员</w:t>
      </w:r>
    </w:p>
    <w:p w14:paraId="37BB86C0">
      <w:pPr>
        <w:pStyle w:val="8"/>
        <w:spacing w:before="0" w:beforeAutospacing="0" w:after="0" w:afterAutospacing="0" w:line="360" w:lineRule="auto"/>
        <w:ind w:firstLine="420"/>
        <w:rPr>
          <w:rFonts w:hint="eastAsia"/>
          <w:sz w:val="21"/>
          <w:szCs w:val="21"/>
        </w:rPr>
      </w:pPr>
      <w:r>
        <w:rPr>
          <w:rFonts w:hint="eastAsia"/>
          <w:sz w:val="21"/>
          <w:szCs w:val="21"/>
        </w:rPr>
        <w:t>张东先生，简历同上。</w:t>
      </w:r>
    </w:p>
    <w:p w14:paraId="55E4A221">
      <w:pPr>
        <w:pStyle w:val="8"/>
        <w:spacing w:before="0" w:beforeAutospacing="0" w:after="0" w:afterAutospacing="0" w:line="360" w:lineRule="auto"/>
        <w:ind w:firstLine="420"/>
        <w:rPr>
          <w:rFonts w:hint="eastAsia"/>
          <w:sz w:val="21"/>
          <w:szCs w:val="21"/>
        </w:rPr>
      </w:pPr>
      <w:r>
        <w:rPr>
          <w:rFonts w:hint="eastAsia"/>
          <w:sz w:val="21"/>
          <w:szCs w:val="21"/>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5F74711E">
      <w:pPr>
        <w:pStyle w:val="8"/>
        <w:spacing w:before="0" w:beforeAutospacing="0" w:after="0" w:afterAutospacing="0" w:line="360" w:lineRule="auto"/>
        <w:ind w:firstLine="420"/>
        <w:rPr>
          <w:rFonts w:hint="eastAsia"/>
          <w:sz w:val="21"/>
          <w:szCs w:val="21"/>
        </w:rPr>
      </w:pPr>
      <w:r>
        <w:rPr>
          <w:rFonts w:hint="eastAsia"/>
          <w:sz w:val="21"/>
          <w:szCs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财富基金销售有限公司董事。</w:t>
      </w:r>
    </w:p>
    <w:p w14:paraId="2695FC7E">
      <w:pPr>
        <w:pStyle w:val="8"/>
        <w:spacing w:before="0" w:beforeAutospacing="0" w:after="0" w:afterAutospacing="0" w:line="360" w:lineRule="auto"/>
        <w:ind w:firstLine="420"/>
        <w:rPr>
          <w:rFonts w:hint="eastAsia"/>
          <w:sz w:val="21"/>
          <w:szCs w:val="21"/>
        </w:rPr>
      </w:pPr>
      <w:r>
        <w:rPr>
          <w:rFonts w:hint="eastAsia"/>
          <w:sz w:val="21"/>
          <w:szCs w:val="21"/>
        </w:rPr>
        <w:t>王德英先生，硕士，副总经理。1995年起先后在北京清华计算机公司任开发部经理、清华紫光股份公司CAD与信息事业部任总工程师。2000年加入博时基金管理有限公司，历任行政管理部副经理，电脑部副经理、信息技术部总经理。现任公司副总经理、首席信息官，主管IT、指数与量化投资、养老金等工作，兼任博时财富基金销售有限公司董事长和博时资本管理有限公司董事长。</w:t>
      </w:r>
    </w:p>
    <w:p w14:paraId="6B8C0781">
      <w:pPr>
        <w:pStyle w:val="8"/>
        <w:spacing w:before="0" w:beforeAutospacing="0" w:after="0" w:afterAutospacing="0" w:line="360" w:lineRule="auto"/>
        <w:ind w:firstLine="420"/>
        <w:rPr>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bookmarkStart w:id="32" w:name="field_0_managerpersoninfo_1_end"/>
      <w:bookmarkEnd w:id="32"/>
      <w:r>
        <w:rPr>
          <w:rFonts w:hint="eastAsia"/>
          <w:sz w:val="21"/>
          <w:szCs w:val="21"/>
        </w:rPr>
        <w:t xml:space="preserve">  </w:t>
      </w:r>
    </w:p>
    <w:p w14:paraId="1AB33067">
      <w:pPr>
        <w:pStyle w:val="8"/>
        <w:spacing w:before="0" w:beforeAutospacing="0" w:after="0" w:afterAutospacing="0" w:line="360" w:lineRule="auto"/>
        <w:ind w:firstLine="420"/>
        <w:rPr>
          <w:sz w:val="21"/>
          <w:szCs w:val="21"/>
        </w:rPr>
      </w:pPr>
      <w:bookmarkStart w:id="33" w:name="chapter_level1_5_53_section_2"/>
      <w:bookmarkEnd w:id="33"/>
      <w:r>
        <w:rPr>
          <w:rFonts w:hint="eastAsia"/>
          <w:sz w:val="21"/>
          <w:szCs w:val="21"/>
        </w:rPr>
        <w:t xml:space="preserve">4、本基金基金经理 </w:t>
      </w:r>
    </w:p>
    <w:p w14:paraId="3E7D8E32">
      <w:pPr>
        <w:pStyle w:val="8"/>
        <w:spacing w:before="0" w:beforeAutospacing="0" w:after="0" w:afterAutospacing="0" w:line="360" w:lineRule="auto"/>
        <w:ind w:firstLine="420"/>
        <w:rPr>
          <w:sz w:val="21"/>
          <w:szCs w:val="21"/>
        </w:rPr>
      </w:pPr>
      <w:bookmarkStart w:id="34" w:name="field_0_fundmanagerresume_1_start"/>
      <w:bookmarkEnd w:id="34"/>
      <w:r>
        <w:rPr>
          <w:rFonts w:hint="eastAsia"/>
          <w:sz w:val="21"/>
          <w:szCs w:val="21"/>
        </w:rPr>
        <w:t>万琼女士，硕士。2004年起先后在中企动力科技股份有限公司、华夏基金工作。2011年加入博时基金管理有限公司。历任投资助理、基金经理助理、博时富时中国A股指数证券投资基金(2017年9月29日-2019年9月5日)、上证超级大盘交易型开放式指数证券投资基金(2015年6月8日-2019年10月11日)、博时上证超级大盘交易型开放式指数证券投资基金联接基金(2015年6月8日-2019年10月11日)、博时恒生沪深港通大湾区综合交易型开放式指数证券投资基金(2020年4月30日-2022年5月27日)、博时上证自然资源交易型开放式指数证券投资基金联接基金(2015年6月8日-2022年7月7日)、上证自然资源交易型开放式指数证券投资基金(2015年6月8日-2022年7月7日)、博时中证可持续发展100交易型开放式指数证券投资基金(2020年1月19日-2023年3月8日)、博时中证红利交易型开放式指数证券投资基金(2020年3月20日-2023年3月8日)、博时沪深300交易型开放式指数证券投资基金(2020年4月3日-2023年3月8日)、博时创业板指数证券投资基金(2021年4月2日-2023年3月8日)、博时纳斯达克100指数型发起式证券投资基金（QDII）(2022年7月26日-2023年9月25日)、博时中证港股通消费主题交易型开放式指数证券投资基金(2022年3月3日-2024年11月8日)的基金经理。现任指数与量化投资部投资总监助理兼博时标普500交易型开放式指数证券投资基金联接基金(2015年10月8日—至今)、博时标普500交易型开放式指数证券投资基金(2015年10月8日—至今)、博时中证500交易型开放式指数证券投资基金(2019年8月1日—至今)、博时中证500交易型开放式指数证券投资基金发起式联接基金(2019年12月30日—至今)、博时恒生医疗保健交易型开放式指数证券投资基金(QDII)(2021年3月18日—至今)、博时恒生港股通高股息率交易型开放式指数证券投资基金(2021年5月11日—至今)、博时恒生科技交易型开放式指数证券投资基金(QDII)(2021年5月17日—至今)、博时中证全球中国教育主题交易型开放式指数证券投资基金(QDII)(2021年6月8日—至今)、博时恒生科技交易型开放式指数证券投资基金发起式联接基金（QDII）(2021年12月21日—至今)、博时恒生医疗保健交易型开放式指数证券投资基金发起式联接基金(QDII)(2021年12月28日—至今)、博时恒生港股通高股息率交易型开放式指数证券投资基金发起式联接基金(2022年1月10日—至今)、博时纳斯达克100交易型开放式指数证券投资基金（QDII）(2023年4月19日—至今)、博时纳斯达克100交易型开放式指数证券投资基金发起式联接基金（QDII）(2023年9月26日—至今)、博时创业板综合交易型开放式指数证券投资基金(2025年8月15日—至今)的基金经理。</w:t>
      </w:r>
      <w:bookmarkStart w:id="35" w:name="field_0_fundmanagerresume_1_end"/>
      <w:bookmarkEnd w:id="35"/>
      <w:r>
        <w:rPr>
          <w:rFonts w:hint="eastAsia"/>
          <w:sz w:val="21"/>
          <w:szCs w:val="21"/>
        </w:rPr>
        <w:t xml:space="preserve">  </w:t>
      </w:r>
    </w:p>
    <w:p w14:paraId="595A7B36">
      <w:pPr>
        <w:pStyle w:val="8"/>
        <w:spacing w:before="0" w:beforeAutospacing="0" w:after="0" w:afterAutospacing="0" w:line="360" w:lineRule="auto"/>
        <w:ind w:firstLine="420"/>
        <w:rPr>
          <w:sz w:val="21"/>
          <w:szCs w:val="21"/>
        </w:rPr>
      </w:pPr>
      <w:bookmarkStart w:id="36" w:name="field_0_fundmanagershis_1_start"/>
      <w:bookmarkEnd w:id="36"/>
      <w:r>
        <w:rPr>
          <w:rFonts w:hint="eastAsia"/>
          <w:sz w:val="21"/>
          <w:szCs w:val="21"/>
        </w:rPr>
        <w:t>本基金历任基金经理：王红欣（2013年12月5日-2015年7月7日）、方维玲（2015年5月5日-2015年12月23日）、汪洋(券商业务部)（2016年5月</w:t>
      </w:r>
      <w:bookmarkStart w:id="37" w:name="chapter_level1_5_53_section_2_end"/>
      <w:bookmarkEnd w:id="37"/>
      <w:r>
        <w:rPr>
          <w:rFonts w:hint="eastAsia"/>
          <w:sz w:val="21"/>
          <w:szCs w:val="21"/>
        </w:rPr>
        <w:t>16日-2021年9月23日）。</w:t>
      </w:r>
      <w:bookmarkStart w:id="38" w:name="field_0_fundmanagershis_1_end"/>
      <w:bookmarkEnd w:id="38"/>
      <w:r>
        <w:rPr>
          <w:rFonts w:hint="eastAsia"/>
          <w:sz w:val="21"/>
          <w:szCs w:val="21"/>
        </w:rPr>
        <w:t xml:space="preserve">  </w:t>
      </w:r>
    </w:p>
    <w:p w14:paraId="162312EC">
      <w:pPr>
        <w:pStyle w:val="8"/>
        <w:spacing w:before="0" w:beforeAutospacing="0" w:after="0" w:afterAutospacing="0" w:line="360" w:lineRule="auto"/>
        <w:ind w:firstLine="420"/>
        <w:rPr>
          <w:sz w:val="21"/>
          <w:szCs w:val="21"/>
        </w:rPr>
      </w:pPr>
      <w:bookmarkStart w:id="39" w:name="chapter_level1_5_53_section_3"/>
      <w:bookmarkEnd w:id="39"/>
      <w:bookmarkStart w:id="40" w:name="field_0_managerpersoninfo2_1_start"/>
      <w:bookmarkEnd w:id="40"/>
      <w:r>
        <w:rPr>
          <w:rFonts w:hint="eastAsia"/>
          <w:sz w:val="21"/>
          <w:szCs w:val="21"/>
        </w:rPr>
        <w:t xml:space="preserve">5、投资决策委员会成员 </w:t>
      </w:r>
    </w:p>
    <w:p w14:paraId="04EA5F0C">
      <w:pPr>
        <w:pStyle w:val="8"/>
        <w:spacing w:before="0" w:beforeAutospacing="0" w:after="0" w:afterAutospacing="0" w:line="360" w:lineRule="auto"/>
        <w:ind w:firstLine="420"/>
        <w:rPr>
          <w:sz w:val="21"/>
          <w:szCs w:val="21"/>
        </w:rPr>
      </w:pPr>
      <w:r>
        <w:rPr>
          <w:rFonts w:hint="eastAsia"/>
          <w:sz w:val="21"/>
          <w:szCs w:val="21"/>
        </w:rPr>
        <w:t>公司投资决策委员会专职委员兼年金投资部总经理于善辉先生。</w:t>
      </w:r>
    </w:p>
    <w:p w14:paraId="0B2051D2">
      <w:pPr>
        <w:pStyle w:val="8"/>
        <w:spacing w:before="0" w:beforeAutospacing="0" w:after="0" w:afterAutospacing="0" w:line="360" w:lineRule="auto"/>
        <w:ind w:firstLine="420"/>
        <w:rPr>
          <w:sz w:val="21"/>
          <w:szCs w:val="21"/>
        </w:rPr>
      </w:pPr>
      <w:r>
        <w:rPr>
          <w:rFonts w:hint="eastAsia"/>
          <w:sz w:val="21"/>
          <w:szCs w:val="21"/>
        </w:rPr>
        <w:t xml:space="preserve">公司首席资产配置官黄健斌先生。 </w:t>
      </w:r>
    </w:p>
    <w:p w14:paraId="5B754E05">
      <w:pPr>
        <w:pStyle w:val="8"/>
        <w:spacing w:before="0" w:beforeAutospacing="0" w:after="0" w:afterAutospacing="0" w:line="360" w:lineRule="auto"/>
        <w:ind w:firstLine="420"/>
        <w:rPr>
          <w:sz w:val="21"/>
          <w:szCs w:val="21"/>
        </w:rPr>
      </w:pPr>
      <w:r>
        <w:rPr>
          <w:rFonts w:hint="eastAsia"/>
          <w:sz w:val="21"/>
          <w:szCs w:val="21"/>
        </w:rPr>
        <w:t xml:space="preserve">首席基金经理过钧先生。 </w:t>
      </w:r>
    </w:p>
    <w:p w14:paraId="4E833D9F">
      <w:pPr>
        <w:pStyle w:val="8"/>
        <w:spacing w:before="0" w:beforeAutospacing="0" w:after="0" w:afterAutospacing="0" w:line="360" w:lineRule="auto"/>
        <w:ind w:firstLine="420"/>
        <w:rPr>
          <w:sz w:val="21"/>
          <w:szCs w:val="21"/>
        </w:rPr>
      </w:pPr>
      <w:r>
        <w:rPr>
          <w:rFonts w:hint="eastAsia"/>
          <w:sz w:val="21"/>
          <w:szCs w:val="21"/>
        </w:rPr>
        <w:t xml:space="preserve">首席投资官兼权益投研一体化总监、权益投资四部总经理、境外投资部总经理曾鹏先生。 </w:t>
      </w:r>
    </w:p>
    <w:p w14:paraId="279AA3A2">
      <w:pPr>
        <w:pStyle w:val="8"/>
        <w:spacing w:before="0" w:beforeAutospacing="0" w:after="0" w:afterAutospacing="0" w:line="360" w:lineRule="auto"/>
        <w:ind w:firstLine="420"/>
        <w:rPr>
          <w:sz w:val="21"/>
          <w:szCs w:val="21"/>
        </w:rPr>
      </w:pPr>
      <w:r>
        <w:rPr>
          <w:rFonts w:hint="eastAsia"/>
          <w:sz w:val="21"/>
          <w:szCs w:val="21"/>
        </w:rPr>
        <w:t xml:space="preserve">董事总经理兼权益投资三部总经理、权益投资三部投资总监蔡滨先生。 </w:t>
      </w:r>
    </w:p>
    <w:p w14:paraId="40AAF23B">
      <w:pPr>
        <w:pStyle w:val="8"/>
        <w:spacing w:before="0" w:beforeAutospacing="0" w:after="0" w:afterAutospacing="0" w:line="360" w:lineRule="auto"/>
        <w:ind w:firstLine="420"/>
        <w:rPr>
          <w:sz w:val="21"/>
          <w:szCs w:val="21"/>
        </w:rPr>
      </w:pPr>
      <w:r>
        <w:rPr>
          <w:rFonts w:hint="eastAsia"/>
          <w:sz w:val="21"/>
          <w:szCs w:val="21"/>
        </w:rPr>
        <w:t xml:space="preserve">行业研究部总经理魏立先生。 </w:t>
      </w:r>
    </w:p>
    <w:p w14:paraId="0D70D0D7">
      <w:pPr>
        <w:pStyle w:val="8"/>
        <w:spacing w:before="0" w:beforeAutospacing="0" w:after="0" w:afterAutospacing="0" w:line="360" w:lineRule="auto"/>
        <w:ind w:firstLine="420"/>
        <w:rPr>
          <w:sz w:val="21"/>
          <w:szCs w:val="21"/>
        </w:rPr>
      </w:pPr>
      <w:r>
        <w:rPr>
          <w:rFonts w:hint="eastAsia"/>
          <w:sz w:val="21"/>
          <w:szCs w:val="21"/>
        </w:rPr>
        <w:t xml:space="preserve">宏观策略部总经理兼行业研究部研究总监金晟哲先生。 </w:t>
      </w:r>
    </w:p>
    <w:p w14:paraId="18863A65">
      <w:r>
        <w:rPr>
          <w:rFonts w:hint="eastAsia"/>
          <w:sz w:val="21"/>
          <w:szCs w:val="21"/>
        </w:rPr>
        <w:t>指数与量化投资部总经理兼指数与量化投资部投资总监赵云阳先生。</w:t>
      </w:r>
    </w:p>
    <w:p w14:paraId="723C2A4D">
      <w:pPr>
        <w:pStyle w:val="8"/>
        <w:spacing w:before="0" w:beforeAutospacing="0" w:after="0" w:afterAutospacing="0" w:line="360" w:lineRule="auto"/>
        <w:ind w:firstLine="420"/>
        <w:rPr>
          <w:sz w:val="21"/>
          <w:szCs w:val="21"/>
        </w:rPr>
      </w:pPr>
      <w:bookmarkStart w:id="41" w:name="chapter_level1_5_53_section_3_end"/>
      <w:bookmarkEnd w:id="41"/>
      <w:r>
        <w:rPr>
          <w:rFonts w:hint="eastAsia"/>
          <w:sz w:val="21"/>
          <w:szCs w:val="21"/>
        </w:rPr>
        <w:t>6、上述人员之间均不存在近亲属关系。 </w:t>
      </w:r>
      <w:bookmarkStart w:id="42" w:name="field_0_managerpersoninfo2_1_end"/>
      <w:bookmarkEnd w:id="42"/>
      <w:r>
        <w:rPr>
          <w:rFonts w:hint="eastAsia"/>
          <w:sz w:val="21"/>
          <w:szCs w:val="21"/>
        </w:rPr>
        <w:t xml:space="preserve">  </w:t>
      </w:r>
    </w:p>
    <w:p w14:paraId="5A1F7C7B">
      <w:pPr>
        <w:pStyle w:val="8"/>
        <w:spacing w:before="0" w:beforeAutospacing="0" w:after="0" w:afterAutospacing="0" w:line="360" w:lineRule="auto"/>
        <w:ind w:firstLine="420"/>
        <w:rPr>
          <w:sz w:val="21"/>
          <w:szCs w:val="21"/>
        </w:rPr>
      </w:pPr>
      <w:bookmarkStart w:id="43" w:name="chapter_level1_5_53_section_4"/>
      <w:bookmarkEnd w:id="43"/>
      <w:r>
        <w:rPr>
          <w:rFonts w:hint="eastAsia"/>
          <w:b/>
          <w:bCs/>
          <w:sz w:val="21"/>
          <w:szCs w:val="21"/>
        </w:rPr>
        <w:t>三、基金管理人的职责</w:t>
      </w:r>
    </w:p>
    <w:p w14:paraId="66E4535F">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02CBA1F4">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04908A14">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55668496">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3AF31EB5">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096332CF">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4EA633BC">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2FA57F9A">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0D4B888A">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7F868A24">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58B75F09">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7C044D56">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57D8A1E8">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219ACD0C">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72610139">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2544D0B6">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56ABCC54">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63457F69">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16C8D8FF">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C4307FC">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0B40C4F7">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2D8ADFD8">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188D12DE">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95D2FCF">
      <w:pPr>
        <w:pStyle w:val="8"/>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5B0A415E">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528C9EE5">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1ED0EB47">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0E326312">
      <w:pPr>
        <w:pStyle w:val="8"/>
        <w:spacing w:before="0" w:beforeAutospacing="0" w:after="0" w:afterAutospacing="0" w:line="360" w:lineRule="auto"/>
        <w:ind w:firstLine="420"/>
        <w:rPr>
          <w:sz w:val="21"/>
          <w:szCs w:val="21"/>
        </w:rPr>
      </w:pPr>
      <w:r>
        <w:rPr>
          <w:rFonts w:hint="eastAsia"/>
          <w:b/>
          <w:bCs/>
          <w:sz w:val="21"/>
          <w:szCs w:val="21"/>
        </w:rPr>
        <w:t>四、基金管理人的承诺</w:t>
      </w:r>
    </w:p>
    <w:p w14:paraId="4A991D71">
      <w:pPr>
        <w:pStyle w:val="8"/>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4DE2FA8E">
      <w:pPr>
        <w:pStyle w:val="8"/>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50B02A60">
      <w:pPr>
        <w:pStyle w:val="8"/>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3B3A74DD">
      <w:pPr>
        <w:pStyle w:val="8"/>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41FF1E09">
      <w:pPr>
        <w:pStyle w:val="8"/>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301E173F">
      <w:pPr>
        <w:pStyle w:val="8"/>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31C74811">
      <w:pPr>
        <w:pStyle w:val="8"/>
        <w:spacing w:before="0" w:beforeAutospacing="0" w:after="0" w:afterAutospacing="0" w:line="360" w:lineRule="auto"/>
        <w:ind w:firstLine="420"/>
        <w:rPr>
          <w:sz w:val="21"/>
          <w:szCs w:val="21"/>
        </w:rPr>
      </w:pPr>
      <w:r>
        <w:rPr>
          <w:rFonts w:hint="eastAsia"/>
          <w:sz w:val="21"/>
          <w:szCs w:val="21"/>
        </w:rPr>
        <w:t xml:space="preserve">（5）侵占、挪用基金财产；   </w:t>
      </w:r>
    </w:p>
    <w:p w14:paraId="11742F59">
      <w:pPr>
        <w:pStyle w:val="8"/>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1553979C">
      <w:pPr>
        <w:pStyle w:val="8"/>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7D22AA3D">
      <w:pPr>
        <w:pStyle w:val="8"/>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17632D1F">
      <w:pPr>
        <w:pStyle w:val="8"/>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6A83A1A4">
      <w:pPr>
        <w:pStyle w:val="8"/>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48D13DDD">
      <w:pPr>
        <w:pStyle w:val="8"/>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303AB6EF">
      <w:pPr>
        <w:pStyle w:val="8"/>
        <w:spacing w:before="0" w:beforeAutospacing="0" w:after="0" w:afterAutospacing="0" w:line="360" w:lineRule="auto"/>
        <w:ind w:firstLine="420"/>
        <w:rPr>
          <w:sz w:val="21"/>
          <w:szCs w:val="21"/>
        </w:rPr>
      </w:pPr>
      <w:r>
        <w:rPr>
          <w:rFonts w:hint="eastAsia"/>
          <w:b/>
          <w:bCs/>
          <w:sz w:val="21"/>
          <w:szCs w:val="21"/>
        </w:rPr>
        <w:t>五、基金经理承诺</w:t>
      </w:r>
    </w:p>
    <w:p w14:paraId="1528D14F">
      <w:pPr>
        <w:pStyle w:val="8"/>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2135C4CF">
      <w:pPr>
        <w:pStyle w:val="8"/>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176FAA23">
      <w:pPr>
        <w:pStyle w:val="8"/>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79AC0B79">
      <w:pPr>
        <w:pStyle w:val="8"/>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2B0E5B89">
      <w:pPr>
        <w:pStyle w:val="8"/>
        <w:spacing w:before="0" w:beforeAutospacing="0" w:after="0" w:afterAutospacing="0" w:line="360" w:lineRule="auto"/>
        <w:ind w:firstLine="420"/>
        <w:rPr>
          <w:sz w:val="21"/>
          <w:szCs w:val="21"/>
        </w:rPr>
      </w:pPr>
      <w:r>
        <w:rPr>
          <w:rStyle w:val="12"/>
          <w:rFonts w:hint="eastAsia"/>
          <w:sz w:val="21"/>
          <w:szCs w:val="21"/>
        </w:rPr>
        <w:t>六、基金管理人的内部控制制度</w:t>
      </w:r>
    </w:p>
    <w:p w14:paraId="25AB2E32">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1、风险管理的原则</w:t>
      </w:r>
    </w:p>
    <w:p w14:paraId="17B7E150">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（1）全面性原则</w:t>
      </w:r>
    </w:p>
    <w:p w14:paraId="255D75A0">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公司风险管理必须覆盖公司的所有部门和岗位，渗透各项业务过程和业务环节。</w:t>
      </w:r>
    </w:p>
    <w:p w14:paraId="664306B3">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（2）独立性原则</w:t>
      </w:r>
    </w:p>
    <w:p w14:paraId="2F1CE0E6">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公司设立独立的法律合规部，法律合规部保持高度的独立性和权威性，负责对公司各部门风险控制工作进行检查。</w:t>
      </w:r>
    </w:p>
    <w:p w14:paraId="56F23796">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（3）相互制约原则</w:t>
      </w:r>
    </w:p>
    <w:p w14:paraId="65B235C5">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公司及各部门在内部组织结构的设计上要形成一种相互制约的机制，建立不同岗位之间的制衡体系。</w:t>
      </w:r>
    </w:p>
    <w:p w14:paraId="44209697">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（4）定性和定量相结合原则</w:t>
      </w:r>
    </w:p>
    <w:p w14:paraId="7EBBCE3F">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建立完备的风险管理指标体系，使风险管理更具客观性和操作性。</w:t>
      </w:r>
    </w:p>
    <w:p w14:paraId="02C8668F">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2、风险管理和内部风险控制体系结构</w:t>
      </w:r>
    </w:p>
    <w:p w14:paraId="779FA71E">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w:t>
      </w:r>
    </w:p>
    <w:p w14:paraId="5368D3C9">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（1）董事会</w:t>
      </w:r>
    </w:p>
    <w:p w14:paraId="6FF0B36D">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负责制定公司的风险管理政策，对风险管理负完全的和最终的责任。</w:t>
      </w:r>
    </w:p>
    <w:p w14:paraId="5DEF610B">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（2）风险管理委员会</w:t>
      </w:r>
    </w:p>
    <w:p w14:paraId="3A9B2B25">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149B2292">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（3）督察长</w:t>
      </w:r>
    </w:p>
    <w:p w14:paraId="3059DB08">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独立行使督察权利；直接对董事会负责；按季向风险管理委员会提交独立的风险管理报告和风险管理建议。</w:t>
      </w:r>
    </w:p>
    <w:p w14:paraId="17900FF2">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（4）法律合规部</w:t>
      </w:r>
    </w:p>
    <w:p w14:paraId="76233E83">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法律合规部负责对公司风险管理政策和措施的执行情况进行检查，并为每一个部门的风险管理系统的发展提供协助，使公司在一种风险管理和控制的环境中实现业务目标。</w:t>
      </w:r>
    </w:p>
    <w:p w14:paraId="306CEACC">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（5）风险管理部</w:t>
      </w:r>
    </w:p>
    <w:p w14:paraId="368BE511">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风险管理部负责建立和完善公司投资风险管理制度与流程，组织实施公司投资风险管理与绩效分析工作，确保公司各类投资风险得到良好监督与控制。</w:t>
      </w:r>
    </w:p>
    <w:p w14:paraId="2BB6928B">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（6）业务部门</w:t>
      </w:r>
    </w:p>
    <w:p w14:paraId="5B19956D">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风险管理是每一个业务部门最首要的责任。部门经理对本部门的风险负全部责任，负责履行公司的风险管理程序，负责本部门的风险管理系统的开发、执行和维护，用于识别、监控和降低风险。</w:t>
      </w:r>
    </w:p>
    <w:p w14:paraId="756F69F9">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3、风险管理和内部风险控制的措施</w:t>
      </w:r>
    </w:p>
    <w:p w14:paraId="2D545845">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（1）建立内控结构，完善内控制度</w:t>
      </w:r>
    </w:p>
    <w:p w14:paraId="64E69F21">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公司建立、健全了内控结构，高管人员关于内控有明确的分工，确保各项业务活动有恰当的组织和授权，确保监察活动是独立的，并得到高管人员的支持，同时置备操作手册，并定期更新。</w:t>
      </w:r>
    </w:p>
    <w:p w14:paraId="6AA68FF4">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（2）建立相互分离、相互制衡的内控机制</w:t>
      </w:r>
    </w:p>
    <w:p w14:paraId="23C804F6">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建立、健全了各项制度，做到基金经理分开，投资决策分开，基金交易集中，形成不同部门，不同岗位之间的制衡机制，从制度上减少和防范风险。</w:t>
      </w:r>
    </w:p>
    <w:p w14:paraId="7CE580D9">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（3）建立、健全岗位责任制</w:t>
      </w:r>
    </w:p>
    <w:p w14:paraId="4C2596E1">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建立、健全了岗位责任制，使每个员工都明确自己的任务、职责，并及时将各自工作领域中的风险隐患上报，以防范和减少风险。</w:t>
      </w:r>
    </w:p>
    <w:p w14:paraId="63DB7590">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（4）建立风险分类、识别、评估、报告、提示程序</w:t>
      </w:r>
    </w:p>
    <w:p w14:paraId="10585F85">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3C6EFA9F">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（5）建立有效的内部监控系统</w:t>
      </w:r>
    </w:p>
    <w:p w14:paraId="12BF461D">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建立了足够、有效的内部监控系统，如电脑预警系统、投资监控系统，对可能出现的各种风险进行全面和实时的监控。</w:t>
      </w:r>
    </w:p>
    <w:p w14:paraId="7651898E">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（6）使用数量化的风险管理手段</w:t>
      </w:r>
    </w:p>
    <w:p w14:paraId="1EB8076F">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采取数量化、技术化的风险控制手段，建立数量化的风险管理模型，用以提示指数趋势、行业及个股的风险，以便公司及时采取有效的措施，对风险进行分散、控制和规避，尽可能地减少损失。</w:t>
      </w:r>
    </w:p>
    <w:p w14:paraId="14A122FA">
      <w:pPr>
        <w:widowControl/>
        <w:spacing w:line="360" w:lineRule="auto"/>
        <w:ind w:firstLine="420"/>
        <w:jc w:val="left"/>
        <w:rPr>
          <w:rFonts w:ascii="宋体" w:hAnsi="宋体" w:eastAsia="宋体" w:cs="宋体"/>
          <w:kern w:val="0"/>
          <w:szCs w:val="21"/>
        </w:rPr>
      </w:pPr>
      <w:r>
        <w:rPr>
          <w:rFonts w:hint="eastAsia" w:ascii="宋体" w:hAnsi="宋体" w:eastAsia="宋体" w:cs="宋体"/>
          <w:kern w:val="0"/>
          <w:szCs w:val="21"/>
        </w:rPr>
        <w:t>（7）提供足够的培训</w:t>
      </w:r>
    </w:p>
    <w:p w14:paraId="33D273A7">
      <w:r>
        <w:rPr>
          <w:rFonts w:hint="eastAsia" w:ascii="宋体" w:hAnsi="宋体" w:eastAsia="宋体" w:cs="宋体"/>
          <w:kern w:val="0"/>
          <w:szCs w:val="21"/>
        </w:rPr>
        <w:t>制定了完整的培训计划，为所有员工提供足够和适当的培训，使员工明确其职责所在，控制风险。</w:t>
      </w:r>
    </w:p>
    <w:p w14:paraId="3DA7982C">
      <w:pPr>
        <w:pStyle w:val="8"/>
        <w:spacing w:before="0" w:beforeAutospacing="0" w:after="0" w:afterAutospacing="0" w:line="360" w:lineRule="auto"/>
        <w:ind w:firstLine="420"/>
        <w:rPr>
          <w:sz w:val="21"/>
          <w:szCs w:val="21"/>
        </w:rPr>
      </w:pPr>
      <w:r>
        <w:rPr>
          <w:rFonts w:hint="eastAsia"/>
          <w:sz w:val="21"/>
          <w:szCs w:val="21"/>
        </w:rPr>
        <w:t xml:space="preserve"> </w:t>
      </w:r>
    </w:p>
    <w:p w14:paraId="4F413568">
      <w:pPr>
        <w:widowControl/>
        <w:jc w:val="left"/>
        <w:rPr>
          <w:rFonts w:ascii="宋体" w:hAnsi="宋体" w:eastAsia="宋体"/>
        </w:rPr>
      </w:pPr>
      <w:r>
        <w:rPr>
          <w:rFonts w:ascii="宋体" w:hAnsi="宋体" w:eastAsia="宋体"/>
        </w:rPr>
        <w:br w:type="page"/>
      </w:r>
    </w:p>
    <w:p w14:paraId="736FD220">
      <w:pPr>
        <w:pStyle w:val="2"/>
        <w:jc w:val="center"/>
        <w:rPr>
          <w:rFonts w:ascii="宋体" w:hAnsi="宋体" w:eastAsia="宋体"/>
          <w:sz w:val="30"/>
        </w:rPr>
      </w:pPr>
      <w:bookmarkStart w:id="44" w:name="_Toc209441838"/>
      <w:bookmarkStart w:id="45" w:name="chapter_level1_6_55"/>
      <w:r>
        <w:rPr>
          <w:rFonts w:hint="eastAsia" w:ascii="宋体" w:hAnsi="宋体" w:eastAsia="宋体"/>
          <w:sz w:val="30"/>
        </w:rPr>
        <w:t>第四部分  基金托管人</w:t>
      </w:r>
      <w:bookmarkEnd w:id="44"/>
      <w:bookmarkEnd w:id="45"/>
    </w:p>
    <w:p w14:paraId="4EDF1DCE">
      <w:pPr>
        <w:pStyle w:val="8"/>
        <w:spacing w:before="0" w:beforeAutospacing="0" w:after="0" w:afterAutospacing="0" w:line="360" w:lineRule="auto"/>
        <w:ind w:firstLine="420"/>
        <w:rPr>
          <w:sz w:val="21"/>
          <w:szCs w:val="21"/>
        </w:rPr>
      </w:pPr>
      <w:bookmarkStart w:id="46" w:name="chapter_level1_6_55_section_1"/>
      <w:bookmarkEnd w:id="46"/>
      <w:bookmarkStart w:id="47" w:name="field_0_trustcompanyinfo_1_start"/>
      <w:bookmarkEnd w:id="47"/>
      <w:r>
        <w:rPr>
          <w:rFonts w:hint="eastAsia"/>
          <w:sz w:val="21"/>
          <w:szCs w:val="21"/>
        </w:rPr>
        <w:t xml:space="preserve">（一）基金托管人基本情况 </w:t>
      </w:r>
    </w:p>
    <w:p w14:paraId="233E9E91">
      <w:pPr>
        <w:pStyle w:val="8"/>
        <w:spacing w:before="0" w:beforeAutospacing="0" w:after="0" w:afterAutospacing="0" w:line="360" w:lineRule="auto"/>
        <w:ind w:firstLine="420"/>
        <w:rPr>
          <w:sz w:val="21"/>
          <w:szCs w:val="21"/>
        </w:rPr>
      </w:pPr>
      <w:r>
        <w:rPr>
          <w:rFonts w:hint="eastAsia"/>
          <w:sz w:val="21"/>
          <w:szCs w:val="21"/>
        </w:rPr>
        <w:t xml:space="preserve">名称：中国工商银行股份有限公司 </w:t>
      </w:r>
    </w:p>
    <w:p w14:paraId="407C4483">
      <w:pPr>
        <w:pStyle w:val="8"/>
        <w:spacing w:before="0" w:beforeAutospacing="0" w:after="0" w:afterAutospacing="0" w:line="360" w:lineRule="auto"/>
        <w:ind w:firstLine="420"/>
        <w:rPr>
          <w:sz w:val="21"/>
          <w:szCs w:val="21"/>
        </w:rPr>
      </w:pPr>
      <w:r>
        <w:rPr>
          <w:rFonts w:hint="eastAsia"/>
          <w:sz w:val="21"/>
          <w:szCs w:val="21"/>
        </w:rPr>
        <w:t xml:space="preserve">注册地址：北京市西城区复兴门内大街55号 </w:t>
      </w:r>
    </w:p>
    <w:p w14:paraId="561CB77B">
      <w:pPr>
        <w:pStyle w:val="8"/>
        <w:spacing w:before="0" w:beforeAutospacing="0" w:after="0" w:afterAutospacing="0" w:line="360" w:lineRule="auto"/>
        <w:ind w:firstLine="420"/>
        <w:rPr>
          <w:sz w:val="21"/>
          <w:szCs w:val="21"/>
        </w:rPr>
      </w:pPr>
      <w:r>
        <w:rPr>
          <w:rFonts w:hint="eastAsia"/>
          <w:sz w:val="21"/>
          <w:szCs w:val="21"/>
        </w:rPr>
        <w:t xml:space="preserve">成立时间：1984年1月1日 </w:t>
      </w:r>
    </w:p>
    <w:p w14:paraId="5B8F9883">
      <w:pPr>
        <w:pStyle w:val="8"/>
        <w:spacing w:before="0" w:beforeAutospacing="0" w:after="0" w:afterAutospacing="0" w:line="360" w:lineRule="auto"/>
        <w:ind w:firstLine="420"/>
        <w:rPr>
          <w:sz w:val="21"/>
          <w:szCs w:val="21"/>
        </w:rPr>
      </w:pPr>
      <w:r>
        <w:rPr>
          <w:rFonts w:hint="eastAsia"/>
          <w:sz w:val="21"/>
          <w:szCs w:val="21"/>
        </w:rPr>
        <w:t xml:space="preserve">法定代表人： 廖林 </w:t>
      </w:r>
    </w:p>
    <w:p w14:paraId="43E8FC03">
      <w:pPr>
        <w:pStyle w:val="8"/>
        <w:spacing w:before="0" w:beforeAutospacing="0" w:after="0" w:afterAutospacing="0" w:line="360" w:lineRule="auto"/>
        <w:ind w:firstLine="420"/>
        <w:rPr>
          <w:sz w:val="21"/>
          <w:szCs w:val="21"/>
        </w:rPr>
      </w:pPr>
      <w:r>
        <w:rPr>
          <w:rFonts w:hint="eastAsia"/>
          <w:sz w:val="21"/>
          <w:szCs w:val="21"/>
        </w:rPr>
        <w:t xml:space="preserve">注册资本：人民币35,640,625.7089万元 </w:t>
      </w:r>
    </w:p>
    <w:p w14:paraId="7099CCFC">
      <w:pPr>
        <w:pStyle w:val="8"/>
        <w:spacing w:before="0" w:beforeAutospacing="0" w:after="0" w:afterAutospacing="0" w:line="360" w:lineRule="auto"/>
        <w:ind w:firstLine="420"/>
        <w:rPr>
          <w:sz w:val="21"/>
          <w:szCs w:val="21"/>
        </w:rPr>
      </w:pPr>
      <w:r>
        <w:rPr>
          <w:rFonts w:hint="eastAsia"/>
          <w:sz w:val="21"/>
          <w:szCs w:val="21"/>
        </w:rPr>
        <w:t xml:space="preserve">联系电话：010-66105799 </w:t>
      </w:r>
    </w:p>
    <w:p w14:paraId="52F82DBE">
      <w:pPr>
        <w:pStyle w:val="8"/>
        <w:spacing w:before="0" w:beforeAutospacing="0" w:after="0" w:afterAutospacing="0" w:line="360" w:lineRule="auto"/>
        <w:ind w:firstLine="420"/>
        <w:rPr>
          <w:sz w:val="21"/>
          <w:szCs w:val="21"/>
        </w:rPr>
      </w:pPr>
      <w:r>
        <w:rPr>
          <w:rFonts w:hint="eastAsia"/>
          <w:sz w:val="21"/>
          <w:szCs w:val="21"/>
        </w:rPr>
        <w:t xml:space="preserve">联系人：郭明 </w:t>
      </w:r>
    </w:p>
    <w:p w14:paraId="27489B58">
      <w:pPr>
        <w:pStyle w:val="8"/>
        <w:spacing w:before="0" w:beforeAutospacing="0" w:after="0" w:afterAutospacing="0" w:line="360" w:lineRule="auto"/>
        <w:ind w:firstLine="420"/>
        <w:rPr>
          <w:sz w:val="21"/>
          <w:szCs w:val="21"/>
        </w:rPr>
      </w:pPr>
      <w:r>
        <w:rPr>
          <w:rFonts w:hint="eastAsia"/>
          <w:sz w:val="21"/>
          <w:szCs w:val="21"/>
        </w:rPr>
        <w:t xml:space="preserve">（二）主要人员情况 </w:t>
      </w:r>
    </w:p>
    <w:p w14:paraId="34D31CEA">
      <w:pPr>
        <w:pStyle w:val="8"/>
        <w:spacing w:before="0" w:beforeAutospacing="0" w:after="0" w:afterAutospacing="0" w:line="360" w:lineRule="auto"/>
        <w:ind w:firstLine="420"/>
        <w:rPr>
          <w:sz w:val="21"/>
          <w:szCs w:val="21"/>
        </w:rPr>
      </w:pPr>
      <w:r>
        <w:rPr>
          <w:rFonts w:hint="eastAsia"/>
          <w:sz w:val="21"/>
          <w:szCs w:val="21"/>
        </w:rPr>
        <w:t xml:space="preserve">截至2025年6月，中国工商银行资产托管部共有员工209人，平均年龄38岁，99%以上员工拥有大学本科以上学历，高管人员均拥有研究生以上学历或高级技术职称。 </w:t>
      </w:r>
    </w:p>
    <w:p w14:paraId="1794846B">
      <w:pPr>
        <w:pStyle w:val="8"/>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1F264CEF">
      <w:pPr>
        <w:pStyle w:val="8"/>
        <w:spacing w:before="0" w:beforeAutospacing="0" w:after="0" w:afterAutospacing="0" w:line="360" w:lineRule="auto"/>
        <w:ind w:firstLine="420"/>
        <w:rPr>
          <w:sz w:val="21"/>
          <w:szCs w:val="21"/>
        </w:rPr>
      </w:pPr>
      <w:r>
        <w:rPr>
          <w:rFonts w:hint="eastAsia"/>
          <w:sz w:val="21"/>
          <w:szCs w:val="21"/>
        </w:rPr>
        <w:t>作为中国大陆托管服务的先行者，中国工商银行自1998年在国内首家提供托管服务以来，秉承“诚实信用、勤勉尽责”的宗旨，依靠严密科学的风险管理和内部控制体系、规范的管理模式、先进的营运系统和专业的服务团队，严格履行资产托管人职责，为境内外广大投资者、金融资产管理机构和企业客户提供安全、高效、专业的托管服务，展现优异的市场形象和影响力。建立了国内托管银行中最丰富、最成熟的产品线。拥有包括证券投资基金、信托资产、保险资产、社会保障基金、基本养老保险、企业年金基金、QFI资产、QDII资产、股权投资基金、证券公司集合资产管理计划、证券公司定向资产管理计划、商业银行信贷资产证券化、基金公司特定客户资产管理、QDII专户资产、ESCROW等门类齐全的托管产品体系，同时在国内率先开展绩效评估、风险管理等增值服务，可以为各类客户提供个性化的托管服务。截至2025年6月，中国工商银行共托管证券投资基金1481只。自2003年以来，本行连续二十二年获得香港《亚洲货币》、英国《全球托管人》、香港《财资》、美国《环球金融》、内地《证券时报》、《上海证券报》等境内外权威财经媒体评选的109项最佳托管银行大奖；是获得奖项最多的国内托管银行，优良的服务品质获得国内外金融领域的持续</w:t>
      </w:r>
      <w:bookmarkStart w:id="48" w:name="chapter_level1_6_55_section_1_end"/>
      <w:bookmarkEnd w:id="48"/>
      <w:r>
        <w:rPr>
          <w:rFonts w:hint="eastAsia"/>
          <w:sz w:val="21"/>
          <w:szCs w:val="21"/>
        </w:rPr>
        <w:t xml:space="preserve">认可和广泛好评。 </w:t>
      </w:r>
      <w:bookmarkStart w:id="49" w:name="field_0_trustcompanyinfo_1_end"/>
      <w:bookmarkEnd w:id="49"/>
      <w:r>
        <w:rPr>
          <w:rFonts w:hint="eastAsia"/>
          <w:sz w:val="21"/>
          <w:szCs w:val="21"/>
        </w:rPr>
        <w:t xml:space="preserve">  </w:t>
      </w:r>
    </w:p>
    <w:p w14:paraId="0990D823">
      <w:pPr>
        <w:pStyle w:val="8"/>
        <w:spacing w:before="0" w:beforeAutospacing="0" w:after="0" w:afterAutospacing="0" w:line="360" w:lineRule="auto"/>
        <w:ind w:firstLine="420"/>
        <w:rPr>
          <w:sz w:val="21"/>
          <w:szCs w:val="21"/>
        </w:rPr>
      </w:pPr>
      <w:bookmarkStart w:id="50" w:name="chapter_level1_6_55_section_2"/>
      <w:bookmarkEnd w:id="50"/>
      <w:bookmarkStart w:id="51" w:name="field_0_trustcontrollawinfo_1_start"/>
      <w:bookmarkEnd w:id="51"/>
      <w:r>
        <w:rPr>
          <w:rFonts w:hint="eastAsia"/>
          <w:sz w:val="21"/>
          <w:szCs w:val="21"/>
        </w:rPr>
        <w:t xml:space="preserve">（四）基金托管人的内部控制情况 </w:t>
      </w:r>
    </w:p>
    <w:p w14:paraId="64FDB3F4">
      <w:pPr>
        <w:pStyle w:val="8"/>
        <w:spacing w:before="0" w:beforeAutospacing="0" w:after="0" w:afterAutospacing="0" w:line="360" w:lineRule="auto"/>
        <w:ind w:firstLine="420"/>
        <w:rPr>
          <w:sz w:val="21"/>
          <w:szCs w:val="21"/>
        </w:rPr>
      </w:pPr>
      <w:r>
        <w:rPr>
          <w:rFonts w:hint="eastAsia"/>
          <w:sz w:val="21"/>
          <w:szCs w:val="21"/>
        </w:rPr>
        <w:t xml:space="preserve">中国工商银行资产托管部在风险管理的实操过程中根据国际公认的内部控制COSO准则从内部环境、风险评估、控制活动、信息与沟通、监督与评价五个方面构建起了托管业务内部风险控制体系，并纳入统一的风险管理体系。 </w:t>
      </w:r>
    </w:p>
    <w:p w14:paraId="0AC31B81">
      <w:pPr>
        <w:pStyle w:val="8"/>
        <w:spacing w:before="0" w:beforeAutospacing="0" w:after="0" w:afterAutospacing="0" w:line="360" w:lineRule="auto"/>
        <w:ind w:firstLine="420"/>
        <w:rPr>
          <w:sz w:val="21"/>
          <w:szCs w:val="21"/>
        </w:rPr>
      </w:pPr>
      <w:r>
        <w:rPr>
          <w:rFonts w:hint="eastAsia"/>
          <w:sz w:val="21"/>
          <w:szCs w:val="21"/>
        </w:rPr>
        <w:t xml:space="preserve">中国工商银行资产托管部从成立之日起始终秉持规范运作的原则，将建立系统、高效的风险防范和控制体系视为工作重点。随着市场环境的变化和托管业务的快速发展，新问题新情况的不断出现，资产托管部自始至终将风险管理置于与业务发展同等重要的位置，视风险防范和控制为托管业务生存与发展的生命线。资产托管部实施全员风险管理，将风险控制责任落实到具体业务部门和相关业务岗位，每位员工均有义务对自己岗位职责范围内的风险负责。从2005年至今，中国工商银行资产托管部共十八次顺利通过评估组织内部控制和安全措施最权威的ISAE3402审阅，全部获得无保留意见的控制及有效性报告，充分表明独立第三方对中国工商银行托管服务在风险管理、内部控制方面的健全性和有效性的全面认可，也证明中国工商银行托管服务的风险控制能力已经与国际大型托管银行接轨，达到国际先进水平。 </w:t>
      </w:r>
    </w:p>
    <w:p w14:paraId="25D983E8">
      <w:pPr>
        <w:pStyle w:val="8"/>
        <w:spacing w:before="0" w:beforeAutospacing="0" w:after="0" w:afterAutospacing="0" w:line="360" w:lineRule="auto"/>
        <w:ind w:firstLine="420"/>
        <w:rPr>
          <w:sz w:val="21"/>
          <w:szCs w:val="21"/>
        </w:rPr>
      </w:pPr>
      <w:r>
        <w:rPr>
          <w:rFonts w:hint="eastAsia"/>
          <w:sz w:val="21"/>
          <w:szCs w:val="21"/>
        </w:rPr>
        <w:t xml:space="preserve">1.内部控制目标 </w:t>
      </w:r>
    </w:p>
    <w:p w14:paraId="20C0DDCB">
      <w:pPr>
        <w:pStyle w:val="8"/>
        <w:spacing w:before="0" w:beforeAutospacing="0" w:after="0" w:afterAutospacing="0" w:line="360" w:lineRule="auto"/>
        <w:ind w:firstLine="420"/>
        <w:rPr>
          <w:sz w:val="21"/>
          <w:szCs w:val="21"/>
        </w:rPr>
      </w:pPr>
      <w:r>
        <w:rPr>
          <w:rFonts w:hint="eastAsia"/>
          <w:sz w:val="21"/>
          <w:szCs w:val="21"/>
        </w:rPr>
        <w:t xml:space="preserve">（1）资产托管业务经营管理合法合规； </w:t>
      </w:r>
    </w:p>
    <w:p w14:paraId="76359F75">
      <w:pPr>
        <w:pStyle w:val="8"/>
        <w:spacing w:before="0" w:beforeAutospacing="0" w:after="0" w:afterAutospacing="0" w:line="360" w:lineRule="auto"/>
        <w:ind w:firstLine="420"/>
        <w:rPr>
          <w:sz w:val="21"/>
          <w:szCs w:val="21"/>
        </w:rPr>
      </w:pPr>
      <w:r>
        <w:rPr>
          <w:rFonts w:hint="eastAsia"/>
          <w:sz w:val="21"/>
          <w:szCs w:val="21"/>
        </w:rPr>
        <w:t xml:space="preserve">（2）促进实现资产托管业务发展战略和经营目标； </w:t>
      </w:r>
    </w:p>
    <w:p w14:paraId="156A5203">
      <w:pPr>
        <w:pStyle w:val="8"/>
        <w:spacing w:before="0" w:beforeAutospacing="0" w:after="0" w:afterAutospacing="0" w:line="360" w:lineRule="auto"/>
        <w:ind w:firstLine="420"/>
        <w:rPr>
          <w:sz w:val="21"/>
          <w:szCs w:val="21"/>
        </w:rPr>
      </w:pPr>
      <w:r>
        <w:rPr>
          <w:rFonts w:hint="eastAsia"/>
          <w:sz w:val="21"/>
          <w:szCs w:val="21"/>
        </w:rPr>
        <w:t xml:space="preserve">（3）资产托管业务风险管理的有效性和资产安全； </w:t>
      </w:r>
    </w:p>
    <w:p w14:paraId="4F0DC88E">
      <w:pPr>
        <w:pStyle w:val="8"/>
        <w:spacing w:before="0" w:beforeAutospacing="0" w:after="0" w:afterAutospacing="0" w:line="360" w:lineRule="auto"/>
        <w:ind w:firstLine="420"/>
        <w:rPr>
          <w:sz w:val="21"/>
          <w:szCs w:val="21"/>
        </w:rPr>
      </w:pPr>
      <w:r>
        <w:rPr>
          <w:rFonts w:hint="eastAsia"/>
          <w:sz w:val="21"/>
          <w:szCs w:val="21"/>
        </w:rPr>
        <w:t xml:space="preserve">（4）提高资产托管经营效率和效果； </w:t>
      </w:r>
    </w:p>
    <w:p w14:paraId="1F3B9D7F">
      <w:pPr>
        <w:pStyle w:val="8"/>
        <w:spacing w:before="0" w:beforeAutospacing="0" w:after="0" w:afterAutospacing="0" w:line="360" w:lineRule="auto"/>
        <w:ind w:firstLine="420"/>
        <w:rPr>
          <w:sz w:val="21"/>
          <w:szCs w:val="21"/>
        </w:rPr>
      </w:pPr>
      <w:r>
        <w:rPr>
          <w:rFonts w:hint="eastAsia"/>
          <w:sz w:val="21"/>
          <w:szCs w:val="21"/>
        </w:rPr>
        <w:t xml:space="preserve">（5）业务记录、会计信息和其他经营管理相关信息的真实、准确、完整、及时。 </w:t>
      </w:r>
    </w:p>
    <w:p w14:paraId="3AC135F4">
      <w:pPr>
        <w:pStyle w:val="8"/>
        <w:spacing w:before="0" w:beforeAutospacing="0" w:after="0" w:afterAutospacing="0" w:line="360" w:lineRule="auto"/>
        <w:ind w:firstLine="420"/>
        <w:rPr>
          <w:sz w:val="21"/>
          <w:szCs w:val="21"/>
        </w:rPr>
      </w:pPr>
      <w:r>
        <w:rPr>
          <w:rFonts w:hint="eastAsia"/>
          <w:sz w:val="21"/>
          <w:szCs w:val="21"/>
        </w:rPr>
        <w:t xml:space="preserve">2.内部控制的原则 </w:t>
      </w:r>
    </w:p>
    <w:p w14:paraId="78656B8B">
      <w:pPr>
        <w:pStyle w:val="8"/>
        <w:spacing w:before="0" w:beforeAutospacing="0" w:after="0" w:afterAutospacing="0" w:line="360" w:lineRule="auto"/>
        <w:ind w:firstLine="420"/>
        <w:rPr>
          <w:sz w:val="21"/>
          <w:szCs w:val="21"/>
        </w:rPr>
      </w:pPr>
      <w:r>
        <w:rPr>
          <w:rFonts w:hint="eastAsia"/>
          <w:sz w:val="21"/>
          <w:szCs w:val="21"/>
        </w:rPr>
        <w:t xml:space="preserve">（1）全面性原则。资产托管业务内部控制应贯穿决策、执行和监督全过程，覆盖资产托管业务各项业务流程和管理活动，覆盖所有机构、部门和从业人员。 </w:t>
      </w:r>
    </w:p>
    <w:p w14:paraId="7BDF0C97">
      <w:pPr>
        <w:pStyle w:val="8"/>
        <w:spacing w:before="0" w:beforeAutospacing="0" w:after="0" w:afterAutospacing="0" w:line="360" w:lineRule="auto"/>
        <w:ind w:firstLine="420"/>
        <w:rPr>
          <w:sz w:val="21"/>
          <w:szCs w:val="21"/>
        </w:rPr>
      </w:pPr>
      <w:r>
        <w:rPr>
          <w:rFonts w:hint="eastAsia"/>
          <w:sz w:val="21"/>
          <w:szCs w:val="21"/>
        </w:rPr>
        <w:t xml:space="preserve">（2）重要性原则。资产托管业务内部控制应在全面控制基础上，关注重要业务事项、重点业务环节和高风险领域。 </w:t>
      </w:r>
    </w:p>
    <w:p w14:paraId="0938F212">
      <w:pPr>
        <w:pStyle w:val="8"/>
        <w:spacing w:before="0" w:beforeAutospacing="0" w:after="0" w:afterAutospacing="0" w:line="360" w:lineRule="auto"/>
        <w:ind w:firstLine="420"/>
        <w:rPr>
          <w:sz w:val="21"/>
          <w:szCs w:val="21"/>
        </w:rPr>
      </w:pPr>
      <w:r>
        <w:rPr>
          <w:rFonts w:hint="eastAsia"/>
          <w:sz w:val="21"/>
          <w:szCs w:val="21"/>
        </w:rPr>
        <w:t xml:space="preserve">（3）制衡性原则。资产托管业务内部控制应在机构设置、权责分配及业务流程等方面形成相互制约、相互监督的机制，同时兼顾运营效率。 </w:t>
      </w:r>
    </w:p>
    <w:p w14:paraId="49E817DF">
      <w:pPr>
        <w:pStyle w:val="8"/>
        <w:spacing w:before="0" w:beforeAutospacing="0" w:after="0" w:afterAutospacing="0" w:line="360" w:lineRule="auto"/>
        <w:ind w:firstLine="420"/>
        <w:rPr>
          <w:sz w:val="21"/>
          <w:szCs w:val="21"/>
        </w:rPr>
      </w:pPr>
      <w:r>
        <w:rPr>
          <w:rFonts w:hint="eastAsia"/>
          <w:sz w:val="21"/>
          <w:szCs w:val="21"/>
        </w:rPr>
        <w:t xml:space="preserve">（4）适应性原则。资产托管业务内部控制应当与经营规模、业务范围和风险特点相适应，并进行动态调整，以合理成本实现内部控制目标。 </w:t>
      </w:r>
    </w:p>
    <w:p w14:paraId="12F1BF71">
      <w:pPr>
        <w:pStyle w:val="8"/>
        <w:spacing w:before="0" w:beforeAutospacing="0" w:after="0" w:afterAutospacing="0" w:line="360" w:lineRule="auto"/>
        <w:ind w:firstLine="420"/>
        <w:rPr>
          <w:sz w:val="21"/>
          <w:szCs w:val="21"/>
        </w:rPr>
      </w:pPr>
      <w:r>
        <w:rPr>
          <w:rFonts w:hint="eastAsia"/>
          <w:sz w:val="21"/>
          <w:szCs w:val="21"/>
        </w:rPr>
        <w:t xml:space="preserve">（5）审慎性原则。资产托管业务内部控制应坚持风险为本、审慎经营的理念，设立机构或开展各项经营管理活动均应坚持内控优先。 </w:t>
      </w:r>
    </w:p>
    <w:p w14:paraId="4C505007">
      <w:pPr>
        <w:pStyle w:val="8"/>
        <w:spacing w:before="0" w:beforeAutospacing="0" w:after="0" w:afterAutospacing="0" w:line="360" w:lineRule="auto"/>
        <w:ind w:firstLine="420"/>
        <w:rPr>
          <w:sz w:val="21"/>
          <w:szCs w:val="21"/>
        </w:rPr>
      </w:pPr>
      <w:r>
        <w:rPr>
          <w:rFonts w:hint="eastAsia"/>
          <w:sz w:val="21"/>
          <w:szCs w:val="21"/>
        </w:rPr>
        <w:t xml:space="preserve">（6）成本效益原则。资产托管业务内部控制应权衡实施成本与预期效益，以合理成本实现有效控制。 </w:t>
      </w:r>
    </w:p>
    <w:p w14:paraId="597E17AE">
      <w:pPr>
        <w:pStyle w:val="8"/>
        <w:spacing w:before="0" w:beforeAutospacing="0" w:after="0" w:afterAutospacing="0" w:line="360" w:lineRule="auto"/>
        <w:ind w:firstLine="420"/>
        <w:rPr>
          <w:sz w:val="21"/>
          <w:szCs w:val="21"/>
        </w:rPr>
      </w:pPr>
      <w:r>
        <w:rPr>
          <w:rFonts w:hint="eastAsia"/>
          <w:sz w:val="21"/>
          <w:szCs w:val="21"/>
        </w:rPr>
        <w:t xml:space="preserve">3.内部控制组织结构 </w:t>
      </w:r>
    </w:p>
    <w:p w14:paraId="00097988">
      <w:pPr>
        <w:pStyle w:val="8"/>
        <w:spacing w:before="0" w:beforeAutospacing="0" w:after="0" w:afterAutospacing="0" w:line="360" w:lineRule="auto"/>
        <w:ind w:firstLine="420"/>
        <w:rPr>
          <w:sz w:val="21"/>
          <w:szCs w:val="21"/>
        </w:rPr>
      </w:pPr>
      <w:r>
        <w:rPr>
          <w:rFonts w:hint="eastAsia"/>
          <w:sz w:val="21"/>
          <w:szCs w:val="21"/>
        </w:rPr>
        <w:t xml:space="preserve">资产托管业务内部控制纳入全行统一的内部控制体系。 </w:t>
      </w:r>
    </w:p>
    <w:p w14:paraId="6289E03C">
      <w:pPr>
        <w:pStyle w:val="8"/>
        <w:spacing w:before="0" w:beforeAutospacing="0" w:after="0" w:afterAutospacing="0" w:line="360" w:lineRule="auto"/>
        <w:ind w:firstLine="420"/>
        <w:rPr>
          <w:sz w:val="21"/>
          <w:szCs w:val="21"/>
        </w:rPr>
      </w:pPr>
      <w:r>
        <w:rPr>
          <w:rFonts w:hint="eastAsia"/>
          <w:sz w:val="21"/>
          <w:szCs w:val="21"/>
        </w:rPr>
        <w:t xml:space="preserve">（1）总行资产托管部根据内部控制基本规定建立健全资产托管业务内部控制体系，作为全行托管业务的牵头管理部门，根据行内内部控制基本规定建立健全内部控制体系，建立与托管业务条线相适应的内部控制运行机制，确定各项业务活动的风险控制点，制定标准统一的业务制度；采取适当的控制措施，合理保证托管业务流程的经营效率和效果，组织开展资产托管业务内部控制措施的执行、监督和检查，督促各机构落实控制措施。 </w:t>
      </w:r>
    </w:p>
    <w:p w14:paraId="1D422ADE">
      <w:pPr>
        <w:pStyle w:val="8"/>
        <w:spacing w:before="0" w:beforeAutospacing="0" w:after="0" w:afterAutospacing="0" w:line="360" w:lineRule="auto"/>
        <w:ind w:firstLine="420"/>
        <w:rPr>
          <w:sz w:val="21"/>
          <w:szCs w:val="21"/>
        </w:rPr>
      </w:pPr>
      <w:r>
        <w:rPr>
          <w:rFonts w:hint="eastAsia"/>
          <w:sz w:val="21"/>
          <w:szCs w:val="21"/>
        </w:rPr>
        <w:t xml:space="preserve">（2）总行内控合规部负责指导托管业务的内控管理工作，根据年度工作重点，定期或不定期在全行开展相关业务监督检查，将托管业务检查项目整合到全行业务监督检查工作中，将全行托管业务纳入内控评价体系。 </w:t>
      </w:r>
    </w:p>
    <w:p w14:paraId="503E2468">
      <w:pPr>
        <w:pStyle w:val="8"/>
        <w:spacing w:before="0" w:beforeAutospacing="0" w:after="0" w:afterAutospacing="0" w:line="360" w:lineRule="auto"/>
        <w:ind w:firstLine="420"/>
        <w:rPr>
          <w:sz w:val="21"/>
          <w:szCs w:val="21"/>
        </w:rPr>
      </w:pPr>
      <w:r>
        <w:rPr>
          <w:rFonts w:hint="eastAsia"/>
          <w:sz w:val="21"/>
          <w:szCs w:val="21"/>
        </w:rPr>
        <w:t xml:space="preserve">（3）总行内部审计局负责对资产托管业务的审计与评价工作。 </w:t>
      </w:r>
    </w:p>
    <w:p w14:paraId="1685EBA8">
      <w:pPr>
        <w:pStyle w:val="8"/>
        <w:spacing w:before="0" w:beforeAutospacing="0" w:after="0" w:afterAutospacing="0" w:line="360" w:lineRule="auto"/>
        <w:ind w:firstLine="420"/>
        <w:rPr>
          <w:sz w:val="21"/>
          <w:szCs w:val="21"/>
        </w:rPr>
      </w:pPr>
      <w:r>
        <w:rPr>
          <w:rFonts w:hint="eastAsia"/>
          <w:sz w:val="21"/>
          <w:szCs w:val="21"/>
        </w:rPr>
        <w:t xml:space="preserve">（4）一级（直属）分行资产托管业务部门作为内部控制的执行机构，负责组织开展本机构内部控制的日常运行及自查工作，及时整改、纠正、处理存在的问题。 </w:t>
      </w:r>
    </w:p>
    <w:p w14:paraId="0B72C102">
      <w:pPr>
        <w:pStyle w:val="8"/>
        <w:spacing w:before="0" w:beforeAutospacing="0" w:after="0" w:afterAutospacing="0" w:line="360" w:lineRule="auto"/>
        <w:ind w:firstLine="420"/>
        <w:rPr>
          <w:sz w:val="21"/>
          <w:szCs w:val="21"/>
        </w:rPr>
      </w:pPr>
      <w:r>
        <w:rPr>
          <w:rFonts w:hint="eastAsia"/>
          <w:sz w:val="21"/>
          <w:szCs w:val="21"/>
        </w:rPr>
        <w:t xml:space="preserve">4.内部控制措施 </w:t>
      </w:r>
    </w:p>
    <w:p w14:paraId="426EA65C">
      <w:pPr>
        <w:pStyle w:val="8"/>
        <w:spacing w:before="0" w:beforeAutospacing="0" w:after="0" w:afterAutospacing="0" w:line="360" w:lineRule="auto"/>
        <w:ind w:firstLine="420"/>
        <w:rPr>
          <w:sz w:val="21"/>
          <w:szCs w:val="21"/>
        </w:rPr>
      </w:pPr>
      <w:r>
        <w:rPr>
          <w:rFonts w:hint="eastAsia"/>
          <w:sz w:val="21"/>
          <w:szCs w:val="21"/>
        </w:rPr>
        <w:t xml:space="preserve">工商银行资产托管部重视内部控制制度的建设，坚持把风险防范和控制的理念和方法融入岗位职责、制度建设和工作流程中，建立了一整套内部控制制度体系，包括《资产托管业务管理规定》、《资产托管业务内部控制管理办法》、《资产托管业务全面风险管理办法》、《资产托管业务营运管理办法》、《资产托管业务合同管理办法》、《资产托管业务档案管理办法》、《资产托管业务系统管理办法》、《资产托管业务重大突发事件应急预案》、《资产托管业务从业人员管理办法》等，在环境、制度、流程、岗位职责、人员、授权、创新、合同、印章、服务质量、收费、反洗钱、防止利益冲突、业务连续性、考核、信息系统等全方面执行内部控制措施。 </w:t>
      </w:r>
    </w:p>
    <w:p w14:paraId="41FA6F29">
      <w:pPr>
        <w:pStyle w:val="8"/>
        <w:spacing w:before="0" w:beforeAutospacing="0" w:after="0" w:afterAutospacing="0" w:line="360" w:lineRule="auto"/>
        <w:ind w:firstLine="420"/>
        <w:rPr>
          <w:sz w:val="21"/>
          <w:szCs w:val="21"/>
        </w:rPr>
      </w:pPr>
      <w:r>
        <w:rPr>
          <w:rFonts w:hint="eastAsia"/>
          <w:sz w:val="21"/>
          <w:szCs w:val="21"/>
        </w:rPr>
        <w:t xml:space="preserve">5.风险控制 </w:t>
      </w:r>
    </w:p>
    <w:p w14:paraId="5D09924E">
      <w:pPr>
        <w:pStyle w:val="8"/>
        <w:spacing w:before="0" w:beforeAutospacing="0" w:after="0" w:afterAutospacing="0" w:line="360" w:lineRule="auto"/>
        <w:ind w:firstLine="420"/>
        <w:rPr>
          <w:sz w:val="21"/>
          <w:szCs w:val="21"/>
        </w:rPr>
      </w:pPr>
      <w:r>
        <w:rPr>
          <w:rFonts w:hint="eastAsia"/>
          <w:sz w:val="21"/>
          <w:szCs w:val="21"/>
        </w:rPr>
        <w:t xml:space="preserve">资产托管业务切实履行风险管理第一道防线的主体职责，按照“主动防、智能控、全面管”的管理思路，主动将资产托管业务的风险管理纳入全行全面风险管理体系，以“管住人、管住钱、管好防线、管好底线”为管理重点，搭建适应资产托管业务特点的风险管理架构，通过推进托管业务体制机制与完善集约化营运改革、建立资产托管风险管理委员会机制、完善资产托管业务制度体系、加强资产托管业务队伍建设、科技赋能、建立健全应急灾备体系、建立审计发现问题整改台账、加强人员管理等措施，有效控制操作风险、合规风险、声誉风险、信息科技风险和次生风险。 </w:t>
      </w:r>
    </w:p>
    <w:p w14:paraId="119FA99E">
      <w:pPr>
        <w:pStyle w:val="8"/>
        <w:spacing w:before="0" w:beforeAutospacing="0" w:after="0" w:afterAutospacing="0" w:line="360" w:lineRule="auto"/>
        <w:ind w:firstLine="420"/>
        <w:rPr>
          <w:sz w:val="21"/>
          <w:szCs w:val="21"/>
        </w:rPr>
      </w:pPr>
      <w:r>
        <w:rPr>
          <w:rFonts w:hint="eastAsia"/>
          <w:sz w:val="21"/>
          <w:szCs w:val="21"/>
        </w:rPr>
        <w:t xml:space="preserve">6.业务连续性保障 </w:t>
      </w:r>
    </w:p>
    <w:p w14:paraId="7F17765A">
      <w:pPr>
        <w:pStyle w:val="8"/>
        <w:spacing w:before="0" w:beforeAutospacing="0" w:after="0" w:afterAutospacing="0" w:line="360" w:lineRule="auto"/>
        <w:ind w:firstLine="420"/>
        <w:rPr>
          <w:sz w:val="21"/>
          <w:szCs w:val="21"/>
        </w:rPr>
      </w:pPr>
      <w:r>
        <w:rPr>
          <w:rFonts w:hint="eastAsia"/>
          <w:sz w:val="21"/>
          <w:szCs w:val="21"/>
        </w:rPr>
        <w:t xml:space="preserve">中国工商银行制订了完善的资产托管业务连续性工作计划和应急预案，具备行之有效的灾备恢复方案、充足的移动办公设备、同城异城相结合的备份办公场所、必要的工作人员、科学清晰的AB岗位设置及定期演练机制。在重大突发事件发生后，可根据突发事件的对托管业务连续性营运影响程度的评估，适时选择或依次启动“原场所现场+居家”、“部分同城异地+居家”、“部分异城异地+居家”、“异地全部切换”四种方案，由“总部+总行级营运中心+托管分部+境外营运机构”形成全球、全天候营运网络，向客户提供连续性服务，确保托管产品日常交易的及时清算和交割。 </w:t>
      </w:r>
    </w:p>
    <w:p w14:paraId="5A80605D">
      <w:pPr>
        <w:pStyle w:val="8"/>
        <w:spacing w:before="0" w:beforeAutospacing="0" w:after="0" w:afterAutospacing="0" w:line="360" w:lineRule="auto"/>
        <w:ind w:firstLine="420"/>
        <w:rPr>
          <w:sz w:val="21"/>
          <w:szCs w:val="21"/>
        </w:rPr>
      </w:pPr>
      <w:r>
        <w:rPr>
          <w:rFonts w:hint="eastAsia"/>
          <w:sz w:val="21"/>
          <w:szCs w:val="21"/>
        </w:rPr>
        <w:t xml:space="preserve">（五）基金托管人对基金管理人运作基金进行监督的方法和程序 </w:t>
      </w:r>
    </w:p>
    <w:p w14:paraId="5C6D8133">
      <w:pPr>
        <w:pStyle w:val="8"/>
        <w:spacing w:before="0" w:beforeAutospacing="0" w:after="0" w:afterAutospacing="0" w:line="360" w:lineRule="auto"/>
        <w:ind w:firstLine="420"/>
        <w:rPr>
          <w:sz w:val="21"/>
          <w:szCs w:val="21"/>
        </w:rPr>
      </w:pPr>
      <w:r>
        <w:rPr>
          <w:rFonts w:hint="eastAsia"/>
          <w:sz w:val="21"/>
          <w:szCs w:val="21"/>
        </w:rPr>
        <w:t xml:space="preserve">根据《基金法》、基金合同、托管协议和有关基金法规的规定，基金托管人对基金的投资范围和投资对象、基金投融资比例、基金投资禁止行为、基金参与银行间债券市场、基金资产净值的计算、基金份额净值计算、应收资金到账、基金费用开支及收入确定、基金收益分配、相关信息披露、基金宣传推介材料中登载基金业绩表现数据等进行监督和核查，其中对基金的投资比例的监督和核查自基金合同生效之后六个月开始。 </w:t>
      </w:r>
    </w:p>
    <w:p w14:paraId="6D853CC2">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违反《基金法》、基金合同、基金托管协议或有关基金法律法规规定的行为，应及时以书面形式通知基金管理人限期纠正，基金管理人收到通知后应及时核对，并以书面形式对基金托管人发出回函确认。在限期内，基金托管人有权随时对通知事项进行复查，督促基金管理人改正。基金管理人对基金托管人通知的违规事项未能在限期内纠正的，基金托管人应报告中国证监会。 </w:t>
      </w:r>
    </w:p>
    <w:p w14:paraId="2CFDFAFA">
      <w:pPr>
        <w:pStyle w:val="8"/>
        <w:spacing w:before="0" w:beforeAutospacing="0" w:after="0" w:afterAutospacing="0" w:line="360" w:lineRule="auto"/>
        <w:ind w:firstLine="420"/>
        <w:rPr>
          <w:sz w:val="21"/>
          <w:szCs w:val="21"/>
        </w:rPr>
      </w:pPr>
      <w:r>
        <w:rPr>
          <w:rFonts w:hint="eastAsia"/>
          <w:sz w:val="21"/>
          <w:szCs w:val="21"/>
        </w:rPr>
        <w:t>基金托管人发现基金管理人有重大违规行为，应立即报告中国证监会，同时通知基金管</w:t>
      </w:r>
      <w:bookmarkStart w:id="52" w:name="chapter_level1_6_55_section_2_end"/>
      <w:bookmarkEnd w:id="52"/>
      <w:r>
        <w:rPr>
          <w:rFonts w:hint="eastAsia"/>
          <w:sz w:val="21"/>
          <w:szCs w:val="21"/>
        </w:rPr>
        <w:t xml:space="preserve">理人限期纠正。 </w:t>
      </w:r>
      <w:bookmarkStart w:id="53" w:name="field_0_trustcontrollawinfo_1_end"/>
      <w:bookmarkEnd w:id="53"/>
      <w:r>
        <w:rPr>
          <w:rFonts w:hint="eastAsia"/>
          <w:sz w:val="21"/>
          <w:szCs w:val="21"/>
        </w:rPr>
        <w:t xml:space="preserve">  </w:t>
      </w:r>
    </w:p>
    <w:p w14:paraId="75846178">
      <w:pPr>
        <w:widowControl/>
        <w:jc w:val="left"/>
        <w:rPr>
          <w:rFonts w:ascii="宋体" w:hAnsi="宋体" w:eastAsia="宋体"/>
        </w:rPr>
      </w:pPr>
      <w:r>
        <w:rPr>
          <w:rFonts w:ascii="宋体" w:hAnsi="宋体" w:eastAsia="宋体"/>
        </w:rPr>
        <w:br w:type="page"/>
      </w:r>
    </w:p>
    <w:p w14:paraId="3C854212">
      <w:pPr>
        <w:pStyle w:val="2"/>
        <w:jc w:val="center"/>
        <w:rPr>
          <w:rFonts w:ascii="宋体" w:hAnsi="宋体" w:eastAsia="宋体"/>
          <w:sz w:val="30"/>
        </w:rPr>
      </w:pPr>
      <w:bookmarkStart w:id="54" w:name="_Toc209441839"/>
      <w:bookmarkStart w:id="55" w:name="chapter_level1_7_56"/>
      <w:r>
        <w:rPr>
          <w:rFonts w:hint="eastAsia" w:ascii="宋体" w:hAnsi="宋体" w:eastAsia="宋体"/>
          <w:sz w:val="30"/>
        </w:rPr>
        <w:t>第五部分  相关服务机构</w:t>
      </w:r>
      <w:bookmarkEnd w:id="54"/>
      <w:bookmarkEnd w:id="55"/>
    </w:p>
    <w:p w14:paraId="4DC9A2F5">
      <w:pPr>
        <w:pStyle w:val="8"/>
        <w:spacing w:before="0" w:beforeAutospacing="0" w:after="0" w:afterAutospacing="0" w:line="360" w:lineRule="auto"/>
        <w:ind w:firstLine="420"/>
        <w:rPr>
          <w:sz w:val="21"/>
          <w:szCs w:val="21"/>
        </w:rPr>
      </w:pPr>
      <w:bookmarkStart w:id="56" w:name="chapter_level1_7_56_section_1"/>
      <w:bookmarkEnd w:id="56"/>
      <w:r>
        <w:rPr>
          <w:rStyle w:val="12"/>
          <w:rFonts w:hint="eastAsia"/>
          <w:sz w:val="21"/>
          <w:szCs w:val="21"/>
        </w:rPr>
        <w:t>一、基金份额销售机构</w:t>
      </w:r>
    </w:p>
    <w:p w14:paraId="2248BD8E">
      <w:pPr>
        <w:pStyle w:val="8"/>
        <w:spacing w:before="0" w:beforeAutospacing="0" w:after="0" w:afterAutospacing="0" w:line="360" w:lineRule="auto"/>
        <w:ind w:firstLine="420"/>
        <w:rPr>
          <w:sz w:val="21"/>
          <w:szCs w:val="21"/>
        </w:rPr>
      </w:pPr>
      <w:bookmarkStart w:id="57" w:name="chapter_level1_7_56_section_1_end"/>
      <w:bookmarkEnd w:id="57"/>
      <w:r>
        <w:rPr>
          <w:rFonts w:hint="eastAsia"/>
          <w:sz w:val="21"/>
          <w:szCs w:val="21"/>
        </w:rPr>
        <w:t xml:space="preserve">1．申购赎回代理券商（简称“一级交易商”） </w:t>
      </w:r>
    </w:p>
    <w:p w14:paraId="4D7B906C">
      <w:pPr>
        <w:pStyle w:val="8"/>
        <w:spacing w:before="0" w:beforeAutospacing="0" w:after="0" w:afterAutospacing="0" w:line="360" w:lineRule="auto"/>
        <w:ind w:firstLine="420"/>
        <w:rPr>
          <w:sz w:val="21"/>
          <w:szCs w:val="21"/>
        </w:rPr>
      </w:pPr>
      <w:bookmarkStart w:id="58" w:name="field_0_allproxysaletables_1_start"/>
      <w:bookmarkEnd w:id="58"/>
      <w:bookmarkStart w:id="59" w:name="chapter_level1_7_56_section_2"/>
      <w:bookmarkEnd w:id="59"/>
      <w:r>
        <w:rPr>
          <w:rFonts w:hint="eastAsia"/>
          <w:b/>
          <w:bCs/>
          <w:sz w:val="21"/>
          <w:szCs w:val="21"/>
        </w:rPr>
        <w:t>(1)国泰海通证券股份有限公司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B793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8E4BA">
            <w:pPr>
              <w:pStyle w:val="8"/>
            </w:pPr>
            <w:r>
              <w:rPr>
                <w:rFonts w:hint="eastAsia"/>
              </w:rPr>
              <w:t xml:space="preserve">注册地址： </w:t>
            </w:r>
          </w:p>
        </w:tc>
        <w:tc>
          <w:tcPr>
            <w:tcW w:w="7440" w:type="dxa"/>
            <w:shd w:val="clear" w:color="auto" w:fill="auto"/>
          </w:tcPr>
          <w:p w14:paraId="79524F36">
            <w:pPr>
              <w:pStyle w:val="8"/>
            </w:pPr>
            <w:r>
              <w:rPr>
                <w:rFonts w:hint="eastAsia"/>
              </w:rPr>
              <w:t xml:space="preserve">中国（上海）自由贸易试验区商城路618号  </w:t>
            </w:r>
          </w:p>
        </w:tc>
      </w:tr>
      <w:tr w14:paraId="63294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521E20">
            <w:pPr>
              <w:pStyle w:val="8"/>
            </w:pPr>
            <w:r>
              <w:rPr>
                <w:rFonts w:hint="eastAsia"/>
              </w:rPr>
              <w:t xml:space="preserve">办公地址： </w:t>
            </w:r>
          </w:p>
        </w:tc>
        <w:tc>
          <w:tcPr>
            <w:tcW w:w="7440" w:type="dxa"/>
            <w:shd w:val="clear" w:color="auto" w:fill="auto"/>
          </w:tcPr>
          <w:p w14:paraId="6C45DEA9">
            <w:pPr>
              <w:pStyle w:val="8"/>
            </w:pPr>
            <w:r>
              <w:rPr>
                <w:rFonts w:hint="eastAsia"/>
              </w:rPr>
              <w:t xml:space="preserve">上海市静安区南京西路768号国泰君安大厦 </w:t>
            </w:r>
          </w:p>
        </w:tc>
      </w:tr>
      <w:tr w14:paraId="513AA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EF6F0">
            <w:pPr>
              <w:pStyle w:val="8"/>
            </w:pPr>
            <w:r>
              <w:rPr>
                <w:rFonts w:hint="eastAsia"/>
              </w:rPr>
              <w:t xml:space="preserve">法定代表人： </w:t>
            </w:r>
          </w:p>
        </w:tc>
        <w:tc>
          <w:tcPr>
            <w:tcW w:w="7440" w:type="dxa"/>
            <w:shd w:val="clear" w:color="auto" w:fill="auto"/>
          </w:tcPr>
          <w:p w14:paraId="45911809">
            <w:pPr>
              <w:pStyle w:val="8"/>
            </w:pPr>
            <w:r>
              <w:rPr>
                <w:rFonts w:hint="eastAsia"/>
              </w:rPr>
              <w:t xml:space="preserve">朱健 </w:t>
            </w:r>
          </w:p>
        </w:tc>
      </w:tr>
      <w:tr w14:paraId="55FDA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5CC8BA">
            <w:pPr>
              <w:pStyle w:val="8"/>
            </w:pPr>
            <w:r>
              <w:rPr>
                <w:rFonts w:hint="eastAsia"/>
              </w:rPr>
              <w:t xml:space="preserve">联系人： </w:t>
            </w:r>
          </w:p>
        </w:tc>
        <w:tc>
          <w:tcPr>
            <w:tcW w:w="7440" w:type="dxa"/>
            <w:shd w:val="clear" w:color="auto" w:fill="auto"/>
          </w:tcPr>
          <w:p w14:paraId="7262EB27">
            <w:pPr>
              <w:pStyle w:val="8"/>
            </w:pPr>
            <w:r>
              <w:rPr>
                <w:rFonts w:hint="eastAsia"/>
              </w:rPr>
              <w:t xml:space="preserve">钟伟镇  </w:t>
            </w:r>
          </w:p>
        </w:tc>
      </w:tr>
      <w:tr w14:paraId="3995F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66B535">
            <w:pPr>
              <w:pStyle w:val="8"/>
            </w:pPr>
            <w:r>
              <w:rPr>
                <w:rFonts w:hint="eastAsia"/>
              </w:rPr>
              <w:t xml:space="preserve">电话： </w:t>
            </w:r>
          </w:p>
        </w:tc>
        <w:tc>
          <w:tcPr>
            <w:tcW w:w="7440" w:type="dxa"/>
            <w:shd w:val="clear" w:color="auto" w:fill="auto"/>
          </w:tcPr>
          <w:p w14:paraId="33DA192F">
            <w:pPr>
              <w:pStyle w:val="8"/>
            </w:pPr>
            <w:r>
              <w:rPr>
                <w:rFonts w:hint="eastAsia"/>
              </w:rPr>
              <w:t xml:space="preserve">021-38676666  </w:t>
            </w:r>
          </w:p>
        </w:tc>
      </w:tr>
      <w:tr w14:paraId="687FC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040D08">
            <w:pPr>
              <w:pStyle w:val="8"/>
            </w:pPr>
            <w:r>
              <w:rPr>
                <w:rFonts w:hint="eastAsia"/>
              </w:rPr>
              <w:t xml:space="preserve">传真： </w:t>
            </w:r>
          </w:p>
        </w:tc>
        <w:tc>
          <w:tcPr>
            <w:tcW w:w="7440" w:type="dxa"/>
            <w:shd w:val="clear" w:color="auto" w:fill="auto"/>
          </w:tcPr>
          <w:p w14:paraId="2C28F709">
            <w:pPr>
              <w:pStyle w:val="8"/>
            </w:pPr>
            <w:r>
              <w:rPr>
                <w:rFonts w:hint="eastAsia"/>
              </w:rPr>
              <w:t xml:space="preserve">021-38670666  </w:t>
            </w:r>
          </w:p>
        </w:tc>
      </w:tr>
      <w:tr w14:paraId="16524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874CF">
            <w:pPr>
              <w:pStyle w:val="8"/>
            </w:pPr>
            <w:r>
              <w:rPr>
                <w:rFonts w:hint="eastAsia"/>
              </w:rPr>
              <w:t xml:space="preserve">客户服务电话： </w:t>
            </w:r>
          </w:p>
        </w:tc>
        <w:tc>
          <w:tcPr>
            <w:tcW w:w="7440" w:type="dxa"/>
            <w:shd w:val="clear" w:color="auto" w:fill="auto"/>
          </w:tcPr>
          <w:p w14:paraId="27DA8A2E">
            <w:pPr>
              <w:pStyle w:val="8"/>
            </w:pPr>
            <w:r>
              <w:rPr>
                <w:rFonts w:hint="eastAsia"/>
              </w:rPr>
              <w:t xml:space="preserve">95521/4008888666  </w:t>
            </w:r>
          </w:p>
        </w:tc>
      </w:tr>
      <w:tr w14:paraId="78BBF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F2D1C8">
            <w:pPr>
              <w:pStyle w:val="8"/>
            </w:pPr>
            <w:r>
              <w:rPr>
                <w:rFonts w:hint="eastAsia"/>
              </w:rPr>
              <w:t xml:space="preserve">网址： </w:t>
            </w:r>
          </w:p>
        </w:tc>
        <w:tc>
          <w:tcPr>
            <w:tcW w:w="7440" w:type="dxa"/>
            <w:shd w:val="clear" w:color="auto" w:fill="auto"/>
          </w:tcPr>
          <w:p w14:paraId="4CA85EED">
            <w:pPr>
              <w:pStyle w:val="8"/>
            </w:pPr>
            <w:r>
              <w:rPr>
                <w:rFonts w:hint="eastAsia"/>
              </w:rPr>
              <w:t xml:space="preserve">https://www.gtht.com </w:t>
            </w:r>
          </w:p>
        </w:tc>
      </w:tr>
    </w:tbl>
    <w:p w14:paraId="3CE544CB">
      <w:pPr>
        <w:pStyle w:val="8"/>
        <w:spacing w:before="0" w:beforeAutospacing="0" w:after="0" w:afterAutospacing="0" w:line="360" w:lineRule="auto"/>
        <w:ind w:firstLine="420"/>
        <w:rPr>
          <w:sz w:val="21"/>
          <w:szCs w:val="21"/>
        </w:rPr>
      </w:pPr>
      <w:r>
        <w:rPr>
          <w:rFonts w:hint="eastAsia"/>
          <w:b/>
          <w:bCs/>
          <w:sz w:val="21"/>
          <w:szCs w:val="21"/>
        </w:rPr>
        <w:t>(2)中信建投证券股份有限公司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E18B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98FF73">
            <w:pPr>
              <w:pStyle w:val="8"/>
            </w:pPr>
            <w:r>
              <w:rPr>
                <w:rFonts w:hint="eastAsia"/>
              </w:rPr>
              <w:t xml:space="preserve">注册地址： </w:t>
            </w:r>
          </w:p>
        </w:tc>
        <w:tc>
          <w:tcPr>
            <w:tcW w:w="7440" w:type="dxa"/>
            <w:shd w:val="clear" w:color="auto" w:fill="auto"/>
          </w:tcPr>
          <w:p w14:paraId="745FCBDA">
            <w:pPr>
              <w:pStyle w:val="8"/>
            </w:pPr>
            <w:r>
              <w:rPr>
                <w:rFonts w:hint="eastAsia"/>
              </w:rPr>
              <w:t xml:space="preserve">北京市朝阳区安立路66号4号楼 </w:t>
            </w:r>
          </w:p>
        </w:tc>
      </w:tr>
      <w:tr w14:paraId="49D98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278A7E">
            <w:pPr>
              <w:pStyle w:val="8"/>
            </w:pPr>
            <w:r>
              <w:rPr>
                <w:rFonts w:hint="eastAsia"/>
              </w:rPr>
              <w:t xml:space="preserve">办公地址： </w:t>
            </w:r>
          </w:p>
        </w:tc>
        <w:tc>
          <w:tcPr>
            <w:tcW w:w="7440" w:type="dxa"/>
            <w:shd w:val="clear" w:color="auto" w:fill="auto"/>
          </w:tcPr>
          <w:p w14:paraId="74803151">
            <w:pPr>
              <w:pStyle w:val="8"/>
            </w:pPr>
            <w:r>
              <w:rPr>
                <w:rFonts w:hint="eastAsia"/>
              </w:rPr>
              <w:t xml:space="preserve">北京市朝阳区光华路10号 </w:t>
            </w:r>
          </w:p>
        </w:tc>
      </w:tr>
      <w:tr w14:paraId="5EE89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7C8A09">
            <w:pPr>
              <w:pStyle w:val="8"/>
            </w:pPr>
            <w:r>
              <w:rPr>
                <w:rFonts w:hint="eastAsia"/>
              </w:rPr>
              <w:t xml:space="preserve">法定代表人： </w:t>
            </w:r>
          </w:p>
        </w:tc>
        <w:tc>
          <w:tcPr>
            <w:tcW w:w="7440" w:type="dxa"/>
            <w:shd w:val="clear" w:color="auto" w:fill="auto"/>
          </w:tcPr>
          <w:p w14:paraId="20EAA806">
            <w:pPr>
              <w:pStyle w:val="8"/>
            </w:pPr>
            <w:r>
              <w:rPr>
                <w:rFonts w:hint="eastAsia"/>
              </w:rPr>
              <w:t xml:space="preserve">刘成 </w:t>
            </w:r>
          </w:p>
        </w:tc>
      </w:tr>
      <w:tr w14:paraId="4C318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0F7BE4">
            <w:pPr>
              <w:pStyle w:val="8"/>
            </w:pPr>
            <w:r>
              <w:rPr>
                <w:rFonts w:hint="eastAsia"/>
              </w:rPr>
              <w:t xml:space="preserve">联系人： </w:t>
            </w:r>
          </w:p>
        </w:tc>
        <w:tc>
          <w:tcPr>
            <w:tcW w:w="7440" w:type="dxa"/>
            <w:shd w:val="clear" w:color="auto" w:fill="auto"/>
          </w:tcPr>
          <w:p w14:paraId="5595EC0F">
            <w:pPr>
              <w:pStyle w:val="8"/>
            </w:pPr>
            <w:r>
              <w:rPr>
                <w:rFonts w:hint="eastAsia"/>
              </w:rPr>
              <w:t xml:space="preserve">陈海静 </w:t>
            </w:r>
          </w:p>
        </w:tc>
      </w:tr>
      <w:tr w14:paraId="13946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110878">
            <w:pPr>
              <w:pStyle w:val="8"/>
            </w:pPr>
            <w:r>
              <w:rPr>
                <w:rFonts w:hint="eastAsia"/>
              </w:rPr>
              <w:t xml:space="preserve">电话： </w:t>
            </w:r>
          </w:p>
        </w:tc>
        <w:tc>
          <w:tcPr>
            <w:tcW w:w="7440" w:type="dxa"/>
            <w:shd w:val="clear" w:color="auto" w:fill="auto"/>
          </w:tcPr>
          <w:p w14:paraId="07DA9B16">
            <w:pPr>
              <w:pStyle w:val="8"/>
            </w:pPr>
            <w:r>
              <w:rPr>
                <w:rFonts w:hint="eastAsia"/>
              </w:rPr>
              <w:t xml:space="preserve">010-65608231 </w:t>
            </w:r>
          </w:p>
        </w:tc>
      </w:tr>
      <w:tr w14:paraId="7EC09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5DDABF">
            <w:pPr>
              <w:pStyle w:val="8"/>
            </w:pPr>
            <w:r>
              <w:rPr>
                <w:rFonts w:hint="eastAsia"/>
              </w:rPr>
              <w:t xml:space="preserve">传真： </w:t>
            </w:r>
          </w:p>
        </w:tc>
        <w:tc>
          <w:tcPr>
            <w:tcW w:w="7440" w:type="dxa"/>
            <w:shd w:val="clear" w:color="auto" w:fill="auto"/>
          </w:tcPr>
          <w:p w14:paraId="4B01DEFE">
            <w:pPr>
              <w:pStyle w:val="8"/>
            </w:pPr>
            <w:r>
              <w:rPr>
                <w:rFonts w:hint="eastAsia"/>
              </w:rPr>
              <w:t xml:space="preserve">010－65182261 </w:t>
            </w:r>
          </w:p>
        </w:tc>
      </w:tr>
      <w:tr w14:paraId="21ACB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9518EF">
            <w:pPr>
              <w:pStyle w:val="8"/>
            </w:pPr>
            <w:r>
              <w:rPr>
                <w:rFonts w:hint="eastAsia"/>
              </w:rPr>
              <w:t xml:space="preserve">客户服务电话： </w:t>
            </w:r>
          </w:p>
        </w:tc>
        <w:tc>
          <w:tcPr>
            <w:tcW w:w="7440" w:type="dxa"/>
            <w:shd w:val="clear" w:color="auto" w:fill="auto"/>
          </w:tcPr>
          <w:p w14:paraId="548B6B4E">
            <w:pPr>
              <w:pStyle w:val="8"/>
            </w:pPr>
            <w:r>
              <w:rPr>
                <w:rFonts w:hint="eastAsia"/>
              </w:rPr>
              <w:t xml:space="preserve">4008888108/95587 </w:t>
            </w:r>
          </w:p>
        </w:tc>
      </w:tr>
      <w:tr w14:paraId="69BB7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1460A3">
            <w:pPr>
              <w:pStyle w:val="8"/>
            </w:pPr>
            <w:r>
              <w:rPr>
                <w:rFonts w:hint="eastAsia"/>
              </w:rPr>
              <w:t xml:space="preserve">网址： </w:t>
            </w:r>
          </w:p>
        </w:tc>
        <w:tc>
          <w:tcPr>
            <w:tcW w:w="7440" w:type="dxa"/>
            <w:shd w:val="clear" w:color="auto" w:fill="auto"/>
          </w:tcPr>
          <w:p w14:paraId="70C3F553">
            <w:pPr>
              <w:pStyle w:val="8"/>
            </w:pPr>
            <w:r>
              <w:rPr>
                <w:rFonts w:hint="eastAsia"/>
              </w:rPr>
              <w:t xml:space="preserve">http://www.csc108.com/ </w:t>
            </w:r>
          </w:p>
        </w:tc>
      </w:tr>
    </w:tbl>
    <w:p w14:paraId="5F17CC6E">
      <w:pPr>
        <w:pStyle w:val="8"/>
        <w:spacing w:before="0" w:beforeAutospacing="0" w:after="0" w:afterAutospacing="0" w:line="360" w:lineRule="auto"/>
        <w:ind w:firstLine="420"/>
        <w:rPr>
          <w:sz w:val="21"/>
          <w:szCs w:val="21"/>
        </w:rPr>
      </w:pPr>
      <w:r>
        <w:rPr>
          <w:rFonts w:hint="eastAsia"/>
          <w:b/>
          <w:bCs/>
          <w:sz w:val="21"/>
          <w:szCs w:val="21"/>
        </w:rPr>
        <w:t>(3)国信证券股份有限公司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6567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9B3FB10">
            <w:pPr>
              <w:pStyle w:val="8"/>
            </w:pPr>
            <w:r>
              <w:rPr>
                <w:rFonts w:hint="eastAsia"/>
              </w:rPr>
              <w:t xml:space="preserve">注册地址： </w:t>
            </w:r>
          </w:p>
        </w:tc>
        <w:tc>
          <w:tcPr>
            <w:tcW w:w="7440" w:type="dxa"/>
            <w:shd w:val="clear" w:color="auto" w:fill="auto"/>
          </w:tcPr>
          <w:p w14:paraId="34B96342">
            <w:pPr>
              <w:pStyle w:val="8"/>
            </w:pPr>
            <w:r>
              <w:rPr>
                <w:rFonts w:hint="eastAsia"/>
              </w:rPr>
              <w:t xml:space="preserve">深圳市罗湖区红岭中路1012号国信证券大厦十六层至二十六层 </w:t>
            </w:r>
          </w:p>
        </w:tc>
      </w:tr>
      <w:tr w14:paraId="636BE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7DBE24">
            <w:pPr>
              <w:pStyle w:val="8"/>
            </w:pPr>
            <w:r>
              <w:rPr>
                <w:rFonts w:hint="eastAsia"/>
              </w:rPr>
              <w:t xml:space="preserve">办公地址： </w:t>
            </w:r>
          </w:p>
        </w:tc>
        <w:tc>
          <w:tcPr>
            <w:tcW w:w="7440" w:type="dxa"/>
            <w:shd w:val="clear" w:color="auto" w:fill="auto"/>
          </w:tcPr>
          <w:p w14:paraId="2F8744BC">
            <w:pPr>
              <w:pStyle w:val="8"/>
            </w:pPr>
            <w:r>
              <w:rPr>
                <w:rFonts w:hint="eastAsia"/>
              </w:rPr>
              <w:t xml:space="preserve">深圳市福田区福华一路125号国信金融大厦37楼  </w:t>
            </w:r>
          </w:p>
        </w:tc>
      </w:tr>
      <w:tr w14:paraId="4C4B1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468E09">
            <w:pPr>
              <w:pStyle w:val="8"/>
            </w:pPr>
            <w:r>
              <w:rPr>
                <w:rFonts w:hint="eastAsia"/>
              </w:rPr>
              <w:t xml:space="preserve">法定代表人： </w:t>
            </w:r>
          </w:p>
        </w:tc>
        <w:tc>
          <w:tcPr>
            <w:tcW w:w="7440" w:type="dxa"/>
            <w:shd w:val="clear" w:color="auto" w:fill="auto"/>
          </w:tcPr>
          <w:p w14:paraId="4EF1A2D3">
            <w:pPr>
              <w:pStyle w:val="8"/>
            </w:pPr>
            <w:r>
              <w:rPr>
                <w:rFonts w:hint="eastAsia"/>
              </w:rPr>
              <w:t xml:space="preserve">张纳沙 </w:t>
            </w:r>
          </w:p>
        </w:tc>
      </w:tr>
      <w:tr w14:paraId="6A592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8BDDD3">
            <w:pPr>
              <w:pStyle w:val="8"/>
            </w:pPr>
            <w:r>
              <w:rPr>
                <w:rFonts w:hint="eastAsia"/>
              </w:rPr>
              <w:t xml:space="preserve">联系人： </w:t>
            </w:r>
          </w:p>
        </w:tc>
        <w:tc>
          <w:tcPr>
            <w:tcW w:w="7440" w:type="dxa"/>
            <w:shd w:val="clear" w:color="auto" w:fill="auto"/>
          </w:tcPr>
          <w:p w14:paraId="1D2224E0">
            <w:pPr>
              <w:pStyle w:val="8"/>
            </w:pPr>
            <w:r>
              <w:rPr>
                <w:rFonts w:hint="eastAsia"/>
              </w:rPr>
              <w:t xml:space="preserve">于智勇 </w:t>
            </w:r>
          </w:p>
        </w:tc>
      </w:tr>
      <w:tr w14:paraId="50597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4FAA35">
            <w:pPr>
              <w:pStyle w:val="8"/>
            </w:pPr>
            <w:r>
              <w:rPr>
                <w:rFonts w:hint="eastAsia"/>
              </w:rPr>
              <w:t xml:space="preserve">电话： </w:t>
            </w:r>
          </w:p>
        </w:tc>
        <w:tc>
          <w:tcPr>
            <w:tcW w:w="7440" w:type="dxa"/>
            <w:shd w:val="clear" w:color="auto" w:fill="auto"/>
          </w:tcPr>
          <w:p w14:paraId="3DA1437D">
            <w:pPr>
              <w:pStyle w:val="8"/>
            </w:pPr>
            <w:r>
              <w:rPr>
                <w:rFonts w:hint="eastAsia"/>
              </w:rPr>
              <w:t xml:space="preserve">0755-81981259 </w:t>
            </w:r>
          </w:p>
        </w:tc>
      </w:tr>
      <w:tr w14:paraId="5A0EB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62A88A">
            <w:pPr>
              <w:pStyle w:val="8"/>
            </w:pPr>
            <w:r>
              <w:rPr>
                <w:rFonts w:hint="eastAsia"/>
              </w:rPr>
              <w:t xml:space="preserve">传真： </w:t>
            </w:r>
          </w:p>
        </w:tc>
        <w:tc>
          <w:tcPr>
            <w:tcW w:w="7440" w:type="dxa"/>
            <w:shd w:val="clear" w:color="auto" w:fill="auto"/>
          </w:tcPr>
          <w:p w14:paraId="680C8FA3">
            <w:pPr>
              <w:pStyle w:val="8"/>
            </w:pPr>
            <w:r>
              <w:rPr>
                <w:rFonts w:hint="eastAsia"/>
              </w:rPr>
              <w:t xml:space="preserve">0755-82133952 </w:t>
            </w:r>
          </w:p>
        </w:tc>
      </w:tr>
      <w:tr w14:paraId="41731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9DE56F">
            <w:pPr>
              <w:pStyle w:val="8"/>
            </w:pPr>
            <w:r>
              <w:rPr>
                <w:rFonts w:hint="eastAsia"/>
              </w:rPr>
              <w:t xml:space="preserve">客户服务电话： </w:t>
            </w:r>
          </w:p>
        </w:tc>
        <w:tc>
          <w:tcPr>
            <w:tcW w:w="7440" w:type="dxa"/>
            <w:shd w:val="clear" w:color="auto" w:fill="auto"/>
          </w:tcPr>
          <w:p w14:paraId="3A63AC31">
            <w:pPr>
              <w:pStyle w:val="8"/>
            </w:pPr>
            <w:r>
              <w:rPr>
                <w:rFonts w:hint="eastAsia"/>
              </w:rPr>
              <w:t xml:space="preserve">95536 </w:t>
            </w:r>
          </w:p>
        </w:tc>
      </w:tr>
      <w:tr w14:paraId="07F30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91F9F9">
            <w:pPr>
              <w:pStyle w:val="8"/>
            </w:pPr>
            <w:r>
              <w:rPr>
                <w:rFonts w:hint="eastAsia"/>
              </w:rPr>
              <w:t xml:space="preserve">网址： </w:t>
            </w:r>
          </w:p>
        </w:tc>
        <w:tc>
          <w:tcPr>
            <w:tcW w:w="7440" w:type="dxa"/>
            <w:shd w:val="clear" w:color="auto" w:fill="auto"/>
          </w:tcPr>
          <w:p w14:paraId="4F07664E">
            <w:pPr>
              <w:pStyle w:val="8"/>
            </w:pPr>
            <w:r>
              <w:rPr>
                <w:rFonts w:hint="eastAsia"/>
              </w:rPr>
              <w:t xml:space="preserve">http://www.guosen.com.cn/ </w:t>
            </w:r>
          </w:p>
        </w:tc>
      </w:tr>
    </w:tbl>
    <w:p w14:paraId="57212C20">
      <w:pPr>
        <w:pStyle w:val="8"/>
        <w:spacing w:before="0" w:beforeAutospacing="0" w:after="0" w:afterAutospacing="0" w:line="360" w:lineRule="auto"/>
        <w:ind w:firstLine="420"/>
        <w:rPr>
          <w:sz w:val="21"/>
          <w:szCs w:val="21"/>
        </w:rPr>
      </w:pPr>
      <w:r>
        <w:rPr>
          <w:rFonts w:hint="eastAsia"/>
          <w:b/>
          <w:bCs/>
          <w:sz w:val="21"/>
          <w:szCs w:val="21"/>
        </w:rPr>
        <w:t>(4)招商证券股份有限公司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ABA5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6446F70">
            <w:pPr>
              <w:pStyle w:val="8"/>
            </w:pPr>
            <w:r>
              <w:rPr>
                <w:rFonts w:hint="eastAsia"/>
              </w:rPr>
              <w:t xml:space="preserve">注册地址： </w:t>
            </w:r>
          </w:p>
        </w:tc>
        <w:tc>
          <w:tcPr>
            <w:tcW w:w="7440" w:type="dxa"/>
            <w:shd w:val="clear" w:color="auto" w:fill="auto"/>
          </w:tcPr>
          <w:p w14:paraId="13994B9F">
            <w:pPr>
              <w:pStyle w:val="8"/>
            </w:pPr>
            <w:r>
              <w:rPr>
                <w:rFonts w:hint="eastAsia"/>
              </w:rPr>
              <w:t xml:space="preserve">深圳市福田区福田街道福华一路111号 </w:t>
            </w:r>
          </w:p>
        </w:tc>
      </w:tr>
      <w:tr w14:paraId="458CE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773496">
            <w:pPr>
              <w:pStyle w:val="8"/>
            </w:pPr>
            <w:r>
              <w:rPr>
                <w:rFonts w:hint="eastAsia"/>
              </w:rPr>
              <w:t xml:space="preserve">办公地址： </w:t>
            </w:r>
          </w:p>
        </w:tc>
        <w:tc>
          <w:tcPr>
            <w:tcW w:w="7440" w:type="dxa"/>
            <w:shd w:val="clear" w:color="auto" w:fill="auto"/>
          </w:tcPr>
          <w:p w14:paraId="737DF516">
            <w:pPr>
              <w:pStyle w:val="8"/>
            </w:pPr>
            <w:r>
              <w:rPr>
                <w:rFonts w:hint="eastAsia"/>
              </w:rPr>
              <w:t xml:space="preserve">深圳市福田区福华一路111号招商证券大厦23楼  </w:t>
            </w:r>
          </w:p>
        </w:tc>
      </w:tr>
      <w:tr w14:paraId="24705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CA303">
            <w:pPr>
              <w:pStyle w:val="8"/>
            </w:pPr>
            <w:r>
              <w:rPr>
                <w:rFonts w:hint="eastAsia"/>
              </w:rPr>
              <w:t xml:space="preserve">法定代表人： </w:t>
            </w:r>
          </w:p>
        </w:tc>
        <w:tc>
          <w:tcPr>
            <w:tcW w:w="7440" w:type="dxa"/>
            <w:shd w:val="clear" w:color="auto" w:fill="auto"/>
          </w:tcPr>
          <w:p w14:paraId="7D455A66">
            <w:pPr>
              <w:pStyle w:val="8"/>
            </w:pPr>
            <w:r>
              <w:rPr>
                <w:rFonts w:hint="eastAsia"/>
              </w:rPr>
              <w:t xml:space="preserve">霍达 </w:t>
            </w:r>
          </w:p>
        </w:tc>
      </w:tr>
      <w:tr w14:paraId="177F1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8E09E">
            <w:pPr>
              <w:pStyle w:val="8"/>
            </w:pPr>
            <w:r>
              <w:rPr>
                <w:rFonts w:hint="eastAsia"/>
              </w:rPr>
              <w:t xml:space="preserve">联系人： </w:t>
            </w:r>
          </w:p>
        </w:tc>
        <w:tc>
          <w:tcPr>
            <w:tcW w:w="7440" w:type="dxa"/>
            <w:shd w:val="clear" w:color="auto" w:fill="auto"/>
          </w:tcPr>
          <w:p w14:paraId="0AC3E135">
            <w:pPr>
              <w:pStyle w:val="8"/>
            </w:pPr>
            <w:r>
              <w:rPr>
                <w:rFonts w:hint="eastAsia"/>
              </w:rPr>
              <w:t xml:space="preserve">业清扬 </w:t>
            </w:r>
          </w:p>
        </w:tc>
      </w:tr>
      <w:tr w14:paraId="68CA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2E8945">
            <w:pPr>
              <w:pStyle w:val="8"/>
            </w:pPr>
            <w:r>
              <w:rPr>
                <w:rFonts w:hint="eastAsia"/>
              </w:rPr>
              <w:t xml:space="preserve">电话： </w:t>
            </w:r>
          </w:p>
        </w:tc>
        <w:tc>
          <w:tcPr>
            <w:tcW w:w="7440" w:type="dxa"/>
            <w:shd w:val="clear" w:color="auto" w:fill="auto"/>
          </w:tcPr>
          <w:p w14:paraId="043B818E">
            <w:pPr>
              <w:pStyle w:val="8"/>
            </w:pPr>
            <w:r>
              <w:rPr>
                <w:rFonts w:hint="eastAsia"/>
              </w:rPr>
              <w:t xml:space="preserve">0755-83081954 </w:t>
            </w:r>
          </w:p>
        </w:tc>
      </w:tr>
      <w:tr w14:paraId="70590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CD1518">
            <w:pPr>
              <w:pStyle w:val="8"/>
            </w:pPr>
            <w:r>
              <w:rPr>
                <w:rFonts w:hint="eastAsia"/>
              </w:rPr>
              <w:t xml:space="preserve">传真： </w:t>
            </w:r>
          </w:p>
        </w:tc>
        <w:tc>
          <w:tcPr>
            <w:tcW w:w="7440" w:type="dxa"/>
            <w:shd w:val="clear" w:color="auto" w:fill="auto"/>
          </w:tcPr>
          <w:p w14:paraId="5E93B152">
            <w:pPr>
              <w:pStyle w:val="8"/>
            </w:pPr>
            <w:r>
              <w:rPr>
                <w:rFonts w:hint="eastAsia"/>
              </w:rPr>
              <w:t xml:space="preserve">0755-83734343 </w:t>
            </w:r>
          </w:p>
        </w:tc>
      </w:tr>
      <w:tr w14:paraId="55D44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DC2745">
            <w:pPr>
              <w:pStyle w:val="8"/>
            </w:pPr>
            <w:r>
              <w:rPr>
                <w:rFonts w:hint="eastAsia"/>
              </w:rPr>
              <w:t xml:space="preserve">客户服务电话： </w:t>
            </w:r>
          </w:p>
        </w:tc>
        <w:tc>
          <w:tcPr>
            <w:tcW w:w="7440" w:type="dxa"/>
            <w:shd w:val="clear" w:color="auto" w:fill="auto"/>
          </w:tcPr>
          <w:p w14:paraId="2EE8D3A0">
            <w:pPr>
              <w:pStyle w:val="8"/>
            </w:pPr>
            <w:r>
              <w:rPr>
                <w:rFonts w:hint="eastAsia"/>
              </w:rPr>
              <w:t xml:space="preserve">95565 </w:t>
            </w:r>
          </w:p>
        </w:tc>
      </w:tr>
      <w:tr w14:paraId="6A0AC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67F2AC">
            <w:pPr>
              <w:pStyle w:val="8"/>
            </w:pPr>
            <w:r>
              <w:rPr>
                <w:rFonts w:hint="eastAsia"/>
              </w:rPr>
              <w:t xml:space="preserve">网址： </w:t>
            </w:r>
          </w:p>
        </w:tc>
        <w:tc>
          <w:tcPr>
            <w:tcW w:w="7440" w:type="dxa"/>
            <w:shd w:val="clear" w:color="auto" w:fill="auto"/>
          </w:tcPr>
          <w:p w14:paraId="59D7F4A7">
            <w:pPr>
              <w:pStyle w:val="8"/>
            </w:pPr>
            <w:r>
              <w:rPr>
                <w:rFonts w:hint="eastAsia"/>
              </w:rPr>
              <w:t xml:space="preserve">http://www.cmschina.com/ </w:t>
            </w:r>
          </w:p>
        </w:tc>
      </w:tr>
    </w:tbl>
    <w:p w14:paraId="6BCF5003">
      <w:pPr>
        <w:pStyle w:val="8"/>
        <w:spacing w:before="0" w:beforeAutospacing="0" w:after="0" w:afterAutospacing="0" w:line="360" w:lineRule="auto"/>
        <w:ind w:firstLine="420"/>
        <w:rPr>
          <w:sz w:val="21"/>
          <w:szCs w:val="21"/>
        </w:rPr>
      </w:pPr>
      <w:r>
        <w:rPr>
          <w:rFonts w:hint="eastAsia"/>
          <w:b/>
          <w:bCs/>
          <w:sz w:val="21"/>
          <w:szCs w:val="21"/>
        </w:rPr>
        <w:t>(5)广发证券股份有限公司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6D94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86E060">
            <w:pPr>
              <w:pStyle w:val="8"/>
            </w:pPr>
            <w:r>
              <w:rPr>
                <w:rFonts w:hint="eastAsia"/>
              </w:rPr>
              <w:t xml:space="preserve">注册地址： </w:t>
            </w:r>
          </w:p>
        </w:tc>
        <w:tc>
          <w:tcPr>
            <w:tcW w:w="7440" w:type="dxa"/>
            <w:shd w:val="clear" w:color="auto" w:fill="auto"/>
          </w:tcPr>
          <w:p w14:paraId="7EB25B30">
            <w:pPr>
              <w:pStyle w:val="8"/>
            </w:pPr>
            <w:r>
              <w:rPr>
                <w:rFonts w:hint="eastAsia"/>
              </w:rPr>
              <w:t xml:space="preserve">广州市黄埔区中新广州知识城腾飞一街2号618室 </w:t>
            </w:r>
          </w:p>
        </w:tc>
      </w:tr>
      <w:tr w14:paraId="75495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3740B9">
            <w:pPr>
              <w:pStyle w:val="8"/>
            </w:pPr>
            <w:r>
              <w:rPr>
                <w:rFonts w:hint="eastAsia"/>
              </w:rPr>
              <w:t xml:space="preserve">办公地址： </w:t>
            </w:r>
          </w:p>
        </w:tc>
        <w:tc>
          <w:tcPr>
            <w:tcW w:w="7440" w:type="dxa"/>
            <w:shd w:val="clear" w:color="auto" w:fill="auto"/>
          </w:tcPr>
          <w:p w14:paraId="06766804">
            <w:pPr>
              <w:pStyle w:val="8"/>
            </w:pPr>
            <w:r>
              <w:rPr>
                <w:rFonts w:hint="eastAsia"/>
              </w:rPr>
              <w:t xml:space="preserve">广州市天河区马场路26号广发证券大厦 </w:t>
            </w:r>
          </w:p>
        </w:tc>
      </w:tr>
      <w:tr w14:paraId="7F0C4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3DE8D5">
            <w:pPr>
              <w:pStyle w:val="8"/>
            </w:pPr>
            <w:r>
              <w:rPr>
                <w:rFonts w:hint="eastAsia"/>
              </w:rPr>
              <w:t xml:space="preserve">法定代表人： </w:t>
            </w:r>
          </w:p>
        </w:tc>
        <w:tc>
          <w:tcPr>
            <w:tcW w:w="7440" w:type="dxa"/>
            <w:shd w:val="clear" w:color="auto" w:fill="auto"/>
          </w:tcPr>
          <w:p w14:paraId="085CF23B">
            <w:pPr>
              <w:pStyle w:val="8"/>
            </w:pPr>
            <w:r>
              <w:rPr>
                <w:rFonts w:hint="eastAsia"/>
              </w:rPr>
              <w:t xml:space="preserve">林传辉 </w:t>
            </w:r>
          </w:p>
        </w:tc>
      </w:tr>
      <w:tr w14:paraId="3A9B3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2A9B3C">
            <w:pPr>
              <w:pStyle w:val="8"/>
            </w:pPr>
            <w:r>
              <w:rPr>
                <w:rFonts w:hint="eastAsia"/>
              </w:rPr>
              <w:t xml:space="preserve">联系人： </w:t>
            </w:r>
          </w:p>
        </w:tc>
        <w:tc>
          <w:tcPr>
            <w:tcW w:w="7440" w:type="dxa"/>
            <w:shd w:val="clear" w:color="auto" w:fill="auto"/>
          </w:tcPr>
          <w:p w14:paraId="6FFB7E9B">
            <w:pPr>
              <w:pStyle w:val="8"/>
            </w:pPr>
            <w:r>
              <w:rPr>
                <w:rFonts w:hint="eastAsia"/>
              </w:rPr>
              <w:t xml:space="preserve">黄岚 </w:t>
            </w:r>
          </w:p>
        </w:tc>
      </w:tr>
      <w:tr w14:paraId="1C5A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8BD0F">
            <w:pPr>
              <w:pStyle w:val="8"/>
            </w:pPr>
            <w:r>
              <w:rPr>
                <w:rFonts w:hint="eastAsia"/>
              </w:rPr>
              <w:t xml:space="preserve">电话： </w:t>
            </w:r>
          </w:p>
        </w:tc>
        <w:tc>
          <w:tcPr>
            <w:tcW w:w="7440" w:type="dxa"/>
            <w:shd w:val="clear" w:color="auto" w:fill="auto"/>
          </w:tcPr>
          <w:p w14:paraId="53C1F300">
            <w:pPr>
              <w:pStyle w:val="8"/>
            </w:pPr>
            <w:r>
              <w:rPr>
                <w:rFonts w:hint="eastAsia"/>
              </w:rPr>
              <w:t xml:space="preserve">020－87555888 </w:t>
            </w:r>
          </w:p>
        </w:tc>
      </w:tr>
      <w:tr w14:paraId="2E1CA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2A5919">
            <w:pPr>
              <w:pStyle w:val="8"/>
            </w:pPr>
            <w:r>
              <w:rPr>
                <w:rFonts w:hint="eastAsia"/>
              </w:rPr>
              <w:t xml:space="preserve">传真： </w:t>
            </w:r>
          </w:p>
        </w:tc>
        <w:tc>
          <w:tcPr>
            <w:tcW w:w="7440" w:type="dxa"/>
            <w:shd w:val="clear" w:color="auto" w:fill="auto"/>
          </w:tcPr>
          <w:p w14:paraId="74283C95">
            <w:pPr>
              <w:pStyle w:val="8"/>
            </w:pPr>
            <w:r>
              <w:rPr>
                <w:rFonts w:hint="eastAsia"/>
              </w:rPr>
              <w:t xml:space="preserve">020－87555305 </w:t>
            </w:r>
          </w:p>
        </w:tc>
      </w:tr>
      <w:tr w14:paraId="3C558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008870">
            <w:pPr>
              <w:pStyle w:val="8"/>
            </w:pPr>
            <w:r>
              <w:rPr>
                <w:rFonts w:hint="eastAsia"/>
              </w:rPr>
              <w:t xml:space="preserve">客户服务电话： </w:t>
            </w:r>
          </w:p>
        </w:tc>
        <w:tc>
          <w:tcPr>
            <w:tcW w:w="7440" w:type="dxa"/>
            <w:shd w:val="clear" w:color="auto" w:fill="auto"/>
          </w:tcPr>
          <w:p w14:paraId="7A7ED356">
            <w:pPr>
              <w:pStyle w:val="8"/>
            </w:pPr>
            <w:r>
              <w:rPr>
                <w:rFonts w:hint="eastAsia"/>
              </w:rPr>
              <w:t xml:space="preserve">95575、020-95575或致电各地营业网点  </w:t>
            </w:r>
          </w:p>
        </w:tc>
      </w:tr>
      <w:tr w14:paraId="61D3C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526BF3">
            <w:pPr>
              <w:pStyle w:val="8"/>
            </w:pPr>
            <w:r>
              <w:rPr>
                <w:rFonts w:hint="eastAsia"/>
              </w:rPr>
              <w:t xml:space="preserve">网址： </w:t>
            </w:r>
          </w:p>
        </w:tc>
        <w:tc>
          <w:tcPr>
            <w:tcW w:w="7440" w:type="dxa"/>
            <w:shd w:val="clear" w:color="auto" w:fill="auto"/>
          </w:tcPr>
          <w:p w14:paraId="4083BEE1">
            <w:pPr>
              <w:pStyle w:val="8"/>
            </w:pPr>
            <w:r>
              <w:rPr>
                <w:rFonts w:hint="eastAsia"/>
              </w:rPr>
              <w:t xml:space="preserve">http://www.gf.com.cn/ </w:t>
            </w:r>
          </w:p>
        </w:tc>
      </w:tr>
    </w:tbl>
    <w:p w14:paraId="4F092717">
      <w:pPr>
        <w:pStyle w:val="8"/>
        <w:spacing w:before="0" w:beforeAutospacing="0" w:after="0" w:afterAutospacing="0" w:line="360" w:lineRule="auto"/>
        <w:ind w:firstLine="420"/>
        <w:rPr>
          <w:sz w:val="21"/>
          <w:szCs w:val="21"/>
        </w:rPr>
      </w:pPr>
      <w:r>
        <w:rPr>
          <w:rFonts w:hint="eastAsia"/>
          <w:b/>
          <w:bCs/>
          <w:sz w:val="21"/>
          <w:szCs w:val="21"/>
        </w:rPr>
        <w:t>(6)中信证券股份有限公司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3A6B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104CBF">
            <w:pPr>
              <w:pStyle w:val="8"/>
            </w:pPr>
            <w:r>
              <w:rPr>
                <w:rFonts w:hint="eastAsia"/>
              </w:rPr>
              <w:t xml:space="preserve">注册地址： </w:t>
            </w:r>
          </w:p>
        </w:tc>
        <w:tc>
          <w:tcPr>
            <w:tcW w:w="7440" w:type="dxa"/>
            <w:shd w:val="clear" w:color="auto" w:fill="auto"/>
          </w:tcPr>
          <w:p w14:paraId="25911E36">
            <w:pPr>
              <w:pStyle w:val="8"/>
            </w:pPr>
            <w:r>
              <w:rPr>
                <w:rFonts w:hint="eastAsia"/>
              </w:rPr>
              <w:t xml:space="preserve">广东省深圳市福田区中心三路8号卓越时代广场（二期）北座 </w:t>
            </w:r>
          </w:p>
        </w:tc>
      </w:tr>
      <w:tr w14:paraId="05650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75DA4">
            <w:pPr>
              <w:pStyle w:val="8"/>
            </w:pPr>
            <w:r>
              <w:rPr>
                <w:rFonts w:hint="eastAsia"/>
              </w:rPr>
              <w:t xml:space="preserve">办公地址： </w:t>
            </w:r>
          </w:p>
        </w:tc>
        <w:tc>
          <w:tcPr>
            <w:tcW w:w="7440" w:type="dxa"/>
            <w:shd w:val="clear" w:color="auto" w:fill="auto"/>
          </w:tcPr>
          <w:p w14:paraId="049EA942">
            <w:pPr>
              <w:pStyle w:val="8"/>
            </w:pPr>
            <w:r>
              <w:rPr>
                <w:rFonts w:hint="eastAsia"/>
              </w:rPr>
              <w:t xml:space="preserve">北京朝阳区新源南路6号京城大厦 </w:t>
            </w:r>
          </w:p>
        </w:tc>
      </w:tr>
      <w:tr w14:paraId="562DA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41AB14">
            <w:pPr>
              <w:pStyle w:val="8"/>
            </w:pPr>
            <w:r>
              <w:rPr>
                <w:rFonts w:hint="eastAsia"/>
              </w:rPr>
              <w:t xml:space="preserve">法定代表人： </w:t>
            </w:r>
          </w:p>
        </w:tc>
        <w:tc>
          <w:tcPr>
            <w:tcW w:w="7440" w:type="dxa"/>
            <w:shd w:val="clear" w:color="auto" w:fill="auto"/>
          </w:tcPr>
          <w:p w14:paraId="48375C45">
            <w:pPr>
              <w:pStyle w:val="8"/>
            </w:pPr>
            <w:r>
              <w:rPr>
                <w:rFonts w:hint="eastAsia"/>
              </w:rPr>
              <w:t xml:space="preserve">张佑君 </w:t>
            </w:r>
          </w:p>
        </w:tc>
      </w:tr>
      <w:tr w14:paraId="62BFE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5E3825">
            <w:pPr>
              <w:pStyle w:val="8"/>
            </w:pPr>
            <w:r>
              <w:rPr>
                <w:rFonts w:hint="eastAsia"/>
              </w:rPr>
              <w:t xml:space="preserve">联系人： </w:t>
            </w:r>
          </w:p>
        </w:tc>
        <w:tc>
          <w:tcPr>
            <w:tcW w:w="7440" w:type="dxa"/>
            <w:shd w:val="clear" w:color="auto" w:fill="auto"/>
          </w:tcPr>
          <w:p w14:paraId="771B30F9">
            <w:pPr>
              <w:pStyle w:val="8"/>
            </w:pPr>
            <w:r>
              <w:rPr>
                <w:rFonts w:hint="eastAsia"/>
              </w:rPr>
              <w:t xml:space="preserve">杜杰 </w:t>
            </w:r>
          </w:p>
        </w:tc>
      </w:tr>
      <w:tr w14:paraId="073AE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907971">
            <w:pPr>
              <w:pStyle w:val="8"/>
            </w:pPr>
            <w:r>
              <w:rPr>
                <w:rFonts w:hint="eastAsia"/>
              </w:rPr>
              <w:t xml:space="preserve">电话： </w:t>
            </w:r>
          </w:p>
        </w:tc>
        <w:tc>
          <w:tcPr>
            <w:tcW w:w="7440" w:type="dxa"/>
            <w:shd w:val="clear" w:color="auto" w:fill="auto"/>
          </w:tcPr>
          <w:p w14:paraId="11AFF966">
            <w:pPr>
              <w:pStyle w:val="8"/>
            </w:pPr>
            <w:r>
              <w:rPr>
                <w:rFonts w:hint="eastAsia"/>
              </w:rPr>
              <w:t xml:space="preserve">010-60833889  </w:t>
            </w:r>
          </w:p>
        </w:tc>
      </w:tr>
      <w:tr w14:paraId="582F1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32EE9C">
            <w:pPr>
              <w:pStyle w:val="8"/>
            </w:pPr>
            <w:r>
              <w:rPr>
                <w:rFonts w:hint="eastAsia"/>
              </w:rPr>
              <w:t xml:space="preserve">传真： </w:t>
            </w:r>
          </w:p>
        </w:tc>
        <w:tc>
          <w:tcPr>
            <w:tcW w:w="7440" w:type="dxa"/>
            <w:shd w:val="clear" w:color="auto" w:fill="auto"/>
          </w:tcPr>
          <w:p w14:paraId="532C7ACA">
            <w:pPr>
              <w:pStyle w:val="8"/>
            </w:pPr>
            <w:r>
              <w:rPr>
                <w:rFonts w:hint="eastAsia"/>
              </w:rPr>
              <w:t xml:space="preserve">010－84865560 </w:t>
            </w:r>
          </w:p>
        </w:tc>
      </w:tr>
      <w:tr w14:paraId="143A5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314EF0">
            <w:pPr>
              <w:pStyle w:val="8"/>
            </w:pPr>
            <w:r>
              <w:rPr>
                <w:rFonts w:hint="eastAsia"/>
              </w:rPr>
              <w:t xml:space="preserve">客户服务电话： </w:t>
            </w:r>
          </w:p>
        </w:tc>
        <w:tc>
          <w:tcPr>
            <w:tcW w:w="7440" w:type="dxa"/>
            <w:shd w:val="clear" w:color="auto" w:fill="auto"/>
          </w:tcPr>
          <w:p w14:paraId="62295FA0">
            <w:pPr>
              <w:pStyle w:val="8"/>
            </w:pPr>
            <w:r>
              <w:rPr>
                <w:rFonts w:hint="eastAsia"/>
              </w:rPr>
              <w:t xml:space="preserve">95548 </w:t>
            </w:r>
          </w:p>
        </w:tc>
      </w:tr>
      <w:tr w14:paraId="480B2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3F0E4E">
            <w:pPr>
              <w:pStyle w:val="8"/>
            </w:pPr>
            <w:r>
              <w:rPr>
                <w:rFonts w:hint="eastAsia"/>
              </w:rPr>
              <w:t xml:space="preserve">网址： </w:t>
            </w:r>
          </w:p>
        </w:tc>
        <w:tc>
          <w:tcPr>
            <w:tcW w:w="7440" w:type="dxa"/>
            <w:shd w:val="clear" w:color="auto" w:fill="auto"/>
          </w:tcPr>
          <w:p w14:paraId="29022423">
            <w:pPr>
              <w:pStyle w:val="8"/>
            </w:pPr>
            <w:r>
              <w:rPr>
                <w:rFonts w:hint="eastAsia"/>
              </w:rPr>
              <w:t xml:space="preserve">http://www.cs.ecitic.com/ </w:t>
            </w:r>
          </w:p>
        </w:tc>
      </w:tr>
    </w:tbl>
    <w:p w14:paraId="56B1F7BC">
      <w:pPr>
        <w:pStyle w:val="8"/>
        <w:spacing w:before="0" w:beforeAutospacing="0" w:after="0" w:afterAutospacing="0" w:line="360" w:lineRule="auto"/>
        <w:ind w:firstLine="420"/>
        <w:rPr>
          <w:sz w:val="21"/>
          <w:szCs w:val="21"/>
        </w:rPr>
      </w:pPr>
      <w:r>
        <w:rPr>
          <w:rFonts w:hint="eastAsia"/>
          <w:b/>
          <w:bCs/>
          <w:sz w:val="21"/>
          <w:szCs w:val="21"/>
        </w:rPr>
        <w:t>(7)中国银河证券股份有限公司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6BB48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BB21E">
            <w:pPr>
              <w:pStyle w:val="8"/>
            </w:pPr>
            <w:r>
              <w:rPr>
                <w:rFonts w:hint="eastAsia"/>
              </w:rPr>
              <w:t xml:space="preserve">注册地址： </w:t>
            </w:r>
          </w:p>
        </w:tc>
        <w:tc>
          <w:tcPr>
            <w:tcW w:w="7440" w:type="dxa"/>
            <w:shd w:val="clear" w:color="auto" w:fill="auto"/>
          </w:tcPr>
          <w:p w14:paraId="6FDD3C11">
            <w:pPr>
              <w:pStyle w:val="8"/>
            </w:pPr>
            <w:r>
              <w:rPr>
                <w:rFonts w:hint="eastAsia"/>
              </w:rPr>
              <w:t xml:space="preserve">北京市丰台区西营街8号院1号楼7至18层101 </w:t>
            </w:r>
          </w:p>
        </w:tc>
      </w:tr>
      <w:tr w14:paraId="02702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151CA">
            <w:pPr>
              <w:pStyle w:val="8"/>
            </w:pPr>
            <w:r>
              <w:rPr>
                <w:rFonts w:hint="eastAsia"/>
              </w:rPr>
              <w:t xml:space="preserve">办公地址： </w:t>
            </w:r>
          </w:p>
        </w:tc>
        <w:tc>
          <w:tcPr>
            <w:tcW w:w="7440" w:type="dxa"/>
            <w:shd w:val="clear" w:color="auto" w:fill="auto"/>
          </w:tcPr>
          <w:p w14:paraId="348D9C43">
            <w:pPr>
              <w:pStyle w:val="8"/>
            </w:pPr>
            <w:r>
              <w:rPr>
                <w:rFonts w:hint="eastAsia"/>
              </w:rPr>
              <w:t xml:space="preserve">北京市丰台区西营街8号院1号楼青海金融大厦 </w:t>
            </w:r>
          </w:p>
        </w:tc>
      </w:tr>
      <w:tr w14:paraId="1158B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7CF4AC">
            <w:pPr>
              <w:pStyle w:val="8"/>
            </w:pPr>
            <w:r>
              <w:rPr>
                <w:rFonts w:hint="eastAsia"/>
              </w:rPr>
              <w:t xml:space="preserve">法定代表人： </w:t>
            </w:r>
          </w:p>
        </w:tc>
        <w:tc>
          <w:tcPr>
            <w:tcW w:w="7440" w:type="dxa"/>
            <w:shd w:val="clear" w:color="auto" w:fill="auto"/>
          </w:tcPr>
          <w:p w14:paraId="7D755BB9">
            <w:pPr>
              <w:pStyle w:val="8"/>
            </w:pPr>
            <w:r>
              <w:rPr>
                <w:rFonts w:hint="eastAsia"/>
              </w:rPr>
              <w:t xml:space="preserve">王晟 </w:t>
            </w:r>
          </w:p>
        </w:tc>
      </w:tr>
      <w:tr w14:paraId="024B6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62D871">
            <w:pPr>
              <w:pStyle w:val="8"/>
            </w:pPr>
            <w:r>
              <w:rPr>
                <w:rFonts w:hint="eastAsia"/>
              </w:rPr>
              <w:t xml:space="preserve">电话： </w:t>
            </w:r>
          </w:p>
        </w:tc>
        <w:tc>
          <w:tcPr>
            <w:tcW w:w="7440" w:type="dxa"/>
            <w:shd w:val="clear" w:color="auto" w:fill="auto"/>
          </w:tcPr>
          <w:p w14:paraId="4B47481E">
            <w:pPr>
              <w:pStyle w:val="8"/>
            </w:pPr>
            <w:r>
              <w:rPr>
                <w:rFonts w:hint="eastAsia"/>
              </w:rPr>
              <w:t xml:space="preserve">010-80928123 </w:t>
            </w:r>
          </w:p>
        </w:tc>
      </w:tr>
      <w:tr w14:paraId="21EBF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6A026">
            <w:pPr>
              <w:pStyle w:val="8"/>
            </w:pPr>
            <w:r>
              <w:rPr>
                <w:rFonts w:hint="eastAsia"/>
              </w:rPr>
              <w:t xml:space="preserve">客户服务电话： </w:t>
            </w:r>
          </w:p>
        </w:tc>
        <w:tc>
          <w:tcPr>
            <w:tcW w:w="7440" w:type="dxa"/>
            <w:shd w:val="clear" w:color="auto" w:fill="auto"/>
          </w:tcPr>
          <w:p w14:paraId="53BDF543">
            <w:pPr>
              <w:pStyle w:val="8"/>
            </w:pPr>
            <w:r>
              <w:rPr>
                <w:rFonts w:hint="eastAsia"/>
              </w:rPr>
              <w:t xml:space="preserve">4008-888-888或95551 </w:t>
            </w:r>
          </w:p>
        </w:tc>
      </w:tr>
      <w:tr w14:paraId="05A3A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EDF41D">
            <w:pPr>
              <w:pStyle w:val="8"/>
            </w:pPr>
            <w:r>
              <w:rPr>
                <w:rFonts w:hint="eastAsia"/>
              </w:rPr>
              <w:t xml:space="preserve">网址： </w:t>
            </w:r>
          </w:p>
        </w:tc>
        <w:tc>
          <w:tcPr>
            <w:tcW w:w="7440" w:type="dxa"/>
            <w:shd w:val="clear" w:color="auto" w:fill="auto"/>
          </w:tcPr>
          <w:p w14:paraId="1282A442">
            <w:pPr>
              <w:pStyle w:val="8"/>
            </w:pPr>
            <w:r>
              <w:rPr>
                <w:rFonts w:hint="eastAsia"/>
              </w:rPr>
              <w:t xml:space="preserve">http:// www.chinastock.com.cn/ </w:t>
            </w:r>
          </w:p>
        </w:tc>
      </w:tr>
    </w:tbl>
    <w:p w14:paraId="060BD1B8">
      <w:pPr>
        <w:pStyle w:val="8"/>
        <w:spacing w:before="0" w:beforeAutospacing="0" w:after="0" w:afterAutospacing="0" w:line="360" w:lineRule="auto"/>
        <w:ind w:firstLine="420"/>
        <w:rPr>
          <w:sz w:val="21"/>
          <w:szCs w:val="21"/>
        </w:rPr>
      </w:pPr>
      <w:r>
        <w:rPr>
          <w:rFonts w:hint="eastAsia"/>
          <w:b/>
          <w:bCs/>
          <w:sz w:val="21"/>
          <w:szCs w:val="21"/>
        </w:rPr>
        <w:t>(8)海通证券股份有限公司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D28B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9F3E06">
            <w:pPr>
              <w:pStyle w:val="8"/>
            </w:pPr>
            <w:r>
              <w:rPr>
                <w:rFonts w:hint="eastAsia"/>
              </w:rPr>
              <w:t xml:space="preserve">注册地址： </w:t>
            </w:r>
          </w:p>
        </w:tc>
        <w:tc>
          <w:tcPr>
            <w:tcW w:w="7440" w:type="dxa"/>
            <w:shd w:val="clear" w:color="auto" w:fill="auto"/>
          </w:tcPr>
          <w:p w14:paraId="5B6DFB1F">
            <w:pPr>
              <w:pStyle w:val="8"/>
            </w:pPr>
            <w:r>
              <w:rPr>
                <w:rFonts w:hint="eastAsia"/>
              </w:rPr>
              <w:t xml:space="preserve">上海市淮海中路98号 </w:t>
            </w:r>
          </w:p>
        </w:tc>
      </w:tr>
      <w:tr w14:paraId="26C35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9CFABB">
            <w:pPr>
              <w:pStyle w:val="8"/>
            </w:pPr>
            <w:r>
              <w:rPr>
                <w:rFonts w:hint="eastAsia"/>
              </w:rPr>
              <w:t xml:space="preserve">办公地址： </w:t>
            </w:r>
          </w:p>
        </w:tc>
        <w:tc>
          <w:tcPr>
            <w:tcW w:w="7440" w:type="dxa"/>
            <w:shd w:val="clear" w:color="auto" w:fill="auto"/>
          </w:tcPr>
          <w:p w14:paraId="3739E85B">
            <w:pPr>
              <w:pStyle w:val="8"/>
            </w:pPr>
            <w:r>
              <w:rPr>
                <w:rFonts w:hint="eastAsia"/>
              </w:rPr>
              <w:t xml:space="preserve">上海市广东路689号海通证券大厦 </w:t>
            </w:r>
          </w:p>
        </w:tc>
      </w:tr>
      <w:tr w14:paraId="58CD6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DD727C">
            <w:pPr>
              <w:pStyle w:val="8"/>
            </w:pPr>
            <w:r>
              <w:rPr>
                <w:rFonts w:hint="eastAsia"/>
              </w:rPr>
              <w:t xml:space="preserve">法定代表人： </w:t>
            </w:r>
          </w:p>
        </w:tc>
        <w:tc>
          <w:tcPr>
            <w:tcW w:w="7440" w:type="dxa"/>
            <w:shd w:val="clear" w:color="auto" w:fill="auto"/>
          </w:tcPr>
          <w:p w14:paraId="692A01D5">
            <w:pPr>
              <w:pStyle w:val="8"/>
            </w:pPr>
            <w:r>
              <w:rPr>
                <w:rFonts w:hint="eastAsia"/>
              </w:rPr>
              <w:t xml:space="preserve">周杰 </w:t>
            </w:r>
          </w:p>
        </w:tc>
      </w:tr>
      <w:tr w14:paraId="62B7F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B08C62">
            <w:pPr>
              <w:pStyle w:val="8"/>
            </w:pPr>
            <w:r>
              <w:rPr>
                <w:rFonts w:hint="eastAsia"/>
              </w:rPr>
              <w:t xml:space="preserve">联系人： </w:t>
            </w:r>
          </w:p>
        </w:tc>
        <w:tc>
          <w:tcPr>
            <w:tcW w:w="7440" w:type="dxa"/>
            <w:shd w:val="clear" w:color="auto" w:fill="auto"/>
          </w:tcPr>
          <w:p w14:paraId="73F8E623">
            <w:pPr>
              <w:pStyle w:val="8"/>
            </w:pPr>
            <w:r>
              <w:rPr>
                <w:rFonts w:hint="eastAsia"/>
              </w:rPr>
              <w:t xml:space="preserve">李笑鸣 </w:t>
            </w:r>
          </w:p>
        </w:tc>
      </w:tr>
      <w:tr w14:paraId="0E397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43DF12">
            <w:pPr>
              <w:pStyle w:val="8"/>
            </w:pPr>
            <w:r>
              <w:rPr>
                <w:rFonts w:hint="eastAsia"/>
              </w:rPr>
              <w:t xml:space="preserve">电话： </w:t>
            </w:r>
          </w:p>
        </w:tc>
        <w:tc>
          <w:tcPr>
            <w:tcW w:w="7440" w:type="dxa"/>
            <w:shd w:val="clear" w:color="auto" w:fill="auto"/>
          </w:tcPr>
          <w:p w14:paraId="6C8E77C2">
            <w:pPr>
              <w:pStyle w:val="8"/>
            </w:pPr>
            <w:r>
              <w:rPr>
                <w:rFonts w:hint="eastAsia"/>
              </w:rPr>
              <w:t xml:space="preserve">021-23219275 </w:t>
            </w:r>
          </w:p>
        </w:tc>
      </w:tr>
      <w:tr w14:paraId="09EF4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A50873">
            <w:pPr>
              <w:pStyle w:val="8"/>
            </w:pPr>
            <w:r>
              <w:rPr>
                <w:rFonts w:hint="eastAsia"/>
              </w:rPr>
              <w:t xml:space="preserve">传真： </w:t>
            </w:r>
          </w:p>
        </w:tc>
        <w:tc>
          <w:tcPr>
            <w:tcW w:w="7440" w:type="dxa"/>
            <w:shd w:val="clear" w:color="auto" w:fill="auto"/>
          </w:tcPr>
          <w:p w14:paraId="730B1147">
            <w:pPr>
              <w:pStyle w:val="8"/>
            </w:pPr>
            <w:r>
              <w:rPr>
                <w:rFonts w:hint="eastAsia"/>
              </w:rPr>
              <w:t xml:space="preserve">021－63602722 </w:t>
            </w:r>
          </w:p>
        </w:tc>
      </w:tr>
      <w:tr w14:paraId="1B9D1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74EC0C">
            <w:pPr>
              <w:pStyle w:val="8"/>
            </w:pPr>
            <w:r>
              <w:rPr>
                <w:rFonts w:hint="eastAsia"/>
              </w:rPr>
              <w:t xml:space="preserve">客户服务电话： </w:t>
            </w:r>
          </w:p>
        </w:tc>
        <w:tc>
          <w:tcPr>
            <w:tcW w:w="7440" w:type="dxa"/>
            <w:shd w:val="clear" w:color="auto" w:fill="auto"/>
          </w:tcPr>
          <w:p w14:paraId="4A29A610">
            <w:pPr>
              <w:pStyle w:val="8"/>
            </w:pPr>
            <w:r>
              <w:rPr>
                <w:rFonts w:hint="eastAsia"/>
              </w:rPr>
              <w:t xml:space="preserve">95553 </w:t>
            </w:r>
          </w:p>
        </w:tc>
      </w:tr>
      <w:tr w14:paraId="7C540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233D31">
            <w:pPr>
              <w:pStyle w:val="8"/>
            </w:pPr>
            <w:r>
              <w:rPr>
                <w:rFonts w:hint="eastAsia"/>
              </w:rPr>
              <w:t xml:space="preserve">网址： </w:t>
            </w:r>
          </w:p>
        </w:tc>
        <w:tc>
          <w:tcPr>
            <w:tcW w:w="7440" w:type="dxa"/>
            <w:shd w:val="clear" w:color="auto" w:fill="auto"/>
          </w:tcPr>
          <w:p w14:paraId="7577564B">
            <w:pPr>
              <w:pStyle w:val="8"/>
            </w:pPr>
            <w:r>
              <w:rPr>
                <w:rFonts w:hint="eastAsia"/>
              </w:rPr>
              <w:t xml:space="preserve">http://www.htsec.com/ </w:t>
            </w:r>
          </w:p>
        </w:tc>
      </w:tr>
    </w:tbl>
    <w:p w14:paraId="0FB8CFFE">
      <w:pPr>
        <w:pStyle w:val="8"/>
        <w:spacing w:before="0" w:beforeAutospacing="0" w:after="0" w:afterAutospacing="0" w:line="360" w:lineRule="auto"/>
        <w:ind w:firstLine="420"/>
        <w:rPr>
          <w:sz w:val="21"/>
          <w:szCs w:val="21"/>
        </w:rPr>
      </w:pPr>
      <w:r>
        <w:rPr>
          <w:rFonts w:hint="eastAsia"/>
          <w:b/>
          <w:bCs/>
          <w:sz w:val="21"/>
          <w:szCs w:val="21"/>
        </w:rPr>
        <w:t>(9)申万宏源证券有限公司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5D62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1AC45E">
            <w:pPr>
              <w:pStyle w:val="8"/>
            </w:pPr>
            <w:r>
              <w:rPr>
                <w:rFonts w:hint="eastAsia"/>
              </w:rPr>
              <w:t xml:space="preserve">注册地址： </w:t>
            </w:r>
          </w:p>
        </w:tc>
        <w:tc>
          <w:tcPr>
            <w:tcW w:w="7440" w:type="dxa"/>
            <w:shd w:val="clear" w:color="auto" w:fill="auto"/>
          </w:tcPr>
          <w:p w14:paraId="3C8D4C31">
            <w:pPr>
              <w:pStyle w:val="8"/>
            </w:pPr>
            <w:r>
              <w:rPr>
                <w:rFonts w:hint="eastAsia"/>
              </w:rPr>
              <w:t xml:space="preserve">上海市徐汇区长乐路989号45层 </w:t>
            </w:r>
          </w:p>
        </w:tc>
      </w:tr>
      <w:tr w14:paraId="0CCD2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865CC">
            <w:pPr>
              <w:pStyle w:val="8"/>
            </w:pPr>
            <w:r>
              <w:rPr>
                <w:rFonts w:hint="eastAsia"/>
              </w:rPr>
              <w:t xml:space="preserve">办公地址： </w:t>
            </w:r>
          </w:p>
        </w:tc>
        <w:tc>
          <w:tcPr>
            <w:tcW w:w="7440" w:type="dxa"/>
            <w:shd w:val="clear" w:color="auto" w:fill="auto"/>
          </w:tcPr>
          <w:p w14:paraId="19BB8682">
            <w:pPr>
              <w:pStyle w:val="8"/>
            </w:pPr>
            <w:r>
              <w:rPr>
                <w:rFonts w:hint="eastAsia"/>
              </w:rPr>
              <w:t xml:space="preserve">上海市徐汇区长乐路989号世纪商贸广场45层 </w:t>
            </w:r>
          </w:p>
        </w:tc>
      </w:tr>
      <w:tr w14:paraId="60941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0377F1">
            <w:pPr>
              <w:pStyle w:val="8"/>
            </w:pPr>
            <w:r>
              <w:rPr>
                <w:rFonts w:hint="eastAsia"/>
              </w:rPr>
              <w:t xml:space="preserve">法定代表人： </w:t>
            </w:r>
          </w:p>
        </w:tc>
        <w:tc>
          <w:tcPr>
            <w:tcW w:w="7440" w:type="dxa"/>
            <w:shd w:val="clear" w:color="auto" w:fill="auto"/>
          </w:tcPr>
          <w:p w14:paraId="6F32477B">
            <w:pPr>
              <w:pStyle w:val="8"/>
            </w:pPr>
            <w:r>
              <w:rPr>
                <w:rFonts w:hint="eastAsia"/>
              </w:rPr>
              <w:t xml:space="preserve">张剑 </w:t>
            </w:r>
          </w:p>
        </w:tc>
      </w:tr>
      <w:tr w14:paraId="06A51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BDF495">
            <w:pPr>
              <w:pStyle w:val="8"/>
            </w:pPr>
            <w:r>
              <w:rPr>
                <w:rFonts w:hint="eastAsia"/>
              </w:rPr>
              <w:t xml:space="preserve">电话： </w:t>
            </w:r>
          </w:p>
        </w:tc>
        <w:tc>
          <w:tcPr>
            <w:tcW w:w="7440" w:type="dxa"/>
            <w:shd w:val="clear" w:color="auto" w:fill="auto"/>
          </w:tcPr>
          <w:p w14:paraId="36FA16DC">
            <w:pPr>
              <w:pStyle w:val="8"/>
            </w:pPr>
            <w:r>
              <w:rPr>
                <w:rFonts w:hint="eastAsia"/>
              </w:rPr>
              <w:t xml:space="preserve">021-33388999 </w:t>
            </w:r>
          </w:p>
        </w:tc>
      </w:tr>
      <w:tr w14:paraId="2E6BE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43C5C0">
            <w:pPr>
              <w:pStyle w:val="8"/>
            </w:pPr>
            <w:r>
              <w:rPr>
                <w:rFonts w:hint="eastAsia"/>
              </w:rPr>
              <w:t xml:space="preserve">传真： </w:t>
            </w:r>
          </w:p>
        </w:tc>
        <w:tc>
          <w:tcPr>
            <w:tcW w:w="7440" w:type="dxa"/>
            <w:shd w:val="clear" w:color="auto" w:fill="auto"/>
          </w:tcPr>
          <w:p w14:paraId="1909A41D">
            <w:pPr>
              <w:pStyle w:val="8"/>
            </w:pPr>
            <w:r>
              <w:rPr>
                <w:rFonts w:hint="eastAsia"/>
              </w:rPr>
              <w:t xml:space="preserve">021-33388224 </w:t>
            </w:r>
          </w:p>
        </w:tc>
      </w:tr>
      <w:tr w14:paraId="58B55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8CD0D2">
            <w:pPr>
              <w:pStyle w:val="8"/>
            </w:pPr>
            <w:r>
              <w:rPr>
                <w:rFonts w:hint="eastAsia"/>
              </w:rPr>
              <w:t xml:space="preserve">客户服务电话： </w:t>
            </w:r>
          </w:p>
        </w:tc>
        <w:tc>
          <w:tcPr>
            <w:tcW w:w="7440" w:type="dxa"/>
            <w:shd w:val="clear" w:color="auto" w:fill="auto"/>
          </w:tcPr>
          <w:p w14:paraId="5E2D189D">
            <w:pPr>
              <w:pStyle w:val="8"/>
            </w:pPr>
            <w:r>
              <w:rPr>
                <w:rFonts w:hint="eastAsia"/>
              </w:rPr>
              <w:t xml:space="preserve">95523 </w:t>
            </w:r>
          </w:p>
        </w:tc>
      </w:tr>
      <w:tr w14:paraId="5DA98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F8A12B">
            <w:pPr>
              <w:pStyle w:val="8"/>
            </w:pPr>
            <w:r>
              <w:rPr>
                <w:rFonts w:hint="eastAsia"/>
              </w:rPr>
              <w:t xml:space="preserve">网址： </w:t>
            </w:r>
          </w:p>
        </w:tc>
        <w:tc>
          <w:tcPr>
            <w:tcW w:w="7440" w:type="dxa"/>
            <w:shd w:val="clear" w:color="auto" w:fill="auto"/>
          </w:tcPr>
          <w:p w14:paraId="052BBF5F">
            <w:pPr>
              <w:pStyle w:val="8"/>
            </w:pPr>
            <w:r>
              <w:rPr>
                <w:rFonts w:hint="eastAsia"/>
              </w:rPr>
              <w:t xml:space="preserve">www.swhysc.com </w:t>
            </w:r>
          </w:p>
        </w:tc>
      </w:tr>
    </w:tbl>
    <w:p w14:paraId="1D54F9BE">
      <w:pPr>
        <w:pStyle w:val="8"/>
        <w:spacing w:before="0" w:beforeAutospacing="0" w:after="0" w:afterAutospacing="0" w:line="360" w:lineRule="auto"/>
        <w:ind w:firstLine="420"/>
        <w:rPr>
          <w:sz w:val="21"/>
          <w:szCs w:val="21"/>
        </w:rPr>
      </w:pPr>
      <w:r>
        <w:rPr>
          <w:rFonts w:hint="eastAsia"/>
          <w:b/>
          <w:bCs/>
          <w:sz w:val="21"/>
          <w:szCs w:val="21"/>
        </w:rPr>
        <w:t>(10)兴业证券股份有限公司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99F9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4986ED">
            <w:pPr>
              <w:pStyle w:val="8"/>
            </w:pPr>
            <w:r>
              <w:rPr>
                <w:rFonts w:hint="eastAsia"/>
              </w:rPr>
              <w:t xml:space="preserve">注册地址： </w:t>
            </w:r>
          </w:p>
        </w:tc>
        <w:tc>
          <w:tcPr>
            <w:tcW w:w="7440" w:type="dxa"/>
            <w:shd w:val="clear" w:color="auto" w:fill="auto"/>
          </w:tcPr>
          <w:p w14:paraId="5FF9C7AD">
            <w:pPr>
              <w:pStyle w:val="8"/>
            </w:pPr>
            <w:r>
              <w:rPr>
                <w:rFonts w:hint="eastAsia"/>
              </w:rPr>
              <w:t xml:space="preserve">福州市湖东路268号 </w:t>
            </w:r>
          </w:p>
        </w:tc>
      </w:tr>
      <w:tr w14:paraId="61305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360D8">
            <w:pPr>
              <w:pStyle w:val="8"/>
            </w:pPr>
            <w:r>
              <w:rPr>
                <w:rFonts w:hint="eastAsia"/>
              </w:rPr>
              <w:t xml:space="preserve">办公地址： </w:t>
            </w:r>
          </w:p>
        </w:tc>
        <w:tc>
          <w:tcPr>
            <w:tcW w:w="7440" w:type="dxa"/>
            <w:shd w:val="clear" w:color="auto" w:fill="auto"/>
          </w:tcPr>
          <w:p w14:paraId="7234023E">
            <w:pPr>
              <w:pStyle w:val="8"/>
            </w:pPr>
            <w:r>
              <w:rPr>
                <w:rFonts w:hint="eastAsia"/>
              </w:rPr>
              <w:t xml:space="preserve">上海市浦东民生路1199弄五道口广场1号楼21层 </w:t>
            </w:r>
          </w:p>
        </w:tc>
      </w:tr>
      <w:tr w14:paraId="14AE9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DBD2DF">
            <w:pPr>
              <w:pStyle w:val="8"/>
            </w:pPr>
            <w:r>
              <w:rPr>
                <w:rFonts w:hint="eastAsia"/>
              </w:rPr>
              <w:t xml:space="preserve">法定代表人： </w:t>
            </w:r>
          </w:p>
        </w:tc>
        <w:tc>
          <w:tcPr>
            <w:tcW w:w="7440" w:type="dxa"/>
            <w:shd w:val="clear" w:color="auto" w:fill="auto"/>
          </w:tcPr>
          <w:p w14:paraId="31EDF7CB">
            <w:pPr>
              <w:pStyle w:val="8"/>
            </w:pPr>
            <w:r>
              <w:rPr>
                <w:rFonts w:hint="eastAsia"/>
              </w:rPr>
              <w:t xml:space="preserve">杨华辉 </w:t>
            </w:r>
          </w:p>
        </w:tc>
      </w:tr>
      <w:tr w14:paraId="1B249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EE369">
            <w:pPr>
              <w:pStyle w:val="8"/>
            </w:pPr>
            <w:r>
              <w:rPr>
                <w:rFonts w:hint="eastAsia"/>
              </w:rPr>
              <w:t xml:space="preserve">电话： </w:t>
            </w:r>
          </w:p>
        </w:tc>
        <w:tc>
          <w:tcPr>
            <w:tcW w:w="7440" w:type="dxa"/>
            <w:shd w:val="clear" w:color="auto" w:fill="auto"/>
          </w:tcPr>
          <w:p w14:paraId="211EFC5E">
            <w:pPr>
              <w:pStyle w:val="8"/>
            </w:pPr>
            <w:r>
              <w:rPr>
                <w:rFonts w:hint="eastAsia"/>
              </w:rPr>
              <w:t xml:space="preserve">021-38565547 </w:t>
            </w:r>
          </w:p>
        </w:tc>
      </w:tr>
      <w:tr w14:paraId="1AEB8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700D11">
            <w:pPr>
              <w:pStyle w:val="8"/>
            </w:pPr>
            <w:r>
              <w:rPr>
                <w:rFonts w:hint="eastAsia"/>
              </w:rPr>
              <w:t xml:space="preserve">传真： </w:t>
            </w:r>
          </w:p>
        </w:tc>
        <w:tc>
          <w:tcPr>
            <w:tcW w:w="7440" w:type="dxa"/>
            <w:shd w:val="clear" w:color="auto" w:fill="auto"/>
          </w:tcPr>
          <w:p w14:paraId="3063C010">
            <w:pPr>
              <w:pStyle w:val="8"/>
            </w:pPr>
            <w:r>
              <w:rPr>
                <w:rFonts w:hint="eastAsia"/>
              </w:rPr>
              <w:t xml:space="preserve">021－38565783 </w:t>
            </w:r>
          </w:p>
        </w:tc>
      </w:tr>
      <w:tr w14:paraId="35E5E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6D4D6">
            <w:pPr>
              <w:pStyle w:val="8"/>
            </w:pPr>
            <w:r>
              <w:rPr>
                <w:rFonts w:hint="eastAsia"/>
              </w:rPr>
              <w:t xml:space="preserve">客户服务电话： </w:t>
            </w:r>
          </w:p>
        </w:tc>
        <w:tc>
          <w:tcPr>
            <w:tcW w:w="7440" w:type="dxa"/>
            <w:shd w:val="clear" w:color="auto" w:fill="auto"/>
          </w:tcPr>
          <w:p w14:paraId="7169F43F">
            <w:pPr>
              <w:pStyle w:val="8"/>
            </w:pPr>
            <w:r>
              <w:rPr>
                <w:rFonts w:hint="eastAsia"/>
              </w:rPr>
              <w:t xml:space="preserve">95562 </w:t>
            </w:r>
          </w:p>
        </w:tc>
      </w:tr>
      <w:tr w14:paraId="23F30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31B9BC">
            <w:pPr>
              <w:pStyle w:val="8"/>
            </w:pPr>
            <w:r>
              <w:rPr>
                <w:rFonts w:hint="eastAsia"/>
              </w:rPr>
              <w:t xml:space="preserve">网址： </w:t>
            </w:r>
          </w:p>
        </w:tc>
        <w:tc>
          <w:tcPr>
            <w:tcW w:w="7440" w:type="dxa"/>
            <w:shd w:val="clear" w:color="auto" w:fill="auto"/>
          </w:tcPr>
          <w:p w14:paraId="206AA691">
            <w:pPr>
              <w:pStyle w:val="8"/>
            </w:pPr>
            <w:r>
              <w:rPr>
                <w:rFonts w:hint="eastAsia"/>
              </w:rPr>
              <w:t xml:space="preserve">http://www.xyzq.com.cn/ </w:t>
            </w:r>
          </w:p>
        </w:tc>
      </w:tr>
    </w:tbl>
    <w:p w14:paraId="600139C2">
      <w:pPr>
        <w:pStyle w:val="8"/>
        <w:spacing w:before="0" w:beforeAutospacing="0" w:after="0" w:afterAutospacing="0" w:line="360" w:lineRule="auto"/>
        <w:ind w:firstLine="420"/>
        <w:rPr>
          <w:sz w:val="21"/>
          <w:szCs w:val="21"/>
        </w:rPr>
      </w:pPr>
      <w:r>
        <w:rPr>
          <w:rFonts w:hint="eastAsia"/>
          <w:b/>
          <w:bCs/>
          <w:sz w:val="21"/>
          <w:szCs w:val="21"/>
        </w:rPr>
        <w:t>(11)国投证券股份有限公司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4C7A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2290CD2">
            <w:pPr>
              <w:pStyle w:val="8"/>
            </w:pPr>
            <w:r>
              <w:rPr>
                <w:rFonts w:hint="eastAsia"/>
              </w:rPr>
              <w:t xml:space="preserve">注册地址： </w:t>
            </w:r>
          </w:p>
        </w:tc>
        <w:tc>
          <w:tcPr>
            <w:tcW w:w="7440" w:type="dxa"/>
            <w:shd w:val="clear" w:color="auto" w:fill="auto"/>
          </w:tcPr>
          <w:p w14:paraId="796DED76">
            <w:pPr>
              <w:pStyle w:val="8"/>
            </w:pPr>
            <w:r>
              <w:rPr>
                <w:rFonts w:hint="eastAsia"/>
              </w:rPr>
              <w:t xml:space="preserve">深圳市福田区福田街道福华一路119号安信金融大厦 </w:t>
            </w:r>
          </w:p>
        </w:tc>
      </w:tr>
      <w:tr w14:paraId="3B8D9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0F993">
            <w:pPr>
              <w:pStyle w:val="8"/>
            </w:pPr>
            <w:r>
              <w:rPr>
                <w:rFonts w:hint="eastAsia"/>
              </w:rPr>
              <w:t xml:space="preserve">办公地址： </w:t>
            </w:r>
          </w:p>
        </w:tc>
        <w:tc>
          <w:tcPr>
            <w:tcW w:w="7440" w:type="dxa"/>
            <w:shd w:val="clear" w:color="auto" w:fill="auto"/>
          </w:tcPr>
          <w:p w14:paraId="4F4045BA">
            <w:pPr>
              <w:pStyle w:val="8"/>
            </w:pPr>
            <w:r>
              <w:rPr>
                <w:rFonts w:hint="eastAsia"/>
              </w:rPr>
              <w:t xml:space="preserve">深圳市福田区福田街道福华一路119号安信金融大厦 </w:t>
            </w:r>
          </w:p>
        </w:tc>
      </w:tr>
      <w:tr w14:paraId="698B4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8D983D">
            <w:pPr>
              <w:pStyle w:val="8"/>
            </w:pPr>
            <w:r>
              <w:rPr>
                <w:rFonts w:hint="eastAsia"/>
              </w:rPr>
              <w:t xml:space="preserve">法定代表人： </w:t>
            </w:r>
          </w:p>
        </w:tc>
        <w:tc>
          <w:tcPr>
            <w:tcW w:w="7440" w:type="dxa"/>
            <w:shd w:val="clear" w:color="auto" w:fill="auto"/>
          </w:tcPr>
          <w:p w14:paraId="56E172AC">
            <w:pPr>
              <w:pStyle w:val="8"/>
            </w:pPr>
            <w:r>
              <w:rPr>
                <w:rFonts w:hint="eastAsia"/>
              </w:rPr>
              <w:t xml:space="preserve">王苏望 </w:t>
            </w:r>
          </w:p>
        </w:tc>
      </w:tr>
      <w:tr w14:paraId="48FDC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52C708">
            <w:pPr>
              <w:pStyle w:val="8"/>
            </w:pPr>
            <w:r>
              <w:rPr>
                <w:rFonts w:hint="eastAsia"/>
              </w:rPr>
              <w:t xml:space="preserve">电话： </w:t>
            </w:r>
          </w:p>
        </w:tc>
        <w:tc>
          <w:tcPr>
            <w:tcW w:w="7440" w:type="dxa"/>
            <w:shd w:val="clear" w:color="auto" w:fill="auto"/>
          </w:tcPr>
          <w:p w14:paraId="7B366140">
            <w:pPr>
              <w:pStyle w:val="8"/>
            </w:pPr>
            <w:r>
              <w:rPr>
                <w:rFonts w:hint="eastAsia"/>
              </w:rPr>
              <w:t xml:space="preserve">0755-82558266 </w:t>
            </w:r>
          </w:p>
        </w:tc>
      </w:tr>
      <w:tr w14:paraId="5A769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F86642">
            <w:pPr>
              <w:pStyle w:val="8"/>
            </w:pPr>
            <w:r>
              <w:rPr>
                <w:rFonts w:hint="eastAsia"/>
              </w:rPr>
              <w:t xml:space="preserve">客户服务电话： </w:t>
            </w:r>
          </w:p>
        </w:tc>
        <w:tc>
          <w:tcPr>
            <w:tcW w:w="7440" w:type="dxa"/>
            <w:shd w:val="clear" w:color="auto" w:fill="auto"/>
          </w:tcPr>
          <w:p w14:paraId="7214E29D">
            <w:pPr>
              <w:pStyle w:val="8"/>
            </w:pPr>
            <w:r>
              <w:rPr>
                <w:rFonts w:hint="eastAsia"/>
              </w:rPr>
              <w:t xml:space="preserve">95517 </w:t>
            </w:r>
          </w:p>
        </w:tc>
      </w:tr>
      <w:tr w14:paraId="3F0CF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12116C">
            <w:pPr>
              <w:pStyle w:val="8"/>
            </w:pPr>
            <w:r>
              <w:rPr>
                <w:rFonts w:hint="eastAsia"/>
              </w:rPr>
              <w:t xml:space="preserve">网址： </w:t>
            </w:r>
          </w:p>
        </w:tc>
        <w:tc>
          <w:tcPr>
            <w:tcW w:w="7440" w:type="dxa"/>
            <w:shd w:val="clear" w:color="auto" w:fill="auto"/>
          </w:tcPr>
          <w:p w14:paraId="30E9DE85">
            <w:pPr>
              <w:pStyle w:val="8"/>
            </w:pPr>
            <w:r>
              <w:rPr>
                <w:rFonts w:hint="eastAsia"/>
              </w:rPr>
              <w:t xml:space="preserve">http://www.sdicsc.com.cn </w:t>
            </w:r>
          </w:p>
        </w:tc>
      </w:tr>
    </w:tbl>
    <w:p w14:paraId="6392BD7D">
      <w:pPr>
        <w:pStyle w:val="8"/>
        <w:spacing w:before="0" w:beforeAutospacing="0" w:after="0" w:afterAutospacing="0" w:line="360" w:lineRule="auto"/>
        <w:ind w:firstLine="420"/>
        <w:rPr>
          <w:sz w:val="21"/>
          <w:szCs w:val="21"/>
        </w:rPr>
      </w:pPr>
      <w:r>
        <w:rPr>
          <w:rFonts w:hint="eastAsia"/>
          <w:b/>
          <w:bCs/>
          <w:sz w:val="21"/>
          <w:szCs w:val="21"/>
        </w:rPr>
        <w:t>(12)西南证券股份有限公司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8079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C3CC7F">
            <w:pPr>
              <w:pStyle w:val="8"/>
            </w:pPr>
            <w:r>
              <w:rPr>
                <w:rFonts w:hint="eastAsia"/>
              </w:rPr>
              <w:t xml:space="preserve">注册地址： </w:t>
            </w:r>
          </w:p>
        </w:tc>
        <w:tc>
          <w:tcPr>
            <w:tcW w:w="7440" w:type="dxa"/>
            <w:shd w:val="clear" w:color="auto" w:fill="auto"/>
          </w:tcPr>
          <w:p w14:paraId="7D60C8C0">
            <w:pPr>
              <w:pStyle w:val="8"/>
            </w:pPr>
            <w:r>
              <w:rPr>
                <w:rFonts w:hint="eastAsia"/>
              </w:rPr>
              <w:t xml:space="preserve">重庆市江北区金沙门路32号 </w:t>
            </w:r>
          </w:p>
        </w:tc>
      </w:tr>
      <w:tr w14:paraId="56B9C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7DAD8E">
            <w:pPr>
              <w:pStyle w:val="8"/>
            </w:pPr>
            <w:r>
              <w:rPr>
                <w:rFonts w:hint="eastAsia"/>
              </w:rPr>
              <w:t xml:space="preserve">办公地址： </w:t>
            </w:r>
          </w:p>
        </w:tc>
        <w:tc>
          <w:tcPr>
            <w:tcW w:w="7440" w:type="dxa"/>
            <w:shd w:val="clear" w:color="auto" w:fill="auto"/>
          </w:tcPr>
          <w:p w14:paraId="48DA4298">
            <w:pPr>
              <w:pStyle w:val="8"/>
            </w:pPr>
            <w:r>
              <w:rPr>
                <w:rFonts w:hint="eastAsia"/>
              </w:rPr>
              <w:t xml:space="preserve">重庆市江北区金沙门路32号 </w:t>
            </w:r>
          </w:p>
        </w:tc>
      </w:tr>
      <w:tr w14:paraId="33E43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8F9444">
            <w:pPr>
              <w:pStyle w:val="8"/>
            </w:pPr>
            <w:r>
              <w:rPr>
                <w:rFonts w:hint="eastAsia"/>
              </w:rPr>
              <w:t xml:space="preserve">法定代表人： </w:t>
            </w:r>
          </w:p>
        </w:tc>
        <w:tc>
          <w:tcPr>
            <w:tcW w:w="7440" w:type="dxa"/>
            <w:shd w:val="clear" w:color="auto" w:fill="auto"/>
          </w:tcPr>
          <w:p w14:paraId="2D1E8F17">
            <w:pPr>
              <w:pStyle w:val="8"/>
            </w:pPr>
            <w:r>
              <w:rPr>
                <w:rFonts w:hint="eastAsia"/>
              </w:rPr>
              <w:t xml:space="preserve">杨雨松 </w:t>
            </w:r>
          </w:p>
        </w:tc>
      </w:tr>
      <w:tr w14:paraId="0444B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44286F">
            <w:pPr>
              <w:pStyle w:val="8"/>
            </w:pPr>
            <w:r>
              <w:rPr>
                <w:rFonts w:hint="eastAsia"/>
              </w:rPr>
              <w:t xml:space="preserve">联系人： </w:t>
            </w:r>
          </w:p>
        </w:tc>
        <w:tc>
          <w:tcPr>
            <w:tcW w:w="7440" w:type="dxa"/>
            <w:shd w:val="clear" w:color="auto" w:fill="auto"/>
          </w:tcPr>
          <w:p w14:paraId="2BF86123">
            <w:pPr>
              <w:pStyle w:val="8"/>
            </w:pPr>
            <w:r>
              <w:rPr>
                <w:rFonts w:hint="eastAsia"/>
              </w:rPr>
              <w:t xml:space="preserve">宋涧乔 </w:t>
            </w:r>
          </w:p>
        </w:tc>
      </w:tr>
      <w:tr w14:paraId="679C2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75F22B">
            <w:pPr>
              <w:pStyle w:val="8"/>
            </w:pPr>
            <w:r>
              <w:rPr>
                <w:rFonts w:hint="eastAsia"/>
              </w:rPr>
              <w:t xml:space="preserve">电话： </w:t>
            </w:r>
          </w:p>
        </w:tc>
        <w:tc>
          <w:tcPr>
            <w:tcW w:w="7440" w:type="dxa"/>
            <w:shd w:val="clear" w:color="auto" w:fill="auto"/>
          </w:tcPr>
          <w:p w14:paraId="7562C626">
            <w:pPr>
              <w:pStyle w:val="8"/>
            </w:pPr>
            <w:r>
              <w:rPr>
                <w:rFonts w:hint="eastAsia"/>
              </w:rPr>
              <w:t xml:space="preserve">023-67747414 </w:t>
            </w:r>
          </w:p>
        </w:tc>
      </w:tr>
      <w:tr w14:paraId="5FA5E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CF9FD">
            <w:pPr>
              <w:pStyle w:val="8"/>
            </w:pPr>
            <w:r>
              <w:rPr>
                <w:rFonts w:hint="eastAsia"/>
              </w:rPr>
              <w:t xml:space="preserve">传真： </w:t>
            </w:r>
          </w:p>
        </w:tc>
        <w:tc>
          <w:tcPr>
            <w:tcW w:w="7440" w:type="dxa"/>
            <w:shd w:val="clear" w:color="auto" w:fill="auto"/>
          </w:tcPr>
          <w:p w14:paraId="73283831">
            <w:pPr>
              <w:pStyle w:val="8"/>
            </w:pPr>
            <w:r>
              <w:rPr>
                <w:rFonts w:hint="eastAsia"/>
              </w:rPr>
              <w:t xml:space="preserve">023-63786212 </w:t>
            </w:r>
          </w:p>
        </w:tc>
      </w:tr>
      <w:tr w14:paraId="5ED1B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912870">
            <w:pPr>
              <w:pStyle w:val="8"/>
            </w:pPr>
            <w:r>
              <w:rPr>
                <w:rFonts w:hint="eastAsia"/>
              </w:rPr>
              <w:t xml:space="preserve">客户服务电话： </w:t>
            </w:r>
          </w:p>
        </w:tc>
        <w:tc>
          <w:tcPr>
            <w:tcW w:w="7440" w:type="dxa"/>
            <w:shd w:val="clear" w:color="auto" w:fill="auto"/>
          </w:tcPr>
          <w:p w14:paraId="1EB900E3">
            <w:pPr>
              <w:pStyle w:val="8"/>
            </w:pPr>
            <w:r>
              <w:rPr>
                <w:rFonts w:hint="eastAsia"/>
              </w:rPr>
              <w:t xml:space="preserve">4008096096 </w:t>
            </w:r>
          </w:p>
        </w:tc>
      </w:tr>
      <w:tr w14:paraId="5BC4C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A54B3">
            <w:pPr>
              <w:pStyle w:val="8"/>
            </w:pPr>
            <w:r>
              <w:rPr>
                <w:rFonts w:hint="eastAsia"/>
              </w:rPr>
              <w:t xml:space="preserve">网址： </w:t>
            </w:r>
          </w:p>
        </w:tc>
        <w:tc>
          <w:tcPr>
            <w:tcW w:w="7440" w:type="dxa"/>
            <w:shd w:val="clear" w:color="auto" w:fill="auto"/>
          </w:tcPr>
          <w:p w14:paraId="1FD49979">
            <w:pPr>
              <w:pStyle w:val="8"/>
            </w:pPr>
            <w:r>
              <w:rPr>
                <w:rFonts w:hint="eastAsia"/>
              </w:rPr>
              <w:t xml:space="preserve">http://www.swsc.com.cn </w:t>
            </w:r>
          </w:p>
        </w:tc>
      </w:tr>
    </w:tbl>
    <w:p w14:paraId="7FDA10E7">
      <w:pPr>
        <w:pStyle w:val="8"/>
        <w:spacing w:before="0" w:beforeAutospacing="0" w:after="0" w:afterAutospacing="0" w:line="360" w:lineRule="auto"/>
        <w:ind w:firstLine="420"/>
        <w:rPr>
          <w:sz w:val="21"/>
          <w:szCs w:val="21"/>
        </w:rPr>
      </w:pPr>
      <w:r>
        <w:rPr>
          <w:rFonts w:hint="eastAsia"/>
          <w:b/>
          <w:bCs/>
          <w:sz w:val="21"/>
          <w:szCs w:val="21"/>
        </w:rPr>
        <w:t>(13)湘财证券股份有限公司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8088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FFB33B">
            <w:pPr>
              <w:pStyle w:val="8"/>
            </w:pPr>
            <w:r>
              <w:rPr>
                <w:rFonts w:hint="eastAsia"/>
              </w:rPr>
              <w:t xml:space="preserve">注册地址： </w:t>
            </w:r>
          </w:p>
        </w:tc>
        <w:tc>
          <w:tcPr>
            <w:tcW w:w="7440" w:type="dxa"/>
            <w:shd w:val="clear" w:color="auto" w:fill="auto"/>
          </w:tcPr>
          <w:p w14:paraId="419C575B">
            <w:pPr>
              <w:pStyle w:val="8"/>
            </w:pPr>
            <w:r>
              <w:rPr>
                <w:rFonts w:hint="eastAsia"/>
              </w:rPr>
              <w:t xml:space="preserve">湖南省长沙市天心区湘府中路198号新南城商务中心A栋11楼 </w:t>
            </w:r>
          </w:p>
        </w:tc>
      </w:tr>
      <w:tr w14:paraId="1C2A9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32D2A4">
            <w:pPr>
              <w:pStyle w:val="8"/>
            </w:pPr>
            <w:r>
              <w:rPr>
                <w:rFonts w:hint="eastAsia"/>
              </w:rPr>
              <w:t xml:space="preserve">办公地址： </w:t>
            </w:r>
          </w:p>
        </w:tc>
        <w:tc>
          <w:tcPr>
            <w:tcW w:w="7440" w:type="dxa"/>
            <w:shd w:val="clear" w:color="auto" w:fill="auto"/>
          </w:tcPr>
          <w:p w14:paraId="6B4DF706">
            <w:pPr>
              <w:pStyle w:val="8"/>
            </w:pPr>
            <w:r>
              <w:rPr>
                <w:rFonts w:hint="eastAsia"/>
              </w:rPr>
              <w:t xml:space="preserve">湖南省长沙市天心区湘府中路198号新南城商务中心A栋11楼 </w:t>
            </w:r>
          </w:p>
        </w:tc>
      </w:tr>
      <w:tr w14:paraId="5EE56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5866A8">
            <w:pPr>
              <w:pStyle w:val="8"/>
            </w:pPr>
            <w:r>
              <w:rPr>
                <w:rFonts w:hint="eastAsia"/>
              </w:rPr>
              <w:t xml:space="preserve">法定代表人： </w:t>
            </w:r>
          </w:p>
        </w:tc>
        <w:tc>
          <w:tcPr>
            <w:tcW w:w="7440" w:type="dxa"/>
            <w:shd w:val="clear" w:color="auto" w:fill="auto"/>
          </w:tcPr>
          <w:p w14:paraId="12ABB6D1">
            <w:pPr>
              <w:pStyle w:val="8"/>
            </w:pPr>
            <w:r>
              <w:rPr>
                <w:rFonts w:hint="eastAsia"/>
              </w:rPr>
              <w:t xml:space="preserve">林俊波 </w:t>
            </w:r>
          </w:p>
        </w:tc>
      </w:tr>
      <w:tr w14:paraId="55C48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DA0129">
            <w:pPr>
              <w:pStyle w:val="8"/>
            </w:pPr>
            <w:r>
              <w:rPr>
                <w:rFonts w:hint="eastAsia"/>
              </w:rPr>
              <w:t xml:space="preserve">联系人： </w:t>
            </w:r>
          </w:p>
        </w:tc>
        <w:tc>
          <w:tcPr>
            <w:tcW w:w="7440" w:type="dxa"/>
            <w:shd w:val="clear" w:color="auto" w:fill="auto"/>
          </w:tcPr>
          <w:p w14:paraId="6EED2AC1">
            <w:pPr>
              <w:pStyle w:val="8"/>
            </w:pPr>
            <w:r>
              <w:rPr>
                <w:rFonts w:hint="eastAsia"/>
              </w:rPr>
              <w:t xml:space="preserve">孙越 </w:t>
            </w:r>
          </w:p>
        </w:tc>
      </w:tr>
      <w:tr w14:paraId="7C87D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33D80C">
            <w:pPr>
              <w:pStyle w:val="8"/>
            </w:pPr>
            <w:r>
              <w:rPr>
                <w:rFonts w:hint="eastAsia"/>
              </w:rPr>
              <w:t xml:space="preserve">电话： </w:t>
            </w:r>
          </w:p>
        </w:tc>
        <w:tc>
          <w:tcPr>
            <w:tcW w:w="7440" w:type="dxa"/>
            <w:shd w:val="clear" w:color="auto" w:fill="auto"/>
          </w:tcPr>
          <w:p w14:paraId="1A19BB93">
            <w:pPr>
              <w:pStyle w:val="8"/>
            </w:pPr>
            <w:r>
              <w:rPr>
                <w:rFonts w:hint="eastAsia"/>
              </w:rPr>
              <w:t xml:space="preserve">021-38784580-8920 </w:t>
            </w:r>
          </w:p>
        </w:tc>
      </w:tr>
      <w:tr w14:paraId="3C872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E771C">
            <w:pPr>
              <w:pStyle w:val="8"/>
            </w:pPr>
            <w:r>
              <w:rPr>
                <w:rFonts w:hint="eastAsia"/>
              </w:rPr>
              <w:t xml:space="preserve">客户服务电话： </w:t>
            </w:r>
          </w:p>
        </w:tc>
        <w:tc>
          <w:tcPr>
            <w:tcW w:w="7440" w:type="dxa"/>
            <w:shd w:val="clear" w:color="auto" w:fill="auto"/>
          </w:tcPr>
          <w:p w14:paraId="000823AF">
            <w:pPr>
              <w:pStyle w:val="8"/>
            </w:pPr>
            <w:r>
              <w:rPr>
                <w:rFonts w:hint="eastAsia"/>
              </w:rPr>
              <w:t xml:space="preserve">95351 </w:t>
            </w:r>
          </w:p>
        </w:tc>
      </w:tr>
      <w:tr w14:paraId="0EE31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EF20EE">
            <w:pPr>
              <w:pStyle w:val="8"/>
            </w:pPr>
            <w:r>
              <w:rPr>
                <w:rFonts w:hint="eastAsia"/>
              </w:rPr>
              <w:t xml:space="preserve">网址： </w:t>
            </w:r>
          </w:p>
        </w:tc>
        <w:tc>
          <w:tcPr>
            <w:tcW w:w="7440" w:type="dxa"/>
            <w:shd w:val="clear" w:color="auto" w:fill="auto"/>
          </w:tcPr>
          <w:p w14:paraId="67BFA21D">
            <w:pPr>
              <w:pStyle w:val="8"/>
            </w:pPr>
            <w:r>
              <w:rPr>
                <w:rFonts w:hint="eastAsia"/>
              </w:rPr>
              <w:t xml:space="preserve">http://www.xcsc.com </w:t>
            </w:r>
          </w:p>
        </w:tc>
      </w:tr>
    </w:tbl>
    <w:p w14:paraId="0DEDE6C0">
      <w:pPr>
        <w:pStyle w:val="8"/>
        <w:spacing w:before="0" w:beforeAutospacing="0" w:after="0" w:afterAutospacing="0" w:line="360" w:lineRule="auto"/>
        <w:ind w:firstLine="420"/>
        <w:rPr>
          <w:sz w:val="21"/>
          <w:szCs w:val="21"/>
        </w:rPr>
      </w:pPr>
      <w:r>
        <w:rPr>
          <w:rFonts w:hint="eastAsia"/>
          <w:b/>
          <w:bCs/>
          <w:sz w:val="21"/>
          <w:szCs w:val="21"/>
        </w:rPr>
        <w:t>(14)万联证券股份有限公司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F9BE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800D986">
            <w:pPr>
              <w:pStyle w:val="8"/>
            </w:pPr>
            <w:r>
              <w:rPr>
                <w:rFonts w:hint="eastAsia"/>
              </w:rPr>
              <w:t xml:space="preserve">注册地址： </w:t>
            </w:r>
          </w:p>
        </w:tc>
        <w:tc>
          <w:tcPr>
            <w:tcW w:w="7440" w:type="dxa"/>
            <w:shd w:val="clear" w:color="auto" w:fill="auto"/>
          </w:tcPr>
          <w:p w14:paraId="78ACC0AE">
            <w:pPr>
              <w:pStyle w:val="8"/>
            </w:pPr>
            <w:r>
              <w:rPr>
                <w:rFonts w:hint="eastAsia"/>
              </w:rPr>
              <w:t xml:space="preserve">广州市天河区珠江东路11号18、19楼全层 </w:t>
            </w:r>
          </w:p>
        </w:tc>
      </w:tr>
      <w:tr w14:paraId="34D52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A33ACC">
            <w:pPr>
              <w:pStyle w:val="8"/>
            </w:pPr>
            <w:r>
              <w:rPr>
                <w:rFonts w:hint="eastAsia"/>
              </w:rPr>
              <w:t xml:space="preserve">办公地址： </w:t>
            </w:r>
          </w:p>
        </w:tc>
        <w:tc>
          <w:tcPr>
            <w:tcW w:w="7440" w:type="dxa"/>
            <w:shd w:val="clear" w:color="auto" w:fill="auto"/>
          </w:tcPr>
          <w:p w14:paraId="31FD17ED">
            <w:pPr>
              <w:pStyle w:val="8"/>
            </w:pPr>
            <w:r>
              <w:rPr>
                <w:rFonts w:hint="eastAsia"/>
              </w:rPr>
              <w:t xml:space="preserve">广东省广州市天河区珠江东路13号高德置地广场E座12层 </w:t>
            </w:r>
          </w:p>
        </w:tc>
      </w:tr>
      <w:tr w14:paraId="7D09E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70CCF3">
            <w:pPr>
              <w:pStyle w:val="8"/>
            </w:pPr>
            <w:r>
              <w:rPr>
                <w:rFonts w:hint="eastAsia"/>
              </w:rPr>
              <w:t xml:space="preserve">法定代表人： </w:t>
            </w:r>
          </w:p>
        </w:tc>
        <w:tc>
          <w:tcPr>
            <w:tcW w:w="7440" w:type="dxa"/>
            <w:shd w:val="clear" w:color="auto" w:fill="auto"/>
          </w:tcPr>
          <w:p w14:paraId="13A030A5">
            <w:pPr>
              <w:pStyle w:val="8"/>
            </w:pPr>
            <w:r>
              <w:rPr>
                <w:rFonts w:hint="eastAsia"/>
              </w:rPr>
              <w:t xml:space="preserve">王达 </w:t>
            </w:r>
          </w:p>
        </w:tc>
      </w:tr>
      <w:tr w14:paraId="299B3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0A32D7">
            <w:pPr>
              <w:pStyle w:val="8"/>
            </w:pPr>
            <w:r>
              <w:rPr>
                <w:rFonts w:hint="eastAsia"/>
              </w:rPr>
              <w:t xml:space="preserve">联系人： </w:t>
            </w:r>
          </w:p>
        </w:tc>
        <w:tc>
          <w:tcPr>
            <w:tcW w:w="7440" w:type="dxa"/>
            <w:shd w:val="clear" w:color="auto" w:fill="auto"/>
          </w:tcPr>
          <w:p w14:paraId="2FA77194">
            <w:pPr>
              <w:pStyle w:val="8"/>
            </w:pPr>
            <w:r>
              <w:rPr>
                <w:rFonts w:hint="eastAsia"/>
              </w:rPr>
              <w:t xml:space="preserve">丁思 </w:t>
            </w:r>
          </w:p>
        </w:tc>
      </w:tr>
      <w:tr w14:paraId="56840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004D30">
            <w:pPr>
              <w:pStyle w:val="8"/>
            </w:pPr>
            <w:r>
              <w:rPr>
                <w:rFonts w:hint="eastAsia"/>
              </w:rPr>
              <w:t xml:space="preserve">电话： </w:t>
            </w:r>
          </w:p>
        </w:tc>
        <w:tc>
          <w:tcPr>
            <w:tcW w:w="7440" w:type="dxa"/>
            <w:shd w:val="clear" w:color="auto" w:fill="auto"/>
          </w:tcPr>
          <w:p w14:paraId="526F66BC">
            <w:pPr>
              <w:pStyle w:val="8"/>
            </w:pPr>
            <w:r>
              <w:rPr>
                <w:rFonts w:hint="eastAsia"/>
              </w:rPr>
              <w:t xml:space="preserve">020-83988334  </w:t>
            </w:r>
          </w:p>
        </w:tc>
      </w:tr>
      <w:tr w14:paraId="13755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0F7AEC">
            <w:pPr>
              <w:pStyle w:val="8"/>
            </w:pPr>
            <w:r>
              <w:rPr>
                <w:rFonts w:hint="eastAsia"/>
              </w:rPr>
              <w:t xml:space="preserve">客户服务电话： </w:t>
            </w:r>
          </w:p>
        </w:tc>
        <w:tc>
          <w:tcPr>
            <w:tcW w:w="7440" w:type="dxa"/>
            <w:shd w:val="clear" w:color="auto" w:fill="auto"/>
          </w:tcPr>
          <w:p w14:paraId="1A9DE650">
            <w:pPr>
              <w:pStyle w:val="8"/>
            </w:pPr>
            <w:r>
              <w:rPr>
                <w:rFonts w:hint="eastAsia"/>
              </w:rPr>
              <w:t xml:space="preserve">95322 </w:t>
            </w:r>
          </w:p>
        </w:tc>
      </w:tr>
      <w:tr w14:paraId="0872A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1EB856">
            <w:pPr>
              <w:pStyle w:val="8"/>
            </w:pPr>
            <w:r>
              <w:rPr>
                <w:rFonts w:hint="eastAsia"/>
              </w:rPr>
              <w:t xml:space="preserve">网址： </w:t>
            </w:r>
          </w:p>
        </w:tc>
        <w:tc>
          <w:tcPr>
            <w:tcW w:w="7440" w:type="dxa"/>
            <w:shd w:val="clear" w:color="auto" w:fill="auto"/>
          </w:tcPr>
          <w:p w14:paraId="67564E73">
            <w:pPr>
              <w:pStyle w:val="8"/>
            </w:pPr>
            <w:r>
              <w:rPr>
                <w:rFonts w:hint="eastAsia"/>
              </w:rPr>
              <w:t xml:space="preserve">http://www.wlzq.cn </w:t>
            </w:r>
          </w:p>
        </w:tc>
      </w:tr>
    </w:tbl>
    <w:p w14:paraId="149A8AD9">
      <w:pPr>
        <w:pStyle w:val="8"/>
        <w:spacing w:before="0" w:beforeAutospacing="0" w:after="0" w:afterAutospacing="0" w:line="360" w:lineRule="auto"/>
        <w:ind w:firstLine="420"/>
        <w:rPr>
          <w:sz w:val="21"/>
          <w:szCs w:val="21"/>
        </w:rPr>
      </w:pPr>
      <w:r>
        <w:rPr>
          <w:rFonts w:hint="eastAsia"/>
          <w:b/>
          <w:bCs/>
          <w:sz w:val="21"/>
          <w:szCs w:val="21"/>
        </w:rPr>
        <w:t>(15)民生证券股份有限公司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768C3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E61B84">
            <w:pPr>
              <w:pStyle w:val="8"/>
            </w:pPr>
            <w:r>
              <w:rPr>
                <w:rFonts w:hint="eastAsia"/>
              </w:rPr>
              <w:t xml:space="preserve">注册地址： </w:t>
            </w:r>
          </w:p>
        </w:tc>
        <w:tc>
          <w:tcPr>
            <w:tcW w:w="7440" w:type="dxa"/>
            <w:shd w:val="clear" w:color="auto" w:fill="auto"/>
          </w:tcPr>
          <w:p w14:paraId="7FFFA400">
            <w:pPr>
              <w:pStyle w:val="8"/>
            </w:pPr>
            <w:r>
              <w:rPr>
                <w:rFonts w:hint="eastAsia"/>
              </w:rPr>
              <w:t xml:space="preserve">北京市东城区建国门内大街28号民生金融中心A座16-18层 </w:t>
            </w:r>
          </w:p>
        </w:tc>
      </w:tr>
      <w:tr w14:paraId="797CD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B6355A">
            <w:pPr>
              <w:pStyle w:val="8"/>
            </w:pPr>
            <w:r>
              <w:rPr>
                <w:rFonts w:hint="eastAsia"/>
              </w:rPr>
              <w:t xml:space="preserve">办公地址： </w:t>
            </w:r>
          </w:p>
        </w:tc>
        <w:tc>
          <w:tcPr>
            <w:tcW w:w="7440" w:type="dxa"/>
            <w:shd w:val="clear" w:color="auto" w:fill="auto"/>
          </w:tcPr>
          <w:p w14:paraId="4E8E7433">
            <w:pPr>
              <w:pStyle w:val="8"/>
            </w:pPr>
            <w:r>
              <w:rPr>
                <w:rFonts w:hint="eastAsia"/>
              </w:rPr>
              <w:t xml:space="preserve">北京市东城区建国门内大街28号民生金融中心A座16-20层 </w:t>
            </w:r>
          </w:p>
        </w:tc>
      </w:tr>
      <w:tr w14:paraId="6E4A5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41422">
            <w:pPr>
              <w:pStyle w:val="8"/>
            </w:pPr>
            <w:r>
              <w:rPr>
                <w:rFonts w:hint="eastAsia"/>
              </w:rPr>
              <w:t xml:space="preserve">法定代表人： </w:t>
            </w:r>
          </w:p>
        </w:tc>
        <w:tc>
          <w:tcPr>
            <w:tcW w:w="7440" w:type="dxa"/>
            <w:shd w:val="clear" w:color="auto" w:fill="auto"/>
          </w:tcPr>
          <w:p w14:paraId="044EE3E3">
            <w:pPr>
              <w:pStyle w:val="8"/>
            </w:pPr>
            <w:r>
              <w:rPr>
                <w:rFonts w:hint="eastAsia"/>
              </w:rPr>
              <w:t xml:space="preserve">余政 </w:t>
            </w:r>
          </w:p>
        </w:tc>
      </w:tr>
      <w:tr w14:paraId="5866E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6F1BC7">
            <w:pPr>
              <w:pStyle w:val="8"/>
            </w:pPr>
            <w:r>
              <w:rPr>
                <w:rFonts w:hint="eastAsia"/>
              </w:rPr>
              <w:t xml:space="preserve">联系人： </w:t>
            </w:r>
          </w:p>
        </w:tc>
        <w:tc>
          <w:tcPr>
            <w:tcW w:w="7440" w:type="dxa"/>
            <w:shd w:val="clear" w:color="auto" w:fill="auto"/>
          </w:tcPr>
          <w:p w14:paraId="1B4DC54E">
            <w:pPr>
              <w:pStyle w:val="8"/>
            </w:pPr>
            <w:r>
              <w:rPr>
                <w:rFonts w:hint="eastAsia"/>
              </w:rPr>
              <w:t xml:space="preserve">赵明 </w:t>
            </w:r>
          </w:p>
        </w:tc>
      </w:tr>
      <w:tr w14:paraId="02171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C06AA5">
            <w:pPr>
              <w:pStyle w:val="8"/>
            </w:pPr>
            <w:r>
              <w:rPr>
                <w:rFonts w:hint="eastAsia"/>
              </w:rPr>
              <w:t xml:space="preserve">电话： </w:t>
            </w:r>
          </w:p>
        </w:tc>
        <w:tc>
          <w:tcPr>
            <w:tcW w:w="7440" w:type="dxa"/>
            <w:shd w:val="clear" w:color="auto" w:fill="auto"/>
          </w:tcPr>
          <w:p w14:paraId="3E1510B5">
            <w:pPr>
              <w:pStyle w:val="8"/>
            </w:pPr>
            <w:r>
              <w:rPr>
                <w:rFonts w:hint="eastAsia"/>
              </w:rPr>
              <w:t xml:space="preserve">010-85127622 </w:t>
            </w:r>
          </w:p>
        </w:tc>
      </w:tr>
      <w:tr w14:paraId="07355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B29A54">
            <w:pPr>
              <w:pStyle w:val="8"/>
            </w:pPr>
            <w:r>
              <w:rPr>
                <w:rFonts w:hint="eastAsia"/>
              </w:rPr>
              <w:t xml:space="preserve">传真： </w:t>
            </w:r>
          </w:p>
        </w:tc>
        <w:tc>
          <w:tcPr>
            <w:tcW w:w="7440" w:type="dxa"/>
            <w:shd w:val="clear" w:color="auto" w:fill="auto"/>
          </w:tcPr>
          <w:p w14:paraId="2BA784C1">
            <w:pPr>
              <w:pStyle w:val="8"/>
            </w:pPr>
            <w:r>
              <w:rPr>
                <w:rFonts w:hint="eastAsia"/>
              </w:rPr>
              <w:t xml:space="preserve">010-85127917 </w:t>
            </w:r>
          </w:p>
        </w:tc>
      </w:tr>
      <w:tr w14:paraId="6BDE5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46E2CF">
            <w:pPr>
              <w:pStyle w:val="8"/>
            </w:pPr>
            <w:r>
              <w:rPr>
                <w:rFonts w:hint="eastAsia"/>
              </w:rPr>
              <w:t xml:space="preserve">客户服务电话： </w:t>
            </w:r>
          </w:p>
        </w:tc>
        <w:tc>
          <w:tcPr>
            <w:tcW w:w="7440" w:type="dxa"/>
            <w:shd w:val="clear" w:color="auto" w:fill="auto"/>
          </w:tcPr>
          <w:p w14:paraId="03E36B25">
            <w:pPr>
              <w:pStyle w:val="8"/>
            </w:pPr>
            <w:r>
              <w:rPr>
                <w:rFonts w:hint="eastAsia"/>
              </w:rPr>
              <w:t xml:space="preserve">4006198888 </w:t>
            </w:r>
          </w:p>
        </w:tc>
      </w:tr>
      <w:tr w14:paraId="2173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FB90A">
            <w:pPr>
              <w:pStyle w:val="8"/>
            </w:pPr>
            <w:r>
              <w:rPr>
                <w:rFonts w:hint="eastAsia"/>
              </w:rPr>
              <w:t xml:space="preserve">网址： </w:t>
            </w:r>
          </w:p>
        </w:tc>
        <w:tc>
          <w:tcPr>
            <w:tcW w:w="7440" w:type="dxa"/>
            <w:shd w:val="clear" w:color="auto" w:fill="auto"/>
          </w:tcPr>
          <w:p w14:paraId="43BF7961">
            <w:pPr>
              <w:pStyle w:val="8"/>
            </w:pPr>
            <w:r>
              <w:rPr>
                <w:rFonts w:hint="eastAsia"/>
              </w:rPr>
              <w:t xml:space="preserve">www.mszq.com </w:t>
            </w:r>
          </w:p>
        </w:tc>
      </w:tr>
    </w:tbl>
    <w:p w14:paraId="4804B584">
      <w:pPr>
        <w:pStyle w:val="8"/>
        <w:spacing w:before="0" w:beforeAutospacing="0" w:after="0" w:afterAutospacing="0" w:line="360" w:lineRule="auto"/>
        <w:ind w:firstLine="420"/>
        <w:rPr>
          <w:sz w:val="21"/>
          <w:szCs w:val="21"/>
        </w:rPr>
      </w:pPr>
      <w:r>
        <w:rPr>
          <w:rFonts w:hint="eastAsia"/>
          <w:b/>
          <w:bCs/>
          <w:sz w:val="21"/>
          <w:szCs w:val="21"/>
        </w:rPr>
        <w:t>(16)渤海证券股份有限公司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CBFD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D51E95F">
            <w:pPr>
              <w:pStyle w:val="8"/>
            </w:pPr>
            <w:r>
              <w:rPr>
                <w:rFonts w:hint="eastAsia"/>
              </w:rPr>
              <w:t xml:space="preserve">注册地址： </w:t>
            </w:r>
          </w:p>
        </w:tc>
        <w:tc>
          <w:tcPr>
            <w:tcW w:w="7440" w:type="dxa"/>
            <w:shd w:val="clear" w:color="auto" w:fill="auto"/>
          </w:tcPr>
          <w:p w14:paraId="44CD896D">
            <w:pPr>
              <w:pStyle w:val="8"/>
            </w:pPr>
            <w:r>
              <w:rPr>
                <w:rFonts w:hint="eastAsia"/>
              </w:rPr>
              <w:t xml:space="preserve">天津经济技术开发区第二大街42号写字楼101室 </w:t>
            </w:r>
          </w:p>
        </w:tc>
      </w:tr>
      <w:tr w14:paraId="35C5D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BF7C1E">
            <w:pPr>
              <w:pStyle w:val="8"/>
            </w:pPr>
            <w:r>
              <w:rPr>
                <w:rFonts w:hint="eastAsia"/>
              </w:rPr>
              <w:t xml:space="preserve">办公地址： </w:t>
            </w:r>
          </w:p>
        </w:tc>
        <w:tc>
          <w:tcPr>
            <w:tcW w:w="7440" w:type="dxa"/>
            <w:shd w:val="clear" w:color="auto" w:fill="auto"/>
          </w:tcPr>
          <w:p w14:paraId="7473A3A7">
            <w:pPr>
              <w:pStyle w:val="8"/>
            </w:pPr>
            <w:r>
              <w:rPr>
                <w:rFonts w:hint="eastAsia"/>
              </w:rPr>
              <w:t xml:space="preserve">天津市南开区宾水西道8号 </w:t>
            </w:r>
          </w:p>
        </w:tc>
      </w:tr>
      <w:tr w14:paraId="6A56E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7F4847">
            <w:pPr>
              <w:pStyle w:val="8"/>
            </w:pPr>
            <w:r>
              <w:rPr>
                <w:rFonts w:hint="eastAsia"/>
              </w:rPr>
              <w:t xml:space="preserve">法定代表人： </w:t>
            </w:r>
          </w:p>
        </w:tc>
        <w:tc>
          <w:tcPr>
            <w:tcW w:w="7440" w:type="dxa"/>
            <w:shd w:val="clear" w:color="auto" w:fill="auto"/>
          </w:tcPr>
          <w:p w14:paraId="5898A84E">
            <w:pPr>
              <w:pStyle w:val="8"/>
            </w:pPr>
            <w:r>
              <w:rPr>
                <w:rFonts w:hint="eastAsia"/>
              </w:rPr>
              <w:t xml:space="preserve">安志勇 </w:t>
            </w:r>
          </w:p>
        </w:tc>
      </w:tr>
      <w:tr w14:paraId="70F5C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32BDD2">
            <w:pPr>
              <w:pStyle w:val="8"/>
            </w:pPr>
            <w:r>
              <w:rPr>
                <w:rFonts w:hint="eastAsia"/>
              </w:rPr>
              <w:t xml:space="preserve">联系人： </w:t>
            </w:r>
          </w:p>
        </w:tc>
        <w:tc>
          <w:tcPr>
            <w:tcW w:w="7440" w:type="dxa"/>
            <w:shd w:val="clear" w:color="auto" w:fill="auto"/>
          </w:tcPr>
          <w:p w14:paraId="7DCB5DC3">
            <w:pPr>
              <w:pStyle w:val="8"/>
            </w:pPr>
            <w:r>
              <w:rPr>
                <w:rFonts w:hint="eastAsia"/>
              </w:rPr>
              <w:t xml:space="preserve">王星 </w:t>
            </w:r>
          </w:p>
        </w:tc>
      </w:tr>
      <w:tr w14:paraId="39834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89DD34">
            <w:pPr>
              <w:pStyle w:val="8"/>
            </w:pPr>
            <w:r>
              <w:rPr>
                <w:rFonts w:hint="eastAsia"/>
              </w:rPr>
              <w:t xml:space="preserve">电话： </w:t>
            </w:r>
          </w:p>
        </w:tc>
        <w:tc>
          <w:tcPr>
            <w:tcW w:w="7440" w:type="dxa"/>
            <w:shd w:val="clear" w:color="auto" w:fill="auto"/>
          </w:tcPr>
          <w:p w14:paraId="7206B2C1">
            <w:pPr>
              <w:pStyle w:val="8"/>
            </w:pPr>
            <w:r>
              <w:rPr>
                <w:rFonts w:hint="eastAsia"/>
              </w:rPr>
              <w:t xml:space="preserve">022-23861692 </w:t>
            </w:r>
          </w:p>
        </w:tc>
      </w:tr>
      <w:tr w14:paraId="6D8AC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E3D6B">
            <w:pPr>
              <w:pStyle w:val="8"/>
            </w:pPr>
            <w:r>
              <w:rPr>
                <w:rFonts w:hint="eastAsia"/>
              </w:rPr>
              <w:t xml:space="preserve">传真： </w:t>
            </w:r>
          </w:p>
        </w:tc>
        <w:tc>
          <w:tcPr>
            <w:tcW w:w="7440" w:type="dxa"/>
            <w:shd w:val="clear" w:color="auto" w:fill="auto"/>
          </w:tcPr>
          <w:p w14:paraId="3255CEAC">
            <w:pPr>
              <w:pStyle w:val="8"/>
            </w:pPr>
            <w:r>
              <w:rPr>
                <w:rFonts w:hint="eastAsia"/>
              </w:rPr>
              <w:t xml:space="preserve">022－28451892 </w:t>
            </w:r>
          </w:p>
        </w:tc>
      </w:tr>
      <w:tr w14:paraId="7F3A4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E2F43F">
            <w:pPr>
              <w:pStyle w:val="8"/>
            </w:pPr>
            <w:r>
              <w:rPr>
                <w:rFonts w:hint="eastAsia"/>
              </w:rPr>
              <w:t xml:space="preserve">客户服务电话： </w:t>
            </w:r>
          </w:p>
        </w:tc>
        <w:tc>
          <w:tcPr>
            <w:tcW w:w="7440" w:type="dxa"/>
            <w:shd w:val="clear" w:color="auto" w:fill="auto"/>
          </w:tcPr>
          <w:p w14:paraId="31F24DB0">
            <w:pPr>
              <w:pStyle w:val="8"/>
            </w:pPr>
            <w:r>
              <w:rPr>
                <w:rFonts w:hint="eastAsia"/>
              </w:rPr>
              <w:t xml:space="preserve">956066 </w:t>
            </w:r>
          </w:p>
        </w:tc>
      </w:tr>
      <w:tr w14:paraId="42499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E86B5B">
            <w:pPr>
              <w:pStyle w:val="8"/>
            </w:pPr>
            <w:r>
              <w:rPr>
                <w:rFonts w:hint="eastAsia"/>
              </w:rPr>
              <w:t xml:space="preserve">网址： </w:t>
            </w:r>
          </w:p>
        </w:tc>
        <w:tc>
          <w:tcPr>
            <w:tcW w:w="7440" w:type="dxa"/>
            <w:shd w:val="clear" w:color="auto" w:fill="auto"/>
          </w:tcPr>
          <w:p w14:paraId="310C67E6">
            <w:pPr>
              <w:pStyle w:val="8"/>
            </w:pPr>
            <w:r>
              <w:rPr>
                <w:rFonts w:hint="eastAsia"/>
              </w:rPr>
              <w:t xml:space="preserve">https://www.bhzq.com </w:t>
            </w:r>
          </w:p>
        </w:tc>
      </w:tr>
    </w:tbl>
    <w:p w14:paraId="2EE47B3B">
      <w:pPr>
        <w:pStyle w:val="8"/>
        <w:spacing w:before="0" w:beforeAutospacing="0" w:after="0" w:afterAutospacing="0" w:line="360" w:lineRule="auto"/>
        <w:ind w:firstLine="420"/>
        <w:rPr>
          <w:sz w:val="21"/>
          <w:szCs w:val="21"/>
        </w:rPr>
      </w:pPr>
      <w:r>
        <w:rPr>
          <w:rFonts w:hint="eastAsia"/>
          <w:b/>
          <w:bCs/>
          <w:sz w:val="21"/>
          <w:szCs w:val="21"/>
        </w:rPr>
        <w:t>(17)华泰证券股份有限公司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968F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E7E032">
            <w:pPr>
              <w:pStyle w:val="8"/>
            </w:pPr>
            <w:r>
              <w:rPr>
                <w:rFonts w:hint="eastAsia"/>
              </w:rPr>
              <w:t xml:space="preserve">注册地址： </w:t>
            </w:r>
          </w:p>
        </w:tc>
        <w:tc>
          <w:tcPr>
            <w:tcW w:w="7440" w:type="dxa"/>
            <w:shd w:val="clear" w:color="auto" w:fill="auto"/>
          </w:tcPr>
          <w:p w14:paraId="29581380">
            <w:pPr>
              <w:pStyle w:val="8"/>
            </w:pPr>
            <w:r>
              <w:rPr>
                <w:rFonts w:hint="eastAsia"/>
              </w:rPr>
              <w:t xml:space="preserve">南京市江东中路228号 </w:t>
            </w:r>
          </w:p>
        </w:tc>
      </w:tr>
      <w:tr w14:paraId="36746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20E2DE">
            <w:pPr>
              <w:pStyle w:val="8"/>
            </w:pPr>
            <w:r>
              <w:rPr>
                <w:rFonts w:hint="eastAsia"/>
              </w:rPr>
              <w:t xml:space="preserve">办公地址： </w:t>
            </w:r>
          </w:p>
        </w:tc>
        <w:tc>
          <w:tcPr>
            <w:tcW w:w="7440" w:type="dxa"/>
            <w:shd w:val="clear" w:color="auto" w:fill="auto"/>
          </w:tcPr>
          <w:p w14:paraId="69AD68DA">
            <w:pPr>
              <w:pStyle w:val="8"/>
            </w:pPr>
            <w:r>
              <w:rPr>
                <w:rFonts w:hint="eastAsia"/>
              </w:rPr>
              <w:t xml:space="preserve">南京市建邺区江东中路228号华泰证券广场、深圳市福田区益田路5999号基金大厦 </w:t>
            </w:r>
          </w:p>
        </w:tc>
      </w:tr>
      <w:tr w14:paraId="530F2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3DB69">
            <w:pPr>
              <w:pStyle w:val="8"/>
            </w:pPr>
            <w:r>
              <w:rPr>
                <w:rFonts w:hint="eastAsia"/>
              </w:rPr>
              <w:t xml:space="preserve">法定代表人： </w:t>
            </w:r>
          </w:p>
        </w:tc>
        <w:tc>
          <w:tcPr>
            <w:tcW w:w="7440" w:type="dxa"/>
            <w:shd w:val="clear" w:color="auto" w:fill="auto"/>
          </w:tcPr>
          <w:p w14:paraId="529126A1">
            <w:pPr>
              <w:pStyle w:val="8"/>
            </w:pPr>
            <w:r>
              <w:rPr>
                <w:rFonts w:hint="eastAsia"/>
              </w:rPr>
              <w:t xml:space="preserve">张伟 </w:t>
            </w:r>
          </w:p>
        </w:tc>
      </w:tr>
      <w:tr w14:paraId="0F954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ADBFBB">
            <w:pPr>
              <w:pStyle w:val="8"/>
            </w:pPr>
            <w:r>
              <w:rPr>
                <w:rFonts w:hint="eastAsia"/>
              </w:rPr>
              <w:t xml:space="preserve">电话： </w:t>
            </w:r>
          </w:p>
        </w:tc>
        <w:tc>
          <w:tcPr>
            <w:tcW w:w="7440" w:type="dxa"/>
            <w:shd w:val="clear" w:color="auto" w:fill="auto"/>
          </w:tcPr>
          <w:p w14:paraId="66654577">
            <w:pPr>
              <w:pStyle w:val="8"/>
            </w:pPr>
            <w:r>
              <w:rPr>
                <w:rFonts w:hint="eastAsia"/>
              </w:rPr>
              <w:t xml:space="preserve">0755-22660831 </w:t>
            </w:r>
          </w:p>
        </w:tc>
      </w:tr>
      <w:tr w14:paraId="29027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3644A0">
            <w:pPr>
              <w:pStyle w:val="8"/>
            </w:pPr>
            <w:r>
              <w:rPr>
                <w:rFonts w:hint="eastAsia"/>
              </w:rPr>
              <w:t xml:space="preserve">客户服务电话： </w:t>
            </w:r>
          </w:p>
        </w:tc>
        <w:tc>
          <w:tcPr>
            <w:tcW w:w="7440" w:type="dxa"/>
            <w:shd w:val="clear" w:color="auto" w:fill="auto"/>
          </w:tcPr>
          <w:p w14:paraId="27421767">
            <w:pPr>
              <w:pStyle w:val="8"/>
            </w:pPr>
            <w:r>
              <w:rPr>
                <w:rFonts w:hint="eastAsia"/>
              </w:rPr>
              <w:t xml:space="preserve">95597 </w:t>
            </w:r>
          </w:p>
        </w:tc>
      </w:tr>
      <w:tr w14:paraId="6903F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1C5039">
            <w:pPr>
              <w:pStyle w:val="8"/>
            </w:pPr>
            <w:r>
              <w:rPr>
                <w:rFonts w:hint="eastAsia"/>
              </w:rPr>
              <w:t xml:space="preserve">网址： </w:t>
            </w:r>
          </w:p>
        </w:tc>
        <w:tc>
          <w:tcPr>
            <w:tcW w:w="7440" w:type="dxa"/>
            <w:shd w:val="clear" w:color="auto" w:fill="auto"/>
          </w:tcPr>
          <w:p w14:paraId="583FAA12">
            <w:pPr>
              <w:pStyle w:val="8"/>
            </w:pPr>
            <w:r>
              <w:rPr>
                <w:rFonts w:hint="eastAsia"/>
              </w:rPr>
              <w:t xml:space="preserve">http://www.htsc.com.cn/ </w:t>
            </w:r>
          </w:p>
        </w:tc>
      </w:tr>
    </w:tbl>
    <w:p w14:paraId="261A58E1">
      <w:pPr>
        <w:pStyle w:val="8"/>
        <w:spacing w:before="0" w:beforeAutospacing="0" w:after="0" w:afterAutospacing="0" w:line="360" w:lineRule="auto"/>
        <w:ind w:firstLine="420"/>
        <w:rPr>
          <w:sz w:val="21"/>
          <w:szCs w:val="21"/>
        </w:rPr>
      </w:pPr>
      <w:r>
        <w:rPr>
          <w:rFonts w:hint="eastAsia"/>
          <w:b/>
          <w:bCs/>
          <w:sz w:val="21"/>
          <w:szCs w:val="21"/>
        </w:rPr>
        <w:t>(18)山西证券股份有限公司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C361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F55365">
            <w:pPr>
              <w:pStyle w:val="8"/>
            </w:pPr>
            <w:r>
              <w:rPr>
                <w:rFonts w:hint="eastAsia"/>
              </w:rPr>
              <w:t xml:space="preserve">注册地址： </w:t>
            </w:r>
          </w:p>
        </w:tc>
        <w:tc>
          <w:tcPr>
            <w:tcW w:w="7440" w:type="dxa"/>
            <w:shd w:val="clear" w:color="auto" w:fill="auto"/>
          </w:tcPr>
          <w:p w14:paraId="293936C3">
            <w:pPr>
              <w:pStyle w:val="8"/>
            </w:pPr>
            <w:r>
              <w:rPr>
                <w:rFonts w:hint="eastAsia"/>
              </w:rPr>
              <w:t xml:space="preserve">太原市府西街69号山西国际贸易中心东塔楼 </w:t>
            </w:r>
          </w:p>
        </w:tc>
      </w:tr>
      <w:tr w14:paraId="14DB6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EBFE10">
            <w:pPr>
              <w:pStyle w:val="8"/>
            </w:pPr>
            <w:r>
              <w:rPr>
                <w:rFonts w:hint="eastAsia"/>
              </w:rPr>
              <w:t xml:space="preserve">办公地址： </w:t>
            </w:r>
          </w:p>
        </w:tc>
        <w:tc>
          <w:tcPr>
            <w:tcW w:w="7440" w:type="dxa"/>
            <w:shd w:val="clear" w:color="auto" w:fill="auto"/>
          </w:tcPr>
          <w:p w14:paraId="6E53D377">
            <w:pPr>
              <w:pStyle w:val="8"/>
            </w:pPr>
            <w:r>
              <w:rPr>
                <w:rFonts w:hint="eastAsia"/>
              </w:rPr>
              <w:t xml:space="preserve">太原市府西街69号山西国际贸易中心东塔楼 </w:t>
            </w:r>
          </w:p>
        </w:tc>
      </w:tr>
      <w:tr w14:paraId="28949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FCE512">
            <w:pPr>
              <w:pStyle w:val="8"/>
            </w:pPr>
            <w:r>
              <w:rPr>
                <w:rFonts w:hint="eastAsia"/>
              </w:rPr>
              <w:t xml:space="preserve">法定代表人： </w:t>
            </w:r>
          </w:p>
        </w:tc>
        <w:tc>
          <w:tcPr>
            <w:tcW w:w="7440" w:type="dxa"/>
            <w:shd w:val="clear" w:color="auto" w:fill="auto"/>
          </w:tcPr>
          <w:p w14:paraId="53AD11EE">
            <w:pPr>
              <w:pStyle w:val="8"/>
            </w:pPr>
            <w:r>
              <w:rPr>
                <w:rFonts w:hint="eastAsia"/>
              </w:rPr>
              <w:t xml:space="preserve">王怡里 </w:t>
            </w:r>
          </w:p>
        </w:tc>
      </w:tr>
      <w:tr w14:paraId="7D235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465F9">
            <w:pPr>
              <w:pStyle w:val="8"/>
            </w:pPr>
            <w:r>
              <w:rPr>
                <w:rFonts w:hint="eastAsia"/>
              </w:rPr>
              <w:t xml:space="preserve">电话： </w:t>
            </w:r>
          </w:p>
        </w:tc>
        <w:tc>
          <w:tcPr>
            <w:tcW w:w="7440" w:type="dxa"/>
            <w:shd w:val="clear" w:color="auto" w:fill="auto"/>
          </w:tcPr>
          <w:p w14:paraId="542E8A60">
            <w:pPr>
              <w:pStyle w:val="8"/>
            </w:pPr>
            <w:r>
              <w:rPr>
                <w:rFonts w:hint="eastAsia"/>
              </w:rPr>
              <w:t xml:space="preserve">0351－8686659 </w:t>
            </w:r>
          </w:p>
        </w:tc>
      </w:tr>
      <w:tr w14:paraId="6A5D8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83C8C1">
            <w:pPr>
              <w:pStyle w:val="8"/>
            </w:pPr>
            <w:r>
              <w:rPr>
                <w:rFonts w:hint="eastAsia"/>
              </w:rPr>
              <w:t xml:space="preserve">传真： </w:t>
            </w:r>
          </w:p>
        </w:tc>
        <w:tc>
          <w:tcPr>
            <w:tcW w:w="7440" w:type="dxa"/>
            <w:shd w:val="clear" w:color="auto" w:fill="auto"/>
          </w:tcPr>
          <w:p w14:paraId="499D1382">
            <w:pPr>
              <w:pStyle w:val="8"/>
            </w:pPr>
            <w:r>
              <w:rPr>
                <w:rFonts w:hint="eastAsia"/>
              </w:rPr>
              <w:t xml:space="preserve">0351－8686619 </w:t>
            </w:r>
          </w:p>
        </w:tc>
      </w:tr>
      <w:tr w14:paraId="1359F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C39EAD">
            <w:pPr>
              <w:pStyle w:val="8"/>
            </w:pPr>
            <w:r>
              <w:rPr>
                <w:rFonts w:hint="eastAsia"/>
              </w:rPr>
              <w:t xml:space="preserve">客户服务电话： </w:t>
            </w:r>
          </w:p>
        </w:tc>
        <w:tc>
          <w:tcPr>
            <w:tcW w:w="7440" w:type="dxa"/>
            <w:shd w:val="clear" w:color="auto" w:fill="auto"/>
          </w:tcPr>
          <w:p w14:paraId="22E81968">
            <w:pPr>
              <w:pStyle w:val="8"/>
            </w:pPr>
            <w:r>
              <w:rPr>
                <w:rFonts w:hint="eastAsia"/>
              </w:rPr>
              <w:t xml:space="preserve">4006661618 </w:t>
            </w:r>
          </w:p>
        </w:tc>
      </w:tr>
      <w:tr w14:paraId="53CE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F6794">
            <w:pPr>
              <w:pStyle w:val="8"/>
            </w:pPr>
            <w:r>
              <w:rPr>
                <w:rFonts w:hint="eastAsia"/>
              </w:rPr>
              <w:t xml:space="preserve">网址： </w:t>
            </w:r>
          </w:p>
        </w:tc>
        <w:tc>
          <w:tcPr>
            <w:tcW w:w="7440" w:type="dxa"/>
            <w:shd w:val="clear" w:color="auto" w:fill="auto"/>
          </w:tcPr>
          <w:p w14:paraId="7EE4BF46">
            <w:pPr>
              <w:pStyle w:val="8"/>
            </w:pPr>
            <w:r>
              <w:rPr>
                <w:rFonts w:hint="eastAsia"/>
              </w:rPr>
              <w:t xml:space="preserve">http://www.i618.com.cn/ </w:t>
            </w:r>
          </w:p>
        </w:tc>
      </w:tr>
    </w:tbl>
    <w:p w14:paraId="172A985D">
      <w:pPr>
        <w:pStyle w:val="8"/>
        <w:spacing w:before="0" w:beforeAutospacing="0" w:after="0" w:afterAutospacing="0" w:line="360" w:lineRule="auto"/>
        <w:ind w:firstLine="420"/>
        <w:rPr>
          <w:sz w:val="21"/>
          <w:szCs w:val="21"/>
        </w:rPr>
      </w:pPr>
      <w:r>
        <w:rPr>
          <w:rFonts w:hint="eastAsia"/>
          <w:b/>
          <w:bCs/>
          <w:sz w:val="21"/>
          <w:szCs w:val="21"/>
        </w:rPr>
        <w:t>(19)中信证券（山东）有限责任公司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4B4EF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B1C48">
            <w:pPr>
              <w:pStyle w:val="8"/>
            </w:pPr>
            <w:r>
              <w:rPr>
                <w:rFonts w:hint="eastAsia"/>
              </w:rPr>
              <w:t xml:space="preserve">注册地址： </w:t>
            </w:r>
          </w:p>
        </w:tc>
        <w:tc>
          <w:tcPr>
            <w:tcW w:w="7440" w:type="dxa"/>
            <w:shd w:val="clear" w:color="auto" w:fill="auto"/>
          </w:tcPr>
          <w:p w14:paraId="2B46BD6B">
            <w:pPr>
              <w:pStyle w:val="8"/>
            </w:pPr>
            <w:r>
              <w:rPr>
                <w:rFonts w:hint="eastAsia"/>
              </w:rPr>
              <w:t xml:space="preserve">青岛市崂山区深圳路222号1号楼2001 </w:t>
            </w:r>
          </w:p>
        </w:tc>
      </w:tr>
      <w:tr w14:paraId="757BD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0DB11">
            <w:pPr>
              <w:pStyle w:val="8"/>
            </w:pPr>
            <w:r>
              <w:rPr>
                <w:rFonts w:hint="eastAsia"/>
              </w:rPr>
              <w:t xml:space="preserve">办公地址： </w:t>
            </w:r>
          </w:p>
        </w:tc>
        <w:tc>
          <w:tcPr>
            <w:tcW w:w="7440" w:type="dxa"/>
            <w:shd w:val="clear" w:color="auto" w:fill="auto"/>
          </w:tcPr>
          <w:p w14:paraId="45E5D320">
            <w:pPr>
              <w:pStyle w:val="8"/>
            </w:pPr>
            <w:r>
              <w:rPr>
                <w:rFonts w:hint="eastAsia"/>
              </w:rPr>
              <w:t xml:space="preserve">青岛市市南区东海西路28号龙翔广场东座5层 </w:t>
            </w:r>
          </w:p>
        </w:tc>
      </w:tr>
      <w:tr w14:paraId="458F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16269F">
            <w:pPr>
              <w:pStyle w:val="8"/>
            </w:pPr>
            <w:r>
              <w:rPr>
                <w:rFonts w:hint="eastAsia"/>
              </w:rPr>
              <w:t xml:space="preserve">法定代表人： </w:t>
            </w:r>
          </w:p>
        </w:tc>
        <w:tc>
          <w:tcPr>
            <w:tcW w:w="7440" w:type="dxa"/>
            <w:shd w:val="clear" w:color="auto" w:fill="auto"/>
          </w:tcPr>
          <w:p w14:paraId="29B90CD5">
            <w:pPr>
              <w:pStyle w:val="8"/>
            </w:pPr>
            <w:r>
              <w:rPr>
                <w:rFonts w:hint="eastAsia"/>
              </w:rPr>
              <w:t xml:space="preserve">肖海峰 </w:t>
            </w:r>
          </w:p>
        </w:tc>
      </w:tr>
      <w:tr w14:paraId="34F4C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D13DF">
            <w:pPr>
              <w:pStyle w:val="8"/>
            </w:pPr>
            <w:r>
              <w:rPr>
                <w:rFonts w:hint="eastAsia"/>
              </w:rPr>
              <w:t xml:space="preserve">联系人： </w:t>
            </w:r>
          </w:p>
        </w:tc>
        <w:tc>
          <w:tcPr>
            <w:tcW w:w="7440" w:type="dxa"/>
            <w:shd w:val="clear" w:color="auto" w:fill="auto"/>
          </w:tcPr>
          <w:p w14:paraId="1C0540B1">
            <w:pPr>
              <w:pStyle w:val="8"/>
            </w:pPr>
            <w:r>
              <w:rPr>
                <w:rFonts w:hint="eastAsia"/>
              </w:rPr>
              <w:t xml:space="preserve">赵如意 </w:t>
            </w:r>
          </w:p>
        </w:tc>
      </w:tr>
      <w:tr w14:paraId="7C55C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0B2EC3">
            <w:pPr>
              <w:pStyle w:val="8"/>
            </w:pPr>
            <w:r>
              <w:rPr>
                <w:rFonts w:hint="eastAsia"/>
              </w:rPr>
              <w:t xml:space="preserve">电话： </w:t>
            </w:r>
          </w:p>
        </w:tc>
        <w:tc>
          <w:tcPr>
            <w:tcW w:w="7440" w:type="dxa"/>
            <w:shd w:val="clear" w:color="auto" w:fill="auto"/>
          </w:tcPr>
          <w:p w14:paraId="0DEBB21F">
            <w:pPr>
              <w:pStyle w:val="8"/>
            </w:pPr>
            <w:r>
              <w:rPr>
                <w:rFonts w:hint="eastAsia"/>
              </w:rPr>
              <w:t xml:space="preserve">0532-85725062 </w:t>
            </w:r>
          </w:p>
        </w:tc>
      </w:tr>
      <w:tr w14:paraId="3F03A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E89987">
            <w:pPr>
              <w:pStyle w:val="8"/>
            </w:pPr>
            <w:r>
              <w:rPr>
                <w:rFonts w:hint="eastAsia"/>
              </w:rPr>
              <w:t xml:space="preserve">客户服务电话： </w:t>
            </w:r>
          </w:p>
        </w:tc>
        <w:tc>
          <w:tcPr>
            <w:tcW w:w="7440" w:type="dxa"/>
            <w:shd w:val="clear" w:color="auto" w:fill="auto"/>
          </w:tcPr>
          <w:p w14:paraId="4411B520">
            <w:pPr>
              <w:pStyle w:val="8"/>
            </w:pPr>
            <w:r>
              <w:rPr>
                <w:rFonts w:hint="eastAsia"/>
              </w:rPr>
              <w:t xml:space="preserve">95548 </w:t>
            </w:r>
          </w:p>
        </w:tc>
      </w:tr>
      <w:tr w14:paraId="70762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7FAD69">
            <w:pPr>
              <w:pStyle w:val="8"/>
            </w:pPr>
            <w:r>
              <w:rPr>
                <w:rFonts w:hint="eastAsia"/>
              </w:rPr>
              <w:t xml:space="preserve">网址： </w:t>
            </w:r>
          </w:p>
        </w:tc>
        <w:tc>
          <w:tcPr>
            <w:tcW w:w="7440" w:type="dxa"/>
            <w:shd w:val="clear" w:color="auto" w:fill="auto"/>
          </w:tcPr>
          <w:p w14:paraId="5DC307F6">
            <w:pPr>
              <w:pStyle w:val="8"/>
            </w:pPr>
            <w:r>
              <w:rPr>
                <w:rFonts w:hint="eastAsia"/>
              </w:rPr>
              <w:t xml:space="preserve">sd.citics.com </w:t>
            </w:r>
          </w:p>
        </w:tc>
      </w:tr>
    </w:tbl>
    <w:p w14:paraId="1E14EE7B">
      <w:pPr>
        <w:pStyle w:val="8"/>
        <w:spacing w:before="0" w:beforeAutospacing="0" w:after="0" w:afterAutospacing="0" w:line="360" w:lineRule="auto"/>
        <w:ind w:firstLine="420"/>
        <w:rPr>
          <w:sz w:val="21"/>
          <w:szCs w:val="21"/>
        </w:rPr>
      </w:pPr>
      <w:r>
        <w:rPr>
          <w:rFonts w:hint="eastAsia"/>
          <w:b/>
          <w:bCs/>
          <w:sz w:val="21"/>
          <w:szCs w:val="21"/>
        </w:rPr>
        <w:t>(20)东兴证券股份有限公司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A871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FAD9F7">
            <w:pPr>
              <w:pStyle w:val="8"/>
            </w:pPr>
            <w:r>
              <w:rPr>
                <w:rFonts w:hint="eastAsia"/>
              </w:rPr>
              <w:t xml:space="preserve">注册地址： </w:t>
            </w:r>
          </w:p>
        </w:tc>
        <w:tc>
          <w:tcPr>
            <w:tcW w:w="7440" w:type="dxa"/>
            <w:shd w:val="clear" w:color="auto" w:fill="auto"/>
          </w:tcPr>
          <w:p w14:paraId="1E954B2A">
            <w:pPr>
              <w:pStyle w:val="8"/>
            </w:pPr>
            <w:r>
              <w:rPr>
                <w:rFonts w:hint="eastAsia"/>
              </w:rPr>
              <w:t xml:space="preserve">北京市西城区金融大街5号（新盛大厦）12、15层 </w:t>
            </w:r>
          </w:p>
        </w:tc>
      </w:tr>
      <w:tr w14:paraId="42B14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18A78C">
            <w:pPr>
              <w:pStyle w:val="8"/>
            </w:pPr>
            <w:r>
              <w:rPr>
                <w:rFonts w:hint="eastAsia"/>
              </w:rPr>
              <w:t xml:space="preserve">办公地址： </w:t>
            </w:r>
          </w:p>
        </w:tc>
        <w:tc>
          <w:tcPr>
            <w:tcW w:w="7440" w:type="dxa"/>
            <w:shd w:val="clear" w:color="auto" w:fill="auto"/>
          </w:tcPr>
          <w:p w14:paraId="65731A3B">
            <w:pPr>
              <w:pStyle w:val="8"/>
            </w:pPr>
            <w:r>
              <w:rPr>
                <w:rFonts w:hint="eastAsia"/>
              </w:rPr>
              <w:t xml:space="preserve">北京市西城区金融大街5号新盛大厦B座12-15层 </w:t>
            </w:r>
          </w:p>
        </w:tc>
      </w:tr>
      <w:tr w14:paraId="3CC27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A324C1">
            <w:pPr>
              <w:pStyle w:val="8"/>
            </w:pPr>
            <w:r>
              <w:rPr>
                <w:rFonts w:hint="eastAsia"/>
              </w:rPr>
              <w:t xml:space="preserve">法定代表人： </w:t>
            </w:r>
          </w:p>
        </w:tc>
        <w:tc>
          <w:tcPr>
            <w:tcW w:w="7440" w:type="dxa"/>
            <w:shd w:val="clear" w:color="auto" w:fill="auto"/>
          </w:tcPr>
          <w:p w14:paraId="52AE585E">
            <w:pPr>
              <w:pStyle w:val="8"/>
            </w:pPr>
            <w:r>
              <w:rPr>
                <w:rFonts w:hint="eastAsia"/>
              </w:rPr>
              <w:t xml:space="preserve">魏庆华 </w:t>
            </w:r>
          </w:p>
        </w:tc>
      </w:tr>
      <w:tr w14:paraId="37D33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6E5C9A">
            <w:pPr>
              <w:pStyle w:val="8"/>
            </w:pPr>
            <w:r>
              <w:rPr>
                <w:rFonts w:hint="eastAsia"/>
              </w:rPr>
              <w:t xml:space="preserve">联系人： </w:t>
            </w:r>
          </w:p>
        </w:tc>
        <w:tc>
          <w:tcPr>
            <w:tcW w:w="7440" w:type="dxa"/>
            <w:shd w:val="clear" w:color="auto" w:fill="auto"/>
          </w:tcPr>
          <w:p w14:paraId="0FAFBCA9">
            <w:pPr>
              <w:pStyle w:val="8"/>
            </w:pPr>
            <w:r>
              <w:rPr>
                <w:rFonts w:hint="eastAsia"/>
              </w:rPr>
              <w:t xml:space="preserve">郑旷怡 </w:t>
            </w:r>
          </w:p>
        </w:tc>
      </w:tr>
      <w:tr w14:paraId="0A7DC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9CECA5">
            <w:pPr>
              <w:pStyle w:val="8"/>
            </w:pPr>
            <w:r>
              <w:rPr>
                <w:rFonts w:hint="eastAsia"/>
              </w:rPr>
              <w:t xml:space="preserve">电话： </w:t>
            </w:r>
          </w:p>
        </w:tc>
        <w:tc>
          <w:tcPr>
            <w:tcW w:w="7440" w:type="dxa"/>
            <w:shd w:val="clear" w:color="auto" w:fill="auto"/>
          </w:tcPr>
          <w:p w14:paraId="1F03083F">
            <w:pPr>
              <w:pStyle w:val="8"/>
            </w:pPr>
            <w:r>
              <w:rPr>
                <w:rFonts w:hint="eastAsia"/>
              </w:rPr>
              <w:t xml:space="preserve">010-66559039 </w:t>
            </w:r>
          </w:p>
        </w:tc>
      </w:tr>
      <w:tr w14:paraId="6F066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A7D888">
            <w:pPr>
              <w:pStyle w:val="8"/>
            </w:pPr>
            <w:r>
              <w:rPr>
                <w:rFonts w:hint="eastAsia"/>
              </w:rPr>
              <w:t xml:space="preserve">传真： </w:t>
            </w:r>
          </w:p>
        </w:tc>
        <w:tc>
          <w:tcPr>
            <w:tcW w:w="7440" w:type="dxa"/>
            <w:shd w:val="clear" w:color="auto" w:fill="auto"/>
          </w:tcPr>
          <w:p w14:paraId="137643BB">
            <w:pPr>
              <w:pStyle w:val="8"/>
            </w:pPr>
            <w:r>
              <w:rPr>
                <w:rFonts w:hint="eastAsia"/>
              </w:rPr>
              <w:t xml:space="preserve">010-66555133 </w:t>
            </w:r>
          </w:p>
        </w:tc>
      </w:tr>
      <w:tr w14:paraId="519A1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D0AB22">
            <w:pPr>
              <w:pStyle w:val="8"/>
            </w:pPr>
            <w:r>
              <w:rPr>
                <w:rFonts w:hint="eastAsia"/>
              </w:rPr>
              <w:t xml:space="preserve">客户服务电话： </w:t>
            </w:r>
          </w:p>
        </w:tc>
        <w:tc>
          <w:tcPr>
            <w:tcW w:w="7440" w:type="dxa"/>
            <w:shd w:val="clear" w:color="auto" w:fill="auto"/>
          </w:tcPr>
          <w:p w14:paraId="6BF19500">
            <w:pPr>
              <w:pStyle w:val="8"/>
            </w:pPr>
            <w:r>
              <w:rPr>
                <w:rFonts w:hint="eastAsia"/>
              </w:rPr>
              <w:t xml:space="preserve">95309 </w:t>
            </w:r>
          </w:p>
        </w:tc>
      </w:tr>
      <w:tr w14:paraId="20046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0D4C66">
            <w:pPr>
              <w:pStyle w:val="8"/>
            </w:pPr>
            <w:r>
              <w:rPr>
                <w:rFonts w:hint="eastAsia"/>
              </w:rPr>
              <w:t xml:space="preserve">网址： </w:t>
            </w:r>
          </w:p>
        </w:tc>
        <w:tc>
          <w:tcPr>
            <w:tcW w:w="7440" w:type="dxa"/>
            <w:shd w:val="clear" w:color="auto" w:fill="auto"/>
          </w:tcPr>
          <w:p w14:paraId="7559BC78">
            <w:pPr>
              <w:pStyle w:val="8"/>
            </w:pPr>
            <w:r>
              <w:rPr>
                <w:rFonts w:hint="eastAsia"/>
              </w:rPr>
              <w:t xml:space="preserve">http://www.dxzq.net </w:t>
            </w:r>
          </w:p>
        </w:tc>
      </w:tr>
    </w:tbl>
    <w:p w14:paraId="31FE0363">
      <w:pPr>
        <w:pStyle w:val="8"/>
        <w:spacing w:before="0" w:beforeAutospacing="0" w:after="0" w:afterAutospacing="0" w:line="360" w:lineRule="auto"/>
        <w:ind w:firstLine="420"/>
        <w:rPr>
          <w:sz w:val="21"/>
          <w:szCs w:val="21"/>
        </w:rPr>
      </w:pPr>
      <w:r>
        <w:rPr>
          <w:rFonts w:hint="eastAsia"/>
          <w:b/>
          <w:bCs/>
          <w:sz w:val="21"/>
          <w:szCs w:val="21"/>
        </w:rPr>
        <w:t>(21)东吴证券股份有限公司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3FD4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94B4DF">
            <w:pPr>
              <w:pStyle w:val="8"/>
            </w:pPr>
            <w:r>
              <w:rPr>
                <w:rFonts w:hint="eastAsia"/>
              </w:rPr>
              <w:t xml:space="preserve">注册地址： </w:t>
            </w:r>
          </w:p>
        </w:tc>
        <w:tc>
          <w:tcPr>
            <w:tcW w:w="7440" w:type="dxa"/>
            <w:shd w:val="clear" w:color="auto" w:fill="auto"/>
          </w:tcPr>
          <w:p w14:paraId="5ED414F5">
            <w:pPr>
              <w:pStyle w:val="8"/>
            </w:pPr>
            <w:r>
              <w:rPr>
                <w:rFonts w:hint="eastAsia"/>
              </w:rPr>
              <w:t xml:space="preserve">江苏省苏州市翠园路181号 </w:t>
            </w:r>
          </w:p>
        </w:tc>
      </w:tr>
      <w:tr w14:paraId="63BC7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B27C4">
            <w:pPr>
              <w:pStyle w:val="8"/>
            </w:pPr>
            <w:r>
              <w:rPr>
                <w:rFonts w:hint="eastAsia"/>
              </w:rPr>
              <w:t xml:space="preserve">办公地址： </w:t>
            </w:r>
          </w:p>
        </w:tc>
        <w:tc>
          <w:tcPr>
            <w:tcW w:w="7440" w:type="dxa"/>
            <w:shd w:val="clear" w:color="auto" w:fill="auto"/>
          </w:tcPr>
          <w:p w14:paraId="18C63D11">
            <w:pPr>
              <w:pStyle w:val="8"/>
            </w:pPr>
            <w:r>
              <w:rPr>
                <w:rFonts w:hint="eastAsia"/>
              </w:rPr>
              <w:t xml:space="preserve">江苏省苏州市星阳街5号 </w:t>
            </w:r>
          </w:p>
        </w:tc>
      </w:tr>
      <w:tr w14:paraId="08ED5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B239D2">
            <w:pPr>
              <w:pStyle w:val="8"/>
            </w:pPr>
            <w:r>
              <w:rPr>
                <w:rFonts w:hint="eastAsia"/>
              </w:rPr>
              <w:t xml:space="preserve">法定代表人： </w:t>
            </w:r>
          </w:p>
        </w:tc>
        <w:tc>
          <w:tcPr>
            <w:tcW w:w="7440" w:type="dxa"/>
            <w:shd w:val="clear" w:color="auto" w:fill="auto"/>
          </w:tcPr>
          <w:p w14:paraId="160199B4">
            <w:pPr>
              <w:pStyle w:val="8"/>
            </w:pPr>
            <w:r>
              <w:rPr>
                <w:rFonts w:hint="eastAsia"/>
              </w:rPr>
              <w:t xml:space="preserve">范力 </w:t>
            </w:r>
          </w:p>
        </w:tc>
      </w:tr>
      <w:tr w14:paraId="47598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5B692">
            <w:pPr>
              <w:pStyle w:val="8"/>
            </w:pPr>
            <w:r>
              <w:rPr>
                <w:rFonts w:hint="eastAsia"/>
              </w:rPr>
              <w:t xml:space="preserve">联系人： </w:t>
            </w:r>
          </w:p>
        </w:tc>
        <w:tc>
          <w:tcPr>
            <w:tcW w:w="7440" w:type="dxa"/>
            <w:shd w:val="clear" w:color="auto" w:fill="auto"/>
          </w:tcPr>
          <w:p w14:paraId="0A389F6B">
            <w:pPr>
              <w:pStyle w:val="8"/>
            </w:pPr>
            <w:r>
              <w:rPr>
                <w:rFonts w:hint="eastAsia"/>
              </w:rPr>
              <w:t xml:space="preserve">陆晓 </w:t>
            </w:r>
          </w:p>
        </w:tc>
      </w:tr>
      <w:tr w14:paraId="270F8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7D7631">
            <w:pPr>
              <w:pStyle w:val="8"/>
            </w:pPr>
            <w:r>
              <w:rPr>
                <w:rFonts w:hint="eastAsia"/>
              </w:rPr>
              <w:t xml:space="preserve">电话： </w:t>
            </w:r>
          </w:p>
        </w:tc>
        <w:tc>
          <w:tcPr>
            <w:tcW w:w="7440" w:type="dxa"/>
            <w:shd w:val="clear" w:color="auto" w:fill="auto"/>
          </w:tcPr>
          <w:p w14:paraId="2B5E30A3">
            <w:pPr>
              <w:pStyle w:val="8"/>
            </w:pPr>
            <w:r>
              <w:rPr>
                <w:rFonts w:hint="eastAsia"/>
              </w:rPr>
              <w:t xml:space="preserve">0512-62938521 </w:t>
            </w:r>
          </w:p>
        </w:tc>
      </w:tr>
      <w:tr w14:paraId="02CE3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08EA54">
            <w:pPr>
              <w:pStyle w:val="8"/>
            </w:pPr>
            <w:r>
              <w:rPr>
                <w:rFonts w:hint="eastAsia"/>
              </w:rPr>
              <w:t xml:space="preserve">传真： </w:t>
            </w:r>
          </w:p>
        </w:tc>
        <w:tc>
          <w:tcPr>
            <w:tcW w:w="7440" w:type="dxa"/>
            <w:shd w:val="clear" w:color="auto" w:fill="auto"/>
          </w:tcPr>
          <w:p w14:paraId="776DCC94">
            <w:pPr>
              <w:pStyle w:val="8"/>
            </w:pPr>
            <w:r>
              <w:rPr>
                <w:rFonts w:hint="eastAsia"/>
              </w:rPr>
              <w:t xml:space="preserve">0512－65588021 </w:t>
            </w:r>
          </w:p>
        </w:tc>
      </w:tr>
      <w:tr w14:paraId="4C012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BCA720">
            <w:pPr>
              <w:pStyle w:val="8"/>
            </w:pPr>
            <w:r>
              <w:rPr>
                <w:rFonts w:hint="eastAsia"/>
              </w:rPr>
              <w:t xml:space="preserve">客户服务电话： </w:t>
            </w:r>
          </w:p>
        </w:tc>
        <w:tc>
          <w:tcPr>
            <w:tcW w:w="7440" w:type="dxa"/>
            <w:shd w:val="clear" w:color="auto" w:fill="auto"/>
          </w:tcPr>
          <w:p w14:paraId="7D12F4AF">
            <w:pPr>
              <w:pStyle w:val="8"/>
            </w:pPr>
            <w:r>
              <w:rPr>
                <w:rFonts w:hint="eastAsia"/>
              </w:rPr>
              <w:t xml:space="preserve">95330 </w:t>
            </w:r>
          </w:p>
        </w:tc>
      </w:tr>
      <w:tr w14:paraId="6A28D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A1397">
            <w:pPr>
              <w:pStyle w:val="8"/>
            </w:pPr>
            <w:r>
              <w:rPr>
                <w:rFonts w:hint="eastAsia"/>
              </w:rPr>
              <w:t xml:space="preserve">网址： </w:t>
            </w:r>
          </w:p>
        </w:tc>
        <w:tc>
          <w:tcPr>
            <w:tcW w:w="7440" w:type="dxa"/>
            <w:shd w:val="clear" w:color="auto" w:fill="auto"/>
          </w:tcPr>
          <w:p w14:paraId="5A93C064">
            <w:pPr>
              <w:pStyle w:val="8"/>
            </w:pPr>
            <w:r>
              <w:rPr>
                <w:rFonts w:hint="eastAsia"/>
              </w:rPr>
              <w:t xml:space="preserve">https://www.dwzq.com.cn </w:t>
            </w:r>
          </w:p>
        </w:tc>
      </w:tr>
    </w:tbl>
    <w:p w14:paraId="19E54A1D">
      <w:pPr>
        <w:pStyle w:val="8"/>
        <w:spacing w:before="0" w:beforeAutospacing="0" w:after="0" w:afterAutospacing="0" w:line="360" w:lineRule="auto"/>
        <w:ind w:firstLine="420"/>
        <w:rPr>
          <w:sz w:val="21"/>
          <w:szCs w:val="21"/>
        </w:rPr>
      </w:pPr>
      <w:r>
        <w:rPr>
          <w:rFonts w:hint="eastAsia"/>
          <w:b/>
          <w:bCs/>
          <w:sz w:val="21"/>
          <w:szCs w:val="21"/>
        </w:rPr>
        <w:t>(22)信达证券股份有限公司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816A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D78C64A">
            <w:pPr>
              <w:pStyle w:val="8"/>
            </w:pPr>
            <w:r>
              <w:rPr>
                <w:rFonts w:hint="eastAsia"/>
              </w:rPr>
              <w:t xml:space="preserve">注册地址： </w:t>
            </w:r>
          </w:p>
        </w:tc>
        <w:tc>
          <w:tcPr>
            <w:tcW w:w="7440" w:type="dxa"/>
            <w:shd w:val="clear" w:color="auto" w:fill="auto"/>
          </w:tcPr>
          <w:p w14:paraId="23DF47C4">
            <w:pPr>
              <w:pStyle w:val="8"/>
            </w:pPr>
            <w:r>
              <w:rPr>
                <w:rFonts w:hint="eastAsia"/>
              </w:rPr>
              <w:t xml:space="preserve">北京市西城区闹市口大街9号院1号楼 </w:t>
            </w:r>
          </w:p>
        </w:tc>
      </w:tr>
      <w:tr w14:paraId="0D3B1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6272E6">
            <w:pPr>
              <w:pStyle w:val="8"/>
            </w:pPr>
            <w:r>
              <w:rPr>
                <w:rFonts w:hint="eastAsia"/>
              </w:rPr>
              <w:t xml:space="preserve">办公地址： </w:t>
            </w:r>
          </w:p>
        </w:tc>
        <w:tc>
          <w:tcPr>
            <w:tcW w:w="7440" w:type="dxa"/>
            <w:shd w:val="clear" w:color="auto" w:fill="auto"/>
          </w:tcPr>
          <w:p w14:paraId="2802B16E">
            <w:pPr>
              <w:pStyle w:val="8"/>
            </w:pPr>
            <w:r>
              <w:rPr>
                <w:rFonts w:hint="eastAsia"/>
              </w:rPr>
              <w:t xml:space="preserve">北京市西城区闹市口大街9号院1号楼 </w:t>
            </w:r>
          </w:p>
        </w:tc>
      </w:tr>
      <w:tr w14:paraId="3001A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4BEF9F">
            <w:pPr>
              <w:pStyle w:val="8"/>
            </w:pPr>
            <w:r>
              <w:rPr>
                <w:rFonts w:hint="eastAsia"/>
              </w:rPr>
              <w:t xml:space="preserve">法定代表人： </w:t>
            </w:r>
          </w:p>
        </w:tc>
        <w:tc>
          <w:tcPr>
            <w:tcW w:w="7440" w:type="dxa"/>
            <w:shd w:val="clear" w:color="auto" w:fill="auto"/>
          </w:tcPr>
          <w:p w14:paraId="4C38260C">
            <w:pPr>
              <w:pStyle w:val="8"/>
            </w:pPr>
            <w:r>
              <w:rPr>
                <w:rFonts w:hint="eastAsia"/>
              </w:rPr>
              <w:t xml:space="preserve">祝瑞敏 </w:t>
            </w:r>
          </w:p>
        </w:tc>
      </w:tr>
      <w:tr w14:paraId="7DA03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BEEE0A">
            <w:pPr>
              <w:pStyle w:val="8"/>
            </w:pPr>
            <w:r>
              <w:rPr>
                <w:rFonts w:hint="eastAsia"/>
              </w:rPr>
              <w:t xml:space="preserve">联系人： </w:t>
            </w:r>
          </w:p>
        </w:tc>
        <w:tc>
          <w:tcPr>
            <w:tcW w:w="7440" w:type="dxa"/>
            <w:shd w:val="clear" w:color="auto" w:fill="auto"/>
          </w:tcPr>
          <w:p w14:paraId="3AD8FF73">
            <w:pPr>
              <w:pStyle w:val="8"/>
            </w:pPr>
            <w:r>
              <w:rPr>
                <w:rFonts w:hint="eastAsia"/>
              </w:rPr>
              <w:t xml:space="preserve">王薇安 </w:t>
            </w:r>
          </w:p>
        </w:tc>
      </w:tr>
      <w:tr w14:paraId="62099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78D30">
            <w:pPr>
              <w:pStyle w:val="8"/>
            </w:pPr>
            <w:r>
              <w:rPr>
                <w:rFonts w:hint="eastAsia"/>
              </w:rPr>
              <w:t xml:space="preserve">电话： </w:t>
            </w:r>
          </w:p>
        </w:tc>
        <w:tc>
          <w:tcPr>
            <w:tcW w:w="7440" w:type="dxa"/>
            <w:shd w:val="clear" w:color="auto" w:fill="auto"/>
          </w:tcPr>
          <w:p w14:paraId="7048050F">
            <w:pPr>
              <w:pStyle w:val="8"/>
            </w:pPr>
            <w:r>
              <w:rPr>
                <w:rFonts w:hint="eastAsia"/>
              </w:rPr>
              <w:t xml:space="preserve">010－83252170 </w:t>
            </w:r>
          </w:p>
        </w:tc>
      </w:tr>
      <w:tr w14:paraId="2BAEB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3602D">
            <w:pPr>
              <w:pStyle w:val="8"/>
            </w:pPr>
            <w:r>
              <w:rPr>
                <w:rFonts w:hint="eastAsia"/>
              </w:rPr>
              <w:t xml:space="preserve">传真： </w:t>
            </w:r>
          </w:p>
        </w:tc>
        <w:tc>
          <w:tcPr>
            <w:tcW w:w="7440" w:type="dxa"/>
            <w:shd w:val="clear" w:color="auto" w:fill="auto"/>
          </w:tcPr>
          <w:p w14:paraId="0910B5DA">
            <w:pPr>
              <w:pStyle w:val="8"/>
            </w:pPr>
            <w:r>
              <w:rPr>
                <w:rFonts w:hint="eastAsia"/>
              </w:rPr>
              <w:t xml:space="preserve">010－63081344 </w:t>
            </w:r>
          </w:p>
        </w:tc>
      </w:tr>
      <w:tr w14:paraId="54FD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463619">
            <w:pPr>
              <w:pStyle w:val="8"/>
            </w:pPr>
            <w:r>
              <w:rPr>
                <w:rFonts w:hint="eastAsia"/>
              </w:rPr>
              <w:t xml:space="preserve">客户服务电话： </w:t>
            </w:r>
          </w:p>
        </w:tc>
        <w:tc>
          <w:tcPr>
            <w:tcW w:w="7440" w:type="dxa"/>
            <w:shd w:val="clear" w:color="auto" w:fill="auto"/>
          </w:tcPr>
          <w:p w14:paraId="43C90DBD">
            <w:pPr>
              <w:pStyle w:val="8"/>
            </w:pPr>
            <w:r>
              <w:rPr>
                <w:rFonts w:hint="eastAsia"/>
              </w:rPr>
              <w:t xml:space="preserve">95321 </w:t>
            </w:r>
          </w:p>
        </w:tc>
      </w:tr>
      <w:tr w14:paraId="12661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5147CF">
            <w:pPr>
              <w:pStyle w:val="8"/>
            </w:pPr>
            <w:r>
              <w:rPr>
                <w:rFonts w:hint="eastAsia"/>
              </w:rPr>
              <w:t xml:space="preserve">网址： </w:t>
            </w:r>
          </w:p>
        </w:tc>
        <w:tc>
          <w:tcPr>
            <w:tcW w:w="7440" w:type="dxa"/>
            <w:shd w:val="clear" w:color="auto" w:fill="auto"/>
          </w:tcPr>
          <w:p w14:paraId="19F1E731">
            <w:pPr>
              <w:pStyle w:val="8"/>
            </w:pPr>
            <w:r>
              <w:rPr>
                <w:rFonts w:hint="eastAsia"/>
              </w:rPr>
              <w:t xml:space="preserve">http://www.cindasc.com </w:t>
            </w:r>
          </w:p>
        </w:tc>
      </w:tr>
    </w:tbl>
    <w:p w14:paraId="1CB8CC10">
      <w:pPr>
        <w:pStyle w:val="8"/>
        <w:spacing w:before="0" w:beforeAutospacing="0" w:after="0" w:afterAutospacing="0" w:line="360" w:lineRule="auto"/>
        <w:ind w:firstLine="420"/>
        <w:rPr>
          <w:sz w:val="21"/>
          <w:szCs w:val="21"/>
        </w:rPr>
      </w:pPr>
      <w:r>
        <w:rPr>
          <w:rFonts w:hint="eastAsia"/>
          <w:b/>
          <w:bCs/>
          <w:sz w:val="21"/>
          <w:szCs w:val="21"/>
        </w:rPr>
        <w:t>(23)东方证券股份有限公司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5434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0C6B26">
            <w:pPr>
              <w:pStyle w:val="8"/>
            </w:pPr>
            <w:r>
              <w:rPr>
                <w:rFonts w:hint="eastAsia"/>
              </w:rPr>
              <w:t xml:space="preserve">注册地址： </w:t>
            </w:r>
          </w:p>
        </w:tc>
        <w:tc>
          <w:tcPr>
            <w:tcW w:w="7440" w:type="dxa"/>
            <w:shd w:val="clear" w:color="auto" w:fill="auto"/>
          </w:tcPr>
          <w:p w14:paraId="101704A3">
            <w:pPr>
              <w:pStyle w:val="8"/>
            </w:pPr>
            <w:r>
              <w:rPr>
                <w:rFonts w:hint="eastAsia"/>
              </w:rPr>
              <w:t xml:space="preserve">上海市中山南路318号2号楼22层－29层 </w:t>
            </w:r>
          </w:p>
        </w:tc>
      </w:tr>
      <w:tr w14:paraId="0F283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69C727">
            <w:pPr>
              <w:pStyle w:val="8"/>
            </w:pPr>
            <w:r>
              <w:rPr>
                <w:rFonts w:hint="eastAsia"/>
              </w:rPr>
              <w:t xml:space="preserve">办公地址： </w:t>
            </w:r>
          </w:p>
        </w:tc>
        <w:tc>
          <w:tcPr>
            <w:tcW w:w="7440" w:type="dxa"/>
            <w:shd w:val="clear" w:color="auto" w:fill="auto"/>
          </w:tcPr>
          <w:p w14:paraId="30641F99">
            <w:pPr>
              <w:pStyle w:val="8"/>
            </w:pPr>
            <w:r>
              <w:rPr>
                <w:rFonts w:hint="eastAsia"/>
              </w:rPr>
              <w:t xml:space="preserve">上海市中山南路318号2号楼21层－29层 </w:t>
            </w:r>
          </w:p>
        </w:tc>
      </w:tr>
      <w:tr w14:paraId="7118F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B9C452">
            <w:pPr>
              <w:pStyle w:val="8"/>
            </w:pPr>
            <w:r>
              <w:rPr>
                <w:rFonts w:hint="eastAsia"/>
              </w:rPr>
              <w:t xml:space="preserve">法定代表人： </w:t>
            </w:r>
          </w:p>
        </w:tc>
        <w:tc>
          <w:tcPr>
            <w:tcW w:w="7440" w:type="dxa"/>
            <w:shd w:val="clear" w:color="auto" w:fill="auto"/>
          </w:tcPr>
          <w:p w14:paraId="773DB0C7">
            <w:pPr>
              <w:pStyle w:val="8"/>
            </w:pPr>
            <w:r>
              <w:rPr>
                <w:rFonts w:hint="eastAsia"/>
              </w:rPr>
              <w:t xml:space="preserve">金文忠 </w:t>
            </w:r>
          </w:p>
        </w:tc>
      </w:tr>
      <w:tr w14:paraId="510C3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C9E441">
            <w:pPr>
              <w:pStyle w:val="8"/>
            </w:pPr>
            <w:r>
              <w:rPr>
                <w:rFonts w:hint="eastAsia"/>
              </w:rPr>
              <w:t xml:space="preserve">联系人： </w:t>
            </w:r>
          </w:p>
        </w:tc>
        <w:tc>
          <w:tcPr>
            <w:tcW w:w="7440" w:type="dxa"/>
            <w:shd w:val="clear" w:color="auto" w:fill="auto"/>
          </w:tcPr>
          <w:p w14:paraId="072DCD3D">
            <w:pPr>
              <w:pStyle w:val="8"/>
            </w:pPr>
            <w:r>
              <w:rPr>
                <w:rFonts w:hint="eastAsia"/>
              </w:rPr>
              <w:t xml:space="preserve">朱琼玉 </w:t>
            </w:r>
          </w:p>
        </w:tc>
      </w:tr>
      <w:tr w14:paraId="63A1F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AF4AE8">
            <w:pPr>
              <w:pStyle w:val="8"/>
            </w:pPr>
            <w:r>
              <w:rPr>
                <w:rFonts w:hint="eastAsia"/>
              </w:rPr>
              <w:t xml:space="preserve">电话： </w:t>
            </w:r>
          </w:p>
        </w:tc>
        <w:tc>
          <w:tcPr>
            <w:tcW w:w="7440" w:type="dxa"/>
            <w:shd w:val="clear" w:color="auto" w:fill="auto"/>
          </w:tcPr>
          <w:p w14:paraId="0F356321">
            <w:pPr>
              <w:pStyle w:val="8"/>
            </w:pPr>
            <w:r>
              <w:rPr>
                <w:rFonts w:hint="eastAsia"/>
              </w:rPr>
              <w:t xml:space="preserve">021-63325888 </w:t>
            </w:r>
          </w:p>
        </w:tc>
      </w:tr>
      <w:tr w14:paraId="552CF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D40EDC">
            <w:pPr>
              <w:pStyle w:val="8"/>
            </w:pPr>
            <w:r>
              <w:rPr>
                <w:rFonts w:hint="eastAsia"/>
              </w:rPr>
              <w:t xml:space="preserve">传真： </w:t>
            </w:r>
          </w:p>
        </w:tc>
        <w:tc>
          <w:tcPr>
            <w:tcW w:w="7440" w:type="dxa"/>
            <w:shd w:val="clear" w:color="auto" w:fill="auto"/>
          </w:tcPr>
          <w:p w14:paraId="57A0F656">
            <w:pPr>
              <w:pStyle w:val="8"/>
            </w:pPr>
            <w:r>
              <w:rPr>
                <w:rFonts w:hint="eastAsia"/>
              </w:rPr>
              <w:t xml:space="preserve">021－63326729 </w:t>
            </w:r>
          </w:p>
        </w:tc>
      </w:tr>
      <w:tr w14:paraId="07CE2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2B398B">
            <w:pPr>
              <w:pStyle w:val="8"/>
            </w:pPr>
            <w:r>
              <w:rPr>
                <w:rFonts w:hint="eastAsia"/>
              </w:rPr>
              <w:t xml:space="preserve">客户服务电话： </w:t>
            </w:r>
          </w:p>
        </w:tc>
        <w:tc>
          <w:tcPr>
            <w:tcW w:w="7440" w:type="dxa"/>
            <w:shd w:val="clear" w:color="auto" w:fill="auto"/>
          </w:tcPr>
          <w:p w14:paraId="4F71A68E">
            <w:pPr>
              <w:pStyle w:val="8"/>
            </w:pPr>
            <w:r>
              <w:rPr>
                <w:rFonts w:hint="eastAsia"/>
              </w:rPr>
              <w:t xml:space="preserve">95503 </w:t>
            </w:r>
          </w:p>
        </w:tc>
      </w:tr>
      <w:tr w14:paraId="7FF50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FCAEF9">
            <w:pPr>
              <w:pStyle w:val="8"/>
            </w:pPr>
            <w:r>
              <w:rPr>
                <w:rFonts w:hint="eastAsia"/>
              </w:rPr>
              <w:t xml:space="preserve">网址： </w:t>
            </w:r>
          </w:p>
        </w:tc>
        <w:tc>
          <w:tcPr>
            <w:tcW w:w="7440" w:type="dxa"/>
            <w:shd w:val="clear" w:color="auto" w:fill="auto"/>
          </w:tcPr>
          <w:p w14:paraId="643E0186">
            <w:pPr>
              <w:pStyle w:val="8"/>
            </w:pPr>
            <w:r>
              <w:rPr>
                <w:rFonts w:hint="eastAsia"/>
              </w:rPr>
              <w:t xml:space="preserve">http://www.dfzq.com.cn </w:t>
            </w:r>
          </w:p>
        </w:tc>
      </w:tr>
    </w:tbl>
    <w:p w14:paraId="6733CA43">
      <w:pPr>
        <w:pStyle w:val="8"/>
        <w:spacing w:before="0" w:beforeAutospacing="0" w:after="0" w:afterAutospacing="0" w:line="360" w:lineRule="auto"/>
        <w:ind w:firstLine="420"/>
        <w:rPr>
          <w:sz w:val="21"/>
          <w:szCs w:val="21"/>
        </w:rPr>
      </w:pPr>
      <w:r>
        <w:rPr>
          <w:rFonts w:hint="eastAsia"/>
          <w:b/>
          <w:bCs/>
          <w:sz w:val="21"/>
          <w:szCs w:val="21"/>
        </w:rPr>
        <w:t>(24)方正证券股份有限公司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8E70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3D92FC7">
            <w:pPr>
              <w:pStyle w:val="8"/>
            </w:pPr>
            <w:r>
              <w:rPr>
                <w:rFonts w:hint="eastAsia"/>
              </w:rPr>
              <w:t xml:space="preserve">注册地址： </w:t>
            </w:r>
          </w:p>
        </w:tc>
        <w:tc>
          <w:tcPr>
            <w:tcW w:w="7440" w:type="dxa"/>
            <w:shd w:val="clear" w:color="auto" w:fill="auto"/>
          </w:tcPr>
          <w:p w14:paraId="145AAF4E">
            <w:pPr>
              <w:pStyle w:val="8"/>
            </w:pPr>
            <w:r>
              <w:rPr>
                <w:rFonts w:hint="eastAsia"/>
              </w:rPr>
              <w:t xml:space="preserve">湖南长沙芙蓉中路2段华侨国际大厦22-24层 </w:t>
            </w:r>
          </w:p>
        </w:tc>
      </w:tr>
      <w:tr w14:paraId="07D7A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01990">
            <w:pPr>
              <w:pStyle w:val="8"/>
            </w:pPr>
            <w:r>
              <w:rPr>
                <w:rFonts w:hint="eastAsia"/>
              </w:rPr>
              <w:t xml:space="preserve">办公地址： </w:t>
            </w:r>
          </w:p>
        </w:tc>
        <w:tc>
          <w:tcPr>
            <w:tcW w:w="7440" w:type="dxa"/>
            <w:shd w:val="clear" w:color="auto" w:fill="auto"/>
          </w:tcPr>
          <w:p w14:paraId="6F8C6BC5">
            <w:pPr>
              <w:pStyle w:val="8"/>
            </w:pPr>
            <w:r>
              <w:rPr>
                <w:rFonts w:hint="eastAsia"/>
              </w:rPr>
              <w:t xml:space="preserve">湖南长沙芙蓉中路2段华侨国际大厦22-24层 </w:t>
            </w:r>
          </w:p>
        </w:tc>
      </w:tr>
      <w:tr w14:paraId="6F7BE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DF21A">
            <w:pPr>
              <w:pStyle w:val="8"/>
            </w:pPr>
            <w:r>
              <w:rPr>
                <w:rFonts w:hint="eastAsia"/>
              </w:rPr>
              <w:t xml:space="preserve">法定代表人： </w:t>
            </w:r>
          </w:p>
        </w:tc>
        <w:tc>
          <w:tcPr>
            <w:tcW w:w="7440" w:type="dxa"/>
            <w:shd w:val="clear" w:color="auto" w:fill="auto"/>
          </w:tcPr>
          <w:p w14:paraId="1F9129CF">
            <w:pPr>
              <w:pStyle w:val="8"/>
            </w:pPr>
            <w:r>
              <w:rPr>
                <w:rFonts w:hint="eastAsia"/>
              </w:rPr>
              <w:t xml:space="preserve">施华 </w:t>
            </w:r>
          </w:p>
        </w:tc>
      </w:tr>
      <w:tr w14:paraId="2677A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130478">
            <w:pPr>
              <w:pStyle w:val="8"/>
            </w:pPr>
            <w:r>
              <w:rPr>
                <w:rFonts w:hint="eastAsia"/>
              </w:rPr>
              <w:t xml:space="preserve">联系人： </w:t>
            </w:r>
          </w:p>
        </w:tc>
        <w:tc>
          <w:tcPr>
            <w:tcW w:w="7440" w:type="dxa"/>
            <w:shd w:val="clear" w:color="auto" w:fill="auto"/>
          </w:tcPr>
          <w:p w14:paraId="721AF6C1">
            <w:pPr>
              <w:pStyle w:val="8"/>
            </w:pPr>
            <w:r>
              <w:rPr>
                <w:rFonts w:hint="eastAsia"/>
              </w:rPr>
              <w:t xml:space="preserve">胡创 </w:t>
            </w:r>
          </w:p>
        </w:tc>
      </w:tr>
      <w:tr w14:paraId="2C703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7E75A5">
            <w:pPr>
              <w:pStyle w:val="8"/>
            </w:pPr>
            <w:r>
              <w:rPr>
                <w:rFonts w:hint="eastAsia"/>
              </w:rPr>
              <w:t xml:space="preserve">电话： </w:t>
            </w:r>
          </w:p>
        </w:tc>
        <w:tc>
          <w:tcPr>
            <w:tcW w:w="7440" w:type="dxa"/>
            <w:shd w:val="clear" w:color="auto" w:fill="auto"/>
          </w:tcPr>
          <w:p w14:paraId="77BA003E">
            <w:pPr>
              <w:pStyle w:val="8"/>
            </w:pPr>
            <w:r>
              <w:rPr>
                <w:rFonts w:hint="eastAsia"/>
              </w:rPr>
              <w:t xml:space="preserve">010-56437060 </w:t>
            </w:r>
          </w:p>
        </w:tc>
      </w:tr>
      <w:tr w14:paraId="2A64C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583C8">
            <w:pPr>
              <w:pStyle w:val="8"/>
            </w:pPr>
            <w:r>
              <w:rPr>
                <w:rFonts w:hint="eastAsia"/>
              </w:rPr>
              <w:t xml:space="preserve">传真： </w:t>
            </w:r>
          </w:p>
        </w:tc>
        <w:tc>
          <w:tcPr>
            <w:tcW w:w="7440" w:type="dxa"/>
            <w:shd w:val="clear" w:color="auto" w:fill="auto"/>
          </w:tcPr>
          <w:p w14:paraId="4ECC5744">
            <w:pPr>
              <w:pStyle w:val="8"/>
            </w:pPr>
            <w:r>
              <w:rPr>
                <w:rFonts w:hint="eastAsia"/>
              </w:rPr>
              <w:t xml:space="preserve">0731-85832214 </w:t>
            </w:r>
          </w:p>
        </w:tc>
      </w:tr>
      <w:tr w14:paraId="44BB3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F3F532">
            <w:pPr>
              <w:pStyle w:val="8"/>
            </w:pPr>
            <w:r>
              <w:rPr>
                <w:rFonts w:hint="eastAsia"/>
              </w:rPr>
              <w:t xml:space="preserve">客户服务电话： </w:t>
            </w:r>
          </w:p>
        </w:tc>
        <w:tc>
          <w:tcPr>
            <w:tcW w:w="7440" w:type="dxa"/>
            <w:shd w:val="clear" w:color="auto" w:fill="auto"/>
          </w:tcPr>
          <w:p w14:paraId="2C1B86EE">
            <w:pPr>
              <w:pStyle w:val="8"/>
            </w:pPr>
            <w:r>
              <w:rPr>
                <w:rFonts w:hint="eastAsia"/>
              </w:rPr>
              <w:t xml:space="preserve">95571 </w:t>
            </w:r>
          </w:p>
        </w:tc>
      </w:tr>
      <w:tr w14:paraId="221B7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45E839">
            <w:pPr>
              <w:pStyle w:val="8"/>
            </w:pPr>
            <w:r>
              <w:rPr>
                <w:rFonts w:hint="eastAsia"/>
              </w:rPr>
              <w:t xml:space="preserve">网址： </w:t>
            </w:r>
          </w:p>
        </w:tc>
        <w:tc>
          <w:tcPr>
            <w:tcW w:w="7440" w:type="dxa"/>
            <w:shd w:val="clear" w:color="auto" w:fill="auto"/>
          </w:tcPr>
          <w:p w14:paraId="5AF53F0B">
            <w:pPr>
              <w:pStyle w:val="8"/>
            </w:pPr>
            <w:r>
              <w:rPr>
                <w:rFonts w:hint="eastAsia"/>
              </w:rPr>
              <w:t xml:space="preserve">http://www.foundersc.com </w:t>
            </w:r>
          </w:p>
        </w:tc>
      </w:tr>
    </w:tbl>
    <w:p w14:paraId="1D295EB6">
      <w:pPr>
        <w:pStyle w:val="8"/>
        <w:spacing w:before="0" w:beforeAutospacing="0" w:after="0" w:afterAutospacing="0" w:line="360" w:lineRule="auto"/>
        <w:ind w:firstLine="420"/>
        <w:rPr>
          <w:sz w:val="21"/>
          <w:szCs w:val="21"/>
        </w:rPr>
      </w:pPr>
      <w:r>
        <w:rPr>
          <w:rFonts w:hint="eastAsia"/>
          <w:b/>
          <w:bCs/>
          <w:sz w:val="21"/>
          <w:szCs w:val="21"/>
        </w:rPr>
        <w:t>(25)长城证券股份有限公司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B71A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690007">
            <w:pPr>
              <w:pStyle w:val="8"/>
            </w:pPr>
            <w:r>
              <w:rPr>
                <w:rFonts w:hint="eastAsia"/>
              </w:rPr>
              <w:t xml:space="preserve">注册地址： </w:t>
            </w:r>
          </w:p>
        </w:tc>
        <w:tc>
          <w:tcPr>
            <w:tcW w:w="7440" w:type="dxa"/>
            <w:shd w:val="clear" w:color="auto" w:fill="auto"/>
          </w:tcPr>
          <w:p w14:paraId="11858B96">
            <w:pPr>
              <w:pStyle w:val="8"/>
            </w:pPr>
            <w:r>
              <w:rPr>
                <w:rFonts w:hint="eastAsia"/>
              </w:rPr>
              <w:t xml:space="preserve">深圳市深南大道6008号特区报业大厦16、17层 </w:t>
            </w:r>
          </w:p>
        </w:tc>
      </w:tr>
      <w:tr w14:paraId="62BAF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ADAE0E">
            <w:pPr>
              <w:pStyle w:val="8"/>
            </w:pPr>
            <w:r>
              <w:rPr>
                <w:rFonts w:hint="eastAsia"/>
              </w:rPr>
              <w:t xml:space="preserve">办公地址： </w:t>
            </w:r>
          </w:p>
        </w:tc>
        <w:tc>
          <w:tcPr>
            <w:tcW w:w="7440" w:type="dxa"/>
            <w:shd w:val="clear" w:color="auto" w:fill="auto"/>
          </w:tcPr>
          <w:p w14:paraId="5AE32BCD">
            <w:pPr>
              <w:pStyle w:val="8"/>
            </w:pPr>
            <w:r>
              <w:rPr>
                <w:rFonts w:hint="eastAsia"/>
              </w:rPr>
              <w:t xml:space="preserve">深圳市深南大道6008号特区报业大厦14、16、17层 </w:t>
            </w:r>
          </w:p>
        </w:tc>
      </w:tr>
      <w:tr w14:paraId="59D5D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EABC6C">
            <w:pPr>
              <w:pStyle w:val="8"/>
            </w:pPr>
            <w:r>
              <w:rPr>
                <w:rFonts w:hint="eastAsia"/>
              </w:rPr>
              <w:t xml:space="preserve">法定代表人： </w:t>
            </w:r>
          </w:p>
        </w:tc>
        <w:tc>
          <w:tcPr>
            <w:tcW w:w="7440" w:type="dxa"/>
            <w:shd w:val="clear" w:color="auto" w:fill="auto"/>
          </w:tcPr>
          <w:p w14:paraId="4707F3B8">
            <w:pPr>
              <w:pStyle w:val="8"/>
            </w:pPr>
            <w:r>
              <w:rPr>
                <w:rFonts w:hint="eastAsia"/>
              </w:rPr>
              <w:t xml:space="preserve">丁益 </w:t>
            </w:r>
          </w:p>
        </w:tc>
      </w:tr>
      <w:tr w14:paraId="3A614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B1C4AE">
            <w:pPr>
              <w:pStyle w:val="8"/>
            </w:pPr>
            <w:r>
              <w:rPr>
                <w:rFonts w:hint="eastAsia"/>
              </w:rPr>
              <w:t xml:space="preserve">联系人： </w:t>
            </w:r>
          </w:p>
        </w:tc>
        <w:tc>
          <w:tcPr>
            <w:tcW w:w="7440" w:type="dxa"/>
            <w:shd w:val="clear" w:color="auto" w:fill="auto"/>
          </w:tcPr>
          <w:p w14:paraId="14BA0153">
            <w:pPr>
              <w:pStyle w:val="8"/>
            </w:pPr>
            <w:r>
              <w:rPr>
                <w:rFonts w:hint="eastAsia"/>
              </w:rPr>
              <w:t xml:space="preserve">沈晓 </w:t>
            </w:r>
          </w:p>
        </w:tc>
      </w:tr>
      <w:tr w14:paraId="4D665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6BB2C5">
            <w:pPr>
              <w:pStyle w:val="8"/>
            </w:pPr>
            <w:r>
              <w:rPr>
                <w:rFonts w:hint="eastAsia"/>
              </w:rPr>
              <w:t xml:space="preserve">电话： </w:t>
            </w:r>
          </w:p>
        </w:tc>
        <w:tc>
          <w:tcPr>
            <w:tcW w:w="7440" w:type="dxa"/>
            <w:shd w:val="clear" w:color="auto" w:fill="auto"/>
          </w:tcPr>
          <w:p w14:paraId="37A958B2">
            <w:pPr>
              <w:pStyle w:val="8"/>
            </w:pPr>
            <w:r>
              <w:rPr>
                <w:rFonts w:hint="eastAsia"/>
              </w:rPr>
              <w:t xml:space="preserve">0755-83464734 </w:t>
            </w:r>
          </w:p>
        </w:tc>
      </w:tr>
      <w:tr w14:paraId="70492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F3A7DA">
            <w:pPr>
              <w:pStyle w:val="8"/>
            </w:pPr>
            <w:r>
              <w:rPr>
                <w:rFonts w:hint="eastAsia"/>
              </w:rPr>
              <w:t xml:space="preserve">传真： </w:t>
            </w:r>
          </w:p>
        </w:tc>
        <w:tc>
          <w:tcPr>
            <w:tcW w:w="7440" w:type="dxa"/>
            <w:shd w:val="clear" w:color="auto" w:fill="auto"/>
          </w:tcPr>
          <w:p w14:paraId="09B4D234">
            <w:pPr>
              <w:pStyle w:val="8"/>
            </w:pPr>
            <w:r>
              <w:rPr>
                <w:rFonts w:hint="eastAsia"/>
              </w:rPr>
              <w:t xml:space="preserve">0755－83515567 </w:t>
            </w:r>
          </w:p>
        </w:tc>
      </w:tr>
      <w:tr w14:paraId="7F252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49D51">
            <w:pPr>
              <w:pStyle w:val="8"/>
            </w:pPr>
            <w:r>
              <w:rPr>
                <w:rFonts w:hint="eastAsia"/>
              </w:rPr>
              <w:t xml:space="preserve">客户服务电话： </w:t>
            </w:r>
          </w:p>
        </w:tc>
        <w:tc>
          <w:tcPr>
            <w:tcW w:w="7440" w:type="dxa"/>
            <w:shd w:val="clear" w:color="auto" w:fill="auto"/>
          </w:tcPr>
          <w:p w14:paraId="3592AADD">
            <w:pPr>
              <w:pStyle w:val="8"/>
            </w:pPr>
            <w:r>
              <w:rPr>
                <w:rFonts w:hint="eastAsia"/>
              </w:rPr>
              <w:t xml:space="preserve">4006666888 </w:t>
            </w:r>
          </w:p>
        </w:tc>
      </w:tr>
      <w:tr w14:paraId="4ED0F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764C4B">
            <w:pPr>
              <w:pStyle w:val="8"/>
            </w:pPr>
            <w:r>
              <w:rPr>
                <w:rFonts w:hint="eastAsia"/>
              </w:rPr>
              <w:t xml:space="preserve">网址： </w:t>
            </w:r>
          </w:p>
        </w:tc>
        <w:tc>
          <w:tcPr>
            <w:tcW w:w="7440" w:type="dxa"/>
            <w:shd w:val="clear" w:color="auto" w:fill="auto"/>
          </w:tcPr>
          <w:p w14:paraId="10AC3FAA">
            <w:pPr>
              <w:pStyle w:val="8"/>
            </w:pPr>
            <w:r>
              <w:rPr>
                <w:rFonts w:hint="eastAsia"/>
              </w:rPr>
              <w:t xml:space="preserve">http://www.cgws.com </w:t>
            </w:r>
          </w:p>
        </w:tc>
      </w:tr>
    </w:tbl>
    <w:p w14:paraId="7E470F78">
      <w:pPr>
        <w:pStyle w:val="8"/>
        <w:spacing w:before="0" w:beforeAutospacing="0" w:after="0" w:afterAutospacing="0" w:line="360" w:lineRule="auto"/>
        <w:ind w:firstLine="420"/>
        <w:rPr>
          <w:sz w:val="21"/>
          <w:szCs w:val="21"/>
        </w:rPr>
      </w:pPr>
      <w:r>
        <w:rPr>
          <w:rFonts w:hint="eastAsia"/>
          <w:b/>
          <w:bCs/>
          <w:sz w:val="21"/>
          <w:szCs w:val="21"/>
        </w:rPr>
        <w:t>(26)光大证券股份有限公司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8936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E39B3">
            <w:pPr>
              <w:pStyle w:val="8"/>
            </w:pPr>
            <w:r>
              <w:rPr>
                <w:rFonts w:hint="eastAsia"/>
              </w:rPr>
              <w:t xml:space="preserve">注册地址： </w:t>
            </w:r>
          </w:p>
        </w:tc>
        <w:tc>
          <w:tcPr>
            <w:tcW w:w="7440" w:type="dxa"/>
            <w:shd w:val="clear" w:color="auto" w:fill="auto"/>
          </w:tcPr>
          <w:p w14:paraId="1F8F1207">
            <w:pPr>
              <w:pStyle w:val="8"/>
            </w:pPr>
            <w:r>
              <w:rPr>
                <w:rFonts w:hint="eastAsia"/>
              </w:rPr>
              <w:t xml:space="preserve">上海市静安区新闸路1508号 </w:t>
            </w:r>
          </w:p>
        </w:tc>
      </w:tr>
      <w:tr w14:paraId="0E7CE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8FFEE">
            <w:pPr>
              <w:pStyle w:val="8"/>
            </w:pPr>
            <w:r>
              <w:rPr>
                <w:rFonts w:hint="eastAsia"/>
              </w:rPr>
              <w:t xml:space="preserve">办公地址： </w:t>
            </w:r>
          </w:p>
        </w:tc>
        <w:tc>
          <w:tcPr>
            <w:tcW w:w="7440" w:type="dxa"/>
            <w:shd w:val="clear" w:color="auto" w:fill="auto"/>
          </w:tcPr>
          <w:p w14:paraId="5A5FBFE1">
            <w:pPr>
              <w:pStyle w:val="8"/>
            </w:pPr>
            <w:r>
              <w:rPr>
                <w:rFonts w:hint="eastAsia"/>
              </w:rPr>
              <w:t xml:space="preserve">上海市静安区新闸路1508号 </w:t>
            </w:r>
          </w:p>
        </w:tc>
      </w:tr>
      <w:tr w14:paraId="146C4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06BCFA">
            <w:pPr>
              <w:pStyle w:val="8"/>
            </w:pPr>
            <w:r>
              <w:rPr>
                <w:rFonts w:hint="eastAsia"/>
              </w:rPr>
              <w:t xml:space="preserve">法定代表人： </w:t>
            </w:r>
          </w:p>
        </w:tc>
        <w:tc>
          <w:tcPr>
            <w:tcW w:w="7440" w:type="dxa"/>
            <w:shd w:val="clear" w:color="auto" w:fill="auto"/>
          </w:tcPr>
          <w:p w14:paraId="19B27FE8">
            <w:pPr>
              <w:pStyle w:val="8"/>
            </w:pPr>
            <w:r>
              <w:rPr>
                <w:rFonts w:hint="eastAsia"/>
              </w:rPr>
              <w:t xml:space="preserve">刘秋明 </w:t>
            </w:r>
          </w:p>
        </w:tc>
      </w:tr>
      <w:tr w14:paraId="4FD0D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E8917F">
            <w:pPr>
              <w:pStyle w:val="8"/>
            </w:pPr>
            <w:r>
              <w:rPr>
                <w:rFonts w:hint="eastAsia"/>
              </w:rPr>
              <w:t xml:space="preserve">联系人： </w:t>
            </w:r>
          </w:p>
        </w:tc>
        <w:tc>
          <w:tcPr>
            <w:tcW w:w="7440" w:type="dxa"/>
            <w:shd w:val="clear" w:color="auto" w:fill="auto"/>
          </w:tcPr>
          <w:p w14:paraId="30E24488">
            <w:pPr>
              <w:pStyle w:val="8"/>
            </w:pPr>
            <w:r>
              <w:rPr>
                <w:rFonts w:hint="eastAsia"/>
              </w:rPr>
              <w:t xml:space="preserve">李芳芳 </w:t>
            </w:r>
          </w:p>
        </w:tc>
      </w:tr>
      <w:tr w14:paraId="2B473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BEE2CF">
            <w:pPr>
              <w:pStyle w:val="8"/>
            </w:pPr>
            <w:r>
              <w:rPr>
                <w:rFonts w:hint="eastAsia"/>
              </w:rPr>
              <w:t xml:space="preserve">电话： </w:t>
            </w:r>
          </w:p>
        </w:tc>
        <w:tc>
          <w:tcPr>
            <w:tcW w:w="7440" w:type="dxa"/>
            <w:shd w:val="clear" w:color="auto" w:fill="auto"/>
          </w:tcPr>
          <w:p w14:paraId="1F4C4C2E">
            <w:pPr>
              <w:pStyle w:val="8"/>
            </w:pPr>
            <w:r>
              <w:rPr>
                <w:rFonts w:hint="eastAsia"/>
              </w:rPr>
              <w:t xml:space="preserve">021-22169089 </w:t>
            </w:r>
          </w:p>
        </w:tc>
      </w:tr>
      <w:tr w14:paraId="451F0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D4616F">
            <w:pPr>
              <w:pStyle w:val="8"/>
            </w:pPr>
            <w:r>
              <w:rPr>
                <w:rFonts w:hint="eastAsia"/>
              </w:rPr>
              <w:t xml:space="preserve">传真： </w:t>
            </w:r>
          </w:p>
        </w:tc>
        <w:tc>
          <w:tcPr>
            <w:tcW w:w="7440" w:type="dxa"/>
            <w:shd w:val="clear" w:color="auto" w:fill="auto"/>
          </w:tcPr>
          <w:p w14:paraId="26675AF5">
            <w:pPr>
              <w:pStyle w:val="8"/>
            </w:pPr>
            <w:r>
              <w:rPr>
                <w:rFonts w:hint="eastAsia"/>
              </w:rPr>
              <w:t xml:space="preserve">021－22169134 </w:t>
            </w:r>
          </w:p>
        </w:tc>
      </w:tr>
      <w:tr w14:paraId="2EF6D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47EE5">
            <w:pPr>
              <w:pStyle w:val="8"/>
            </w:pPr>
            <w:r>
              <w:rPr>
                <w:rFonts w:hint="eastAsia"/>
              </w:rPr>
              <w:t xml:space="preserve">客户服务电话： </w:t>
            </w:r>
          </w:p>
        </w:tc>
        <w:tc>
          <w:tcPr>
            <w:tcW w:w="7440" w:type="dxa"/>
            <w:shd w:val="clear" w:color="auto" w:fill="auto"/>
          </w:tcPr>
          <w:p w14:paraId="053D8CA5">
            <w:pPr>
              <w:pStyle w:val="8"/>
            </w:pPr>
            <w:r>
              <w:rPr>
                <w:rFonts w:hint="eastAsia"/>
              </w:rPr>
              <w:t xml:space="preserve">4008888788；95525 </w:t>
            </w:r>
          </w:p>
        </w:tc>
      </w:tr>
      <w:tr w14:paraId="03105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3622C8">
            <w:pPr>
              <w:pStyle w:val="8"/>
            </w:pPr>
            <w:r>
              <w:rPr>
                <w:rFonts w:hint="eastAsia"/>
              </w:rPr>
              <w:t xml:space="preserve">网址： </w:t>
            </w:r>
          </w:p>
        </w:tc>
        <w:tc>
          <w:tcPr>
            <w:tcW w:w="7440" w:type="dxa"/>
            <w:shd w:val="clear" w:color="auto" w:fill="auto"/>
          </w:tcPr>
          <w:p w14:paraId="7732A6DD">
            <w:pPr>
              <w:pStyle w:val="8"/>
            </w:pPr>
            <w:r>
              <w:rPr>
                <w:rFonts w:hint="eastAsia"/>
              </w:rPr>
              <w:t xml:space="preserve">http://www.ebscn.com/ </w:t>
            </w:r>
          </w:p>
        </w:tc>
      </w:tr>
    </w:tbl>
    <w:p w14:paraId="0C153E9B">
      <w:pPr>
        <w:pStyle w:val="8"/>
        <w:spacing w:before="0" w:beforeAutospacing="0" w:after="0" w:afterAutospacing="0" w:line="360" w:lineRule="auto"/>
        <w:ind w:firstLine="420"/>
        <w:rPr>
          <w:sz w:val="21"/>
          <w:szCs w:val="21"/>
        </w:rPr>
      </w:pPr>
      <w:r>
        <w:rPr>
          <w:rFonts w:hint="eastAsia"/>
          <w:b/>
          <w:bCs/>
          <w:sz w:val="21"/>
          <w:szCs w:val="21"/>
        </w:rPr>
        <w:t>(27)中信证券华南股份有限公司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418B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B31A4F2">
            <w:pPr>
              <w:pStyle w:val="8"/>
            </w:pPr>
            <w:r>
              <w:rPr>
                <w:rFonts w:hint="eastAsia"/>
              </w:rPr>
              <w:t xml:space="preserve">注册地址： </w:t>
            </w:r>
          </w:p>
        </w:tc>
        <w:tc>
          <w:tcPr>
            <w:tcW w:w="7440" w:type="dxa"/>
            <w:shd w:val="clear" w:color="auto" w:fill="auto"/>
          </w:tcPr>
          <w:p w14:paraId="0122CB72">
            <w:pPr>
              <w:pStyle w:val="8"/>
            </w:pPr>
            <w:r>
              <w:rPr>
                <w:rFonts w:hint="eastAsia"/>
              </w:rPr>
              <w:t xml:space="preserve">广州市天河区珠江西路5号广州国际金融中心主塔19层、20层 </w:t>
            </w:r>
          </w:p>
        </w:tc>
      </w:tr>
      <w:tr w14:paraId="6BFF9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558ABC">
            <w:pPr>
              <w:pStyle w:val="8"/>
            </w:pPr>
            <w:r>
              <w:rPr>
                <w:rFonts w:hint="eastAsia"/>
              </w:rPr>
              <w:t xml:space="preserve">办公地址： </w:t>
            </w:r>
          </w:p>
        </w:tc>
        <w:tc>
          <w:tcPr>
            <w:tcW w:w="7440" w:type="dxa"/>
            <w:shd w:val="clear" w:color="auto" w:fill="auto"/>
          </w:tcPr>
          <w:p w14:paraId="0280D4E4">
            <w:pPr>
              <w:pStyle w:val="8"/>
            </w:pPr>
            <w:r>
              <w:rPr>
                <w:rFonts w:hint="eastAsia"/>
              </w:rPr>
              <w:t xml:space="preserve">广州市天河区珠江西路5号广州国际金融中心主塔19层、20层 </w:t>
            </w:r>
          </w:p>
        </w:tc>
      </w:tr>
      <w:tr w14:paraId="3EAA7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DF5707">
            <w:pPr>
              <w:pStyle w:val="8"/>
            </w:pPr>
            <w:r>
              <w:rPr>
                <w:rFonts w:hint="eastAsia"/>
              </w:rPr>
              <w:t xml:space="preserve">法定代表人： </w:t>
            </w:r>
          </w:p>
        </w:tc>
        <w:tc>
          <w:tcPr>
            <w:tcW w:w="7440" w:type="dxa"/>
            <w:shd w:val="clear" w:color="auto" w:fill="auto"/>
          </w:tcPr>
          <w:p w14:paraId="750EF3F0">
            <w:pPr>
              <w:pStyle w:val="8"/>
            </w:pPr>
            <w:r>
              <w:rPr>
                <w:rFonts w:hint="eastAsia"/>
              </w:rPr>
              <w:t xml:space="preserve">陈可可 </w:t>
            </w:r>
          </w:p>
        </w:tc>
      </w:tr>
      <w:tr w14:paraId="2945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42066D">
            <w:pPr>
              <w:pStyle w:val="8"/>
            </w:pPr>
            <w:r>
              <w:rPr>
                <w:rFonts w:hint="eastAsia"/>
              </w:rPr>
              <w:t xml:space="preserve">联系人： </w:t>
            </w:r>
          </w:p>
        </w:tc>
        <w:tc>
          <w:tcPr>
            <w:tcW w:w="7440" w:type="dxa"/>
            <w:shd w:val="clear" w:color="auto" w:fill="auto"/>
          </w:tcPr>
          <w:p w14:paraId="4645B6DC">
            <w:pPr>
              <w:pStyle w:val="8"/>
            </w:pPr>
            <w:r>
              <w:rPr>
                <w:rFonts w:hint="eastAsia"/>
              </w:rPr>
              <w:t xml:space="preserve">郭杏燕 </w:t>
            </w:r>
          </w:p>
        </w:tc>
      </w:tr>
      <w:tr w14:paraId="122D1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E21E9B">
            <w:pPr>
              <w:pStyle w:val="8"/>
            </w:pPr>
            <w:r>
              <w:rPr>
                <w:rFonts w:hint="eastAsia"/>
              </w:rPr>
              <w:t xml:space="preserve">电话： </w:t>
            </w:r>
          </w:p>
        </w:tc>
        <w:tc>
          <w:tcPr>
            <w:tcW w:w="7440" w:type="dxa"/>
            <w:shd w:val="clear" w:color="auto" w:fill="auto"/>
          </w:tcPr>
          <w:p w14:paraId="636D8744">
            <w:pPr>
              <w:pStyle w:val="8"/>
            </w:pPr>
            <w:r>
              <w:rPr>
                <w:rFonts w:hint="eastAsia"/>
              </w:rPr>
              <w:t xml:space="preserve">020-88836999 </w:t>
            </w:r>
          </w:p>
        </w:tc>
      </w:tr>
      <w:tr w14:paraId="76977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1E818A">
            <w:pPr>
              <w:pStyle w:val="8"/>
            </w:pPr>
            <w:r>
              <w:rPr>
                <w:rFonts w:hint="eastAsia"/>
              </w:rPr>
              <w:t xml:space="preserve">传真： </w:t>
            </w:r>
          </w:p>
        </w:tc>
        <w:tc>
          <w:tcPr>
            <w:tcW w:w="7440" w:type="dxa"/>
            <w:shd w:val="clear" w:color="auto" w:fill="auto"/>
          </w:tcPr>
          <w:p w14:paraId="5236C270">
            <w:pPr>
              <w:pStyle w:val="8"/>
            </w:pPr>
            <w:r>
              <w:rPr>
                <w:rFonts w:hint="eastAsia"/>
              </w:rPr>
              <w:t xml:space="preserve">020-88836984 </w:t>
            </w:r>
          </w:p>
        </w:tc>
      </w:tr>
      <w:tr w14:paraId="210A0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06ACDB">
            <w:pPr>
              <w:pStyle w:val="8"/>
            </w:pPr>
            <w:r>
              <w:rPr>
                <w:rFonts w:hint="eastAsia"/>
              </w:rPr>
              <w:t xml:space="preserve">客户服务电话： </w:t>
            </w:r>
          </w:p>
        </w:tc>
        <w:tc>
          <w:tcPr>
            <w:tcW w:w="7440" w:type="dxa"/>
            <w:shd w:val="clear" w:color="auto" w:fill="auto"/>
          </w:tcPr>
          <w:p w14:paraId="460CF28E">
            <w:pPr>
              <w:pStyle w:val="8"/>
            </w:pPr>
            <w:r>
              <w:rPr>
                <w:rFonts w:hint="eastAsia"/>
              </w:rPr>
              <w:t xml:space="preserve">95548 </w:t>
            </w:r>
          </w:p>
        </w:tc>
      </w:tr>
      <w:tr w14:paraId="1FC00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8BDB53">
            <w:pPr>
              <w:pStyle w:val="8"/>
            </w:pPr>
            <w:r>
              <w:rPr>
                <w:rFonts w:hint="eastAsia"/>
              </w:rPr>
              <w:t xml:space="preserve">网址： </w:t>
            </w:r>
          </w:p>
        </w:tc>
        <w:tc>
          <w:tcPr>
            <w:tcW w:w="7440" w:type="dxa"/>
            <w:shd w:val="clear" w:color="auto" w:fill="auto"/>
          </w:tcPr>
          <w:p w14:paraId="4C155AC9">
            <w:pPr>
              <w:pStyle w:val="8"/>
            </w:pPr>
            <w:r>
              <w:rPr>
                <w:rFonts w:hint="eastAsia"/>
              </w:rPr>
              <w:t xml:space="preserve">http://www.gzs.com.cn </w:t>
            </w:r>
          </w:p>
        </w:tc>
      </w:tr>
    </w:tbl>
    <w:p w14:paraId="5DD01215">
      <w:pPr>
        <w:pStyle w:val="8"/>
        <w:spacing w:before="0" w:beforeAutospacing="0" w:after="0" w:afterAutospacing="0" w:line="360" w:lineRule="auto"/>
        <w:ind w:firstLine="420"/>
        <w:rPr>
          <w:sz w:val="21"/>
          <w:szCs w:val="21"/>
        </w:rPr>
      </w:pPr>
      <w:r>
        <w:rPr>
          <w:rFonts w:hint="eastAsia"/>
          <w:b/>
          <w:bCs/>
          <w:sz w:val="21"/>
          <w:szCs w:val="21"/>
        </w:rPr>
        <w:t>(28)东北证券股份有限公司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DCCF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EBE22A">
            <w:pPr>
              <w:pStyle w:val="8"/>
            </w:pPr>
            <w:r>
              <w:rPr>
                <w:rFonts w:hint="eastAsia"/>
              </w:rPr>
              <w:t xml:space="preserve">注册地址： </w:t>
            </w:r>
          </w:p>
        </w:tc>
        <w:tc>
          <w:tcPr>
            <w:tcW w:w="7440" w:type="dxa"/>
            <w:shd w:val="clear" w:color="auto" w:fill="auto"/>
          </w:tcPr>
          <w:p w14:paraId="74C48351">
            <w:pPr>
              <w:pStyle w:val="8"/>
            </w:pPr>
            <w:r>
              <w:rPr>
                <w:rFonts w:hint="eastAsia"/>
              </w:rPr>
              <w:t xml:space="preserve">长春市生态大街6666号 </w:t>
            </w:r>
          </w:p>
        </w:tc>
      </w:tr>
      <w:tr w14:paraId="322B4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9B734">
            <w:pPr>
              <w:pStyle w:val="8"/>
            </w:pPr>
            <w:r>
              <w:rPr>
                <w:rFonts w:hint="eastAsia"/>
              </w:rPr>
              <w:t xml:space="preserve">办公地址： </w:t>
            </w:r>
          </w:p>
        </w:tc>
        <w:tc>
          <w:tcPr>
            <w:tcW w:w="7440" w:type="dxa"/>
            <w:shd w:val="clear" w:color="auto" w:fill="auto"/>
          </w:tcPr>
          <w:p w14:paraId="40F0BC7E">
            <w:pPr>
              <w:pStyle w:val="8"/>
            </w:pPr>
            <w:r>
              <w:rPr>
                <w:rFonts w:hint="eastAsia"/>
              </w:rPr>
              <w:t xml:space="preserve">长春市生态大街6666号 </w:t>
            </w:r>
          </w:p>
        </w:tc>
      </w:tr>
      <w:tr w14:paraId="4588D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DD9BA4">
            <w:pPr>
              <w:pStyle w:val="8"/>
            </w:pPr>
            <w:r>
              <w:rPr>
                <w:rFonts w:hint="eastAsia"/>
              </w:rPr>
              <w:t xml:space="preserve">法定代表人： </w:t>
            </w:r>
          </w:p>
        </w:tc>
        <w:tc>
          <w:tcPr>
            <w:tcW w:w="7440" w:type="dxa"/>
            <w:shd w:val="clear" w:color="auto" w:fill="auto"/>
          </w:tcPr>
          <w:p w14:paraId="050FDFCF">
            <w:pPr>
              <w:pStyle w:val="8"/>
            </w:pPr>
            <w:r>
              <w:rPr>
                <w:rFonts w:hint="eastAsia"/>
              </w:rPr>
              <w:t xml:space="preserve">李福春 </w:t>
            </w:r>
          </w:p>
        </w:tc>
      </w:tr>
      <w:tr w14:paraId="3BA53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47FDB2">
            <w:pPr>
              <w:pStyle w:val="8"/>
            </w:pPr>
            <w:r>
              <w:rPr>
                <w:rFonts w:hint="eastAsia"/>
              </w:rPr>
              <w:t xml:space="preserve">联系人： </w:t>
            </w:r>
          </w:p>
        </w:tc>
        <w:tc>
          <w:tcPr>
            <w:tcW w:w="7440" w:type="dxa"/>
            <w:shd w:val="clear" w:color="auto" w:fill="auto"/>
          </w:tcPr>
          <w:p w14:paraId="5C541F02">
            <w:pPr>
              <w:pStyle w:val="8"/>
            </w:pPr>
            <w:r>
              <w:rPr>
                <w:rFonts w:hint="eastAsia"/>
              </w:rPr>
              <w:t xml:space="preserve">安岩岩 </w:t>
            </w:r>
          </w:p>
        </w:tc>
      </w:tr>
      <w:tr w14:paraId="1E95F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D2F36C">
            <w:pPr>
              <w:pStyle w:val="8"/>
            </w:pPr>
            <w:r>
              <w:rPr>
                <w:rFonts w:hint="eastAsia"/>
              </w:rPr>
              <w:t xml:space="preserve">电话： </w:t>
            </w:r>
          </w:p>
        </w:tc>
        <w:tc>
          <w:tcPr>
            <w:tcW w:w="7440" w:type="dxa"/>
            <w:shd w:val="clear" w:color="auto" w:fill="auto"/>
          </w:tcPr>
          <w:p w14:paraId="23D32058">
            <w:pPr>
              <w:pStyle w:val="8"/>
            </w:pPr>
            <w:r>
              <w:rPr>
                <w:rFonts w:hint="eastAsia"/>
              </w:rPr>
              <w:t xml:space="preserve">0431-85096517 </w:t>
            </w:r>
          </w:p>
        </w:tc>
      </w:tr>
      <w:tr w14:paraId="753CD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97CDD8">
            <w:pPr>
              <w:pStyle w:val="8"/>
            </w:pPr>
            <w:r>
              <w:rPr>
                <w:rFonts w:hint="eastAsia"/>
              </w:rPr>
              <w:t xml:space="preserve">传真： </w:t>
            </w:r>
          </w:p>
        </w:tc>
        <w:tc>
          <w:tcPr>
            <w:tcW w:w="7440" w:type="dxa"/>
            <w:shd w:val="clear" w:color="auto" w:fill="auto"/>
          </w:tcPr>
          <w:p w14:paraId="1CAFD36C">
            <w:pPr>
              <w:pStyle w:val="8"/>
            </w:pPr>
            <w:r>
              <w:rPr>
                <w:rFonts w:hint="eastAsia"/>
              </w:rPr>
              <w:t xml:space="preserve">0431-85096795 </w:t>
            </w:r>
          </w:p>
        </w:tc>
      </w:tr>
      <w:tr w14:paraId="3ECB0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85B17F">
            <w:pPr>
              <w:pStyle w:val="8"/>
            </w:pPr>
            <w:r>
              <w:rPr>
                <w:rFonts w:hint="eastAsia"/>
              </w:rPr>
              <w:t xml:space="preserve">客户服务电话： </w:t>
            </w:r>
          </w:p>
        </w:tc>
        <w:tc>
          <w:tcPr>
            <w:tcW w:w="7440" w:type="dxa"/>
            <w:shd w:val="clear" w:color="auto" w:fill="auto"/>
          </w:tcPr>
          <w:p w14:paraId="6E93006A">
            <w:pPr>
              <w:pStyle w:val="8"/>
            </w:pPr>
            <w:r>
              <w:rPr>
                <w:rFonts w:hint="eastAsia"/>
              </w:rPr>
              <w:t xml:space="preserve">95360 </w:t>
            </w:r>
          </w:p>
        </w:tc>
      </w:tr>
      <w:tr w14:paraId="65A2F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5C9488">
            <w:pPr>
              <w:pStyle w:val="8"/>
            </w:pPr>
            <w:r>
              <w:rPr>
                <w:rFonts w:hint="eastAsia"/>
              </w:rPr>
              <w:t xml:space="preserve">网址： </w:t>
            </w:r>
          </w:p>
        </w:tc>
        <w:tc>
          <w:tcPr>
            <w:tcW w:w="7440" w:type="dxa"/>
            <w:shd w:val="clear" w:color="auto" w:fill="auto"/>
          </w:tcPr>
          <w:p w14:paraId="57D0797C">
            <w:pPr>
              <w:pStyle w:val="8"/>
            </w:pPr>
            <w:r>
              <w:rPr>
                <w:rFonts w:hint="eastAsia"/>
              </w:rPr>
              <w:t xml:space="preserve">http://www.nesc.cn </w:t>
            </w:r>
          </w:p>
        </w:tc>
      </w:tr>
    </w:tbl>
    <w:p w14:paraId="30F1DA5C">
      <w:pPr>
        <w:pStyle w:val="8"/>
        <w:spacing w:before="0" w:beforeAutospacing="0" w:after="0" w:afterAutospacing="0" w:line="360" w:lineRule="auto"/>
        <w:ind w:firstLine="420"/>
        <w:rPr>
          <w:sz w:val="21"/>
          <w:szCs w:val="21"/>
        </w:rPr>
      </w:pPr>
      <w:r>
        <w:rPr>
          <w:rFonts w:hint="eastAsia"/>
          <w:b/>
          <w:bCs/>
          <w:sz w:val="21"/>
          <w:szCs w:val="21"/>
        </w:rPr>
        <w:t>(29)国联民生证券股份有限公司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D83C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353E64">
            <w:pPr>
              <w:pStyle w:val="8"/>
            </w:pPr>
            <w:r>
              <w:rPr>
                <w:rFonts w:hint="eastAsia"/>
              </w:rPr>
              <w:t xml:space="preserve">注册地址： </w:t>
            </w:r>
          </w:p>
        </w:tc>
        <w:tc>
          <w:tcPr>
            <w:tcW w:w="7440" w:type="dxa"/>
            <w:shd w:val="clear" w:color="auto" w:fill="auto"/>
          </w:tcPr>
          <w:p w14:paraId="03123EA9">
            <w:pPr>
              <w:pStyle w:val="8"/>
            </w:pPr>
            <w:r>
              <w:rPr>
                <w:rFonts w:hint="eastAsia"/>
              </w:rPr>
              <w:t xml:space="preserve">无锡市县前东街168号 </w:t>
            </w:r>
          </w:p>
        </w:tc>
      </w:tr>
      <w:tr w14:paraId="44099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AFA8E0">
            <w:pPr>
              <w:pStyle w:val="8"/>
            </w:pPr>
            <w:r>
              <w:rPr>
                <w:rFonts w:hint="eastAsia"/>
              </w:rPr>
              <w:t xml:space="preserve">办公地址： </w:t>
            </w:r>
          </w:p>
        </w:tc>
        <w:tc>
          <w:tcPr>
            <w:tcW w:w="7440" w:type="dxa"/>
            <w:shd w:val="clear" w:color="auto" w:fill="auto"/>
          </w:tcPr>
          <w:p w14:paraId="5FC4A863">
            <w:pPr>
              <w:pStyle w:val="8"/>
            </w:pPr>
            <w:r>
              <w:rPr>
                <w:rFonts w:hint="eastAsia"/>
              </w:rPr>
              <w:t xml:space="preserve">江苏省无锡市太湖新城金融一街8号国联金融大厦702室 </w:t>
            </w:r>
          </w:p>
        </w:tc>
      </w:tr>
      <w:tr w14:paraId="472B9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BAB52D">
            <w:pPr>
              <w:pStyle w:val="8"/>
            </w:pPr>
            <w:r>
              <w:rPr>
                <w:rFonts w:hint="eastAsia"/>
              </w:rPr>
              <w:t xml:space="preserve">法定代表人： </w:t>
            </w:r>
          </w:p>
        </w:tc>
        <w:tc>
          <w:tcPr>
            <w:tcW w:w="7440" w:type="dxa"/>
            <w:shd w:val="clear" w:color="auto" w:fill="auto"/>
          </w:tcPr>
          <w:p w14:paraId="242D78CE">
            <w:pPr>
              <w:pStyle w:val="8"/>
            </w:pPr>
            <w:r>
              <w:rPr>
                <w:rFonts w:hint="eastAsia"/>
              </w:rPr>
              <w:t xml:space="preserve">顾伟 </w:t>
            </w:r>
          </w:p>
        </w:tc>
      </w:tr>
      <w:tr w14:paraId="1F13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88522">
            <w:pPr>
              <w:pStyle w:val="8"/>
            </w:pPr>
            <w:r>
              <w:rPr>
                <w:rFonts w:hint="eastAsia"/>
              </w:rPr>
              <w:t xml:space="preserve">客户服务电话： </w:t>
            </w:r>
          </w:p>
        </w:tc>
        <w:tc>
          <w:tcPr>
            <w:tcW w:w="7440" w:type="dxa"/>
            <w:shd w:val="clear" w:color="auto" w:fill="auto"/>
          </w:tcPr>
          <w:p w14:paraId="0976209D">
            <w:pPr>
              <w:pStyle w:val="8"/>
            </w:pPr>
            <w:r>
              <w:rPr>
                <w:rFonts w:hint="eastAsia"/>
              </w:rPr>
              <w:t xml:space="preserve">95570 </w:t>
            </w:r>
          </w:p>
        </w:tc>
      </w:tr>
      <w:tr w14:paraId="36A1B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5DABDB">
            <w:pPr>
              <w:pStyle w:val="8"/>
            </w:pPr>
            <w:r>
              <w:rPr>
                <w:rFonts w:hint="eastAsia"/>
              </w:rPr>
              <w:t xml:space="preserve">网址： </w:t>
            </w:r>
          </w:p>
        </w:tc>
        <w:tc>
          <w:tcPr>
            <w:tcW w:w="7440" w:type="dxa"/>
            <w:shd w:val="clear" w:color="auto" w:fill="auto"/>
          </w:tcPr>
          <w:p w14:paraId="3CD59477">
            <w:pPr>
              <w:pStyle w:val="8"/>
            </w:pPr>
            <w:r>
              <w:rPr>
                <w:rFonts w:hint="eastAsia"/>
              </w:rPr>
              <w:t xml:space="preserve">http://www.glsc.com.cn </w:t>
            </w:r>
          </w:p>
        </w:tc>
      </w:tr>
    </w:tbl>
    <w:p w14:paraId="3B99BA67">
      <w:pPr>
        <w:pStyle w:val="8"/>
        <w:spacing w:before="0" w:beforeAutospacing="0" w:after="0" w:afterAutospacing="0" w:line="360" w:lineRule="auto"/>
        <w:ind w:firstLine="420"/>
        <w:rPr>
          <w:sz w:val="21"/>
          <w:szCs w:val="21"/>
        </w:rPr>
      </w:pPr>
      <w:r>
        <w:rPr>
          <w:rFonts w:hint="eastAsia"/>
          <w:b/>
          <w:bCs/>
          <w:sz w:val="21"/>
          <w:szCs w:val="21"/>
        </w:rPr>
        <w:t>(30)浙商证券股份有限公司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2953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211FA">
            <w:pPr>
              <w:pStyle w:val="8"/>
            </w:pPr>
            <w:r>
              <w:rPr>
                <w:rFonts w:hint="eastAsia"/>
              </w:rPr>
              <w:t xml:space="preserve">注册地址： </w:t>
            </w:r>
          </w:p>
        </w:tc>
        <w:tc>
          <w:tcPr>
            <w:tcW w:w="7440" w:type="dxa"/>
            <w:shd w:val="clear" w:color="auto" w:fill="auto"/>
          </w:tcPr>
          <w:p w14:paraId="7A759164">
            <w:pPr>
              <w:pStyle w:val="8"/>
            </w:pPr>
            <w:r>
              <w:rPr>
                <w:rFonts w:hint="eastAsia"/>
              </w:rPr>
              <w:t xml:space="preserve">浙江省杭州市江干区五星路201号 </w:t>
            </w:r>
          </w:p>
        </w:tc>
      </w:tr>
      <w:tr w14:paraId="07BA9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E73670">
            <w:pPr>
              <w:pStyle w:val="8"/>
            </w:pPr>
            <w:r>
              <w:rPr>
                <w:rFonts w:hint="eastAsia"/>
              </w:rPr>
              <w:t xml:space="preserve">办公地址： </w:t>
            </w:r>
          </w:p>
        </w:tc>
        <w:tc>
          <w:tcPr>
            <w:tcW w:w="7440" w:type="dxa"/>
            <w:shd w:val="clear" w:color="auto" w:fill="auto"/>
          </w:tcPr>
          <w:p w14:paraId="398F245E">
            <w:pPr>
              <w:pStyle w:val="8"/>
            </w:pPr>
            <w:r>
              <w:rPr>
                <w:rFonts w:hint="eastAsia"/>
              </w:rPr>
              <w:t xml:space="preserve">浙江省杭州市江干区四季青街道五星路201号浙商证券5楼 </w:t>
            </w:r>
          </w:p>
        </w:tc>
      </w:tr>
      <w:tr w14:paraId="3FF36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B1D9E1">
            <w:pPr>
              <w:pStyle w:val="8"/>
            </w:pPr>
            <w:r>
              <w:rPr>
                <w:rFonts w:hint="eastAsia"/>
              </w:rPr>
              <w:t xml:space="preserve">法定代表人： </w:t>
            </w:r>
          </w:p>
        </w:tc>
        <w:tc>
          <w:tcPr>
            <w:tcW w:w="7440" w:type="dxa"/>
            <w:shd w:val="clear" w:color="auto" w:fill="auto"/>
          </w:tcPr>
          <w:p w14:paraId="079BF24B">
            <w:pPr>
              <w:pStyle w:val="8"/>
            </w:pPr>
            <w:r>
              <w:rPr>
                <w:rFonts w:hint="eastAsia"/>
              </w:rPr>
              <w:t xml:space="preserve">吴承根 </w:t>
            </w:r>
          </w:p>
        </w:tc>
      </w:tr>
      <w:tr w14:paraId="2E3C4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747D89">
            <w:pPr>
              <w:pStyle w:val="8"/>
            </w:pPr>
            <w:r>
              <w:rPr>
                <w:rFonts w:hint="eastAsia"/>
              </w:rPr>
              <w:t xml:space="preserve">联系人： </w:t>
            </w:r>
          </w:p>
        </w:tc>
        <w:tc>
          <w:tcPr>
            <w:tcW w:w="7440" w:type="dxa"/>
            <w:shd w:val="clear" w:color="auto" w:fill="auto"/>
          </w:tcPr>
          <w:p w14:paraId="54D38DDF">
            <w:pPr>
              <w:pStyle w:val="8"/>
            </w:pPr>
            <w:r>
              <w:rPr>
                <w:rFonts w:hint="eastAsia"/>
              </w:rPr>
              <w:t xml:space="preserve">沈高亮 </w:t>
            </w:r>
          </w:p>
        </w:tc>
      </w:tr>
      <w:tr w14:paraId="33B3B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A2CB52">
            <w:pPr>
              <w:pStyle w:val="8"/>
            </w:pPr>
            <w:r>
              <w:rPr>
                <w:rFonts w:hint="eastAsia"/>
              </w:rPr>
              <w:t xml:space="preserve">电话： </w:t>
            </w:r>
          </w:p>
        </w:tc>
        <w:tc>
          <w:tcPr>
            <w:tcW w:w="7440" w:type="dxa"/>
            <w:shd w:val="clear" w:color="auto" w:fill="auto"/>
          </w:tcPr>
          <w:p w14:paraId="285574E5">
            <w:pPr>
              <w:pStyle w:val="8"/>
            </w:pPr>
            <w:r>
              <w:rPr>
                <w:rFonts w:hint="eastAsia"/>
              </w:rPr>
              <w:t xml:space="preserve">0571-87902239 </w:t>
            </w:r>
          </w:p>
        </w:tc>
      </w:tr>
      <w:tr w14:paraId="62F32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3DA71B">
            <w:pPr>
              <w:pStyle w:val="8"/>
            </w:pPr>
            <w:r>
              <w:rPr>
                <w:rFonts w:hint="eastAsia"/>
              </w:rPr>
              <w:t xml:space="preserve">传真： </w:t>
            </w:r>
          </w:p>
        </w:tc>
        <w:tc>
          <w:tcPr>
            <w:tcW w:w="7440" w:type="dxa"/>
            <w:shd w:val="clear" w:color="auto" w:fill="auto"/>
          </w:tcPr>
          <w:p w14:paraId="27F6540C">
            <w:pPr>
              <w:pStyle w:val="8"/>
            </w:pPr>
            <w:r>
              <w:rPr>
                <w:rFonts w:hint="eastAsia"/>
              </w:rPr>
              <w:t xml:space="preserve">0571－87901913 </w:t>
            </w:r>
          </w:p>
        </w:tc>
      </w:tr>
      <w:tr w14:paraId="335C6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C3F592">
            <w:pPr>
              <w:pStyle w:val="8"/>
            </w:pPr>
            <w:r>
              <w:rPr>
                <w:rFonts w:hint="eastAsia"/>
              </w:rPr>
              <w:t xml:space="preserve">客户服务电话： </w:t>
            </w:r>
          </w:p>
        </w:tc>
        <w:tc>
          <w:tcPr>
            <w:tcW w:w="7440" w:type="dxa"/>
            <w:shd w:val="clear" w:color="auto" w:fill="auto"/>
          </w:tcPr>
          <w:p w14:paraId="48887C45">
            <w:pPr>
              <w:pStyle w:val="8"/>
            </w:pPr>
            <w:r>
              <w:rPr>
                <w:rFonts w:hint="eastAsia"/>
              </w:rPr>
              <w:t xml:space="preserve">95345 </w:t>
            </w:r>
          </w:p>
        </w:tc>
      </w:tr>
      <w:tr w14:paraId="0D0B9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69A102">
            <w:pPr>
              <w:pStyle w:val="8"/>
            </w:pPr>
            <w:r>
              <w:rPr>
                <w:rFonts w:hint="eastAsia"/>
              </w:rPr>
              <w:t xml:space="preserve">网址： </w:t>
            </w:r>
          </w:p>
        </w:tc>
        <w:tc>
          <w:tcPr>
            <w:tcW w:w="7440" w:type="dxa"/>
            <w:shd w:val="clear" w:color="auto" w:fill="auto"/>
          </w:tcPr>
          <w:p w14:paraId="7ED33798">
            <w:pPr>
              <w:pStyle w:val="8"/>
            </w:pPr>
            <w:r>
              <w:rPr>
                <w:rFonts w:hint="eastAsia"/>
              </w:rPr>
              <w:t xml:space="preserve">http://www.stocke.com.cn/ </w:t>
            </w:r>
          </w:p>
        </w:tc>
      </w:tr>
    </w:tbl>
    <w:p w14:paraId="734454DF">
      <w:pPr>
        <w:pStyle w:val="8"/>
        <w:spacing w:before="0" w:beforeAutospacing="0" w:after="0" w:afterAutospacing="0" w:line="360" w:lineRule="auto"/>
        <w:ind w:firstLine="420"/>
        <w:rPr>
          <w:sz w:val="21"/>
          <w:szCs w:val="21"/>
        </w:rPr>
      </w:pPr>
      <w:r>
        <w:rPr>
          <w:rFonts w:hint="eastAsia"/>
          <w:b/>
          <w:bCs/>
          <w:sz w:val="21"/>
          <w:szCs w:val="21"/>
        </w:rPr>
        <w:t>(31)平安证券股份有限公司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29FB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A6B372">
            <w:pPr>
              <w:pStyle w:val="8"/>
            </w:pPr>
            <w:r>
              <w:rPr>
                <w:rFonts w:hint="eastAsia"/>
              </w:rPr>
              <w:t xml:space="preserve">注册地址： </w:t>
            </w:r>
          </w:p>
        </w:tc>
        <w:tc>
          <w:tcPr>
            <w:tcW w:w="7440" w:type="dxa"/>
            <w:shd w:val="clear" w:color="auto" w:fill="auto"/>
          </w:tcPr>
          <w:p w14:paraId="3D86D30A">
            <w:pPr>
              <w:pStyle w:val="8"/>
            </w:pPr>
            <w:r>
              <w:rPr>
                <w:rFonts w:hint="eastAsia"/>
              </w:rPr>
              <w:t xml:space="preserve">深圳市福田区福田街道益田路5023号平安金融中心B座第22-25层 </w:t>
            </w:r>
          </w:p>
        </w:tc>
      </w:tr>
      <w:tr w14:paraId="7E734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A290AF">
            <w:pPr>
              <w:pStyle w:val="8"/>
            </w:pPr>
            <w:r>
              <w:rPr>
                <w:rFonts w:hint="eastAsia"/>
              </w:rPr>
              <w:t xml:space="preserve">办公地址： </w:t>
            </w:r>
          </w:p>
        </w:tc>
        <w:tc>
          <w:tcPr>
            <w:tcW w:w="7440" w:type="dxa"/>
            <w:shd w:val="clear" w:color="auto" w:fill="auto"/>
          </w:tcPr>
          <w:p w14:paraId="78DE5B8E">
            <w:pPr>
              <w:pStyle w:val="8"/>
            </w:pPr>
            <w:r>
              <w:rPr>
                <w:rFonts w:hint="eastAsia"/>
              </w:rPr>
              <w:t xml:space="preserve">深圳市福田区福田街道益田路5023号平安金融中心B座第22-25层 </w:t>
            </w:r>
          </w:p>
        </w:tc>
      </w:tr>
      <w:tr w14:paraId="35664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4B247">
            <w:pPr>
              <w:pStyle w:val="8"/>
            </w:pPr>
            <w:r>
              <w:rPr>
                <w:rFonts w:hint="eastAsia"/>
              </w:rPr>
              <w:t xml:space="preserve">法定代表人： </w:t>
            </w:r>
          </w:p>
        </w:tc>
        <w:tc>
          <w:tcPr>
            <w:tcW w:w="7440" w:type="dxa"/>
            <w:shd w:val="clear" w:color="auto" w:fill="auto"/>
          </w:tcPr>
          <w:p w14:paraId="3E18707C">
            <w:pPr>
              <w:pStyle w:val="8"/>
            </w:pPr>
            <w:r>
              <w:rPr>
                <w:rFonts w:hint="eastAsia"/>
              </w:rPr>
              <w:t xml:space="preserve">何之江 </w:t>
            </w:r>
          </w:p>
        </w:tc>
      </w:tr>
      <w:tr w14:paraId="65169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A083DE">
            <w:pPr>
              <w:pStyle w:val="8"/>
            </w:pPr>
            <w:r>
              <w:rPr>
                <w:rFonts w:hint="eastAsia"/>
              </w:rPr>
              <w:t xml:space="preserve">联系人： </w:t>
            </w:r>
          </w:p>
        </w:tc>
        <w:tc>
          <w:tcPr>
            <w:tcW w:w="7440" w:type="dxa"/>
            <w:shd w:val="clear" w:color="auto" w:fill="auto"/>
          </w:tcPr>
          <w:p w14:paraId="3DB244E8">
            <w:pPr>
              <w:pStyle w:val="8"/>
            </w:pPr>
            <w:r>
              <w:rPr>
                <w:rFonts w:hint="eastAsia"/>
              </w:rPr>
              <w:t xml:space="preserve">王阳 </w:t>
            </w:r>
          </w:p>
        </w:tc>
      </w:tr>
      <w:tr w14:paraId="04270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9943F7">
            <w:pPr>
              <w:pStyle w:val="8"/>
            </w:pPr>
            <w:r>
              <w:rPr>
                <w:rFonts w:hint="eastAsia"/>
              </w:rPr>
              <w:t xml:space="preserve">电话： </w:t>
            </w:r>
          </w:p>
        </w:tc>
        <w:tc>
          <w:tcPr>
            <w:tcW w:w="7440" w:type="dxa"/>
            <w:shd w:val="clear" w:color="auto" w:fill="auto"/>
          </w:tcPr>
          <w:p w14:paraId="0BF7AF50">
            <w:pPr>
              <w:pStyle w:val="8"/>
            </w:pPr>
            <w:r>
              <w:rPr>
                <w:rFonts w:hint="eastAsia"/>
              </w:rPr>
              <w:t xml:space="preserve">021-38632136 </w:t>
            </w:r>
          </w:p>
        </w:tc>
      </w:tr>
      <w:tr w14:paraId="506F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334F5E">
            <w:pPr>
              <w:pStyle w:val="8"/>
            </w:pPr>
            <w:r>
              <w:rPr>
                <w:rFonts w:hint="eastAsia"/>
              </w:rPr>
              <w:t xml:space="preserve">传真： </w:t>
            </w:r>
          </w:p>
        </w:tc>
        <w:tc>
          <w:tcPr>
            <w:tcW w:w="7440" w:type="dxa"/>
            <w:shd w:val="clear" w:color="auto" w:fill="auto"/>
          </w:tcPr>
          <w:p w14:paraId="6367FD95">
            <w:pPr>
              <w:pStyle w:val="8"/>
            </w:pPr>
            <w:r>
              <w:rPr>
                <w:rFonts w:hint="eastAsia"/>
              </w:rPr>
              <w:t xml:space="preserve">0755－82400862 </w:t>
            </w:r>
          </w:p>
        </w:tc>
      </w:tr>
      <w:tr w14:paraId="43F95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5C225E">
            <w:pPr>
              <w:pStyle w:val="8"/>
            </w:pPr>
            <w:r>
              <w:rPr>
                <w:rFonts w:hint="eastAsia"/>
              </w:rPr>
              <w:t xml:space="preserve">客户服务电话： </w:t>
            </w:r>
          </w:p>
        </w:tc>
        <w:tc>
          <w:tcPr>
            <w:tcW w:w="7440" w:type="dxa"/>
            <w:shd w:val="clear" w:color="auto" w:fill="auto"/>
          </w:tcPr>
          <w:p w14:paraId="24A1C6F4">
            <w:pPr>
              <w:pStyle w:val="8"/>
            </w:pPr>
            <w:r>
              <w:rPr>
                <w:rFonts w:hint="eastAsia"/>
              </w:rPr>
              <w:t xml:space="preserve">0755-22628888/95511-8 </w:t>
            </w:r>
          </w:p>
        </w:tc>
      </w:tr>
      <w:tr w14:paraId="011AB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854640">
            <w:pPr>
              <w:pStyle w:val="8"/>
            </w:pPr>
            <w:r>
              <w:rPr>
                <w:rFonts w:hint="eastAsia"/>
              </w:rPr>
              <w:t xml:space="preserve">网址： </w:t>
            </w:r>
          </w:p>
        </w:tc>
        <w:tc>
          <w:tcPr>
            <w:tcW w:w="7440" w:type="dxa"/>
            <w:shd w:val="clear" w:color="auto" w:fill="auto"/>
          </w:tcPr>
          <w:p w14:paraId="61CAA733">
            <w:pPr>
              <w:pStyle w:val="8"/>
            </w:pPr>
            <w:r>
              <w:rPr>
                <w:rFonts w:hint="eastAsia"/>
              </w:rPr>
              <w:t xml:space="preserve">http:www.stock.pingan.com </w:t>
            </w:r>
          </w:p>
        </w:tc>
      </w:tr>
    </w:tbl>
    <w:p w14:paraId="0A5D92F0">
      <w:pPr>
        <w:pStyle w:val="8"/>
        <w:spacing w:before="0" w:beforeAutospacing="0" w:after="0" w:afterAutospacing="0" w:line="360" w:lineRule="auto"/>
        <w:ind w:firstLine="420"/>
        <w:rPr>
          <w:sz w:val="21"/>
          <w:szCs w:val="21"/>
        </w:rPr>
      </w:pPr>
      <w:r>
        <w:rPr>
          <w:rFonts w:hint="eastAsia"/>
          <w:b/>
          <w:bCs/>
          <w:sz w:val="21"/>
          <w:szCs w:val="21"/>
        </w:rPr>
        <w:t>(32)华安证券股份有限公司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EF81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91961E9">
            <w:pPr>
              <w:pStyle w:val="8"/>
            </w:pPr>
            <w:r>
              <w:rPr>
                <w:rFonts w:hint="eastAsia"/>
              </w:rPr>
              <w:t xml:space="preserve">注册地址： </w:t>
            </w:r>
          </w:p>
        </w:tc>
        <w:tc>
          <w:tcPr>
            <w:tcW w:w="7440" w:type="dxa"/>
            <w:shd w:val="clear" w:color="auto" w:fill="auto"/>
          </w:tcPr>
          <w:p w14:paraId="1B8AE5F3">
            <w:pPr>
              <w:pStyle w:val="8"/>
            </w:pPr>
            <w:r>
              <w:rPr>
                <w:rFonts w:hint="eastAsia"/>
              </w:rPr>
              <w:t xml:space="preserve">安徽省合肥市政务文化新区天鹅湖路198号 </w:t>
            </w:r>
          </w:p>
        </w:tc>
      </w:tr>
      <w:tr w14:paraId="7F1E8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1AE925">
            <w:pPr>
              <w:pStyle w:val="8"/>
            </w:pPr>
            <w:r>
              <w:rPr>
                <w:rFonts w:hint="eastAsia"/>
              </w:rPr>
              <w:t xml:space="preserve">办公地址： </w:t>
            </w:r>
          </w:p>
        </w:tc>
        <w:tc>
          <w:tcPr>
            <w:tcW w:w="7440" w:type="dxa"/>
            <w:shd w:val="clear" w:color="auto" w:fill="auto"/>
          </w:tcPr>
          <w:p w14:paraId="08C3A7FF">
            <w:pPr>
              <w:pStyle w:val="8"/>
            </w:pPr>
            <w:r>
              <w:rPr>
                <w:rFonts w:hint="eastAsia"/>
              </w:rPr>
              <w:t xml:space="preserve">安徽省合肥市南二环959号财智中心B1座 </w:t>
            </w:r>
          </w:p>
        </w:tc>
      </w:tr>
      <w:tr w14:paraId="5583C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A290D">
            <w:pPr>
              <w:pStyle w:val="8"/>
            </w:pPr>
            <w:r>
              <w:rPr>
                <w:rFonts w:hint="eastAsia"/>
              </w:rPr>
              <w:t xml:space="preserve">法定代表人： </w:t>
            </w:r>
          </w:p>
        </w:tc>
        <w:tc>
          <w:tcPr>
            <w:tcW w:w="7440" w:type="dxa"/>
            <w:shd w:val="clear" w:color="auto" w:fill="auto"/>
          </w:tcPr>
          <w:p w14:paraId="6220186D">
            <w:pPr>
              <w:pStyle w:val="8"/>
            </w:pPr>
            <w:r>
              <w:rPr>
                <w:rFonts w:hint="eastAsia"/>
              </w:rPr>
              <w:t xml:space="preserve">章宏韬 </w:t>
            </w:r>
          </w:p>
        </w:tc>
      </w:tr>
      <w:tr w14:paraId="1A1C9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D2B813">
            <w:pPr>
              <w:pStyle w:val="8"/>
            </w:pPr>
            <w:r>
              <w:rPr>
                <w:rFonts w:hint="eastAsia"/>
              </w:rPr>
              <w:t xml:space="preserve">联系人： </w:t>
            </w:r>
          </w:p>
        </w:tc>
        <w:tc>
          <w:tcPr>
            <w:tcW w:w="7440" w:type="dxa"/>
            <w:shd w:val="clear" w:color="auto" w:fill="auto"/>
          </w:tcPr>
          <w:p w14:paraId="6E965466">
            <w:pPr>
              <w:pStyle w:val="8"/>
            </w:pPr>
            <w:r>
              <w:rPr>
                <w:rFonts w:hint="eastAsia"/>
              </w:rPr>
              <w:t xml:space="preserve">孙懿 </w:t>
            </w:r>
          </w:p>
        </w:tc>
      </w:tr>
      <w:tr w14:paraId="73468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93F5B">
            <w:pPr>
              <w:pStyle w:val="8"/>
            </w:pPr>
            <w:r>
              <w:rPr>
                <w:rFonts w:hint="eastAsia"/>
              </w:rPr>
              <w:t xml:space="preserve">电话： </w:t>
            </w:r>
          </w:p>
        </w:tc>
        <w:tc>
          <w:tcPr>
            <w:tcW w:w="7440" w:type="dxa"/>
            <w:shd w:val="clear" w:color="auto" w:fill="auto"/>
          </w:tcPr>
          <w:p w14:paraId="73751F76">
            <w:pPr>
              <w:pStyle w:val="8"/>
            </w:pPr>
            <w:r>
              <w:rPr>
                <w:rFonts w:hint="eastAsia"/>
              </w:rPr>
              <w:t xml:space="preserve">0551-65161821 </w:t>
            </w:r>
          </w:p>
        </w:tc>
      </w:tr>
      <w:tr w14:paraId="65748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B0CC59">
            <w:pPr>
              <w:pStyle w:val="8"/>
            </w:pPr>
            <w:r>
              <w:rPr>
                <w:rFonts w:hint="eastAsia"/>
              </w:rPr>
              <w:t xml:space="preserve">传真： </w:t>
            </w:r>
          </w:p>
        </w:tc>
        <w:tc>
          <w:tcPr>
            <w:tcW w:w="7440" w:type="dxa"/>
            <w:shd w:val="clear" w:color="auto" w:fill="auto"/>
          </w:tcPr>
          <w:p w14:paraId="3AA83809">
            <w:pPr>
              <w:pStyle w:val="8"/>
            </w:pPr>
            <w:r>
              <w:rPr>
                <w:rFonts w:hint="eastAsia"/>
              </w:rPr>
              <w:t xml:space="preserve">0551－65161672 </w:t>
            </w:r>
          </w:p>
        </w:tc>
      </w:tr>
      <w:tr w14:paraId="59A1A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9B04F2">
            <w:pPr>
              <w:pStyle w:val="8"/>
            </w:pPr>
            <w:r>
              <w:rPr>
                <w:rFonts w:hint="eastAsia"/>
              </w:rPr>
              <w:t xml:space="preserve">客户服务电话： </w:t>
            </w:r>
          </w:p>
        </w:tc>
        <w:tc>
          <w:tcPr>
            <w:tcW w:w="7440" w:type="dxa"/>
            <w:shd w:val="clear" w:color="auto" w:fill="auto"/>
          </w:tcPr>
          <w:p w14:paraId="35151A15">
            <w:pPr>
              <w:pStyle w:val="8"/>
            </w:pPr>
            <w:r>
              <w:rPr>
                <w:rFonts w:hint="eastAsia"/>
              </w:rPr>
              <w:t xml:space="preserve">95318 </w:t>
            </w:r>
          </w:p>
        </w:tc>
      </w:tr>
      <w:tr w14:paraId="1ACDA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265E3">
            <w:pPr>
              <w:pStyle w:val="8"/>
            </w:pPr>
            <w:r>
              <w:rPr>
                <w:rFonts w:hint="eastAsia"/>
              </w:rPr>
              <w:t xml:space="preserve">网址： </w:t>
            </w:r>
          </w:p>
        </w:tc>
        <w:tc>
          <w:tcPr>
            <w:tcW w:w="7440" w:type="dxa"/>
            <w:shd w:val="clear" w:color="auto" w:fill="auto"/>
          </w:tcPr>
          <w:p w14:paraId="158993F2">
            <w:pPr>
              <w:pStyle w:val="8"/>
            </w:pPr>
            <w:r>
              <w:rPr>
                <w:rFonts w:hint="eastAsia"/>
              </w:rPr>
              <w:t xml:space="preserve">http://www.hazq.com/ </w:t>
            </w:r>
          </w:p>
        </w:tc>
      </w:tr>
    </w:tbl>
    <w:p w14:paraId="48BE1B04">
      <w:pPr>
        <w:pStyle w:val="8"/>
        <w:spacing w:before="0" w:beforeAutospacing="0" w:after="0" w:afterAutospacing="0" w:line="360" w:lineRule="auto"/>
        <w:ind w:firstLine="420"/>
        <w:rPr>
          <w:sz w:val="21"/>
          <w:szCs w:val="21"/>
        </w:rPr>
      </w:pPr>
      <w:r>
        <w:rPr>
          <w:rFonts w:hint="eastAsia"/>
          <w:b/>
          <w:bCs/>
          <w:sz w:val="21"/>
          <w:szCs w:val="21"/>
        </w:rPr>
        <w:t>(33)国海证券股份有限公司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F2D9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A7FB3AC">
            <w:pPr>
              <w:pStyle w:val="8"/>
            </w:pPr>
            <w:r>
              <w:rPr>
                <w:rFonts w:hint="eastAsia"/>
              </w:rPr>
              <w:t xml:space="preserve">注册地址： </w:t>
            </w:r>
          </w:p>
        </w:tc>
        <w:tc>
          <w:tcPr>
            <w:tcW w:w="7440" w:type="dxa"/>
            <w:shd w:val="clear" w:color="auto" w:fill="auto"/>
          </w:tcPr>
          <w:p w14:paraId="630556F0">
            <w:pPr>
              <w:pStyle w:val="8"/>
            </w:pPr>
            <w:r>
              <w:rPr>
                <w:rFonts w:hint="eastAsia"/>
              </w:rPr>
              <w:t xml:space="preserve">广西桂林市辅星路13号 </w:t>
            </w:r>
          </w:p>
        </w:tc>
      </w:tr>
      <w:tr w14:paraId="4357D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6145C">
            <w:pPr>
              <w:pStyle w:val="8"/>
            </w:pPr>
            <w:r>
              <w:rPr>
                <w:rFonts w:hint="eastAsia"/>
              </w:rPr>
              <w:t xml:space="preserve">办公地址： </w:t>
            </w:r>
          </w:p>
        </w:tc>
        <w:tc>
          <w:tcPr>
            <w:tcW w:w="7440" w:type="dxa"/>
            <w:shd w:val="clear" w:color="auto" w:fill="auto"/>
          </w:tcPr>
          <w:p w14:paraId="49DC1031">
            <w:pPr>
              <w:pStyle w:val="8"/>
            </w:pPr>
            <w:r>
              <w:rPr>
                <w:rFonts w:hint="eastAsia"/>
              </w:rPr>
              <w:t xml:space="preserve">深圳市福田区竹子林四路光大银行大厦3楼 </w:t>
            </w:r>
          </w:p>
        </w:tc>
      </w:tr>
      <w:tr w14:paraId="5C9ED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AA8A7A">
            <w:pPr>
              <w:pStyle w:val="8"/>
            </w:pPr>
            <w:r>
              <w:rPr>
                <w:rFonts w:hint="eastAsia"/>
              </w:rPr>
              <w:t xml:space="preserve">法定代表人： </w:t>
            </w:r>
          </w:p>
        </w:tc>
        <w:tc>
          <w:tcPr>
            <w:tcW w:w="7440" w:type="dxa"/>
            <w:shd w:val="clear" w:color="auto" w:fill="auto"/>
          </w:tcPr>
          <w:p w14:paraId="538D7346">
            <w:pPr>
              <w:pStyle w:val="8"/>
            </w:pPr>
            <w:r>
              <w:rPr>
                <w:rFonts w:hint="eastAsia"/>
              </w:rPr>
              <w:t xml:space="preserve">张雅锋 </w:t>
            </w:r>
          </w:p>
        </w:tc>
      </w:tr>
      <w:tr w14:paraId="00797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F3DF05">
            <w:pPr>
              <w:pStyle w:val="8"/>
            </w:pPr>
            <w:r>
              <w:rPr>
                <w:rFonts w:hint="eastAsia"/>
              </w:rPr>
              <w:t xml:space="preserve">联系人： </w:t>
            </w:r>
          </w:p>
        </w:tc>
        <w:tc>
          <w:tcPr>
            <w:tcW w:w="7440" w:type="dxa"/>
            <w:shd w:val="clear" w:color="auto" w:fill="auto"/>
          </w:tcPr>
          <w:p w14:paraId="3913A1FE">
            <w:pPr>
              <w:pStyle w:val="8"/>
            </w:pPr>
            <w:r>
              <w:rPr>
                <w:rFonts w:hint="eastAsia"/>
              </w:rPr>
              <w:t xml:space="preserve">武斌 </w:t>
            </w:r>
          </w:p>
        </w:tc>
      </w:tr>
      <w:tr w14:paraId="7A4EC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16EB2A">
            <w:pPr>
              <w:pStyle w:val="8"/>
            </w:pPr>
            <w:r>
              <w:rPr>
                <w:rFonts w:hint="eastAsia"/>
              </w:rPr>
              <w:t xml:space="preserve">电话： </w:t>
            </w:r>
          </w:p>
        </w:tc>
        <w:tc>
          <w:tcPr>
            <w:tcW w:w="7440" w:type="dxa"/>
            <w:shd w:val="clear" w:color="auto" w:fill="auto"/>
          </w:tcPr>
          <w:p w14:paraId="3DCB2E3C">
            <w:pPr>
              <w:pStyle w:val="8"/>
            </w:pPr>
            <w:r>
              <w:rPr>
                <w:rFonts w:hint="eastAsia"/>
              </w:rPr>
              <w:t xml:space="preserve">0755－83707413 </w:t>
            </w:r>
          </w:p>
        </w:tc>
      </w:tr>
      <w:tr w14:paraId="26AAD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CB1F41">
            <w:pPr>
              <w:pStyle w:val="8"/>
            </w:pPr>
            <w:r>
              <w:rPr>
                <w:rFonts w:hint="eastAsia"/>
              </w:rPr>
              <w:t xml:space="preserve">传真： </w:t>
            </w:r>
          </w:p>
        </w:tc>
        <w:tc>
          <w:tcPr>
            <w:tcW w:w="7440" w:type="dxa"/>
            <w:shd w:val="clear" w:color="auto" w:fill="auto"/>
          </w:tcPr>
          <w:p w14:paraId="44D8D6BC">
            <w:pPr>
              <w:pStyle w:val="8"/>
            </w:pPr>
            <w:r>
              <w:rPr>
                <w:rFonts w:hint="eastAsia"/>
              </w:rPr>
              <w:t xml:space="preserve">0755－83700205 </w:t>
            </w:r>
          </w:p>
        </w:tc>
      </w:tr>
      <w:tr w14:paraId="7368F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047BEC">
            <w:pPr>
              <w:pStyle w:val="8"/>
            </w:pPr>
            <w:r>
              <w:rPr>
                <w:rFonts w:hint="eastAsia"/>
              </w:rPr>
              <w:t xml:space="preserve">客户服务电话： </w:t>
            </w:r>
          </w:p>
        </w:tc>
        <w:tc>
          <w:tcPr>
            <w:tcW w:w="7440" w:type="dxa"/>
            <w:shd w:val="clear" w:color="auto" w:fill="auto"/>
          </w:tcPr>
          <w:p w14:paraId="034C2C81">
            <w:pPr>
              <w:pStyle w:val="8"/>
            </w:pPr>
            <w:r>
              <w:rPr>
                <w:rFonts w:hint="eastAsia"/>
              </w:rPr>
              <w:t xml:space="preserve">4008888100（全国），96100（广西） </w:t>
            </w:r>
          </w:p>
        </w:tc>
      </w:tr>
      <w:tr w14:paraId="5A26F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ACB7F7">
            <w:pPr>
              <w:pStyle w:val="8"/>
            </w:pPr>
            <w:r>
              <w:rPr>
                <w:rFonts w:hint="eastAsia"/>
              </w:rPr>
              <w:t xml:space="preserve">网址： </w:t>
            </w:r>
          </w:p>
        </w:tc>
        <w:tc>
          <w:tcPr>
            <w:tcW w:w="7440" w:type="dxa"/>
            <w:shd w:val="clear" w:color="auto" w:fill="auto"/>
          </w:tcPr>
          <w:p w14:paraId="7A2AE33A">
            <w:pPr>
              <w:pStyle w:val="8"/>
            </w:pPr>
            <w:r>
              <w:rPr>
                <w:rFonts w:hint="eastAsia"/>
              </w:rPr>
              <w:t xml:space="preserve">http://www.ghzq.com.cn </w:t>
            </w:r>
          </w:p>
        </w:tc>
      </w:tr>
    </w:tbl>
    <w:p w14:paraId="4D5B83A8">
      <w:pPr>
        <w:pStyle w:val="8"/>
        <w:spacing w:before="0" w:beforeAutospacing="0" w:after="0" w:afterAutospacing="0" w:line="360" w:lineRule="auto"/>
        <w:ind w:firstLine="420"/>
        <w:rPr>
          <w:sz w:val="21"/>
          <w:szCs w:val="21"/>
        </w:rPr>
      </w:pPr>
      <w:r>
        <w:rPr>
          <w:rFonts w:hint="eastAsia"/>
          <w:b/>
          <w:bCs/>
          <w:sz w:val="21"/>
          <w:szCs w:val="21"/>
        </w:rPr>
        <w:t>(34)东莞证券股份有限公司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82C0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E54D92">
            <w:pPr>
              <w:pStyle w:val="8"/>
            </w:pPr>
            <w:r>
              <w:rPr>
                <w:rFonts w:hint="eastAsia"/>
              </w:rPr>
              <w:t xml:space="preserve">注册地址： </w:t>
            </w:r>
          </w:p>
        </w:tc>
        <w:tc>
          <w:tcPr>
            <w:tcW w:w="7440" w:type="dxa"/>
            <w:shd w:val="clear" w:color="auto" w:fill="auto"/>
          </w:tcPr>
          <w:p w14:paraId="441053EA">
            <w:pPr>
              <w:pStyle w:val="8"/>
            </w:pPr>
            <w:r>
              <w:rPr>
                <w:rFonts w:hint="eastAsia"/>
              </w:rPr>
              <w:t xml:space="preserve">东莞市莞城区可园南路1号金源中心30楼 </w:t>
            </w:r>
          </w:p>
        </w:tc>
      </w:tr>
      <w:tr w14:paraId="1CEDC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DB910D">
            <w:pPr>
              <w:pStyle w:val="8"/>
            </w:pPr>
            <w:r>
              <w:rPr>
                <w:rFonts w:hint="eastAsia"/>
              </w:rPr>
              <w:t xml:space="preserve">办公地址： </w:t>
            </w:r>
          </w:p>
        </w:tc>
        <w:tc>
          <w:tcPr>
            <w:tcW w:w="7440" w:type="dxa"/>
            <w:shd w:val="clear" w:color="auto" w:fill="auto"/>
          </w:tcPr>
          <w:p w14:paraId="1AC97E03">
            <w:pPr>
              <w:pStyle w:val="8"/>
            </w:pPr>
            <w:r>
              <w:rPr>
                <w:rFonts w:hint="eastAsia"/>
              </w:rPr>
              <w:t xml:space="preserve">东莞市莞城区可园南路1号金源中心30楼 </w:t>
            </w:r>
          </w:p>
        </w:tc>
      </w:tr>
      <w:tr w14:paraId="0BAEF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3CCE0C">
            <w:pPr>
              <w:pStyle w:val="8"/>
            </w:pPr>
            <w:r>
              <w:rPr>
                <w:rFonts w:hint="eastAsia"/>
              </w:rPr>
              <w:t xml:space="preserve">法定代表人： </w:t>
            </w:r>
          </w:p>
        </w:tc>
        <w:tc>
          <w:tcPr>
            <w:tcW w:w="7440" w:type="dxa"/>
            <w:shd w:val="clear" w:color="auto" w:fill="auto"/>
          </w:tcPr>
          <w:p w14:paraId="4936ADB5">
            <w:pPr>
              <w:pStyle w:val="8"/>
            </w:pPr>
            <w:r>
              <w:rPr>
                <w:rFonts w:hint="eastAsia"/>
              </w:rPr>
              <w:t xml:space="preserve">陈照星 </w:t>
            </w:r>
          </w:p>
        </w:tc>
      </w:tr>
      <w:tr w14:paraId="7FCB7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226940">
            <w:pPr>
              <w:pStyle w:val="8"/>
            </w:pPr>
            <w:r>
              <w:rPr>
                <w:rFonts w:hint="eastAsia"/>
              </w:rPr>
              <w:t xml:space="preserve">联系人： </w:t>
            </w:r>
          </w:p>
        </w:tc>
        <w:tc>
          <w:tcPr>
            <w:tcW w:w="7440" w:type="dxa"/>
            <w:shd w:val="clear" w:color="auto" w:fill="auto"/>
          </w:tcPr>
          <w:p w14:paraId="31BC8C67">
            <w:pPr>
              <w:pStyle w:val="8"/>
            </w:pPr>
            <w:r>
              <w:rPr>
                <w:rFonts w:hint="eastAsia"/>
              </w:rPr>
              <w:t xml:space="preserve">叶玉琪 </w:t>
            </w:r>
          </w:p>
        </w:tc>
      </w:tr>
      <w:tr w14:paraId="69A44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F058F0">
            <w:pPr>
              <w:pStyle w:val="8"/>
            </w:pPr>
            <w:r>
              <w:rPr>
                <w:rFonts w:hint="eastAsia"/>
              </w:rPr>
              <w:t xml:space="preserve">电话： </w:t>
            </w:r>
          </w:p>
        </w:tc>
        <w:tc>
          <w:tcPr>
            <w:tcW w:w="7440" w:type="dxa"/>
            <w:shd w:val="clear" w:color="auto" w:fill="auto"/>
          </w:tcPr>
          <w:p w14:paraId="5F2B9C81">
            <w:pPr>
              <w:pStyle w:val="8"/>
            </w:pPr>
            <w:r>
              <w:rPr>
                <w:rFonts w:hint="eastAsia"/>
              </w:rPr>
              <w:t xml:space="preserve">0769-22119351 </w:t>
            </w:r>
          </w:p>
        </w:tc>
      </w:tr>
      <w:tr w14:paraId="3747F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D0503B">
            <w:pPr>
              <w:pStyle w:val="8"/>
            </w:pPr>
            <w:r>
              <w:rPr>
                <w:rFonts w:hint="eastAsia"/>
              </w:rPr>
              <w:t xml:space="preserve">传真： </w:t>
            </w:r>
          </w:p>
        </w:tc>
        <w:tc>
          <w:tcPr>
            <w:tcW w:w="7440" w:type="dxa"/>
            <w:shd w:val="clear" w:color="auto" w:fill="auto"/>
          </w:tcPr>
          <w:p w14:paraId="706552E9">
            <w:pPr>
              <w:pStyle w:val="8"/>
            </w:pPr>
            <w:r>
              <w:rPr>
                <w:rFonts w:hint="eastAsia"/>
              </w:rPr>
              <w:t xml:space="preserve">0769-22115712 </w:t>
            </w:r>
          </w:p>
        </w:tc>
      </w:tr>
      <w:tr w14:paraId="35C63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836462">
            <w:pPr>
              <w:pStyle w:val="8"/>
            </w:pPr>
            <w:r>
              <w:rPr>
                <w:rFonts w:hint="eastAsia"/>
              </w:rPr>
              <w:t xml:space="preserve">客户服务电话： </w:t>
            </w:r>
          </w:p>
        </w:tc>
        <w:tc>
          <w:tcPr>
            <w:tcW w:w="7440" w:type="dxa"/>
            <w:shd w:val="clear" w:color="auto" w:fill="auto"/>
          </w:tcPr>
          <w:p w14:paraId="343DED37">
            <w:pPr>
              <w:pStyle w:val="8"/>
            </w:pPr>
            <w:r>
              <w:rPr>
                <w:rFonts w:hint="eastAsia"/>
              </w:rPr>
              <w:t xml:space="preserve">95328 </w:t>
            </w:r>
          </w:p>
        </w:tc>
      </w:tr>
      <w:tr w14:paraId="1DCDD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5BBC48">
            <w:pPr>
              <w:pStyle w:val="8"/>
            </w:pPr>
            <w:r>
              <w:rPr>
                <w:rFonts w:hint="eastAsia"/>
              </w:rPr>
              <w:t xml:space="preserve">网址： </w:t>
            </w:r>
          </w:p>
        </w:tc>
        <w:tc>
          <w:tcPr>
            <w:tcW w:w="7440" w:type="dxa"/>
            <w:shd w:val="clear" w:color="auto" w:fill="auto"/>
          </w:tcPr>
          <w:p w14:paraId="31B4BCA6">
            <w:pPr>
              <w:pStyle w:val="8"/>
            </w:pPr>
            <w:r>
              <w:rPr>
                <w:rFonts w:hint="eastAsia"/>
              </w:rPr>
              <w:t xml:space="preserve">http://www.dgzq.com.cn </w:t>
            </w:r>
          </w:p>
        </w:tc>
      </w:tr>
    </w:tbl>
    <w:p w14:paraId="1F5B3A74">
      <w:pPr>
        <w:pStyle w:val="8"/>
        <w:spacing w:before="0" w:beforeAutospacing="0" w:after="0" w:afterAutospacing="0" w:line="360" w:lineRule="auto"/>
        <w:ind w:firstLine="420"/>
        <w:rPr>
          <w:sz w:val="21"/>
          <w:szCs w:val="21"/>
        </w:rPr>
      </w:pPr>
      <w:r>
        <w:rPr>
          <w:rFonts w:hint="eastAsia"/>
          <w:b/>
          <w:bCs/>
          <w:sz w:val="21"/>
          <w:szCs w:val="21"/>
        </w:rPr>
        <w:t>(35)国都证券股份有限公司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5A6D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615F9A">
            <w:pPr>
              <w:pStyle w:val="8"/>
            </w:pPr>
            <w:r>
              <w:rPr>
                <w:rFonts w:hint="eastAsia"/>
              </w:rPr>
              <w:t xml:space="preserve">注册地址： </w:t>
            </w:r>
          </w:p>
        </w:tc>
        <w:tc>
          <w:tcPr>
            <w:tcW w:w="7440" w:type="dxa"/>
            <w:shd w:val="clear" w:color="auto" w:fill="auto"/>
          </w:tcPr>
          <w:p w14:paraId="786A4B2F">
            <w:pPr>
              <w:pStyle w:val="8"/>
            </w:pPr>
            <w:r>
              <w:rPr>
                <w:rFonts w:hint="eastAsia"/>
              </w:rPr>
              <w:t xml:space="preserve">北京市东城区东直门南大街3号国华投资大厦9层10层 </w:t>
            </w:r>
          </w:p>
        </w:tc>
      </w:tr>
      <w:tr w14:paraId="4FF2A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C1EBDD">
            <w:pPr>
              <w:pStyle w:val="8"/>
            </w:pPr>
            <w:r>
              <w:rPr>
                <w:rFonts w:hint="eastAsia"/>
              </w:rPr>
              <w:t xml:space="preserve">办公地址： </w:t>
            </w:r>
          </w:p>
        </w:tc>
        <w:tc>
          <w:tcPr>
            <w:tcW w:w="7440" w:type="dxa"/>
            <w:shd w:val="clear" w:color="auto" w:fill="auto"/>
          </w:tcPr>
          <w:p w14:paraId="472A47BD">
            <w:pPr>
              <w:pStyle w:val="8"/>
            </w:pPr>
            <w:r>
              <w:rPr>
                <w:rFonts w:hint="eastAsia"/>
              </w:rPr>
              <w:t xml:space="preserve">北京市东城区东直门南大街3号国华投资大厦9层10层 </w:t>
            </w:r>
          </w:p>
        </w:tc>
      </w:tr>
      <w:tr w14:paraId="26A87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4BA079">
            <w:pPr>
              <w:pStyle w:val="8"/>
            </w:pPr>
            <w:r>
              <w:rPr>
                <w:rFonts w:hint="eastAsia"/>
              </w:rPr>
              <w:t xml:space="preserve">法定代表人： </w:t>
            </w:r>
          </w:p>
        </w:tc>
        <w:tc>
          <w:tcPr>
            <w:tcW w:w="7440" w:type="dxa"/>
            <w:shd w:val="clear" w:color="auto" w:fill="auto"/>
          </w:tcPr>
          <w:p w14:paraId="7AAE7204">
            <w:pPr>
              <w:pStyle w:val="8"/>
            </w:pPr>
            <w:r>
              <w:rPr>
                <w:rFonts w:hint="eastAsia"/>
              </w:rPr>
              <w:t xml:space="preserve">翁振杰 </w:t>
            </w:r>
          </w:p>
        </w:tc>
      </w:tr>
      <w:tr w14:paraId="7F1BA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EE9738">
            <w:pPr>
              <w:pStyle w:val="8"/>
            </w:pPr>
            <w:r>
              <w:rPr>
                <w:rFonts w:hint="eastAsia"/>
              </w:rPr>
              <w:t xml:space="preserve">联系人： </w:t>
            </w:r>
          </w:p>
        </w:tc>
        <w:tc>
          <w:tcPr>
            <w:tcW w:w="7440" w:type="dxa"/>
            <w:shd w:val="clear" w:color="auto" w:fill="auto"/>
          </w:tcPr>
          <w:p w14:paraId="687C3A9D">
            <w:pPr>
              <w:pStyle w:val="8"/>
            </w:pPr>
            <w:r>
              <w:rPr>
                <w:rFonts w:hint="eastAsia"/>
              </w:rPr>
              <w:t xml:space="preserve">黄静 </w:t>
            </w:r>
          </w:p>
        </w:tc>
      </w:tr>
      <w:tr w14:paraId="11631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B45A9">
            <w:pPr>
              <w:pStyle w:val="8"/>
            </w:pPr>
            <w:r>
              <w:rPr>
                <w:rFonts w:hint="eastAsia"/>
              </w:rPr>
              <w:t xml:space="preserve">电话： </w:t>
            </w:r>
          </w:p>
        </w:tc>
        <w:tc>
          <w:tcPr>
            <w:tcW w:w="7440" w:type="dxa"/>
            <w:shd w:val="clear" w:color="auto" w:fill="auto"/>
          </w:tcPr>
          <w:p w14:paraId="5875FE0A">
            <w:pPr>
              <w:pStyle w:val="8"/>
            </w:pPr>
            <w:r>
              <w:rPr>
                <w:rFonts w:hint="eastAsia"/>
              </w:rPr>
              <w:t xml:space="preserve">010-84183333 </w:t>
            </w:r>
          </w:p>
        </w:tc>
      </w:tr>
      <w:tr w14:paraId="41E2C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CC7D2B">
            <w:pPr>
              <w:pStyle w:val="8"/>
            </w:pPr>
            <w:r>
              <w:rPr>
                <w:rFonts w:hint="eastAsia"/>
              </w:rPr>
              <w:t xml:space="preserve">传真： </w:t>
            </w:r>
          </w:p>
        </w:tc>
        <w:tc>
          <w:tcPr>
            <w:tcW w:w="7440" w:type="dxa"/>
            <w:shd w:val="clear" w:color="auto" w:fill="auto"/>
          </w:tcPr>
          <w:p w14:paraId="23B9B5D7">
            <w:pPr>
              <w:pStyle w:val="8"/>
            </w:pPr>
            <w:r>
              <w:rPr>
                <w:rFonts w:hint="eastAsia"/>
              </w:rPr>
              <w:t xml:space="preserve">010-84183311-3389 </w:t>
            </w:r>
          </w:p>
        </w:tc>
      </w:tr>
      <w:tr w14:paraId="0B2F3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FEF32">
            <w:pPr>
              <w:pStyle w:val="8"/>
            </w:pPr>
            <w:r>
              <w:rPr>
                <w:rFonts w:hint="eastAsia"/>
              </w:rPr>
              <w:t xml:space="preserve">客户服务电话： </w:t>
            </w:r>
          </w:p>
        </w:tc>
        <w:tc>
          <w:tcPr>
            <w:tcW w:w="7440" w:type="dxa"/>
            <w:shd w:val="clear" w:color="auto" w:fill="auto"/>
          </w:tcPr>
          <w:p w14:paraId="72D22747">
            <w:pPr>
              <w:pStyle w:val="8"/>
            </w:pPr>
            <w:r>
              <w:rPr>
                <w:rFonts w:hint="eastAsia"/>
              </w:rPr>
              <w:t xml:space="preserve">400-818-8118 </w:t>
            </w:r>
          </w:p>
        </w:tc>
      </w:tr>
      <w:tr w14:paraId="157E6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D4F38B">
            <w:pPr>
              <w:pStyle w:val="8"/>
            </w:pPr>
            <w:r>
              <w:rPr>
                <w:rFonts w:hint="eastAsia"/>
              </w:rPr>
              <w:t xml:space="preserve">网址： </w:t>
            </w:r>
          </w:p>
        </w:tc>
        <w:tc>
          <w:tcPr>
            <w:tcW w:w="7440" w:type="dxa"/>
            <w:shd w:val="clear" w:color="auto" w:fill="auto"/>
          </w:tcPr>
          <w:p w14:paraId="6CDD9106">
            <w:pPr>
              <w:pStyle w:val="8"/>
            </w:pPr>
            <w:r>
              <w:rPr>
                <w:rFonts w:hint="eastAsia"/>
              </w:rPr>
              <w:t xml:space="preserve">http://www.guodu.com </w:t>
            </w:r>
          </w:p>
        </w:tc>
      </w:tr>
    </w:tbl>
    <w:p w14:paraId="26F30345">
      <w:pPr>
        <w:pStyle w:val="8"/>
        <w:spacing w:before="0" w:beforeAutospacing="0" w:after="0" w:afterAutospacing="0" w:line="360" w:lineRule="auto"/>
        <w:ind w:firstLine="420"/>
        <w:rPr>
          <w:sz w:val="21"/>
          <w:szCs w:val="21"/>
        </w:rPr>
      </w:pPr>
      <w:r>
        <w:rPr>
          <w:rFonts w:hint="eastAsia"/>
          <w:b/>
          <w:bCs/>
          <w:sz w:val="21"/>
          <w:szCs w:val="21"/>
        </w:rPr>
        <w:t>(36)东海证券股份有限公司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4EB9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EB60A9">
            <w:pPr>
              <w:pStyle w:val="8"/>
            </w:pPr>
            <w:r>
              <w:rPr>
                <w:rFonts w:hint="eastAsia"/>
              </w:rPr>
              <w:t xml:space="preserve">注册地址： </w:t>
            </w:r>
          </w:p>
        </w:tc>
        <w:tc>
          <w:tcPr>
            <w:tcW w:w="7440" w:type="dxa"/>
            <w:shd w:val="clear" w:color="auto" w:fill="auto"/>
          </w:tcPr>
          <w:p w14:paraId="5E39DB77">
            <w:pPr>
              <w:pStyle w:val="8"/>
            </w:pPr>
            <w:r>
              <w:rPr>
                <w:rFonts w:hint="eastAsia"/>
              </w:rPr>
              <w:t xml:space="preserve">江苏省常州延陵西路23号投资广场18层  </w:t>
            </w:r>
          </w:p>
        </w:tc>
      </w:tr>
      <w:tr w14:paraId="52B59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ABE977">
            <w:pPr>
              <w:pStyle w:val="8"/>
            </w:pPr>
            <w:r>
              <w:rPr>
                <w:rFonts w:hint="eastAsia"/>
              </w:rPr>
              <w:t xml:space="preserve">办公地址： </w:t>
            </w:r>
          </w:p>
        </w:tc>
        <w:tc>
          <w:tcPr>
            <w:tcW w:w="7440" w:type="dxa"/>
            <w:shd w:val="clear" w:color="auto" w:fill="auto"/>
          </w:tcPr>
          <w:p w14:paraId="02DA33A8">
            <w:pPr>
              <w:pStyle w:val="8"/>
            </w:pPr>
            <w:r>
              <w:rPr>
                <w:rFonts w:hint="eastAsia"/>
              </w:rPr>
              <w:t xml:space="preserve">上海市浦东新区东方路1928号东海证券大厦  </w:t>
            </w:r>
          </w:p>
        </w:tc>
      </w:tr>
      <w:tr w14:paraId="4271B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86223E">
            <w:pPr>
              <w:pStyle w:val="8"/>
            </w:pPr>
            <w:r>
              <w:rPr>
                <w:rFonts w:hint="eastAsia"/>
              </w:rPr>
              <w:t xml:space="preserve">法定代表人： </w:t>
            </w:r>
          </w:p>
        </w:tc>
        <w:tc>
          <w:tcPr>
            <w:tcW w:w="7440" w:type="dxa"/>
            <w:shd w:val="clear" w:color="auto" w:fill="auto"/>
          </w:tcPr>
          <w:p w14:paraId="0FC7C375">
            <w:pPr>
              <w:pStyle w:val="8"/>
            </w:pPr>
            <w:r>
              <w:rPr>
                <w:rFonts w:hint="eastAsia"/>
              </w:rPr>
              <w:t xml:space="preserve">钱俊文 </w:t>
            </w:r>
          </w:p>
        </w:tc>
      </w:tr>
      <w:tr w14:paraId="29531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076868">
            <w:pPr>
              <w:pStyle w:val="8"/>
            </w:pPr>
            <w:r>
              <w:rPr>
                <w:rFonts w:hint="eastAsia"/>
              </w:rPr>
              <w:t xml:space="preserve">联系人： </w:t>
            </w:r>
          </w:p>
        </w:tc>
        <w:tc>
          <w:tcPr>
            <w:tcW w:w="7440" w:type="dxa"/>
            <w:shd w:val="clear" w:color="auto" w:fill="auto"/>
          </w:tcPr>
          <w:p w14:paraId="19BC0F11">
            <w:pPr>
              <w:pStyle w:val="8"/>
            </w:pPr>
            <w:r>
              <w:rPr>
                <w:rFonts w:hint="eastAsia"/>
              </w:rPr>
              <w:t xml:space="preserve">王一彦 </w:t>
            </w:r>
          </w:p>
        </w:tc>
      </w:tr>
      <w:tr w14:paraId="084B0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501E72">
            <w:pPr>
              <w:pStyle w:val="8"/>
            </w:pPr>
            <w:r>
              <w:rPr>
                <w:rFonts w:hint="eastAsia"/>
              </w:rPr>
              <w:t xml:space="preserve">电话： </w:t>
            </w:r>
          </w:p>
        </w:tc>
        <w:tc>
          <w:tcPr>
            <w:tcW w:w="7440" w:type="dxa"/>
            <w:shd w:val="clear" w:color="auto" w:fill="auto"/>
          </w:tcPr>
          <w:p w14:paraId="3488CEF5">
            <w:pPr>
              <w:pStyle w:val="8"/>
            </w:pPr>
            <w:r>
              <w:rPr>
                <w:rFonts w:hint="eastAsia"/>
              </w:rPr>
              <w:t xml:space="preserve">021-20333333 </w:t>
            </w:r>
          </w:p>
        </w:tc>
      </w:tr>
      <w:tr w14:paraId="701CF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CFE6E4">
            <w:pPr>
              <w:pStyle w:val="8"/>
            </w:pPr>
            <w:r>
              <w:rPr>
                <w:rFonts w:hint="eastAsia"/>
              </w:rPr>
              <w:t xml:space="preserve">传真： </w:t>
            </w:r>
          </w:p>
        </w:tc>
        <w:tc>
          <w:tcPr>
            <w:tcW w:w="7440" w:type="dxa"/>
            <w:shd w:val="clear" w:color="auto" w:fill="auto"/>
          </w:tcPr>
          <w:p w14:paraId="496F047E">
            <w:pPr>
              <w:pStyle w:val="8"/>
            </w:pPr>
            <w:r>
              <w:rPr>
                <w:rFonts w:hint="eastAsia"/>
              </w:rPr>
              <w:t xml:space="preserve">021-50498825 </w:t>
            </w:r>
          </w:p>
        </w:tc>
      </w:tr>
      <w:tr w14:paraId="4C214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832A26">
            <w:pPr>
              <w:pStyle w:val="8"/>
            </w:pPr>
            <w:r>
              <w:rPr>
                <w:rFonts w:hint="eastAsia"/>
              </w:rPr>
              <w:t xml:space="preserve">客户服务电话： </w:t>
            </w:r>
          </w:p>
        </w:tc>
        <w:tc>
          <w:tcPr>
            <w:tcW w:w="7440" w:type="dxa"/>
            <w:shd w:val="clear" w:color="auto" w:fill="auto"/>
          </w:tcPr>
          <w:p w14:paraId="3F2A8FE4">
            <w:pPr>
              <w:pStyle w:val="8"/>
            </w:pPr>
            <w:r>
              <w:rPr>
                <w:rFonts w:hint="eastAsia"/>
              </w:rPr>
              <w:t xml:space="preserve">95531; 4008888588 </w:t>
            </w:r>
          </w:p>
        </w:tc>
      </w:tr>
      <w:tr w14:paraId="68B75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A41D0">
            <w:pPr>
              <w:pStyle w:val="8"/>
            </w:pPr>
            <w:r>
              <w:rPr>
                <w:rFonts w:hint="eastAsia"/>
              </w:rPr>
              <w:t xml:space="preserve">网址： </w:t>
            </w:r>
          </w:p>
        </w:tc>
        <w:tc>
          <w:tcPr>
            <w:tcW w:w="7440" w:type="dxa"/>
            <w:shd w:val="clear" w:color="auto" w:fill="auto"/>
          </w:tcPr>
          <w:p w14:paraId="4FFBFECE">
            <w:pPr>
              <w:pStyle w:val="8"/>
            </w:pPr>
            <w:r>
              <w:rPr>
                <w:rFonts w:hint="eastAsia"/>
              </w:rPr>
              <w:t xml:space="preserve">http://www.longone.com.cn </w:t>
            </w:r>
          </w:p>
        </w:tc>
      </w:tr>
    </w:tbl>
    <w:p w14:paraId="7D60114F">
      <w:pPr>
        <w:pStyle w:val="8"/>
        <w:spacing w:before="0" w:beforeAutospacing="0" w:after="0" w:afterAutospacing="0" w:line="360" w:lineRule="auto"/>
        <w:ind w:firstLine="420"/>
        <w:rPr>
          <w:sz w:val="21"/>
          <w:szCs w:val="21"/>
        </w:rPr>
      </w:pPr>
      <w:r>
        <w:rPr>
          <w:rFonts w:hint="eastAsia"/>
          <w:b/>
          <w:bCs/>
          <w:sz w:val="21"/>
          <w:szCs w:val="21"/>
        </w:rPr>
        <w:t>(37)中银国际证券股份有限公司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2FBF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CA35BF">
            <w:pPr>
              <w:pStyle w:val="8"/>
            </w:pPr>
            <w:r>
              <w:rPr>
                <w:rFonts w:hint="eastAsia"/>
              </w:rPr>
              <w:t xml:space="preserve">注册地址： </w:t>
            </w:r>
          </w:p>
        </w:tc>
        <w:tc>
          <w:tcPr>
            <w:tcW w:w="7440" w:type="dxa"/>
            <w:shd w:val="clear" w:color="auto" w:fill="auto"/>
          </w:tcPr>
          <w:p w14:paraId="50E9180B">
            <w:pPr>
              <w:pStyle w:val="8"/>
            </w:pPr>
            <w:r>
              <w:rPr>
                <w:rFonts w:hint="eastAsia"/>
              </w:rPr>
              <w:t xml:space="preserve"> 中国上海浦东银城中路200号中银大厦39-40层  </w:t>
            </w:r>
          </w:p>
        </w:tc>
      </w:tr>
      <w:tr w14:paraId="488CE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531644">
            <w:pPr>
              <w:pStyle w:val="8"/>
            </w:pPr>
            <w:r>
              <w:rPr>
                <w:rFonts w:hint="eastAsia"/>
              </w:rPr>
              <w:t xml:space="preserve">办公地址： </w:t>
            </w:r>
          </w:p>
        </w:tc>
        <w:tc>
          <w:tcPr>
            <w:tcW w:w="7440" w:type="dxa"/>
            <w:shd w:val="clear" w:color="auto" w:fill="auto"/>
          </w:tcPr>
          <w:p w14:paraId="2BA17EDC">
            <w:pPr>
              <w:pStyle w:val="8"/>
            </w:pPr>
            <w:r>
              <w:rPr>
                <w:rFonts w:hint="eastAsia"/>
              </w:rPr>
              <w:t xml:space="preserve">上海市浦东新区银城中路200号中银大厦39层 </w:t>
            </w:r>
          </w:p>
        </w:tc>
      </w:tr>
      <w:tr w14:paraId="2A7F9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735EC6">
            <w:pPr>
              <w:pStyle w:val="8"/>
            </w:pPr>
            <w:r>
              <w:rPr>
                <w:rFonts w:hint="eastAsia"/>
              </w:rPr>
              <w:t xml:space="preserve">法定代表人： </w:t>
            </w:r>
          </w:p>
        </w:tc>
        <w:tc>
          <w:tcPr>
            <w:tcW w:w="7440" w:type="dxa"/>
            <w:shd w:val="clear" w:color="auto" w:fill="auto"/>
          </w:tcPr>
          <w:p w14:paraId="4E64C4E9">
            <w:pPr>
              <w:pStyle w:val="8"/>
            </w:pPr>
            <w:r>
              <w:rPr>
                <w:rFonts w:hint="eastAsia"/>
              </w:rPr>
              <w:t xml:space="preserve">宁敏 </w:t>
            </w:r>
          </w:p>
        </w:tc>
      </w:tr>
      <w:tr w14:paraId="34B19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05777A">
            <w:pPr>
              <w:pStyle w:val="8"/>
            </w:pPr>
            <w:r>
              <w:rPr>
                <w:rFonts w:hint="eastAsia"/>
              </w:rPr>
              <w:t xml:space="preserve">联系人： </w:t>
            </w:r>
          </w:p>
        </w:tc>
        <w:tc>
          <w:tcPr>
            <w:tcW w:w="7440" w:type="dxa"/>
            <w:shd w:val="clear" w:color="auto" w:fill="auto"/>
          </w:tcPr>
          <w:p w14:paraId="1BE539E1">
            <w:pPr>
              <w:pStyle w:val="8"/>
            </w:pPr>
            <w:r>
              <w:rPr>
                <w:rFonts w:hint="eastAsia"/>
              </w:rPr>
              <w:t xml:space="preserve">王炜哲 </w:t>
            </w:r>
          </w:p>
        </w:tc>
      </w:tr>
      <w:tr w14:paraId="57FD5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E27B7F">
            <w:pPr>
              <w:pStyle w:val="8"/>
            </w:pPr>
            <w:r>
              <w:rPr>
                <w:rFonts w:hint="eastAsia"/>
              </w:rPr>
              <w:t xml:space="preserve">电话： </w:t>
            </w:r>
          </w:p>
        </w:tc>
        <w:tc>
          <w:tcPr>
            <w:tcW w:w="7440" w:type="dxa"/>
            <w:shd w:val="clear" w:color="auto" w:fill="auto"/>
          </w:tcPr>
          <w:p w14:paraId="48513670">
            <w:pPr>
              <w:pStyle w:val="8"/>
            </w:pPr>
            <w:r>
              <w:rPr>
                <w:rFonts w:hint="eastAsia"/>
              </w:rPr>
              <w:t xml:space="preserve">021-20328531 </w:t>
            </w:r>
          </w:p>
        </w:tc>
      </w:tr>
      <w:tr w14:paraId="34D8A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A6A2C7">
            <w:pPr>
              <w:pStyle w:val="8"/>
            </w:pPr>
            <w:r>
              <w:rPr>
                <w:rFonts w:hint="eastAsia"/>
              </w:rPr>
              <w:t xml:space="preserve">传真： </w:t>
            </w:r>
          </w:p>
        </w:tc>
        <w:tc>
          <w:tcPr>
            <w:tcW w:w="7440" w:type="dxa"/>
            <w:shd w:val="clear" w:color="auto" w:fill="auto"/>
          </w:tcPr>
          <w:p w14:paraId="01F36762">
            <w:pPr>
              <w:pStyle w:val="8"/>
            </w:pPr>
            <w:r>
              <w:rPr>
                <w:rFonts w:hint="eastAsia"/>
              </w:rPr>
              <w:t xml:space="preserve">021－50372474 </w:t>
            </w:r>
          </w:p>
        </w:tc>
      </w:tr>
      <w:tr w14:paraId="3C9BB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9DB43">
            <w:pPr>
              <w:pStyle w:val="8"/>
            </w:pPr>
            <w:r>
              <w:rPr>
                <w:rFonts w:hint="eastAsia"/>
              </w:rPr>
              <w:t xml:space="preserve">客户服务电话： </w:t>
            </w:r>
          </w:p>
        </w:tc>
        <w:tc>
          <w:tcPr>
            <w:tcW w:w="7440" w:type="dxa"/>
            <w:shd w:val="clear" w:color="auto" w:fill="auto"/>
          </w:tcPr>
          <w:p w14:paraId="677B54FA">
            <w:pPr>
              <w:pStyle w:val="8"/>
            </w:pPr>
            <w:r>
              <w:rPr>
                <w:rFonts w:hint="eastAsia"/>
              </w:rPr>
              <w:t xml:space="preserve">4006208888；021-61195566 </w:t>
            </w:r>
          </w:p>
        </w:tc>
      </w:tr>
      <w:tr w14:paraId="569CF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11716F">
            <w:pPr>
              <w:pStyle w:val="8"/>
            </w:pPr>
            <w:r>
              <w:rPr>
                <w:rFonts w:hint="eastAsia"/>
              </w:rPr>
              <w:t xml:space="preserve">网址： </w:t>
            </w:r>
          </w:p>
        </w:tc>
        <w:tc>
          <w:tcPr>
            <w:tcW w:w="7440" w:type="dxa"/>
            <w:shd w:val="clear" w:color="auto" w:fill="auto"/>
          </w:tcPr>
          <w:p w14:paraId="6801B0FE">
            <w:pPr>
              <w:pStyle w:val="8"/>
            </w:pPr>
            <w:r>
              <w:rPr>
                <w:rFonts w:hint="eastAsia"/>
              </w:rPr>
              <w:t xml:space="preserve">http://www.bocichina.com </w:t>
            </w:r>
          </w:p>
        </w:tc>
      </w:tr>
    </w:tbl>
    <w:p w14:paraId="435717CC">
      <w:pPr>
        <w:pStyle w:val="8"/>
        <w:spacing w:before="0" w:beforeAutospacing="0" w:after="0" w:afterAutospacing="0" w:line="360" w:lineRule="auto"/>
        <w:ind w:firstLine="420"/>
        <w:rPr>
          <w:sz w:val="21"/>
          <w:szCs w:val="21"/>
        </w:rPr>
      </w:pPr>
      <w:r>
        <w:rPr>
          <w:rFonts w:hint="eastAsia"/>
          <w:b/>
          <w:bCs/>
          <w:sz w:val="21"/>
          <w:szCs w:val="21"/>
        </w:rPr>
        <w:t>(38)国盛证券有限责任公司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EAE8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F6DB79">
            <w:pPr>
              <w:pStyle w:val="8"/>
            </w:pPr>
            <w:r>
              <w:rPr>
                <w:rFonts w:hint="eastAsia"/>
              </w:rPr>
              <w:t xml:space="preserve">注册地址： </w:t>
            </w:r>
          </w:p>
        </w:tc>
        <w:tc>
          <w:tcPr>
            <w:tcW w:w="7440" w:type="dxa"/>
            <w:shd w:val="clear" w:color="auto" w:fill="auto"/>
          </w:tcPr>
          <w:p w14:paraId="0CE56736">
            <w:pPr>
              <w:pStyle w:val="8"/>
            </w:pPr>
            <w:r>
              <w:rPr>
                <w:rFonts w:hint="eastAsia"/>
              </w:rPr>
              <w:t xml:space="preserve">江西省南昌市新建区子实路1589号 </w:t>
            </w:r>
          </w:p>
        </w:tc>
      </w:tr>
      <w:tr w14:paraId="59DE4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FC61B4">
            <w:pPr>
              <w:pStyle w:val="8"/>
            </w:pPr>
            <w:r>
              <w:rPr>
                <w:rFonts w:hint="eastAsia"/>
              </w:rPr>
              <w:t xml:space="preserve">办公地址： </w:t>
            </w:r>
          </w:p>
        </w:tc>
        <w:tc>
          <w:tcPr>
            <w:tcW w:w="7440" w:type="dxa"/>
            <w:shd w:val="clear" w:color="auto" w:fill="auto"/>
          </w:tcPr>
          <w:p w14:paraId="2BE61E48">
            <w:pPr>
              <w:pStyle w:val="8"/>
            </w:pPr>
            <w:r>
              <w:rPr>
                <w:rFonts w:hint="eastAsia"/>
              </w:rPr>
              <w:t xml:space="preserve">江西省南昌市红谷滩新区凤凰中大道1115号北京银行大厦 </w:t>
            </w:r>
          </w:p>
        </w:tc>
      </w:tr>
      <w:tr w14:paraId="70E17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1964A3">
            <w:pPr>
              <w:pStyle w:val="8"/>
            </w:pPr>
            <w:r>
              <w:rPr>
                <w:rFonts w:hint="eastAsia"/>
              </w:rPr>
              <w:t xml:space="preserve">法定代表人： </w:t>
            </w:r>
          </w:p>
        </w:tc>
        <w:tc>
          <w:tcPr>
            <w:tcW w:w="7440" w:type="dxa"/>
            <w:shd w:val="clear" w:color="auto" w:fill="auto"/>
          </w:tcPr>
          <w:p w14:paraId="4C0F6E74">
            <w:pPr>
              <w:pStyle w:val="8"/>
            </w:pPr>
            <w:r>
              <w:rPr>
                <w:rFonts w:hint="eastAsia"/>
              </w:rPr>
              <w:t xml:space="preserve">刘朝东 </w:t>
            </w:r>
          </w:p>
        </w:tc>
      </w:tr>
      <w:tr w14:paraId="65A69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947D0">
            <w:pPr>
              <w:pStyle w:val="8"/>
            </w:pPr>
            <w:r>
              <w:rPr>
                <w:rFonts w:hint="eastAsia"/>
              </w:rPr>
              <w:t xml:space="preserve">联系人： </w:t>
            </w:r>
          </w:p>
        </w:tc>
        <w:tc>
          <w:tcPr>
            <w:tcW w:w="7440" w:type="dxa"/>
            <w:shd w:val="clear" w:color="auto" w:fill="auto"/>
          </w:tcPr>
          <w:p w14:paraId="7CFF12B6">
            <w:pPr>
              <w:pStyle w:val="8"/>
            </w:pPr>
            <w:r>
              <w:rPr>
                <w:rFonts w:hint="eastAsia"/>
              </w:rPr>
              <w:t xml:space="preserve">占文驰 </w:t>
            </w:r>
          </w:p>
        </w:tc>
      </w:tr>
      <w:tr w14:paraId="18B7D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E144D0">
            <w:pPr>
              <w:pStyle w:val="8"/>
            </w:pPr>
            <w:r>
              <w:rPr>
                <w:rFonts w:hint="eastAsia"/>
              </w:rPr>
              <w:t xml:space="preserve">电话： </w:t>
            </w:r>
          </w:p>
        </w:tc>
        <w:tc>
          <w:tcPr>
            <w:tcW w:w="7440" w:type="dxa"/>
            <w:shd w:val="clear" w:color="auto" w:fill="auto"/>
          </w:tcPr>
          <w:p w14:paraId="477C68F6">
            <w:pPr>
              <w:pStyle w:val="8"/>
            </w:pPr>
            <w:r>
              <w:rPr>
                <w:rFonts w:hint="eastAsia"/>
              </w:rPr>
              <w:t xml:space="preserve">0791－86283372 </w:t>
            </w:r>
          </w:p>
        </w:tc>
      </w:tr>
      <w:tr w14:paraId="4076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94349">
            <w:pPr>
              <w:pStyle w:val="8"/>
            </w:pPr>
            <w:r>
              <w:rPr>
                <w:rFonts w:hint="eastAsia"/>
              </w:rPr>
              <w:t xml:space="preserve">传真： </w:t>
            </w:r>
          </w:p>
        </w:tc>
        <w:tc>
          <w:tcPr>
            <w:tcW w:w="7440" w:type="dxa"/>
            <w:shd w:val="clear" w:color="auto" w:fill="auto"/>
          </w:tcPr>
          <w:p w14:paraId="515DA54B">
            <w:pPr>
              <w:pStyle w:val="8"/>
            </w:pPr>
            <w:r>
              <w:rPr>
                <w:rFonts w:hint="eastAsia"/>
              </w:rPr>
              <w:t xml:space="preserve">0791－6289395 </w:t>
            </w:r>
          </w:p>
        </w:tc>
      </w:tr>
      <w:tr w14:paraId="073A7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30F9AF">
            <w:pPr>
              <w:pStyle w:val="8"/>
            </w:pPr>
            <w:r>
              <w:rPr>
                <w:rFonts w:hint="eastAsia"/>
              </w:rPr>
              <w:t xml:space="preserve">客户服务电话： </w:t>
            </w:r>
          </w:p>
        </w:tc>
        <w:tc>
          <w:tcPr>
            <w:tcW w:w="7440" w:type="dxa"/>
            <w:shd w:val="clear" w:color="auto" w:fill="auto"/>
          </w:tcPr>
          <w:p w14:paraId="637B7B4E">
            <w:pPr>
              <w:pStyle w:val="8"/>
            </w:pPr>
            <w:r>
              <w:rPr>
                <w:rFonts w:hint="eastAsia"/>
              </w:rPr>
              <w:t xml:space="preserve">956080 </w:t>
            </w:r>
          </w:p>
        </w:tc>
      </w:tr>
      <w:tr w14:paraId="67B00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38B680">
            <w:pPr>
              <w:pStyle w:val="8"/>
            </w:pPr>
            <w:r>
              <w:rPr>
                <w:rFonts w:hint="eastAsia"/>
              </w:rPr>
              <w:t xml:space="preserve">网址： </w:t>
            </w:r>
          </w:p>
        </w:tc>
        <w:tc>
          <w:tcPr>
            <w:tcW w:w="7440" w:type="dxa"/>
            <w:shd w:val="clear" w:color="auto" w:fill="auto"/>
          </w:tcPr>
          <w:p w14:paraId="5300BF18">
            <w:pPr>
              <w:pStyle w:val="8"/>
            </w:pPr>
            <w:r>
              <w:rPr>
                <w:rFonts w:hint="eastAsia"/>
              </w:rPr>
              <w:t xml:space="preserve">https://www.gszq.com/ </w:t>
            </w:r>
          </w:p>
        </w:tc>
      </w:tr>
    </w:tbl>
    <w:p w14:paraId="12C224DF">
      <w:pPr>
        <w:pStyle w:val="8"/>
        <w:spacing w:before="0" w:beforeAutospacing="0" w:after="0" w:afterAutospacing="0" w:line="360" w:lineRule="auto"/>
        <w:ind w:firstLine="420"/>
        <w:rPr>
          <w:sz w:val="21"/>
          <w:szCs w:val="21"/>
        </w:rPr>
      </w:pPr>
      <w:r>
        <w:rPr>
          <w:rFonts w:hint="eastAsia"/>
          <w:b/>
          <w:bCs/>
          <w:sz w:val="21"/>
          <w:szCs w:val="21"/>
        </w:rPr>
        <w:t>(39)申万宏源西部证券有限公司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64D8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F1466">
            <w:pPr>
              <w:pStyle w:val="8"/>
            </w:pPr>
            <w:r>
              <w:rPr>
                <w:rFonts w:hint="eastAsia"/>
              </w:rPr>
              <w:t xml:space="preserve">注册地址： </w:t>
            </w:r>
          </w:p>
        </w:tc>
        <w:tc>
          <w:tcPr>
            <w:tcW w:w="7440" w:type="dxa"/>
            <w:shd w:val="clear" w:color="auto" w:fill="auto"/>
          </w:tcPr>
          <w:p w14:paraId="7F1D53E8">
            <w:pPr>
              <w:pStyle w:val="8"/>
            </w:pPr>
            <w:r>
              <w:rPr>
                <w:rFonts w:hint="eastAsia"/>
              </w:rPr>
              <w:t xml:space="preserve">新疆乌鲁木齐市高新区（新市区）北京南路358号大成国际大厦20楼2005室 </w:t>
            </w:r>
          </w:p>
        </w:tc>
      </w:tr>
      <w:tr w14:paraId="50E33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B26584">
            <w:pPr>
              <w:pStyle w:val="8"/>
            </w:pPr>
            <w:r>
              <w:rPr>
                <w:rFonts w:hint="eastAsia"/>
              </w:rPr>
              <w:t xml:space="preserve">办公地址： </w:t>
            </w:r>
          </w:p>
        </w:tc>
        <w:tc>
          <w:tcPr>
            <w:tcW w:w="7440" w:type="dxa"/>
            <w:shd w:val="clear" w:color="auto" w:fill="auto"/>
          </w:tcPr>
          <w:p w14:paraId="511405AE">
            <w:pPr>
              <w:pStyle w:val="8"/>
            </w:pPr>
            <w:r>
              <w:rPr>
                <w:rFonts w:hint="eastAsia"/>
              </w:rPr>
              <w:t xml:space="preserve">新疆乌鲁木齐市高新区（新市区）北京南路358号大成国际大厦20楼2005室 </w:t>
            </w:r>
          </w:p>
        </w:tc>
      </w:tr>
      <w:tr w14:paraId="5159D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17B15">
            <w:pPr>
              <w:pStyle w:val="8"/>
            </w:pPr>
            <w:r>
              <w:rPr>
                <w:rFonts w:hint="eastAsia"/>
              </w:rPr>
              <w:t xml:space="preserve">法定代表人： </w:t>
            </w:r>
          </w:p>
        </w:tc>
        <w:tc>
          <w:tcPr>
            <w:tcW w:w="7440" w:type="dxa"/>
            <w:shd w:val="clear" w:color="auto" w:fill="auto"/>
          </w:tcPr>
          <w:p w14:paraId="4BECEA7F">
            <w:pPr>
              <w:pStyle w:val="8"/>
            </w:pPr>
            <w:r>
              <w:rPr>
                <w:rFonts w:hint="eastAsia"/>
              </w:rPr>
              <w:t xml:space="preserve">王献军  </w:t>
            </w:r>
          </w:p>
        </w:tc>
      </w:tr>
      <w:tr w14:paraId="0A8AE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3CC8E">
            <w:pPr>
              <w:pStyle w:val="8"/>
            </w:pPr>
            <w:r>
              <w:rPr>
                <w:rFonts w:hint="eastAsia"/>
              </w:rPr>
              <w:t xml:space="preserve">联系人： </w:t>
            </w:r>
          </w:p>
        </w:tc>
        <w:tc>
          <w:tcPr>
            <w:tcW w:w="7440" w:type="dxa"/>
            <w:shd w:val="clear" w:color="auto" w:fill="auto"/>
          </w:tcPr>
          <w:p w14:paraId="39360C2D">
            <w:pPr>
              <w:pStyle w:val="8"/>
            </w:pPr>
            <w:r>
              <w:rPr>
                <w:rFonts w:hint="eastAsia"/>
              </w:rPr>
              <w:t xml:space="preserve">梁丽 </w:t>
            </w:r>
          </w:p>
        </w:tc>
      </w:tr>
      <w:tr w14:paraId="376B0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06DFF">
            <w:pPr>
              <w:pStyle w:val="8"/>
            </w:pPr>
            <w:r>
              <w:rPr>
                <w:rFonts w:hint="eastAsia"/>
              </w:rPr>
              <w:t xml:space="preserve">电话： </w:t>
            </w:r>
          </w:p>
        </w:tc>
        <w:tc>
          <w:tcPr>
            <w:tcW w:w="7440" w:type="dxa"/>
            <w:shd w:val="clear" w:color="auto" w:fill="auto"/>
          </w:tcPr>
          <w:p w14:paraId="73E403FD">
            <w:pPr>
              <w:pStyle w:val="8"/>
            </w:pPr>
            <w:r>
              <w:rPr>
                <w:rFonts w:hint="eastAsia"/>
              </w:rPr>
              <w:t xml:space="preserve">0991-2307105 </w:t>
            </w:r>
          </w:p>
        </w:tc>
      </w:tr>
      <w:tr w14:paraId="67920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DCFBF4">
            <w:pPr>
              <w:pStyle w:val="8"/>
            </w:pPr>
            <w:r>
              <w:rPr>
                <w:rFonts w:hint="eastAsia"/>
              </w:rPr>
              <w:t xml:space="preserve">传真： </w:t>
            </w:r>
          </w:p>
        </w:tc>
        <w:tc>
          <w:tcPr>
            <w:tcW w:w="7440" w:type="dxa"/>
            <w:shd w:val="clear" w:color="auto" w:fill="auto"/>
          </w:tcPr>
          <w:p w14:paraId="4E5329D1">
            <w:pPr>
              <w:pStyle w:val="8"/>
            </w:pPr>
            <w:r>
              <w:rPr>
                <w:rFonts w:hint="eastAsia"/>
              </w:rPr>
              <w:t xml:space="preserve">010-88085195 </w:t>
            </w:r>
          </w:p>
        </w:tc>
      </w:tr>
      <w:tr w14:paraId="1F5B2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C1509">
            <w:pPr>
              <w:pStyle w:val="8"/>
            </w:pPr>
            <w:r>
              <w:rPr>
                <w:rFonts w:hint="eastAsia"/>
              </w:rPr>
              <w:t xml:space="preserve">客户服务电话： </w:t>
            </w:r>
          </w:p>
        </w:tc>
        <w:tc>
          <w:tcPr>
            <w:tcW w:w="7440" w:type="dxa"/>
            <w:shd w:val="clear" w:color="auto" w:fill="auto"/>
          </w:tcPr>
          <w:p w14:paraId="583C13DA">
            <w:pPr>
              <w:pStyle w:val="8"/>
            </w:pPr>
            <w:r>
              <w:rPr>
                <w:rFonts w:hint="eastAsia"/>
              </w:rPr>
              <w:t xml:space="preserve">95523或4008895523 </w:t>
            </w:r>
          </w:p>
        </w:tc>
      </w:tr>
      <w:tr w14:paraId="06D27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FB334C">
            <w:pPr>
              <w:pStyle w:val="8"/>
            </w:pPr>
            <w:r>
              <w:rPr>
                <w:rFonts w:hint="eastAsia"/>
              </w:rPr>
              <w:t xml:space="preserve">网址： </w:t>
            </w:r>
          </w:p>
        </w:tc>
        <w:tc>
          <w:tcPr>
            <w:tcW w:w="7440" w:type="dxa"/>
            <w:shd w:val="clear" w:color="auto" w:fill="auto"/>
          </w:tcPr>
          <w:p w14:paraId="759B3378">
            <w:pPr>
              <w:pStyle w:val="8"/>
            </w:pPr>
            <w:r>
              <w:rPr>
                <w:rFonts w:hint="eastAsia"/>
              </w:rPr>
              <w:t xml:space="preserve">www.swhysc.com </w:t>
            </w:r>
          </w:p>
        </w:tc>
      </w:tr>
    </w:tbl>
    <w:p w14:paraId="263A9D37">
      <w:pPr>
        <w:pStyle w:val="8"/>
        <w:spacing w:before="0" w:beforeAutospacing="0" w:after="0" w:afterAutospacing="0" w:line="360" w:lineRule="auto"/>
        <w:ind w:firstLine="420"/>
        <w:rPr>
          <w:sz w:val="21"/>
          <w:szCs w:val="21"/>
        </w:rPr>
      </w:pPr>
      <w:r>
        <w:rPr>
          <w:rFonts w:hint="eastAsia"/>
          <w:b/>
          <w:bCs/>
          <w:sz w:val="21"/>
          <w:szCs w:val="21"/>
        </w:rPr>
        <w:t>(40)中泰证券股份有限公司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2D49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D63C77">
            <w:pPr>
              <w:pStyle w:val="8"/>
            </w:pPr>
            <w:r>
              <w:rPr>
                <w:rFonts w:hint="eastAsia"/>
              </w:rPr>
              <w:t xml:space="preserve">注册地址： </w:t>
            </w:r>
          </w:p>
        </w:tc>
        <w:tc>
          <w:tcPr>
            <w:tcW w:w="7440" w:type="dxa"/>
            <w:shd w:val="clear" w:color="auto" w:fill="auto"/>
          </w:tcPr>
          <w:p w14:paraId="1ED858EA">
            <w:pPr>
              <w:pStyle w:val="8"/>
            </w:pPr>
            <w:r>
              <w:rPr>
                <w:rFonts w:hint="eastAsia"/>
              </w:rPr>
              <w:t xml:space="preserve">济南市市中区经七路86号 </w:t>
            </w:r>
          </w:p>
        </w:tc>
      </w:tr>
      <w:tr w14:paraId="23359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69E134">
            <w:pPr>
              <w:pStyle w:val="8"/>
            </w:pPr>
            <w:r>
              <w:rPr>
                <w:rFonts w:hint="eastAsia"/>
              </w:rPr>
              <w:t xml:space="preserve">办公地址： </w:t>
            </w:r>
          </w:p>
        </w:tc>
        <w:tc>
          <w:tcPr>
            <w:tcW w:w="7440" w:type="dxa"/>
            <w:shd w:val="clear" w:color="auto" w:fill="auto"/>
          </w:tcPr>
          <w:p w14:paraId="6A0559AD">
            <w:pPr>
              <w:pStyle w:val="8"/>
            </w:pPr>
            <w:r>
              <w:rPr>
                <w:rFonts w:hint="eastAsia"/>
              </w:rPr>
              <w:t xml:space="preserve">山东省济南市市中区经七路86号证券大厦2309 </w:t>
            </w:r>
          </w:p>
        </w:tc>
      </w:tr>
      <w:tr w14:paraId="4216C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C0D2E5">
            <w:pPr>
              <w:pStyle w:val="8"/>
            </w:pPr>
            <w:r>
              <w:rPr>
                <w:rFonts w:hint="eastAsia"/>
              </w:rPr>
              <w:t xml:space="preserve">法定代表人： </w:t>
            </w:r>
          </w:p>
        </w:tc>
        <w:tc>
          <w:tcPr>
            <w:tcW w:w="7440" w:type="dxa"/>
            <w:shd w:val="clear" w:color="auto" w:fill="auto"/>
          </w:tcPr>
          <w:p w14:paraId="39AE8900">
            <w:pPr>
              <w:pStyle w:val="8"/>
            </w:pPr>
            <w:r>
              <w:rPr>
                <w:rFonts w:hint="eastAsia"/>
              </w:rPr>
              <w:t xml:space="preserve">王洪 </w:t>
            </w:r>
          </w:p>
        </w:tc>
      </w:tr>
      <w:tr w14:paraId="7B261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3C0A6F">
            <w:pPr>
              <w:pStyle w:val="8"/>
            </w:pPr>
            <w:r>
              <w:rPr>
                <w:rFonts w:hint="eastAsia"/>
              </w:rPr>
              <w:t xml:space="preserve">联系人： </w:t>
            </w:r>
          </w:p>
        </w:tc>
        <w:tc>
          <w:tcPr>
            <w:tcW w:w="7440" w:type="dxa"/>
            <w:shd w:val="clear" w:color="auto" w:fill="auto"/>
          </w:tcPr>
          <w:p w14:paraId="0EDAB572">
            <w:pPr>
              <w:pStyle w:val="8"/>
            </w:pPr>
            <w:r>
              <w:rPr>
                <w:rFonts w:hint="eastAsia"/>
              </w:rPr>
              <w:t xml:space="preserve">张峰源 </w:t>
            </w:r>
          </w:p>
        </w:tc>
      </w:tr>
      <w:tr w14:paraId="11051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6EF3B">
            <w:pPr>
              <w:pStyle w:val="8"/>
            </w:pPr>
            <w:r>
              <w:rPr>
                <w:rFonts w:hint="eastAsia"/>
              </w:rPr>
              <w:t xml:space="preserve">电话： </w:t>
            </w:r>
          </w:p>
        </w:tc>
        <w:tc>
          <w:tcPr>
            <w:tcW w:w="7440" w:type="dxa"/>
            <w:shd w:val="clear" w:color="auto" w:fill="auto"/>
          </w:tcPr>
          <w:p w14:paraId="1EC5E10B">
            <w:pPr>
              <w:pStyle w:val="8"/>
            </w:pPr>
            <w:r>
              <w:rPr>
                <w:rFonts w:hint="eastAsia"/>
              </w:rPr>
              <w:t xml:space="preserve">021-20315719 </w:t>
            </w:r>
          </w:p>
        </w:tc>
      </w:tr>
      <w:tr w14:paraId="71210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5F8E8A">
            <w:pPr>
              <w:pStyle w:val="8"/>
            </w:pPr>
            <w:r>
              <w:rPr>
                <w:rFonts w:hint="eastAsia"/>
              </w:rPr>
              <w:t xml:space="preserve">客户服务电话： </w:t>
            </w:r>
          </w:p>
        </w:tc>
        <w:tc>
          <w:tcPr>
            <w:tcW w:w="7440" w:type="dxa"/>
            <w:shd w:val="clear" w:color="auto" w:fill="auto"/>
          </w:tcPr>
          <w:p w14:paraId="4F47E9D7">
            <w:pPr>
              <w:pStyle w:val="8"/>
            </w:pPr>
            <w:r>
              <w:rPr>
                <w:rFonts w:hint="eastAsia"/>
              </w:rPr>
              <w:t xml:space="preserve">95538 </w:t>
            </w:r>
          </w:p>
        </w:tc>
      </w:tr>
      <w:tr w14:paraId="2A20A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2CA3DB">
            <w:pPr>
              <w:pStyle w:val="8"/>
            </w:pPr>
            <w:r>
              <w:rPr>
                <w:rFonts w:hint="eastAsia"/>
              </w:rPr>
              <w:t xml:space="preserve">网址： </w:t>
            </w:r>
          </w:p>
        </w:tc>
        <w:tc>
          <w:tcPr>
            <w:tcW w:w="7440" w:type="dxa"/>
            <w:shd w:val="clear" w:color="auto" w:fill="auto"/>
          </w:tcPr>
          <w:p w14:paraId="4401549F">
            <w:pPr>
              <w:pStyle w:val="8"/>
            </w:pPr>
            <w:r>
              <w:rPr>
                <w:rFonts w:hint="eastAsia"/>
              </w:rPr>
              <w:t xml:space="preserve">www.zts.com.cn </w:t>
            </w:r>
          </w:p>
        </w:tc>
      </w:tr>
    </w:tbl>
    <w:p w14:paraId="378E89E1">
      <w:pPr>
        <w:pStyle w:val="8"/>
        <w:spacing w:before="0" w:beforeAutospacing="0" w:after="0" w:afterAutospacing="0" w:line="360" w:lineRule="auto"/>
        <w:ind w:firstLine="420"/>
        <w:rPr>
          <w:sz w:val="21"/>
          <w:szCs w:val="21"/>
        </w:rPr>
      </w:pPr>
      <w:r>
        <w:rPr>
          <w:rFonts w:hint="eastAsia"/>
          <w:b/>
          <w:bCs/>
          <w:sz w:val="21"/>
          <w:szCs w:val="21"/>
        </w:rPr>
        <w:t>(41)金元证券股份有限公司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C8FC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A51F7F">
            <w:pPr>
              <w:pStyle w:val="8"/>
            </w:pPr>
            <w:r>
              <w:rPr>
                <w:rFonts w:hint="eastAsia"/>
              </w:rPr>
              <w:t xml:space="preserve">注册地址： </w:t>
            </w:r>
          </w:p>
        </w:tc>
        <w:tc>
          <w:tcPr>
            <w:tcW w:w="7440" w:type="dxa"/>
            <w:shd w:val="clear" w:color="auto" w:fill="auto"/>
          </w:tcPr>
          <w:p w14:paraId="391FB2CA">
            <w:pPr>
              <w:pStyle w:val="8"/>
            </w:pPr>
            <w:r>
              <w:rPr>
                <w:rFonts w:hint="eastAsia"/>
              </w:rPr>
              <w:t xml:space="preserve">海口市南宝路36号证券大厦4楼 </w:t>
            </w:r>
          </w:p>
        </w:tc>
      </w:tr>
      <w:tr w14:paraId="48E62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6C886E">
            <w:pPr>
              <w:pStyle w:val="8"/>
            </w:pPr>
            <w:r>
              <w:rPr>
                <w:rFonts w:hint="eastAsia"/>
              </w:rPr>
              <w:t xml:space="preserve">办公地址： </w:t>
            </w:r>
          </w:p>
        </w:tc>
        <w:tc>
          <w:tcPr>
            <w:tcW w:w="7440" w:type="dxa"/>
            <w:shd w:val="clear" w:color="auto" w:fill="auto"/>
          </w:tcPr>
          <w:p w14:paraId="390E204B">
            <w:pPr>
              <w:pStyle w:val="8"/>
            </w:pPr>
            <w:r>
              <w:rPr>
                <w:rFonts w:hint="eastAsia"/>
              </w:rPr>
              <w:t xml:space="preserve">深圳市福田区深南大道4001号时代金融中心17楼 </w:t>
            </w:r>
          </w:p>
        </w:tc>
      </w:tr>
      <w:tr w14:paraId="66B68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3749C6">
            <w:pPr>
              <w:pStyle w:val="8"/>
            </w:pPr>
            <w:r>
              <w:rPr>
                <w:rFonts w:hint="eastAsia"/>
              </w:rPr>
              <w:t xml:space="preserve">法定代表人： </w:t>
            </w:r>
          </w:p>
        </w:tc>
        <w:tc>
          <w:tcPr>
            <w:tcW w:w="7440" w:type="dxa"/>
            <w:shd w:val="clear" w:color="auto" w:fill="auto"/>
          </w:tcPr>
          <w:p w14:paraId="6FF6AC5F">
            <w:pPr>
              <w:pStyle w:val="8"/>
            </w:pPr>
            <w:r>
              <w:rPr>
                <w:rFonts w:hint="eastAsia"/>
              </w:rPr>
              <w:t xml:space="preserve">陆涛 </w:t>
            </w:r>
          </w:p>
        </w:tc>
      </w:tr>
      <w:tr w14:paraId="3A5F6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95FF0A">
            <w:pPr>
              <w:pStyle w:val="8"/>
            </w:pPr>
            <w:r>
              <w:rPr>
                <w:rFonts w:hint="eastAsia"/>
              </w:rPr>
              <w:t xml:space="preserve">联系人： </w:t>
            </w:r>
          </w:p>
        </w:tc>
        <w:tc>
          <w:tcPr>
            <w:tcW w:w="7440" w:type="dxa"/>
            <w:shd w:val="clear" w:color="auto" w:fill="auto"/>
          </w:tcPr>
          <w:p w14:paraId="6212E9DE">
            <w:pPr>
              <w:pStyle w:val="8"/>
            </w:pPr>
            <w:r>
              <w:rPr>
                <w:rFonts w:hint="eastAsia"/>
              </w:rPr>
              <w:t xml:space="preserve">马贤清 </w:t>
            </w:r>
          </w:p>
        </w:tc>
      </w:tr>
      <w:tr w14:paraId="2EFA1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B43D6F">
            <w:pPr>
              <w:pStyle w:val="8"/>
            </w:pPr>
            <w:r>
              <w:rPr>
                <w:rFonts w:hint="eastAsia"/>
              </w:rPr>
              <w:t xml:space="preserve">电话： </w:t>
            </w:r>
          </w:p>
        </w:tc>
        <w:tc>
          <w:tcPr>
            <w:tcW w:w="7440" w:type="dxa"/>
            <w:shd w:val="clear" w:color="auto" w:fill="auto"/>
          </w:tcPr>
          <w:p w14:paraId="6D82F0E0">
            <w:pPr>
              <w:pStyle w:val="8"/>
            </w:pPr>
            <w:r>
              <w:rPr>
                <w:rFonts w:hint="eastAsia"/>
              </w:rPr>
              <w:t xml:space="preserve">0755-83025022 </w:t>
            </w:r>
          </w:p>
        </w:tc>
      </w:tr>
      <w:tr w14:paraId="59B94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1FEB0B">
            <w:pPr>
              <w:pStyle w:val="8"/>
            </w:pPr>
            <w:r>
              <w:rPr>
                <w:rFonts w:hint="eastAsia"/>
              </w:rPr>
              <w:t xml:space="preserve">传真： </w:t>
            </w:r>
          </w:p>
        </w:tc>
        <w:tc>
          <w:tcPr>
            <w:tcW w:w="7440" w:type="dxa"/>
            <w:shd w:val="clear" w:color="auto" w:fill="auto"/>
          </w:tcPr>
          <w:p w14:paraId="257C3129">
            <w:pPr>
              <w:pStyle w:val="8"/>
            </w:pPr>
            <w:r>
              <w:rPr>
                <w:rFonts w:hint="eastAsia"/>
              </w:rPr>
              <w:t xml:space="preserve">0755-83025625 </w:t>
            </w:r>
          </w:p>
        </w:tc>
      </w:tr>
      <w:tr w14:paraId="4FF14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BD5277">
            <w:pPr>
              <w:pStyle w:val="8"/>
            </w:pPr>
            <w:r>
              <w:rPr>
                <w:rFonts w:hint="eastAsia"/>
              </w:rPr>
              <w:t xml:space="preserve">客户服务电话： </w:t>
            </w:r>
          </w:p>
        </w:tc>
        <w:tc>
          <w:tcPr>
            <w:tcW w:w="7440" w:type="dxa"/>
            <w:shd w:val="clear" w:color="auto" w:fill="auto"/>
          </w:tcPr>
          <w:p w14:paraId="587E5ECD">
            <w:pPr>
              <w:pStyle w:val="8"/>
            </w:pPr>
            <w:r>
              <w:rPr>
                <w:rFonts w:hint="eastAsia"/>
              </w:rPr>
              <w:t xml:space="preserve">4008-888-228 </w:t>
            </w:r>
          </w:p>
        </w:tc>
      </w:tr>
      <w:tr w14:paraId="499EC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DA1DFD">
            <w:pPr>
              <w:pStyle w:val="8"/>
            </w:pPr>
            <w:r>
              <w:rPr>
                <w:rFonts w:hint="eastAsia"/>
              </w:rPr>
              <w:t xml:space="preserve">网址： </w:t>
            </w:r>
          </w:p>
        </w:tc>
        <w:tc>
          <w:tcPr>
            <w:tcW w:w="7440" w:type="dxa"/>
            <w:shd w:val="clear" w:color="auto" w:fill="auto"/>
          </w:tcPr>
          <w:p w14:paraId="7E45AC30">
            <w:pPr>
              <w:pStyle w:val="8"/>
            </w:pPr>
            <w:r>
              <w:rPr>
                <w:rFonts w:hint="eastAsia"/>
              </w:rPr>
              <w:t xml:space="preserve">https://www.jyzq.cn/ </w:t>
            </w:r>
          </w:p>
        </w:tc>
      </w:tr>
    </w:tbl>
    <w:p w14:paraId="1A42789D">
      <w:pPr>
        <w:pStyle w:val="8"/>
        <w:spacing w:before="0" w:beforeAutospacing="0" w:after="0" w:afterAutospacing="0" w:line="360" w:lineRule="auto"/>
        <w:ind w:firstLine="420"/>
        <w:rPr>
          <w:sz w:val="21"/>
          <w:szCs w:val="21"/>
        </w:rPr>
      </w:pPr>
      <w:r>
        <w:rPr>
          <w:rFonts w:hint="eastAsia"/>
          <w:b/>
          <w:bCs/>
          <w:sz w:val="21"/>
          <w:szCs w:val="21"/>
        </w:rPr>
        <w:t>(42)德邦证券股份有限公司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9A8E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7A588A5">
            <w:pPr>
              <w:pStyle w:val="8"/>
            </w:pPr>
            <w:r>
              <w:rPr>
                <w:rFonts w:hint="eastAsia"/>
              </w:rPr>
              <w:t xml:space="preserve">注册地址： </w:t>
            </w:r>
          </w:p>
        </w:tc>
        <w:tc>
          <w:tcPr>
            <w:tcW w:w="7440" w:type="dxa"/>
            <w:shd w:val="clear" w:color="auto" w:fill="auto"/>
          </w:tcPr>
          <w:p w14:paraId="33E4F204">
            <w:pPr>
              <w:pStyle w:val="8"/>
            </w:pPr>
            <w:r>
              <w:rPr>
                <w:rFonts w:hint="eastAsia"/>
              </w:rPr>
              <w:t xml:space="preserve">上海市普陀区曹杨路510号南半幢9楼 </w:t>
            </w:r>
          </w:p>
        </w:tc>
      </w:tr>
      <w:tr w14:paraId="44604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07587A">
            <w:pPr>
              <w:pStyle w:val="8"/>
            </w:pPr>
            <w:r>
              <w:rPr>
                <w:rFonts w:hint="eastAsia"/>
              </w:rPr>
              <w:t xml:space="preserve">办公地址： </w:t>
            </w:r>
          </w:p>
        </w:tc>
        <w:tc>
          <w:tcPr>
            <w:tcW w:w="7440" w:type="dxa"/>
            <w:shd w:val="clear" w:color="auto" w:fill="auto"/>
          </w:tcPr>
          <w:p w14:paraId="2356BE4D">
            <w:pPr>
              <w:pStyle w:val="8"/>
            </w:pPr>
            <w:r>
              <w:rPr>
                <w:rFonts w:hint="eastAsia"/>
              </w:rPr>
              <w:t xml:space="preserve">上海市浦东新区福山路500号城建国际中心26楼 </w:t>
            </w:r>
          </w:p>
        </w:tc>
      </w:tr>
      <w:tr w14:paraId="3AEFE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E1F821">
            <w:pPr>
              <w:pStyle w:val="8"/>
            </w:pPr>
            <w:r>
              <w:rPr>
                <w:rFonts w:hint="eastAsia"/>
              </w:rPr>
              <w:t xml:space="preserve">法定代表人： </w:t>
            </w:r>
          </w:p>
        </w:tc>
        <w:tc>
          <w:tcPr>
            <w:tcW w:w="7440" w:type="dxa"/>
            <w:shd w:val="clear" w:color="auto" w:fill="auto"/>
          </w:tcPr>
          <w:p w14:paraId="3FA1B627">
            <w:pPr>
              <w:pStyle w:val="8"/>
            </w:pPr>
            <w:r>
              <w:rPr>
                <w:rFonts w:hint="eastAsia"/>
              </w:rPr>
              <w:t xml:space="preserve">武晓春 </w:t>
            </w:r>
          </w:p>
        </w:tc>
      </w:tr>
      <w:tr w14:paraId="6EC6C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8E887">
            <w:pPr>
              <w:pStyle w:val="8"/>
            </w:pPr>
            <w:r>
              <w:rPr>
                <w:rFonts w:hint="eastAsia"/>
              </w:rPr>
              <w:t xml:space="preserve">联系人： </w:t>
            </w:r>
          </w:p>
        </w:tc>
        <w:tc>
          <w:tcPr>
            <w:tcW w:w="7440" w:type="dxa"/>
            <w:shd w:val="clear" w:color="auto" w:fill="auto"/>
          </w:tcPr>
          <w:p w14:paraId="223D9523">
            <w:pPr>
              <w:pStyle w:val="8"/>
            </w:pPr>
            <w:r>
              <w:rPr>
                <w:rFonts w:hint="eastAsia"/>
              </w:rPr>
              <w:t xml:space="preserve">刘熠 </w:t>
            </w:r>
          </w:p>
        </w:tc>
      </w:tr>
      <w:tr w14:paraId="458CD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F32D1">
            <w:pPr>
              <w:pStyle w:val="8"/>
            </w:pPr>
            <w:r>
              <w:rPr>
                <w:rFonts w:hint="eastAsia"/>
              </w:rPr>
              <w:t xml:space="preserve">电话： </w:t>
            </w:r>
          </w:p>
        </w:tc>
        <w:tc>
          <w:tcPr>
            <w:tcW w:w="7440" w:type="dxa"/>
            <w:shd w:val="clear" w:color="auto" w:fill="auto"/>
          </w:tcPr>
          <w:p w14:paraId="1DD21B3B">
            <w:pPr>
              <w:pStyle w:val="8"/>
            </w:pPr>
            <w:r>
              <w:rPr>
                <w:rFonts w:hint="eastAsia"/>
              </w:rPr>
              <w:t xml:space="preserve">021-68761616 </w:t>
            </w:r>
          </w:p>
        </w:tc>
      </w:tr>
      <w:tr w14:paraId="01DD0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B0C055">
            <w:pPr>
              <w:pStyle w:val="8"/>
            </w:pPr>
            <w:r>
              <w:rPr>
                <w:rFonts w:hint="eastAsia"/>
              </w:rPr>
              <w:t xml:space="preserve">传真： </w:t>
            </w:r>
          </w:p>
        </w:tc>
        <w:tc>
          <w:tcPr>
            <w:tcW w:w="7440" w:type="dxa"/>
            <w:shd w:val="clear" w:color="auto" w:fill="auto"/>
          </w:tcPr>
          <w:p w14:paraId="381975DA">
            <w:pPr>
              <w:pStyle w:val="8"/>
            </w:pPr>
            <w:r>
              <w:rPr>
                <w:rFonts w:hint="eastAsia"/>
              </w:rPr>
              <w:t xml:space="preserve">021-68767981 </w:t>
            </w:r>
          </w:p>
        </w:tc>
      </w:tr>
      <w:tr w14:paraId="42BCC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913E11">
            <w:pPr>
              <w:pStyle w:val="8"/>
            </w:pPr>
            <w:r>
              <w:rPr>
                <w:rFonts w:hint="eastAsia"/>
              </w:rPr>
              <w:t xml:space="preserve">客户服务电话： </w:t>
            </w:r>
          </w:p>
        </w:tc>
        <w:tc>
          <w:tcPr>
            <w:tcW w:w="7440" w:type="dxa"/>
            <w:shd w:val="clear" w:color="auto" w:fill="auto"/>
          </w:tcPr>
          <w:p w14:paraId="7F4A1423">
            <w:pPr>
              <w:pStyle w:val="8"/>
            </w:pPr>
            <w:r>
              <w:rPr>
                <w:rFonts w:hint="eastAsia"/>
              </w:rPr>
              <w:t xml:space="preserve">4008888128 </w:t>
            </w:r>
          </w:p>
        </w:tc>
      </w:tr>
      <w:tr w14:paraId="4810F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5499D9">
            <w:pPr>
              <w:pStyle w:val="8"/>
            </w:pPr>
            <w:r>
              <w:rPr>
                <w:rFonts w:hint="eastAsia"/>
              </w:rPr>
              <w:t xml:space="preserve">网址： </w:t>
            </w:r>
          </w:p>
        </w:tc>
        <w:tc>
          <w:tcPr>
            <w:tcW w:w="7440" w:type="dxa"/>
            <w:shd w:val="clear" w:color="auto" w:fill="auto"/>
          </w:tcPr>
          <w:p w14:paraId="06ACBF1F">
            <w:pPr>
              <w:pStyle w:val="8"/>
            </w:pPr>
            <w:r>
              <w:rPr>
                <w:rFonts w:hint="eastAsia"/>
              </w:rPr>
              <w:t xml:space="preserve">http://www.tebon.com.cn </w:t>
            </w:r>
          </w:p>
        </w:tc>
      </w:tr>
    </w:tbl>
    <w:p w14:paraId="20F83225">
      <w:pPr>
        <w:pStyle w:val="8"/>
        <w:spacing w:before="0" w:beforeAutospacing="0" w:after="0" w:afterAutospacing="0" w:line="360" w:lineRule="auto"/>
        <w:ind w:firstLine="420"/>
        <w:rPr>
          <w:sz w:val="21"/>
          <w:szCs w:val="21"/>
        </w:rPr>
      </w:pPr>
      <w:r>
        <w:rPr>
          <w:rFonts w:hint="eastAsia"/>
          <w:b/>
          <w:bCs/>
          <w:sz w:val="21"/>
          <w:szCs w:val="21"/>
        </w:rPr>
        <w:t>(43)西部证券股份有限公司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B1E0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40C4E1">
            <w:pPr>
              <w:pStyle w:val="8"/>
            </w:pPr>
            <w:r>
              <w:rPr>
                <w:rFonts w:hint="eastAsia"/>
              </w:rPr>
              <w:t xml:space="preserve">注册地址： </w:t>
            </w:r>
          </w:p>
        </w:tc>
        <w:tc>
          <w:tcPr>
            <w:tcW w:w="7440" w:type="dxa"/>
            <w:shd w:val="clear" w:color="auto" w:fill="auto"/>
          </w:tcPr>
          <w:p w14:paraId="316580D1">
            <w:pPr>
              <w:pStyle w:val="8"/>
            </w:pPr>
            <w:r>
              <w:rPr>
                <w:rFonts w:hint="eastAsia"/>
              </w:rPr>
              <w:t xml:space="preserve">陕西省西安市新城区东新街319号8幢10000室  </w:t>
            </w:r>
          </w:p>
        </w:tc>
      </w:tr>
      <w:tr w14:paraId="127BE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5E21FF">
            <w:pPr>
              <w:pStyle w:val="8"/>
            </w:pPr>
            <w:r>
              <w:rPr>
                <w:rFonts w:hint="eastAsia"/>
              </w:rPr>
              <w:t xml:space="preserve">办公地址： </w:t>
            </w:r>
          </w:p>
        </w:tc>
        <w:tc>
          <w:tcPr>
            <w:tcW w:w="7440" w:type="dxa"/>
            <w:shd w:val="clear" w:color="auto" w:fill="auto"/>
          </w:tcPr>
          <w:p w14:paraId="0E3A3AD6">
            <w:pPr>
              <w:pStyle w:val="8"/>
            </w:pPr>
            <w:r>
              <w:rPr>
                <w:rFonts w:hint="eastAsia"/>
              </w:rPr>
              <w:t xml:space="preserve">西安市新城区东新街319号 </w:t>
            </w:r>
          </w:p>
        </w:tc>
      </w:tr>
      <w:tr w14:paraId="087D8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09A66F">
            <w:pPr>
              <w:pStyle w:val="8"/>
            </w:pPr>
            <w:r>
              <w:rPr>
                <w:rFonts w:hint="eastAsia"/>
              </w:rPr>
              <w:t xml:space="preserve">法定代表人： </w:t>
            </w:r>
          </w:p>
        </w:tc>
        <w:tc>
          <w:tcPr>
            <w:tcW w:w="7440" w:type="dxa"/>
            <w:shd w:val="clear" w:color="auto" w:fill="auto"/>
          </w:tcPr>
          <w:p w14:paraId="45D1AF39">
            <w:pPr>
              <w:pStyle w:val="8"/>
            </w:pPr>
            <w:r>
              <w:rPr>
                <w:rFonts w:hint="eastAsia"/>
              </w:rPr>
              <w:t xml:space="preserve">徐朝晖 </w:t>
            </w:r>
          </w:p>
        </w:tc>
      </w:tr>
      <w:tr w14:paraId="7CA58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393CD">
            <w:pPr>
              <w:pStyle w:val="8"/>
            </w:pPr>
            <w:r>
              <w:rPr>
                <w:rFonts w:hint="eastAsia"/>
              </w:rPr>
              <w:t xml:space="preserve">联系人： </w:t>
            </w:r>
          </w:p>
        </w:tc>
        <w:tc>
          <w:tcPr>
            <w:tcW w:w="7440" w:type="dxa"/>
            <w:shd w:val="clear" w:color="auto" w:fill="auto"/>
          </w:tcPr>
          <w:p w14:paraId="1215919B">
            <w:pPr>
              <w:pStyle w:val="8"/>
            </w:pPr>
            <w:r>
              <w:rPr>
                <w:rFonts w:hint="eastAsia"/>
              </w:rPr>
              <w:t xml:space="preserve">张吉安 </w:t>
            </w:r>
          </w:p>
        </w:tc>
      </w:tr>
      <w:tr w14:paraId="1138D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6E3AFB">
            <w:pPr>
              <w:pStyle w:val="8"/>
            </w:pPr>
            <w:r>
              <w:rPr>
                <w:rFonts w:hint="eastAsia"/>
              </w:rPr>
              <w:t xml:space="preserve">电话： </w:t>
            </w:r>
          </w:p>
        </w:tc>
        <w:tc>
          <w:tcPr>
            <w:tcW w:w="7440" w:type="dxa"/>
            <w:shd w:val="clear" w:color="auto" w:fill="auto"/>
          </w:tcPr>
          <w:p w14:paraId="6F9803BE">
            <w:pPr>
              <w:pStyle w:val="8"/>
            </w:pPr>
            <w:r>
              <w:rPr>
                <w:rFonts w:hint="eastAsia"/>
              </w:rPr>
              <w:t xml:space="preserve">029-87211668 </w:t>
            </w:r>
          </w:p>
        </w:tc>
      </w:tr>
      <w:tr w14:paraId="61F16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3666DC">
            <w:pPr>
              <w:pStyle w:val="8"/>
            </w:pPr>
            <w:r>
              <w:rPr>
                <w:rFonts w:hint="eastAsia"/>
              </w:rPr>
              <w:t xml:space="preserve">传真： </w:t>
            </w:r>
          </w:p>
        </w:tc>
        <w:tc>
          <w:tcPr>
            <w:tcW w:w="7440" w:type="dxa"/>
            <w:shd w:val="clear" w:color="auto" w:fill="auto"/>
          </w:tcPr>
          <w:p w14:paraId="286D7B36">
            <w:pPr>
              <w:pStyle w:val="8"/>
            </w:pPr>
            <w:r>
              <w:rPr>
                <w:rFonts w:hint="eastAsia"/>
              </w:rPr>
              <w:t xml:space="preserve">029-87406117 </w:t>
            </w:r>
          </w:p>
        </w:tc>
      </w:tr>
      <w:tr w14:paraId="3AD90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BC10F3">
            <w:pPr>
              <w:pStyle w:val="8"/>
            </w:pPr>
            <w:r>
              <w:rPr>
                <w:rFonts w:hint="eastAsia"/>
              </w:rPr>
              <w:t xml:space="preserve">客户服务电话： </w:t>
            </w:r>
          </w:p>
        </w:tc>
        <w:tc>
          <w:tcPr>
            <w:tcW w:w="7440" w:type="dxa"/>
            <w:shd w:val="clear" w:color="auto" w:fill="auto"/>
          </w:tcPr>
          <w:p w14:paraId="0A1C0B6F">
            <w:pPr>
              <w:pStyle w:val="8"/>
            </w:pPr>
            <w:r>
              <w:rPr>
                <w:rFonts w:hint="eastAsia"/>
              </w:rPr>
              <w:t xml:space="preserve">95582 </w:t>
            </w:r>
          </w:p>
        </w:tc>
      </w:tr>
      <w:tr w14:paraId="7A5CD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6A5388">
            <w:pPr>
              <w:pStyle w:val="8"/>
            </w:pPr>
            <w:r>
              <w:rPr>
                <w:rFonts w:hint="eastAsia"/>
              </w:rPr>
              <w:t xml:space="preserve">网址： </w:t>
            </w:r>
          </w:p>
        </w:tc>
        <w:tc>
          <w:tcPr>
            <w:tcW w:w="7440" w:type="dxa"/>
            <w:shd w:val="clear" w:color="auto" w:fill="auto"/>
          </w:tcPr>
          <w:p w14:paraId="4A9622A0">
            <w:pPr>
              <w:pStyle w:val="8"/>
            </w:pPr>
            <w:r>
              <w:rPr>
                <w:rFonts w:hint="eastAsia"/>
              </w:rPr>
              <w:t xml:space="preserve">http://www.west95582.com/ </w:t>
            </w:r>
          </w:p>
        </w:tc>
      </w:tr>
    </w:tbl>
    <w:p w14:paraId="09830CB5">
      <w:pPr>
        <w:pStyle w:val="8"/>
        <w:spacing w:before="0" w:beforeAutospacing="0" w:after="0" w:afterAutospacing="0" w:line="360" w:lineRule="auto"/>
        <w:ind w:firstLine="420"/>
        <w:rPr>
          <w:sz w:val="21"/>
          <w:szCs w:val="21"/>
        </w:rPr>
      </w:pPr>
      <w:r>
        <w:rPr>
          <w:rFonts w:hint="eastAsia"/>
          <w:b/>
          <w:bCs/>
          <w:sz w:val="21"/>
          <w:szCs w:val="21"/>
        </w:rPr>
        <w:t>(44)华福证券有限责任公司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E266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80192D">
            <w:pPr>
              <w:pStyle w:val="8"/>
            </w:pPr>
            <w:r>
              <w:rPr>
                <w:rFonts w:hint="eastAsia"/>
              </w:rPr>
              <w:t xml:space="preserve">注册地址： </w:t>
            </w:r>
          </w:p>
        </w:tc>
        <w:tc>
          <w:tcPr>
            <w:tcW w:w="7440" w:type="dxa"/>
            <w:shd w:val="clear" w:color="auto" w:fill="auto"/>
          </w:tcPr>
          <w:p w14:paraId="04A640A3">
            <w:pPr>
              <w:pStyle w:val="8"/>
            </w:pPr>
            <w:r>
              <w:rPr>
                <w:rFonts w:hint="eastAsia"/>
              </w:rPr>
              <w:t xml:space="preserve">福州市五四路157号新天地大厦7、8层 </w:t>
            </w:r>
          </w:p>
        </w:tc>
      </w:tr>
      <w:tr w14:paraId="64B0C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B203AC">
            <w:pPr>
              <w:pStyle w:val="8"/>
            </w:pPr>
            <w:r>
              <w:rPr>
                <w:rFonts w:hint="eastAsia"/>
              </w:rPr>
              <w:t xml:space="preserve">办公地址： </w:t>
            </w:r>
          </w:p>
        </w:tc>
        <w:tc>
          <w:tcPr>
            <w:tcW w:w="7440" w:type="dxa"/>
            <w:shd w:val="clear" w:color="auto" w:fill="auto"/>
          </w:tcPr>
          <w:p w14:paraId="05CBEE02">
            <w:pPr>
              <w:pStyle w:val="8"/>
            </w:pPr>
            <w:r>
              <w:rPr>
                <w:rFonts w:hint="eastAsia"/>
              </w:rPr>
              <w:t xml:space="preserve">福州市五四路157号新天地大厦7至10层 </w:t>
            </w:r>
          </w:p>
        </w:tc>
      </w:tr>
      <w:tr w14:paraId="38487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1E7794">
            <w:pPr>
              <w:pStyle w:val="8"/>
            </w:pPr>
            <w:r>
              <w:rPr>
                <w:rFonts w:hint="eastAsia"/>
              </w:rPr>
              <w:t xml:space="preserve">法定代表人： </w:t>
            </w:r>
          </w:p>
        </w:tc>
        <w:tc>
          <w:tcPr>
            <w:tcW w:w="7440" w:type="dxa"/>
            <w:shd w:val="clear" w:color="auto" w:fill="auto"/>
          </w:tcPr>
          <w:p w14:paraId="3902193C">
            <w:pPr>
              <w:pStyle w:val="8"/>
            </w:pPr>
            <w:r>
              <w:rPr>
                <w:rFonts w:hint="eastAsia"/>
              </w:rPr>
              <w:t xml:space="preserve">黄金琳 </w:t>
            </w:r>
          </w:p>
        </w:tc>
      </w:tr>
      <w:tr w14:paraId="7C3AD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9A5701">
            <w:pPr>
              <w:pStyle w:val="8"/>
            </w:pPr>
            <w:r>
              <w:rPr>
                <w:rFonts w:hint="eastAsia"/>
              </w:rPr>
              <w:t xml:space="preserve">联系人： </w:t>
            </w:r>
          </w:p>
        </w:tc>
        <w:tc>
          <w:tcPr>
            <w:tcW w:w="7440" w:type="dxa"/>
            <w:shd w:val="clear" w:color="auto" w:fill="auto"/>
          </w:tcPr>
          <w:p w14:paraId="0D676A18">
            <w:pPr>
              <w:pStyle w:val="8"/>
            </w:pPr>
            <w:r>
              <w:rPr>
                <w:rFonts w:hint="eastAsia"/>
              </w:rPr>
              <w:t xml:space="preserve">王虹 </w:t>
            </w:r>
          </w:p>
        </w:tc>
      </w:tr>
      <w:tr w14:paraId="7C705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FB94D7">
            <w:pPr>
              <w:pStyle w:val="8"/>
            </w:pPr>
            <w:r>
              <w:rPr>
                <w:rFonts w:hint="eastAsia"/>
              </w:rPr>
              <w:t xml:space="preserve">电话： </w:t>
            </w:r>
          </w:p>
        </w:tc>
        <w:tc>
          <w:tcPr>
            <w:tcW w:w="7440" w:type="dxa"/>
            <w:shd w:val="clear" w:color="auto" w:fill="auto"/>
          </w:tcPr>
          <w:p w14:paraId="6D4E9B08">
            <w:pPr>
              <w:pStyle w:val="8"/>
            </w:pPr>
            <w:r>
              <w:rPr>
                <w:rFonts w:hint="eastAsia"/>
              </w:rPr>
              <w:t xml:space="preserve">021-20655183 </w:t>
            </w:r>
          </w:p>
        </w:tc>
      </w:tr>
      <w:tr w14:paraId="134DF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969BCF">
            <w:pPr>
              <w:pStyle w:val="8"/>
            </w:pPr>
            <w:r>
              <w:rPr>
                <w:rFonts w:hint="eastAsia"/>
              </w:rPr>
              <w:t xml:space="preserve">传真： </w:t>
            </w:r>
          </w:p>
        </w:tc>
        <w:tc>
          <w:tcPr>
            <w:tcW w:w="7440" w:type="dxa"/>
            <w:shd w:val="clear" w:color="auto" w:fill="auto"/>
          </w:tcPr>
          <w:p w14:paraId="3CCDC360">
            <w:pPr>
              <w:pStyle w:val="8"/>
            </w:pPr>
            <w:r>
              <w:rPr>
                <w:rFonts w:hint="eastAsia"/>
              </w:rPr>
              <w:t xml:space="preserve">0591－87383610 </w:t>
            </w:r>
          </w:p>
        </w:tc>
      </w:tr>
      <w:tr w14:paraId="70088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08E6A2">
            <w:pPr>
              <w:pStyle w:val="8"/>
            </w:pPr>
            <w:r>
              <w:rPr>
                <w:rFonts w:hint="eastAsia"/>
              </w:rPr>
              <w:t xml:space="preserve">客户服务电话： </w:t>
            </w:r>
          </w:p>
        </w:tc>
        <w:tc>
          <w:tcPr>
            <w:tcW w:w="7440" w:type="dxa"/>
            <w:shd w:val="clear" w:color="auto" w:fill="auto"/>
          </w:tcPr>
          <w:p w14:paraId="19A53E33">
            <w:pPr>
              <w:pStyle w:val="8"/>
            </w:pPr>
            <w:r>
              <w:rPr>
                <w:rFonts w:hint="eastAsia"/>
              </w:rPr>
              <w:t xml:space="preserve">95547 </w:t>
            </w:r>
          </w:p>
        </w:tc>
      </w:tr>
      <w:tr w14:paraId="4BA3B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8DD644">
            <w:pPr>
              <w:pStyle w:val="8"/>
            </w:pPr>
            <w:r>
              <w:rPr>
                <w:rFonts w:hint="eastAsia"/>
              </w:rPr>
              <w:t xml:space="preserve">网址： </w:t>
            </w:r>
          </w:p>
        </w:tc>
        <w:tc>
          <w:tcPr>
            <w:tcW w:w="7440" w:type="dxa"/>
            <w:shd w:val="clear" w:color="auto" w:fill="auto"/>
          </w:tcPr>
          <w:p w14:paraId="07D46786">
            <w:pPr>
              <w:pStyle w:val="8"/>
            </w:pPr>
            <w:r>
              <w:rPr>
                <w:rFonts w:hint="eastAsia"/>
              </w:rPr>
              <w:t xml:space="preserve">http://www.hfzq.com.cn </w:t>
            </w:r>
          </w:p>
        </w:tc>
      </w:tr>
    </w:tbl>
    <w:p w14:paraId="1E5A2FE5">
      <w:pPr>
        <w:pStyle w:val="8"/>
        <w:spacing w:before="0" w:beforeAutospacing="0" w:after="0" w:afterAutospacing="0" w:line="360" w:lineRule="auto"/>
        <w:ind w:firstLine="420"/>
        <w:rPr>
          <w:sz w:val="21"/>
          <w:szCs w:val="21"/>
        </w:rPr>
      </w:pPr>
      <w:r>
        <w:rPr>
          <w:rFonts w:hint="eastAsia"/>
          <w:b/>
          <w:bCs/>
          <w:sz w:val="21"/>
          <w:szCs w:val="21"/>
        </w:rPr>
        <w:t>(45)中国国际金融股份有限公司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D649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6F6535">
            <w:pPr>
              <w:pStyle w:val="8"/>
            </w:pPr>
            <w:r>
              <w:rPr>
                <w:rFonts w:hint="eastAsia"/>
              </w:rPr>
              <w:t xml:space="preserve">注册地址： </w:t>
            </w:r>
          </w:p>
        </w:tc>
        <w:tc>
          <w:tcPr>
            <w:tcW w:w="7440" w:type="dxa"/>
            <w:shd w:val="clear" w:color="auto" w:fill="auto"/>
          </w:tcPr>
          <w:p w14:paraId="11DD716D">
            <w:pPr>
              <w:pStyle w:val="8"/>
            </w:pPr>
            <w:r>
              <w:rPr>
                <w:rFonts w:hint="eastAsia"/>
              </w:rPr>
              <w:t xml:space="preserve">中国北京建国门外大街1号 国贸大厦2座28层 </w:t>
            </w:r>
          </w:p>
        </w:tc>
      </w:tr>
      <w:tr w14:paraId="52DE6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9023A8">
            <w:pPr>
              <w:pStyle w:val="8"/>
            </w:pPr>
            <w:r>
              <w:rPr>
                <w:rFonts w:hint="eastAsia"/>
              </w:rPr>
              <w:t xml:space="preserve">办公地址： </w:t>
            </w:r>
          </w:p>
        </w:tc>
        <w:tc>
          <w:tcPr>
            <w:tcW w:w="7440" w:type="dxa"/>
            <w:shd w:val="clear" w:color="auto" w:fill="auto"/>
          </w:tcPr>
          <w:p w14:paraId="257D984A">
            <w:pPr>
              <w:pStyle w:val="8"/>
            </w:pPr>
            <w:r>
              <w:rPr>
                <w:rFonts w:hint="eastAsia"/>
              </w:rPr>
              <w:t xml:space="preserve">中国北京建国门外大街1号 国贸大厦2座28层 </w:t>
            </w:r>
          </w:p>
        </w:tc>
      </w:tr>
      <w:tr w14:paraId="4195D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4FDB81">
            <w:pPr>
              <w:pStyle w:val="8"/>
            </w:pPr>
            <w:r>
              <w:rPr>
                <w:rFonts w:hint="eastAsia"/>
              </w:rPr>
              <w:t xml:space="preserve">法定代表人： </w:t>
            </w:r>
          </w:p>
        </w:tc>
        <w:tc>
          <w:tcPr>
            <w:tcW w:w="7440" w:type="dxa"/>
            <w:shd w:val="clear" w:color="auto" w:fill="auto"/>
          </w:tcPr>
          <w:p w14:paraId="349B6E54">
            <w:pPr>
              <w:pStyle w:val="8"/>
            </w:pPr>
            <w:r>
              <w:rPr>
                <w:rFonts w:hint="eastAsia"/>
              </w:rPr>
              <w:t xml:space="preserve">沈如军 </w:t>
            </w:r>
          </w:p>
        </w:tc>
      </w:tr>
      <w:tr w14:paraId="28857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AF29C2">
            <w:pPr>
              <w:pStyle w:val="8"/>
            </w:pPr>
            <w:r>
              <w:rPr>
                <w:rFonts w:hint="eastAsia"/>
              </w:rPr>
              <w:t xml:space="preserve">联系人： </w:t>
            </w:r>
          </w:p>
        </w:tc>
        <w:tc>
          <w:tcPr>
            <w:tcW w:w="7440" w:type="dxa"/>
            <w:shd w:val="clear" w:color="auto" w:fill="auto"/>
          </w:tcPr>
          <w:p w14:paraId="1AEB6DA9">
            <w:pPr>
              <w:pStyle w:val="8"/>
            </w:pPr>
            <w:r>
              <w:rPr>
                <w:rFonts w:hint="eastAsia"/>
              </w:rPr>
              <w:t xml:space="preserve">任敏 </w:t>
            </w:r>
          </w:p>
        </w:tc>
      </w:tr>
      <w:tr w14:paraId="6A406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1F3E61">
            <w:pPr>
              <w:pStyle w:val="8"/>
            </w:pPr>
            <w:r>
              <w:rPr>
                <w:rFonts w:hint="eastAsia"/>
              </w:rPr>
              <w:t xml:space="preserve">电话： </w:t>
            </w:r>
          </w:p>
        </w:tc>
        <w:tc>
          <w:tcPr>
            <w:tcW w:w="7440" w:type="dxa"/>
            <w:shd w:val="clear" w:color="auto" w:fill="auto"/>
          </w:tcPr>
          <w:p w14:paraId="06E9CC24">
            <w:pPr>
              <w:pStyle w:val="8"/>
            </w:pPr>
            <w:r>
              <w:rPr>
                <w:rFonts w:hint="eastAsia"/>
              </w:rPr>
              <w:t xml:space="preserve">010－65051166 </w:t>
            </w:r>
          </w:p>
        </w:tc>
      </w:tr>
      <w:tr w14:paraId="1D15D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C6B83">
            <w:pPr>
              <w:pStyle w:val="8"/>
            </w:pPr>
            <w:r>
              <w:rPr>
                <w:rFonts w:hint="eastAsia"/>
              </w:rPr>
              <w:t xml:space="preserve">传真： </w:t>
            </w:r>
          </w:p>
        </w:tc>
        <w:tc>
          <w:tcPr>
            <w:tcW w:w="7440" w:type="dxa"/>
            <w:shd w:val="clear" w:color="auto" w:fill="auto"/>
          </w:tcPr>
          <w:p w14:paraId="5F04A527">
            <w:pPr>
              <w:pStyle w:val="8"/>
            </w:pPr>
            <w:r>
              <w:rPr>
                <w:rFonts w:hint="eastAsia"/>
              </w:rPr>
              <w:t xml:space="preserve">010－65051156 </w:t>
            </w:r>
          </w:p>
        </w:tc>
      </w:tr>
      <w:tr w14:paraId="183C6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F6A3DD">
            <w:pPr>
              <w:pStyle w:val="8"/>
            </w:pPr>
            <w:r>
              <w:rPr>
                <w:rFonts w:hint="eastAsia"/>
              </w:rPr>
              <w:t xml:space="preserve">客户服务电话： </w:t>
            </w:r>
          </w:p>
        </w:tc>
        <w:tc>
          <w:tcPr>
            <w:tcW w:w="7440" w:type="dxa"/>
            <w:shd w:val="clear" w:color="auto" w:fill="auto"/>
          </w:tcPr>
          <w:p w14:paraId="3EF88822">
            <w:pPr>
              <w:pStyle w:val="8"/>
            </w:pPr>
            <w:r>
              <w:rPr>
                <w:rFonts w:hint="eastAsia"/>
              </w:rPr>
              <w:t xml:space="preserve">010-65051166 </w:t>
            </w:r>
          </w:p>
        </w:tc>
      </w:tr>
      <w:tr w14:paraId="18B30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5D9387">
            <w:pPr>
              <w:pStyle w:val="8"/>
            </w:pPr>
            <w:r>
              <w:rPr>
                <w:rFonts w:hint="eastAsia"/>
              </w:rPr>
              <w:t xml:space="preserve">网址： </w:t>
            </w:r>
          </w:p>
        </w:tc>
        <w:tc>
          <w:tcPr>
            <w:tcW w:w="7440" w:type="dxa"/>
            <w:shd w:val="clear" w:color="auto" w:fill="auto"/>
          </w:tcPr>
          <w:p w14:paraId="2E21A8DF">
            <w:pPr>
              <w:pStyle w:val="8"/>
            </w:pPr>
            <w:r>
              <w:rPr>
                <w:rFonts w:hint="eastAsia"/>
              </w:rPr>
              <w:t xml:space="preserve">http://www.cicc.com.cn/ </w:t>
            </w:r>
          </w:p>
        </w:tc>
      </w:tr>
    </w:tbl>
    <w:p w14:paraId="72F3EF19">
      <w:pPr>
        <w:pStyle w:val="8"/>
        <w:spacing w:before="0" w:beforeAutospacing="0" w:after="0" w:afterAutospacing="0" w:line="360" w:lineRule="auto"/>
        <w:ind w:firstLine="420"/>
        <w:rPr>
          <w:sz w:val="21"/>
          <w:szCs w:val="21"/>
        </w:rPr>
      </w:pPr>
      <w:r>
        <w:rPr>
          <w:rFonts w:hint="eastAsia"/>
          <w:b/>
          <w:bCs/>
          <w:sz w:val="21"/>
          <w:szCs w:val="21"/>
        </w:rPr>
        <w:t>(46)财通证券股份有限公司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773B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191CB2">
            <w:pPr>
              <w:pStyle w:val="8"/>
            </w:pPr>
            <w:r>
              <w:rPr>
                <w:rFonts w:hint="eastAsia"/>
              </w:rPr>
              <w:t xml:space="preserve">注册地址： </w:t>
            </w:r>
          </w:p>
        </w:tc>
        <w:tc>
          <w:tcPr>
            <w:tcW w:w="7440" w:type="dxa"/>
            <w:shd w:val="clear" w:color="auto" w:fill="auto"/>
          </w:tcPr>
          <w:p w14:paraId="0BDD77F4">
            <w:pPr>
              <w:pStyle w:val="8"/>
            </w:pPr>
            <w:r>
              <w:rPr>
                <w:rFonts w:hint="eastAsia"/>
              </w:rPr>
              <w:t xml:space="preserve">杭州市解放路111号 </w:t>
            </w:r>
          </w:p>
        </w:tc>
      </w:tr>
      <w:tr w14:paraId="16F5C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91AF9B">
            <w:pPr>
              <w:pStyle w:val="8"/>
            </w:pPr>
            <w:r>
              <w:rPr>
                <w:rFonts w:hint="eastAsia"/>
              </w:rPr>
              <w:t xml:space="preserve">办公地址： </w:t>
            </w:r>
          </w:p>
        </w:tc>
        <w:tc>
          <w:tcPr>
            <w:tcW w:w="7440" w:type="dxa"/>
            <w:shd w:val="clear" w:color="auto" w:fill="auto"/>
          </w:tcPr>
          <w:p w14:paraId="6D8C6C81">
            <w:pPr>
              <w:pStyle w:val="8"/>
            </w:pPr>
            <w:r>
              <w:rPr>
                <w:rFonts w:hint="eastAsia"/>
              </w:rPr>
              <w:t xml:space="preserve">浙江省杭州市天目山路198号财通双冠大厦西楼1201室 </w:t>
            </w:r>
          </w:p>
        </w:tc>
      </w:tr>
      <w:tr w14:paraId="546D6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258CD5">
            <w:pPr>
              <w:pStyle w:val="8"/>
            </w:pPr>
            <w:r>
              <w:rPr>
                <w:rFonts w:hint="eastAsia"/>
              </w:rPr>
              <w:t xml:space="preserve">法定代表人： </w:t>
            </w:r>
          </w:p>
        </w:tc>
        <w:tc>
          <w:tcPr>
            <w:tcW w:w="7440" w:type="dxa"/>
            <w:shd w:val="clear" w:color="auto" w:fill="auto"/>
          </w:tcPr>
          <w:p w14:paraId="0E650088">
            <w:pPr>
              <w:pStyle w:val="8"/>
            </w:pPr>
            <w:r>
              <w:rPr>
                <w:rFonts w:hint="eastAsia"/>
              </w:rPr>
              <w:t xml:space="preserve">陆建强  </w:t>
            </w:r>
          </w:p>
        </w:tc>
      </w:tr>
      <w:tr w14:paraId="54DC7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13F02">
            <w:pPr>
              <w:pStyle w:val="8"/>
            </w:pPr>
            <w:r>
              <w:rPr>
                <w:rFonts w:hint="eastAsia"/>
              </w:rPr>
              <w:t xml:space="preserve">联系人： </w:t>
            </w:r>
          </w:p>
        </w:tc>
        <w:tc>
          <w:tcPr>
            <w:tcW w:w="7440" w:type="dxa"/>
            <w:shd w:val="clear" w:color="auto" w:fill="auto"/>
          </w:tcPr>
          <w:p w14:paraId="3F231D90">
            <w:pPr>
              <w:pStyle w:val="8"/>
            </w:pPr>
            <w:r>
              <w:rPr>
                <w:rFonts w:hint="eastAsia"/>
              </w:rPr>
              <w:t xml:space="preserve">蔡还 </w:t>
            </w:r>
          </w:p>
        </w:tc>
      </w:tr>
      <w:tr w14:paraId="4E16C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CEA5D5">
            <w:pPr>
              <w:pStyle w:val="8"/>
            </w:pPr>
            <w:r>
              <w:rPr>
                <w:rFonts w:hint="eastAsia"/>
              </w:rPr>
              <w:t xml:space="preserve">电话： </w:t>
            </w:r>
          </w:p>
        </w:tc>
        <w:tc>
          <w:tcPr>
            <w:tcW w:w="7440" w:type="dxa"/>
            <w:shd w:val="clear" w:color="auto" w:fill="auto"/>
          </w:tcPr>
          <w:p w14:paraId="5CC47D37">
            <w:pPr>
              <w:pStyle w:val="8"/>
            </w:pPr>
            <w:r>
              <w:rPr>
                <w:rFonts w:hint="eastAsia"/>
              </w:rPr>
              <w:t xml:space="preserve">0571-87789160 </w:t>
            </w:r>
          </w:p>
        </w:tc>
      </w:tr>
      <w:tr w14:paraId="1A5BC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CF04BA">
            <w:pPr>
              <w:pStyle w:val="8"/>
            </w:pPr>
            <w:r>
              <w:rPr>
                <w:rFonts w:hint="eastAsia"/>
              </w:rPr>
              <w:t xml:space="preserve">传真： </w:t>
            </w:r>
          </w:p>
        </w:tc>
        <w:tc>
          <w:tcPr>
            <w:tcW w:w="7440" w:type="dxa"/>
            <w:shd w:val="clear" w:color="auto" w:fill="auto"/>
          </w:tcPr>
          <w:p w14:paraId="38E59546">
            <w:pPr>
              <w:pStyle w:val="8"/>
            </w:pPr>
            <w:r>
              <w:rPr>
                <w:rFonts w:hint="eastAsia"/>
              </w:rPr>
              <w:t xml:space="preserve">0571－85071387 </w:t>
            </w:r>
          </w:p>
        </w:tc>
      </w:tr>
      <w:tr w14:paraId="06449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3BB8ED">
            <w:pPr>
              <w:pStyle w:val="8"/>
            </w:pPr>
            <w:r>
              <w:rPr>
                <w:rFonts w:hint="eastAsia"/>
              </w:rPr>
              <w:t xml:space="preserve">客户服务电话： </w:t>
            </w:r>
          </w:p>
        </w:tc>
        <w:tc>
          <w:tcPr>
            <w:tcW w:w="7440" w:type="dxa"/>
            <w:shd w:val="clear" w:color="auto" w:fill="auto"/>
          </w:tcPr>
          <w:p w14:paraId="4715A5E7">
            <w:pPr>
              <w:pStyle w:val="8"/>
            </w:pPr>
            <w:r>
              <w:rPr>
                <w:rFonts w:hint="eastAsia"/>
              </w:rPr>
              <w:t xml:space="preserve">95336（上海地区962336） </w:t>
            </w:r>
          </w:p>
        </w:tc>
      </w:tr>
      <w:tr w14:paraId="06A27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F6F69B">
            <w:pPr>
              <w:pStyle w:val="8"/>
            </w:pPr>
            <w:r>
              <w:rPr>
                <w:rFonts w:hint="eastAsia"/>
              </w:rPr>
              <w:t xml:space="preserve">网址： </w:t>
            </w:r>
          </w:p>
        </w:tc>
        <w:tc>
          <w:tcPr>
            <w:tcW w:w="7440" w:type="dxa"/>
            <w:shd w:val="clear" w:color="auto" w:fill="auto"/>
          </w:tcPr>
          <w:p w14:paraId="038FB7E3">
            <w:pPr>
              <w:pStyle w:val="8"/>
            </w:pPr>
            <w:r>
              <w:rPr>
                <w:rFonts w:hint="eastAsia"/>
              </w:rPr>
              <w:t xml:space="preserve">http://www.ctsec.com </w:t>
            </w:r>
          </w:p>
        </w:tc>
      </w:tr>
    </w:tbl>
    <w:p w14:paraId="6F72C256">
      <w:pPr>
        <w:pStyle w:val="8"/>
        <w:spacing w:before="0" w:beforeAutospacing="0" w:after="0" w:afterAutospacing="0" w:line="360" w:lineRule="auto"/>
        <w:ind w:firstLine="420"/>
        <w:rPr>
          <w:sz w:val="21"/>
          <w:szCs w:val="21"/>
        </w:rPr>
      </w:pPr>
      <w:r>
        <w:rPr>
          <w:rFonts w:hint="eastAsia"/>
          <w:b/>
          <w:bCs/>
          <w:sz w:val="21"/>
          <w:szCs w:val="21"/>
        </w:rPr>
        <w:t>(47)华鑫证券有限责任公司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69DD9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00D8573">
            <w:pPr>
              <w:pStyle w:val="8"/>
            </w:pPr>
            <w:r>
              <w:rPr>
                <w:rFonts w:hint="eastAsia"/>
              </w:rPr>
              <w:t xml:space="preserve">注册地址： </w:t>
            </w:r>
          </w:p>
        </w:tc>
        <w:tc>
          <w:tcPr>
            <w:tcW w:w="7440" w:type="dxa"/>
            <w:shd w:val="clear" w:color="auto" w:fill="auto"/>
          </w:tcPr>
          <w:p w14:paraId="59750282">
            <w:pPr>
              <w:pStyle w:val="8"/>
            </w:pPr>
            <w:r>
              <w:rPr>
                <w:rFonts w:hint="eastAsia"/>
              </w:rPr>
              <w:t xml:space="preserve">深圳市福田区莲花街道福中社区深南大道2008号中国凤凰大厦1栋20C-1房 </w:t>
            </w:r>
          </w:p>
        </w:tc>
      </w:tr>
      <w:tr w14:paraId="63115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015FA">
            <w:pPr>
              <w:pStyle w:val="8"/>
            </w:pPr>
            <w:r>
              <w:rPr>
                <w:rFonts w:hint="eastAsia"/>
              </w:rPr>
              <w:t xml:space="preserve">办公地址： </w:t>
            </w:r>
          </w:p>
        </w:tc>
        <w:tc>
          <w:tcPr>
            <w:tcW w:w="7440" w:type="dxa"/>
            <w:shd w:val="clear" w:color="auto" w:fill="auto"/>
          </w:tcPr>
          <w:p w14:paraId="001021AE">
            <w:pPr>
              <w:pStyle w:val="8"/>
            </w:pPr>
            <w:r>
              <w:rPr>
                <w:rFonts w:hint="eastAsia"/>
              </w:rPr>
              <w:t xml:space="preserve">上海市黄浦区福州路666号6楼 </w:t>
            </w:r>
          </w:p>
        </w:tc>
      </w:tr>
      <w:tr w14:paraId="13841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B772B">
            <w:pPr>
              <w:pStyle w:val="8"/>
            </w:pPr>
            <w:r>
              <w:rPr>
                <w:rFonts w:hint="eastAsia"/>
              </w:rPr>
              <w:t xml:space="preserve">法定代表人： </w:t>
            </w:r>
          </w:p>
        </w:tc>
        <w:tc>
          <w:tcPr>
            <w:tcW w:w="7440" w:type="dxa"/>
            <w:shd w:val="clear" w:color="auto" w:fill="auto"/>
          </w:tcPr>
          <w:p w14:paraId="42615969">
            <w:pPr>
              <w:pStyle w:val="8"/>
            </w:pPr>
            <w:r>
              <w:rPr>
                <w:rFonts w:hint="eastAsia"/>
              </w:rPr>
              <w:t xml:space="preserve">俞洋 </w:t>
            </w:r>
          </w:p>
        </w:tc>
      </w:tr>
      <w:tr w14:paraId="3CE3F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619B57">
            <w:pPr>
              <w:pStyle w:val="8"/>
            </w:pPr>
            <w:r>
              <w:rPr>
                <w:rFonts w:hint="eastAsia"/>
              </w:rPr>
              <w:t xml:space="preserve">联系人： </w:t>
            </w:r>
          </w:p>
        </w:tc>
        <w:tc>
          <w:tcPr>
            <w:tcW w:w="7440" w:type="dxa"/>
            <w:shd w:val="clear" w:color="auto" w:fill="auto"/>
          </w:tcPr>
          <w:p w14:paraId="170CDEF4">
            <w:pPr>
              <w:pStyle w:val="8"/>
            </w:pPr>
            <w:r>
              <w:rPr>
                <w:rFonts w:hint="eastAsia"/>
              </w:rPr>
              <w:t xml:space="preserve">刘熠 </w:t>
            </w:r>
          </w:p>
        </w:tc>
      </w:tr>
      <w:tr w14:paraId="4061A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4ABB3B">
            <w:pPr>
              <w:pStyle w:val="8"/>
            </w:pPr>
            <w:r>
              <w:rPr>
                <w:rFonts w:hint="eastAsia"/>
              </w:rPr>
              <w:t xml:space="preserve">电话： </w:t>
            </w:r>
          </w:p>
        </w:tc>
        <w:tc>
          <w:tcPr>
            <w:tcW w:w="7440" w:type="dxa"/>
            <w:shd w:val="clear" w:color="auto" w:fill="auto"/>
          </w:tcPr>
          <w:p w14:paraId="2872F2BF">
            <w:pPr>
              <w:pStyle w:val="8"/>
            </w:pPr>
            <w:r>
              <w:rPr>
                <w:rFonts w:hint="eastAsia"/>
              </w:rPr>
              <w:t xml:space="preserve">021-54967656 </w:t>
            </w:r>
          </w:p>
        </w:tc>
      </w:tr>
      <w:tr w14:paraId="297E7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A0BEA">
            <w:pPr>
              <w:pStyle w:val="8"/>
            </w:pPr>
            <w:r>
              <w:rPr>
                <w:rFonts w:hint="eastAsia"/>
              </w:rPr>
              <w:t xml:space="preserve">传真： </w:t>
            </w:r>
          </w:p>
        </w:tc>
        <w:tc>
          <w:tcPr>
            <w:tcW w:w="7440" w:type="dxa"/>
            <w:shd w:val="clear" w:color="auto" w:fill="auto"/>
          </w:tcPr>
          <w:p w14:paraId="7FB6BAC5">
            <w:pPr>
              <w:pStyle w:val="8"/>
            </w:pPr>
            <w:r>
              <w:rPr>
                <w:rFonts w:hint="eastAsia"/>
              </w:rPr>
              <w:t xml:space="preserve">021-64333051 </w:t>
            </w:r>
          </w:p>
        </w:tc>
      </w:tr>
      <w:tr w14:paraId="2DFB3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1D0556">
            <w:pPr>
              <w:pStyle w:val="8"/>
            </w:pPr>
            <w:r>
              <w:rPr>
                <w:rFonts w:hint="eastAsia"/>
              </w:rPr>
              <w:t xml:space="preserve">客户服务电话： </w:t>
            </w:r>
          </w:p>
        </w:tc>
        <w:tc>
          <w:tcPr>
            <w:tcW w:w="7440" w:type="dxa"/>
            <w:shd w:val="clear" w:color="auto" w:fill="auto"/>
          </w:tcPr>
          <w:p w14:paraId="676B9A24">
            <w:pPr>
              <w:pStyle w:val="8"/>
            </w:pPr>
            <w:r>
              <w:rPr>
                <w:rFonts w:hint="eastAsia"/>
              </w:rPr>
              <w:t xml:space="preserve">95323,021-32109999,029-68918888 </w:t>
            </w:r>
          </w:p>
        </w:tc>
      </w:tr>
      <w:tr w14:paraId="78ABC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55BBBF">
            <w:pPr>
              <w:pStyle w:val="8"/>
            </w:pPr>
            <w:r>
              <w:rPr>
                <w:rFonts w:hint="eastAsia"/>
              </w:rPr>
              <w:t xml:space="preserve">网址： </w:t>
            </w:r>
          </w:p>
        </w:tc>
        <w:tc>
          <w:tcPr>
            <w:tcW w:w="7440" w:type="dxa"/>
            <w:shd w:val="clear" w:color="auto" w:fill="auto"/>
          </w:tcPr>
          <w:p w14:paraId="4C856DFF">
            <w:pPr>
              <w:pStyle w:val="8"/>
            </w:pPr>
            <w:r>
              <w:rPr>
                <w:rFonts w:hint="eastAsia"/>
              </w:rPr>
              <w:t xml:space="preserve">http://www.cfsc.com.cn </w:t>
            </w:r>
          </w:p>
        </w:tc>
      </w:tr>
    </w:tbl>
    <w:p w14:paraId="7E3E20EF">
      <w:pPr>
        <w:pStyle w:val="8"/>
        <w:spacing w:before="0" w:beforeAutospacing="0" w:after="0" w:afterAutospacing="0" w:line="360" w:lineRule="auto"/>
        <w:ind w:firstLine="420"/>
        <w:rPr>
          <w:sz w:val="21"/>
          <w:szCs w:val="21"/>
        </w:rPr>
      </w:pPr>
      <w:r>
        <w:rPr>
          <w:rFonts w:hint="eastAsia"/>
          <w:b/>
          <w:bCs/>
          <w:sz w:val="21"/>
          <w:szCs w:val="21"/>
        </w:rPr>
        <w:t>(48)中国中金财富证券有限公司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B0B5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E185AB">
            <w:pPr>
              <w:pStyle w:val="8"/>
            </w:pPr>
            <w:r>
              <w:rPr>
                <w:rFonts w:hint="eastAsia"/>
              </w:rPr>
              <w:t xml:space="preserve">注册地址： </w:t>
            </w:r>
          </w:p>
        </w:tc>
        <w:tc>
          <w:tcPr>
            <w:tcW w:w="7440" w:type="dxa"/>
            <w:shd w:val="clear" w:color="auto" w:fill="auto"/>
          </w:tcPr>
          <w:p w14:paraId="0DBF8202">
            <w:pPr>
              <w:pStyle w:val="8"/>
            </w:pPr>
            <w:r>
              <w:rPr>
                <w:rFonts w:hint="eastAsia"/>
              </w:rPr>
              <w:t xml:space="preserve">深圳市南山区粤海街道海珠社区科苑南路2666号中国华润大厦L4601-4608 </w:t>
            </w:r>
          </w:p>
        </w:tc>
      </w:tr>
      <w:tr w14:paraId="34B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08769">
            <w:pPr>
              <w:pStyle w:val="8"/>
            </w:pPr>
            <w:r>
              <w:rPr>
                <w:rFonts w:hint="eastAsia"/>
              </w:rPr>
              <w:t xml:space="preserve">办公地址： </w:t>
            </w:r>
          </w:p>
        </w:tc>
        <w:tc>
          <w:tcPr>
            <w:tcW w:w="7440" w:type="dxa"/>
            <w:shd w:val="clear" w:color="auto" w:fill="auto"/>
          </w:tcPr>
          <w:p w14:paraId="375C7997">
            <w:pPr>
              <w:pStyle w:val="8"/>
            </w:pPr>
            <w:r>
              <w:rPr>
                <w:rFonts w:hint="eastAsia"/>
              </w:rPr>
              <w:t xml:space="preserve">深圳市福田区益田路与福中路交界处荣超商务中心A栋第18-21层及第04层 </w:t>
            </w:r>
          </w:p>
        </w:tc>
      </w:tr>
      <w:tr w14:paraId="3A487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2F112">
            <w:pPr>
              <w:pStyle w:val="8"/>
            </w:pPr>
            <w:r>
              <w:rPr>
                <w:rFonts w:hint="eastAsia"/>
              </w:rPr>
              <w:t xml:space="preserve">法定代表人： </w:t>
            </w:r>
          </w:p>
        </w:tc>
        <w:tc>
          <w:tcPr>
            <w:tcW w:w="7440" w:type="dxa"/>
            <w:shd w:val="clear" w:color="auto" w:fill="auto"/>
          </w:tcPr>
          <w:p w14:paraId="626DD0F5">
            <w:pPr>
              <w:pStyle w:val="8"/>
            </w:pPr>
            <w:r>
              <w:rPr>
                <w:rFonts w:hint="eastAsia"/>
              </w:rPr>
              <w:t xml:space="preserve">高涛 </w:t>
            </w:r>
          </w:p>
        </w:tc>
      </w:tr>
      <w:tr w14:paraId="7388E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335EAB">
            <w:pPr>
              <w:pStyle w:val="8"/>
            </w:pPr>
            <w:r>
              <w:rPr>
                <w:rFonts w:hint="eastAsia"/>
              </w:rPr>
              <w:t xml:space="preserve">联系人： </w:t>
            </w:r>
          </w:p>
        </w:tc>
        <w:tc>
          <w:tcPr>
            <w:tcW w:w="7440" w:type="dxa"/>
            <w:shd w:val="clear" w:color="auto" w:fill="auto"/>
          </w:tcPr>
          <w:p w14:paraId="79C8FB04">
            <w:pPr>
              <w:pStyle w:val="8"/>
            </w:pPr>
            <w:r>
              <w:rPr>
                <w:rFonts w:hint="eastAsia"/>
              </w:rPr>
              <w:t xml:space="preserve">万玉琳 </w:t>
            </w:r>
          </w:p>
        </w:tc>
      </w:tr>
      <w:tr w14:paraId="7C8D8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938FB4">
            <w:pPr>
              <w:pStyle w:val="8"/>
            </w:pPr>
            <w:r>
              <w:rPr>
                <w:rFonts w:hint="eastAsia"/>
              </w:rPr>
              <w:t xml:space="preserve">电话： </w:t>
            </w:r>
          </w:p>
        </w:tc>
        <w:tc>
          <w:tcPr>
            <w:tcW w:w="7440" w:type="dxa"/>
            <w:shd w:val="clear" w:color="auto" w:fill="auto"/>
          </w:tcPr>
          <w:p w14:paraId="2D6B7F64">
            <w:pPr>
              <w:pStyle w:val="8"/>
            </w:pPr>
            <w:r>
              <w:rPr>
                <w:rFonts w:hint="eastAsia"/>
              </w:rPr>
              <w:t xml:space="preserve">0755-82026907 </w:t>
            </w:r>
          </w:p>
        </w:tc>
      </w:tr>
      <w:tr w14:paraId="637EB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4E2782">
            <w:pPr>
              <w:pStyle w:val="8"/>
            </w:pPr>
            <w:r>
              <w:rPr>
                <w:rFonts w:hint="eastAsia"/>
              </w:rPr>
              <w:t xml:space="preserve">传真： </w:t>
            </w:r>
          </w:p>
        </w:tc>
        <w:tc>
          <w:tcPr>
            <w:tcW w:w="7440" w:type="dxa"/>
            <w:shd w:val="clear" w:color="auto" w:fill="auto"/>
          </w:tcPr>
          <w:p w14:paraId="12112CC5">
            <w:pPr>
              <w:pStyle w:val="8"/>
            </w:pPr>
            <w:r>
              <w:rPr>
                <w:rFonts w:hint="eastAsia"/>
              </w:rPr>
              <w:t xml:space="preserve">0755-82026539 </w:t>
            </w:r>
          </w:p>
        </w:tc>
      </w:tr>
      <w:tr w14:paraId="5968A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4C692D">
            <w:pPr>
              <w:pStyle w:val="8"/>
            </w:pPr>
            <w:r>
              <w:rPr>
                <w:rFonts w:hint="eastAsia"/>
              </w:rPr>
              <w:t xml:space="preserve">客户服务电话： </w:t>
            </w:r>
          </w:p>
        </w:tc>
        <w:tc>
          <w:tcPr>
            <w:tcW w:w="7440" w:type="dxa"/>
            <w:shd w:val="clear" w:color="auto" w:fill="auto"/>
          </w:tcPr>
          <w:p w14:paraId="7458CA56">
            <w:pPr>
              <w:pStyle w:val="8"/>
            </w:pPr>
            <w:r>
              <w:rPr>
                <w:rFonts w:hint="eastAsia"/>
              </w:rPr>
              <w:t xml:space="preserve">4006008008/95532 </w:t>
            </w:r>
          </w:p>
        </w:tc>
      </w:tr>
      <w:tr w14:paraId="1B547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8DFCED">
            <w:pPr>
              <w:pStyle w:val="8"/>
            </w:pPr>
            <w:r>
              <w:rPr>
                <w:rFonts w:hint="eastAsia"/>
              </w:rPr>
              <w:t xml:space="preserve">网址： </w:t>
            </w:r>
          </w:p>
        </w:tc>
        <w:tc>
          <w:tcPr>
            <w:tcW w:w="7440" w:type="dxa"/>
            <w:shd w:val="clear" w:color="auto" w:fill="auto"/>
          </w:tcPr>
          <w:p w14:paraId="75F0AFD4">
            <w:pPr>
              <w:pStyle w:val="8"/>
            </w:pPr>
            <w:r>
              <w:rPr>
                <w:rFonts w:hint="eastAsia"/>
              </w:rPr>
              <w:t xml:space="preserve">http://www.china-invs.cn/ </w:t>
            </w:r>
          </w:p>
        </w:tc>
      </w:tr>
    </w:tbl>
    <w:p w14:paraId="3DFE3EFF">
      <w:pPr>
        <w:pStyle w:val="8"/>
        <w:spacing w:before="0" w:beforeAutospacing="0" w:after="0" w:afterAutospacing="0" w:line="360" w:lineRule="auto"/>
        <w:ind w:firstLine="420"/>
        <w:rPr>
          <w:sz w:val="21"/>
          <w:szCs w:val="21"/>
        </w:rPr>
      </w:pPr>
      <w:r>
        <w:rPr>
          <w:rFonts w:hint="eastAsia"/>
          <w:b/>
          <w:bCs/>
          <w:sz w:val="21"/>
          <w:szCs w:val="21"/>
        </w:rPr>
        <w:t>(49)东方财富证券股份有限公司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49B2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F825C1">
            <w:pPr>
              <w:pStyle w:val="8"/>
            </w:pPr>
            <w:r>
              <w:rPr>
                <w:rFonts w:hint="eastAsia"/>
              </w:rPr>
              <w:t xml:space="preserve">注册地址： </w:t>
            </w:r>
          </w:p>
        </w:tc>
        <w:tc>
          <w:tcPr>
            <w:tcW w:w="7440" w:type="dxa"/>
            <w:shd w:val="clear" w:color="auto" w:fill="auto"/>
          </w:tcPr>
          <w:p w14:paraId="39837F42">
            <w:pPr>
              <w:pStyle w:val="8"/>
            </w:pPr>
            <w:r>
              <w:rPr>
                <w:rFonts w:hint="eastAsia"/>
              </w:rPr>
              <w:t xml:space="preserve">西藏自治区拉萨市柳梧新区国际总部城10栋楼 </w:t>
            </w:r>
          </w:p>
        </w:tc>
      </w:tr>
      <w:tr w14:paraId="50E36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9F9D3B">
            <w:pPr>
              <w:pStyle w:val="8"/>
            </w:pPr>
            <w:r>
              <w:rPr>
                <w:rFonts w:hint="eastAsia"/>
              </w:rPr>
              <w:t xml:space="preserve">办公地址： </w:t>
            </w:r>
          </w:p>
        </w:tc>
        <w:tc>
          <w:tcPr>
            <w:tcW w:w="7440" w:type="dxa"/>
            <w:shd w:val="clear" w:color="auto" w:fill="auto"/>
          </w:tcPr>
          <w:p w14:paraId="334C36A7">
            <w:pPr>
              <w:pStyle w:val="8"/>
            </w:pPr>
            <w:r>
              <w:rPr>
                <w:rFonts w:hint="eastAsia"/>
              </w:rPr>
              <w:t xml:space="preserve">上海市徐汇区宛平南路88号金座东方财富大厦 </w:t>
            </w:r>
          </w:p>
        </w:tc>
      </w:tr>
      <w:tr w14:paraId="4D9F3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1BFA70">
            <w:pPr>
              <w:pStyle w:val="8"/>
            </w:pPr>
            <w:r>
              <w:rPr>
                <w:rFonts w:hint="eastAsia"/>
              </w:rPr>
              <w:t xml:space="preserve">法定代表人： </w:t>
            </w:r>
          </w:p>
        </w:tc>
        <w:tc>
          <w:tcPr>
            <w:tcW w:w="7440" w:type="dxa"/>
            <w:shd w:val="clear" w:color="auto" w:fill="auto"/>
          </w:tcPr>
          <w:p w14:paraId="5DE819A9">
            <w:pPr>
              <w:pStyle w:val="8"/>
            </w:pPr>
            <w:r>
              <w:rPr>
                <w:rFonts w:hint="eastAsia"/>
              </w:rPr>
              <w:t xml:space="preserve">戴彦 </w:t>
            </w:r>
          </w:p>
        </w:tc>
      </w:tr>
      <w:tr w14:paraId="34F7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641CBE">
            <w:pPr>
              <w:pStyle w:val="8"/>
            </w:pPr>
            <w:r>
              <w:rPr>
                <w:rFonts w:hint="eastAsia"/>
              </w:rPr>
              <w:t xml:space="preserve">联系人： </w:t>
            </w:r>
          </w:p>
        </w:tc>
        <w:tc>
          <w:tcPr>
            <w:tcW w:w="7440" w:type="dxa"/>
            <w:shd w:val="clear" w:color="auto" w:fill="auto"/>
          </w:tcPr>
          <w:p w14:paraId="281D68B2">
            <w:pPr>
              <w:pStyle w:val="8"/>
            </w:pPr>
            <w:r>
              <w:rPr>
                <w:rFonts w:hint="eastAsia"/>
              </w:rPr>
              <w:t xml:space="preserve">付佳 </w:t>
            </w:r>
          </w:p>
        </w:tc>
      </w:tr>
      <w:tr w14:paraId="0962F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FBEEB1">
            <w:pPr>
              <w:pStyle w:val="8"/>
            </w:pPr>
            <w:r>
              <w:rPr>
                <w:rFonts w:hint="eastAsia"/>
              </w:rPr>
              <w:t xml:space="preserve">电话： </w:t>
            </w:r>
          </w:p>
        </w:tc>
        <w:tc>
          <w:tcPr>
            <w:tcW w:w="7440" w:type="dxa"/>
            <w:shd w:val="clear" w:color="auto" w:fill="auto"/>
          </w:tcPr>
          <w:p w14:paraId="5C77135C">
            <w:pPr>
              <w:pStyle w:val="8"/>
            </w:pPr>
            <w:r>
              <w:rPr>
                <w:rFonts w:hint="eastAsia"/>
              </w:rPr>
              <w:t xml:space="preserve">021-23586603 </w:t>
            </w:r>
          </w:p>
        </w:tc>
      </w:tr>
      <w:tr w14:paraId="448F2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81CAB5">
            <w:pPr>
              <w:pStyle w:val="8"/>
            </w:pPr>
            <w:r>
              <w:rPr>
                <w:rFonts w:hint="eastAsia"/>
              </w:rPr>
              <w:t xml:space="preserve">传真： </w:t>
            </w:r>
          </w:p>
        </w:tc>
        <w:tc>
          <w:tcPr>
            <w:tcW w:w="7440" w:type="dxa"/>
            <w:shd w:val="clear" w:color="auto" w:fill="auto"/>
          </w:tcPr>
          <w:p w14:paraId="193A8C00">
            <w:pPr>
              <w:pStyle w:val="8"/>
            </w:pPr>
            <w:r>
              <w:rPr>
                <w:rFonts w:hint="eastAsia"/>
              </w:rPr>
              <w:t xml:space="preserve">021-23586860 </w:t>
            </w:r>
          </w:p>
        </w:tc>
      </w:tr>
      <w:tr w14:paraId="65D77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A8C361">
            <w:pPr>
              <w:pStyle w:val="8"/>
            </w:pPr>
            <w:r>
              <w:rPr>
                <w:rFonts w:hint="eastAsia"/>
              </w:rPr>
              <w:t xml:space="preserve">客户服务电话： </w:t>
            </w:r>
          </w:p>
        </w:tc>
        <w:tc>
          <w:tcPr>
            <w:tcW w:w="7440" w:type="dxa"/>
            <w:shd w:val="clear" w:color="auto" w:fill="auto"/>
          </w:tcPr>
          <w:p w14:paraId="64AFCE59">
            <w:pPr>
              <w:pStyle w:val="8"/>
            </w:pPr>
            <w:r>
              <w:rPr>
                <w:rFonts w:hint="eastAsia"/>
              </w:rPr>
              <w:t xml:space="preserve">95357 </w:t>
            </w:r>
          </w:p>
        </w:tc>
      </w:tr>
      <w:tr w14:paraId="74D14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7B378">
            <w:pPr>
              <w:pStyle w:val="8"/>
            </w:pPr>
            <w:r>
              <w:rPr>
                <w:rFonts w:hint="eastAsia"/>
              </w:rPr>
              <w:t xml:space="preserve">网址： </w:t>
            </w:r>
          </w:p>
        </w:tc>
        <w:tc>
          <w:tcPr>
            <w:tcW w:w="7440" w:type="dxa"/>
            <w:shd w:val="clear" w:color="auto" w:fill="auto"/>
          </w:tcPr>
          <w:p w14:paraId="35C54A2E">
            <w:pPr>
              <w:pStyle w:val="8"/>
            </w:pPr>
            <w:r>
              <w:rPr>
                <w:rFonts w:hint="eastAsia"/>
              </w:rPr>
              <w:t xml:space="preserve">http://www.18.cn </w:t>
            </w:r>
          </w:p>
        </w:tc>
      </w:tr>
    </w:tbl>
    <w:p w14:paraId="4DF18CB6">
      <w:pPr>
        <w:pStyle w:val="8"/>
        <w:spacing w:before="0" w:beforeAutospacing="0" w:after="0" w:afterAutospacing="0" w:line="360" w:lineRule="auto"/>
        <w:ind w:firstLine="420"/>
        <w:rPr>
          <w:sz w:val="21"/>
          <w:szCs w:val="21"/>
        </w:rPr>
      </w:pPr>
      <w:r>
        <w:rPr>
          <w:rFonts w:hint="eastAsia"/>
          <w:b/>
          <w:bCs/>
          <w:sz w:val="21"/>
          <w:szCs w:val="21"/>
        </w:rPr>
        <w:t>(50)粤开证券股份有限公司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B315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1CF8DF">
            <w:pPr>
              <w:pStyle w:val="8"/>
            </w:pPr>
            <w:r>
              <w:rPr>
                <w:rFonts w:hint="eastAsia"/>
              </w:rPr>
              <w:t xml:space="preserve">注册地址： </w:t>
            </w:r>
          </w:p>
        </w:tc>
        <w:tc>
          <w:tcPr>
            <w:tcW w:w="7440" w:type="dxa"/>
            <w:shd w:val="clear" w:color="auto" w:fill="auto"/>
          </w:tcPr>
          <w:p w14:paraId="1C8AAAC3">
            <w:pPr>
              <w:pStyle w:val="8"/>
            </w:pPr>
            <w:r>
              <w:rPr>
                <w:rFonts w:hint="eastAsia"/>
              </w:rPr>
              <w:t xml:space="preserve">广州市黄埔区科学大道60号开发区控股中心19、21、22、23层 </w:t>
            </w:r>
          </w:p>
        </w:tc>
      </w:tr>
      <w:tr w14:paraId="565FF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B1B8D6">
            <w:pPr>
              <w:pStyle w:val="8"/>
            </w:pPr>
            <w:r>
              <w:rPr>
                <w:rFonts w:hint="eastAsia"/>
              </w:rPr>
              <w:t xml:space="preserve">办公地址： </w:t>
            </w:r>
          </w:p>
        </w:tc>
        <w:tc>
          <w:tcPr>
            <w:tcW w:w="7440" w:type="dxa"/>
            <w:shd w:val="clear" w:color="auto" w:fill="auto"/>
          </w:tcPr>
          <w:p w14:paraId="15A6BCE0">
            <w:pPr>
              <w:pStyle w:val="8"/>
            </w:pPr>
            <w:r>
              <w:rPr>
                <w:rFonts w:hint="eastAsia"/>
              </w:rPr>
              <w:t xml:space="preserve">广州市黄埔区科学大道60号开发区控股中心19、21、22、23层 </w:t>
            </w:r>
          </w:p>
        </w:tc>
      </w:tr>
      <w:tr w14:paraId="7377D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2F054A">
            <w:pPr>
              <w:pStyle w:val="8"/>
            </w:pPr>
            <w:r>
              <w:rPr>
                <w:rFonts w:hint="eastAsia"/>
              </w:rPr>
              <w:t xml:space="preserve">法定代表人： </w:t>
            </w:r>
          </w:p>
        </w:tc>
        <w:tc>
          <w:tcPr>
            <w:tcW w:w="7440" w:type="dxa"/>
            <w:shd w:val="clear" w:color="auto" w:fill="auto"/>
          </w:tcPr>
          <w:p w14:paraId="31A8C75A">
            <w:pPr>
              <w:pStyle w:val="8"/>
            </w:pPr>
            <w:r>
              <w:rPr>
                <w:rFonts w:hint="eastAsia"/>
              </w:rPr>
              <w:t xml:space="preserve">郭川舟 </w:t>
            </w:r>
          </w:p>
        </w:tc>
      </w:tr>
      <w:tr w14:paraId="2E793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35AF8F">
            <w:pPr>
              <w:pStyle w:val="8"/>
            </w:pPr>
            <w:r>
              <w:rPr>
                <w:rFonts w:hint="eastAsia"/>
              </w:rPr>
              <w:t xml:space="preserve">联系人： </w:t>
            </w:r>
          </w:p>
        </w:tc>
        <w:tc>
          <w:tcPr>
            <w:tcW w:w="7440" w:type="dxa"/>
            <w:shd w:val="clear" w:color="auto" w:fill="auto"/>
          </w:tcPr>
          <w:p w14:paraId="6763F788">
            <w:pPr>
              <w:pStyle w:val="8"/>
            </w:pPr>
            <w:r>
              <w:rPr>
                <w:rFonts w:hint="eastAsia"/>
              </w:rPr>
              <w:t xml:space="preserve">彭莲 </w:t>
            </w:r>
          </w:p>
        </w:tc>
      </w:tr>
      <w:tr w14:paraId="1B683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FCA010">
            <w:pPr>
              <w:pStyle w:val="8"/>
            </w:pPr>
            <w:r>
              <w:rPr>
                <w:rFonts w:hint="eastAsia"/>
              </w:rPr>
              <w:t xml:space="preserve">电话： </w:t>
            </w:r>
          </w:p>
        </w:tc>
        <w:tc>
          <w:tcPr>
            <w:tcW w:w="7440" w:type="dxa"/>
            <w:shd w:val="clear" w:color="auto" w:fill="auto"/>
          </w:tcPr>
          <w:p w14:paraId="64C92EE1">
            <w:pPr>
              <w:pStyle w:val="8"/>
            </w:pPr>
            <w:r>
              <w:rPr>
                <w:rFonts w:hint="eastAsia"/>
              </w:rPr>
              <w:t xml:space="preserve">0755-83331195 </w:t>
            </w:r>
          </w:p>
        </w:tc>
      </w:tr>
      <w:tr w14:paraId="76313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9DCFC0">
            <w:pPr>
              <w:pStyle w:val="8"/>
            </w:pPr>
            <w:r>
              <w:rPr>
                <w:rFonts w:hint="eastAsia"/>
              </w:rPr>
              <w:t xml:space="preserve">客户服务电话： </w:t>
            </w:r>
          </w:p>
        </w:tc>
        <w:tc>
          <w:tcPr>
            <w:tcW w:w="7440" w:type="dxa"/>
            <w:shd w:val="clear" w:color="auto" w:fill="auto"/>
          </w:tcPr>
          <w:p w14:paraId="502348B6">
            <w:pPr>
              <w:pStyle w:val="8"/>
            </w:pPr>
            <w:r>
              <w:rPr>
                <w:rFonts w:hint="eastAsia"/>
              </w:rPr>
              <w:t xml:space="preserve">95564 </w:t>
            </w:r>
          </w:p>
        </w:tc>
      </w:tr>
      <w:tr w14:paraId="6456A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E6E9CA">
            <w:pPr>
              <w:pStyle w:val="8"/>
            </w:pPr>
            <w:r>
              <w:rPr>
                <w:rFonts w:hint="eastAsia"/>
              </w:rPr>
              <w:t xml:space="preserve">网址： </w:t>
            </w:r>
          </w:p>
        </w:tc>
        <w:tc>
          <w:tcPr>
            <w:tcW w:w="7440" w:type="dxa"/>
            <w:shd w:val="clear" w:color="auto" w:fill="auto"/>
          </w:tcPr>
          <w:p w14:paraId="446E1E08">
            <w:pPr>
              <w:pStyle w:val="8"/>
            </w:pPr>
            <w:r>
              <w:rPr>
                <w:rFonts w:hint="eastAsia"/>
              </w:rPr>
              <w:t xml:space="preserve">http://www.ykzq.com </w:t>
            </w:r>
          </w:p>
        </w:tc>
      </w:tr>
    </w:tbl>
    <w:p w14:paraId="1C87E8E3">
      <w:pPr>
        <w:pStyle w:val="8"/>
        <w:spacing w:before="0" w:beforeAutospacing="0" w:after="0" w:afterAutospacing="0" w:line="360" w:lineRule="auto"/>
        <w:ind w:firstLine="420"/>
        <w:rPr>
          <w:sz w:val="21"/>
          <w:szCs w:val="21"/>
        </w:rPr>
      </w:pPr>
      <w:r>
        <w:rPr>
          <w:rFonts w:hint="eastAsia"/>
          <w:b/>
          <w:bCs/>
          <w:sz w:val="21"/>
          <w:szCs w:val="21"/>
        </w:rPr>
        <w:t>(51)江海证券有限公司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B03F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3B0221">
            <w:pPr>
              <w:pStyle w:val="8"/>
            </w:pPr>
            <w:r>
              <w:rPr>
                <w:rFonts w:hint="eastAsia"/>
              </w:rPr>
              <w:t xml:space="preserve">注册地址： </w:t>
            </w:r>
          </w:p>
        </w:tc>
        <w:tc>
          <w:tcPr>
            <w:tcW w:w="7440" w:type="dxa"/>
            <w:shd w:val="clear" w:color="auto" w:fill="auto"/>
          </w:tcPr>
          <w:p w14:paraId="25964A20">
            <w:pPr>
              <w:pStyle w:val="8"/>
            </w:pPr>
            <w:r>
              <w:rPr>
                <w:rFonts w:hint="eastAsia"/>
              </w:rPr>
              <w:t xml:space="preserve">黑龙江省哈尔滨市香坊区赣水路56号 </w:t>
            </w:r>
          </w:p>
        </w:tc>
      </w:tr>
      <w:tr w14:paraId="09136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F0370A">
            <w:pPr>
              <w:pStyle w:val="8"/>
            </w:pPr>
            <w:r>
              <w:rPr>
                <w:rFonts w:hint="eastAsia"/>
              </w:rPr>
              <w:t xml:space="preserve">办公地址： </w:t>
            </w:r>
          </w:p>
        </w:tc>
        <w:tc>
          <w:tcPr>
            <w:tcW w:w="7440" w:type="dxa"/>
            <w:shd w:val="clear" w:color="auto" w:fill="auto"/>
          </w:tcPr>
          <w:p w14:paraId="296948A4">
            <w:pPr>
              <w:pStyle w:val="8"/>
            </w:pPr>
            <w:r>
              <w:rPr>
                <w:rFonts w:hint="eastAsia"/>
              </w:rPr>
              <w:t xml:space="preserve">黑龙江省哈尔滨市香坊区赣水路56号 </w:t>
            </w:r>
          </w:p>
        </w:tc>
      </w:tr>
      <w:tr w14:paraId="24C24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CF9F97">
            <w:pPr>
              <w:pStyle w:val="8"/>
            </w:pPr>
            <w:r>
              <w:rPr>
                <w:rFonts w:hint="eastAsia"/>
              </w:rPr>
              <w:t xml:space="preserve">法定代表人： </w:t>
            </w:r>
          </w:p>
        </w:tc>
        <w:tc>
          <w:tcPr>
            <w:tcW w:w="7440" w:type="dxa"/>
            <w:shd w:val="clear" w:color="auto" w:fill="auto"/>
          </w:tcPr>
          <w:p w14:paraId="3587692E">
            <w:pPr>
              <w:pStyle w:val="8"/>
            </w:pPr>
            <w:r>
              <w:rPr>
                <w:rFonts w:hint="eastAsia"/>
              </w:rPr>
              <w:t xml:space="preserve">孙名扬 </w:t>
            </w:r>
          </w:p>
        </w:tc>
      </w:tr>
      <w:tr w14:paraId="4F114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9FFA16">
            <w:pPr>
              <w:pStyle w:val="8"/>
            </w:pPr>
            <w:r>
              <w:rPr>
                <w:rFonts w:hint="eastAsia"/>
              </w:rPr>
              <w:t xml:space="preserve">联系人： </w:t>
            </w:r>
          </w:p>
        </w:tc>
        <w:tc>
          <w:tcPr>
            <w:tcW w:w="7440" w:type="dxa"/>
            <w:shd w:val="clear" w:color="auto" w:fill="auto"/>
          </w:tcPr>
          <w:p w14:paraId="55945EC5">
            <w:pPr>
              <w:pStyle w:val="8"/>
            </w:pPr>
            <w:r>
              <w:rPr>
                <w:rFonts w:hint="eastAsia"/>
              </w:rPr>
              <w:t xml:space="preserve">王金娇 </w:t>
            </w:r>
          </w:p>
        </w:tc>
      </w:tr>
      <w:tr w14:paraId="2505B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E69025">
            <w:pPr>
              <w:pStyle w:val="8"/>
            </w:pPr>
            <w:r>
              <w:rPr>
                <w:rFonts w:hint="eastAsia"/>
              </w:rPr>
              <w:t xml:space="preserve">电话： </w:t>
            </w:r>
          </w:p>
        </w:tc>
        <w:tc>
          <w:tcPr>
            <w:tcW w:w="7440" w:type="dxa"/>
            <w:shd w:val="clear" w:color="auto" w:fill="auto"/>
          </w:tcPr>
          <w:p w14:paraId="001CFC2E">
            <w:pPr>
              <w:pStyle w:val="8"/>
            </w:pPr>
            <w:r>
              <w:rPr>
                <w:rFonts w:hint="eastAsia"/>
              </w:rPr>
              <w:t xml:space="preserve">0451-87765732 </w:t>
            </w:r>
          </w:p>
        </w:tc>
      </w:tr>
      <w:tr w14:paraId="62568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61027">
            <w:pPr>
              <w:pStyle w:val="8"/>
            </w:pPr>
            <w:r>
              <w:rPr>
                <w:rFonts w:hint="eastAsia"/>
              </w:rPr>
              <w:t xml:space="preserve">传真： </w:t>
            </w:r>
          </w:p>
        </w:tc>
        <w:tc>
          <w:tcPr>
            <w:tcW w:w="7440" w:type="dxa"/>
            <w:shd w:val="clear" w:color="auto" w:fill="auto"/>
          </w:tcPr>
          <w:p w14:paraId="09B8F294">
            <w:pPr>
              <w:pStyle w:val="8"/>
            </w:pPr>
            <w:r>
              <w:rPr>
                <w:rFonts w:hint="eastAsia"/>
              </w:rPr>
              <w:t xml:space="preserve">0451－82287211 </w:t>
            </w:r>
          </w:p>
        </w:tc>
      </w:tr>
      <w:tr w14:paraId="4B8D7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443CF0">
            <w:pPr>
              <w:pStyle w:val="8"/>
            </w:pPr>
            <w:r>
              <w:rPr>
                <w:rFonts w:hint="eastAsia"/>
              </w:rPr>
              <w:t xml:space="preserve">客户服务电话： </w:t>
            </w:r>
          </w:p>
        </w:tc>
        <w:tc>
          <w:tcPr>
            <w:tcW w:w="7440" w:type="dxa"/>
            <w:shd w:val="clear" w:color="auto" w:fill="auto"/>
          </w:tcPr>
          <w:p w14:paraId="2BAD7922">
            <w:pPr>
              <w:pStyle w:val="8"/>
            </w:pPr>
            <w:r>
              <w:rPr>
                <w:rFonts w:hint="eastAsia"/>
              </w:rPr>
              <w:t xml:space="preserve">956007 </w:t>
            </w:r>
          </w:p>
        </w:tc>
      </w:tr>
      <w:tr w14:paraId="4FA45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1C6864">
            <w:pPr>
              <w:pStyle w:val="8"/>
            </w:pPr>
            <w:r>
              <w:rPr>
                <w:rFonts w:hint="eastAsia"/>
              </w:rPr>
              <w:t xml:space="preserve">网址： </w:t>
            </w:r>
          </w:p>
        </w:tc>
        <w:tc>
          <w:tcPr>
            <w:tcW w:w="7440" w:type="dxa"/>
            <w:shd w:val="clear" w:color="auto" w:fill="auto"/>
          </w:tcPr>
          <w:p w14:paraId="06DE44A5">
            <w:pPr>
              <w:pStyle w:val="8"/>
            </w:pPr>
            <w:r>
              <w:rPr>
                <w:rFonts w:hint="eastAsia"/>
              </w:rPr>
              <w:t xml:space="preserve">http://www.jhzq.com.cn </w:t>
            </w:r>
          </w:p>
        </w:tc>
      </w:tr>
    </w:tbl>
    <w:p w14:paraId="380BDB98">
      <w:pPr>
        <w:pStyle w:val="8"/>
        <w:spacing w:before="0" w:beforeAutospacing="0" w:after="0" w:afterAutospacing="0" w:line="360" w:lineRule="auto"/>
        <w:ind w:firstLine="420"/>
        <w:rPr>
          <w:sz w:val="21"/>
          <w:szCs w:val="21"/>
        </w:rPr>
      </w:pPr>
      <w:r>
        <w:rPr>
          <w:rFonts w:hint="eastAsia"/>
          <w:b/>
          <w:bCs/>
          <w:sz w:val="21"/>
          <w:szCs w:val="21"/>
        </w:rPr>
        <w:t>(52)国金证券股份有限公司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B4A5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B02B001">
            <w:pPr>
              <w:pStyle w:val="8"/>
            </w:pPr>
            <w:r>
              <w:rPr>
                <w:rFonts w:hint="eastAsia"/>
              </w:rPr>
              <w:t xml:space="preserve">注册地址： </w:t>
            </w:r>
          </w:p>
        </w:tc>
        <w:tc>
          <w:tcPr>
            <w:tcW w:w="7440" w:type="dxa"/>
            <w:shd w:val="clear" w:color="auto" w:fill="auto"/>
          </w:tcPr>
          <w:p w14:paraId="3A0D8892">
            <w:pPr>
              <w:pStyle w:val="8"/>
            </w:pPr>
            <w:r>
              <w:rPr>
                <w:rFonts w:hint="eastAsia"/>
              </w:rPr>
              <w:t xml:space="preserve">四川省成都市东城根上街95号 </w:t>
            </w:r>
          </w:p>
        </w:tc>
      </w:tr>
      <w:tr w14:paraId="1C86D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02D685">
            <w:pPr>
              <w:pStyle w:val="8"/>
            </w:pPr>
            <w:r>
              <w:rPr>
                <w:rFonts w:hint="eastAsia"/>
              </w:rPr>
              <w:t xml:space="preserve">办公地址： </w:t>
            </w:r>
          </w:p>
        </w:tc>
        <w:tc>
          <w:tcPr>
            <w:tcW w:w="7440" w:type="dxa"/>
            <w:shd w:val="clear" w:color="auto" w:fill="auto"/>
          </w:tcPr>
          <w:p w14:paraId="740DFE18">
            <w:pPr>
              <w:pStyle w:val="8"/>
            </w:pPr>
            <w:r>
              <w:rPr>
                <w:rFonts w:hint="eastAsia"/>
              </w:rPr>
              <w:t xml:space="preserve">四川省成都市东城根上街95号 </w:t>
            </w:r>
          </w:p>
        </w:tc>
      </w:tr>
      <w:tr w14:paraId="7D31F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AC76F3">
            <w:pPr>
              <w:pStyle w:val="8"/>
            </w:pPr>
            <w:r>
              <w:rPr>
                <w:rFonts w:hint="eastAsia"/>
              </w:rPr>
              <w:t xml:space="preserve">法定代表人： </w:t>
            </w:r>
          </w:p>
        </w:tc>
        <w:tc>
          <w:tcPr>
            <w:tcW w:w="7440" w:type="dxa"/>
            <w:shd w:val="clear" w:color="auto" w:fill="auto"/>
          </w:tcPr>
          <w:p w14:paraId="43B4B968">
            <w:pPr>
              <w:pStyle w:val="8"/>
            </w:pPr>
            <w:r>
              <w:rPr>
                <w:rFonts w:hint="eastAsia"/>
              </w:rPr>
              <w:t xml:space="preserve">冉云 </w:t>
            </w:r>
          </w:p>
        </w:tc>
      </w:tr>
      <w:tr w14:paraId="05E75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2EB0F2">
            <w:pPr>
              <w:pStyle w:val="8"/>
            </w:pPr>
            <w:r>
              <w:rPr>
                <w:rFonts w:hint="eastAsia"/>
              </w:rPr>
              <w:t xml:space="preserve">联系人： </w:t>
            </w:r>
          </w:p>
        </w:tc>
        <w:tc>
          <w:tcPr>
            <w:tcW w:w="7440" w:type="dxa"/>
            <w:shd w:val="clear" w:color="auto" w:fill="auto"/>
          </w:tcPr>
          <w:p w14:paraId="1B9E9E20">
            <w:pPr>
              <w:pStyle w:val="8"/>
            </w:pPr>
            <w:r>
              <w:rPr>
                <w:rFonts w:hint="eastAsia"/>
              </w:rPr>
              <w:t xml:space="preserve">贾鹏 </w:t>
            </w:r>
          </w:p>
        </w:tc>
      </w:tr>
      <w:tr w14:paraId="7939E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F5FB6">
            <w:pPr>
              <w:pStyle w:val="8"/>
            </w:pPr>
            <w:r>
              <w:rPr>
                <w:rFonts w:hint="eastAsia"/>
              </w:rPr>
              <w:t xml:space="preserve">电话： </w:t>
            </w:r>
          </w:p>
        </w:tc>
        <w:tc>
          <w:tcPr>
            <w:tcW w:w="7440" w:type="dxa"/>
            <w:shd w:val="clear" w:color="auto" w:fill="auto"/>
          </w:tcPr>
          <w:p w14:paraId="46E62608">
            <w:pPr>
              <w:pStyle w:val="8"/>
            </w:pPr>
            <w:r>
              <w:rPr>
                <w:rFonts w:hint="eastAsia"/>
              </w:rPr>
              <w:t xml:space="preserve">028-86690057、028-86690058 </w:t>
            </w:r>
          </w:p>
        </w:tc>
      </w:tr>
      <w:tr w14:paraId="4C63D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675DF3">
            <w:pPr>
              <w:pStyle w:val="8"/>
            </w:pPr>
            <w:r>
              <w:rPr>
                <w:rFonts w:hint="eastAsia"/>
              </w:rPr>
              <w:t xml:space="preserve">传真： </w:t>
            </w:r>
          </w:p>
        </w:tc>
        <w:tc>
          <w:tcPr>
            <w:tcW w:w="7440" w:type="dxa"/>
            <w:shd w:val="clear" w:color="auto" w:fill="auto"/>
          </w:tcPr>
          <w:p w14:paraId="25474C23">
            <w:pPr>
              <w:pStyle w:val="8"/>
            </w:pPr>
            <w:r>
              <w:rPr>
                <w:rFonts w:hint="eastAsia"/>
              </w:rPr>
              <w:t xml:space="preserve">028-86690126 </w:t>
            </w:r>
          </w:p>
        </w:tc>
      </w:tr>
      <w:tr w14:paraId="604E1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526858">
            <w:pPr>
              <w:pStyle w:val="8"/>
            </w:pPr>
            <w:r>
              <w:rPr>
                <w:rFonts w:hint="eastAsia"/>
              </w:rPr>
              <w:t xml:space="preserve">客户服务电话： </w:t>
            </w:r>
          </w:p>
        </w:tc>
        <w:tc>
          <w:tcPr>
            <w:tcW w:w="7440" w:type="dxa"/>
            <w:shd w:val="clear" w:color="auto" w:fill="auto"/>
          </w:tcPr>
          <w:p w14:paraId="4848DDE9">
            <w:pPr>
              <w:pStyle w:val="8"/>
            </w:pPr>
            <w:r>
              <w:rPr>
                <w:rFonts w:hint="eastAsia"/>
              </w:rPr>
              <w:t xml:space="preserve">4006-600109/95310 </w:t>
            </w:r>
          </w:p>
        </w:tc>
      </w:tr>
      <w:tr w14:paraId="3C761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6083BF">
            <w:pPr>
              <w:pStyle w:val="8"/>
            </w:pPr>
            <w:r>
              <w:rPr>
                <w:rFonts w:hint="eastAsia"/>
              </w:rPr>
              <w:t xml:space="preserve">网址： </w:t>
            </w:r>
          </w:p>
        </w:tc>
        <w:tc>
          <w:tcPr>
            <w:tcW w:w="7440" w:type="dxa"/>
            <w:shd w:val="clear" w:color="auto" w:fill="auto"/>
          </w:tcPr>
          <w:p w14:paraId="7CCD2823">
            <w:pPr>
              <w:pStyle w:val="8"/>
            </w:pPr>
            <w:r>
              <w:rPr>
                <w:rFonts w:hint="eastAsia"/>
              </w:rPr>
              <w:t xml:space="preserve">http://www.gjzq.com.cn </w:t>
            </w:r>
          </w:p>
        </w:tc>
      </w:tr>
    </w:tbl>
    <w:p w14:paraId="57100B5B">
      <w:pPr>
        <w:pStyle w:val="8"/>
        <w:spacing w:before="0" w:beforeAutospacing="0" w:after="0" w:afterAutospacing="0" w:line="360" w:lineRule="auto"/>
        <w:ind w:firstLine="420"/>
        <w:rPr>
          <w:sz w:val="21"/>
          <w:szCs w:val="21"/>
        </w:rPr>
      </w:pPr>
      <w:r>
        <w:rPr>
          <w:rFonts w:hint="eastAsia"/>
          <w:b/>
          <w:bCs/>
          <w:sz w:val="21"/>
          <w:szCs w:val="21"/>
        </w:rPr>
        <w:t>(53)华宝证券股份有限公司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0A7E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553FD">
            <w:pPr>
              <w:pStyle w:val="8"/>
            </w:pPr>
            <w:r>
              <w:rPr>
                <w:rFonts w:hint="eastAsia"/>
              </w:rPr>
              <w:t xml:space="preserve">注册地址： </w:t>
            </w:r>
          </w:p>
        </w:tc>
        <w:tc>
          <w:tcPr>
            <w:tcW w:w="7440" w:type="dxa"/>
            <w:shd w:val="clear" w:color="auto" w:fill="auto"/>
          </w:tcPr>
          <w:p w14:paraId="55BF8F0C">
            <w:pPr>
              <w:pStyle w:val="8"/>
            </w:pPr>
            <w:r>
              <w:rPr>
                <w:rFonts w:hint="eastAsia"/>
              </w:rPr>
              <w:t xml:space="preserve">上海市浦东新区世纪大道100号上海环球金融中心57楼 </w:t>
            </w:r>
          </w:p>
        </w:tc>
      </w:tr>
      <w:tr w14:paraId="2856D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6C261D">
            <w:pPr>
              <w:pStyle w:val="8"/>
            </w:pPr>
            <w:r>
              <w:rPr>
                <w:rFonts w:hint="eastAsia"/>
              </w:rPr>
              <w:t xml:space="preserve">办公地址： </w:t>
            </w:r>
          </w:p>
        </w:tc>
        <w:tc>
          <w:tcPr>
            <w:tcW w:w="7440" w:type="dxa"/>
            <w:shd w:val="clear" w:color="auto" w:fill="auto"/>
          </w:tcPr>
          <w:p w14:paraId="2F3E3FAF">
            <w:pPr>
              <w:pStyle w:val="8"/>
            </w:pPr>
            <w:r>
              <w:rPr>
                <w:rFonts w:hint="eastAsia"/>
              </w:rPr>
              <w:t xml:space="preserve">上海市浦东新区世纪大道100号上海环球金融中心57楼 </w:t>
            </w:r>
          </w:p>
        </w:tc>
      </w:tr>
      <w:tr w14:paraId="5A99A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22F0F">
            <w:pPr>
              <w:pStyle w:val="8"/>
            </w:pPr>
            <w:r>
              <w:rPr>
                <w:rFonts w:hint="eastAsia"/>
              </w:rPr>
              <w:t xml:space="preserve">法定代表人： </w:t>
            </w:r>
          </w:p>
        </w:tc>
        <w:tc>
          <w:tcPr>
            <w:tcW w:w="7440" w:type="dxa"/>
            <w:shd w:val="clear" w:color="auto" w:fill="auto"/>
          </w:tcPr>
          <w:p w14:paraId="1E033C73">
            <w:pPr>
              <w:pStyle w:val="8"/>
            </w:pPr>
            <w:r>
              <w:rPr>
                <w:rFonts w:hint="eastAsia"/>
              </w:rPr>
              <w:t xml:space="preserve">刘加海 </w:t>
            </w:r>
          </w:p>
        </w:tc>
      </w:tr>
      <w:tr w14:paraId="77D5E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384E2">
            <w:pPr>
              <w:pStyle w:val="8"/>
            </w:pPr>
            <w:r>
              <w:rPr>
                <w:rFonts w:hint="eastAsia"/>
              </w:rPr>
              <w:t xml:space="preserve">联系人： </w:t>
            </w:r>
          </w:p>
        </w:tc>
        <w:tc>
          <w:tcPr>
            <w:tcW w:w="7440" w:type="dxa"/>
            <w:shd w:val="clear" w:color="auto" w:fill="auto"/>
          </w:tcPr>
          <w:p w14:paraId="63EAD916">
            <w:pPr>
              <w:pStyle w:val="8"/>
            </w:pPr>
            <w:r>
              <w:rPr>
                <w:rFonts w:hint="eastAsia"/>
              </w:rPr>
              <w:t xml:space="preserve">刘闻川 </w:t>
            </w:r>
          </w:p>
        </w:tc>
      </w:tr>
      <w:tr w14:paraId="3229B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71BDF6">
            <w:pPr>
              <w:pStyle w:val="8"/>
            </w:pPr>
            <w:r>
              <w:rPr>
                <w:rFonts w:hint="eastAsia"/>
              </w:rPr>
              <w:t xml:space="preserve">电话： </w:t>
            </w:r>
          </w:p>
        </w:tc>
        <w:tc>
          <w:tcPr>
            <w:tcW w:w="7440" w:type="dxa"/>
            <w:shd w:val="clear" w:color="auto" w:fill="auto"/>
          </w:tcPr>
          <w:p w14:paraId="49990852">
            <w:pPr>
              <w:pStyle w:val="8"/>
            </w:pPr>
            <w:r>
              <w:rPr>
                <w:rFonts w:hint="eastAsia"/>
              </w:rPr>
              <w:t xml:space="preserve">021-68777222   </w:t>
            </w:r>
          </w:p>
        </w:tc>
      </w:tr>
      <w:tr w14:paraId="1B17E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04AFEA">
            <w:pPr>
              <w:pStyle w:val="8"/>
            </w:pPr>
            <w:r>
              <w:rPr>
                <w:rFonts w:hint="eastAsia"/>
              </w:rPr>
              <w:t xml:space="preserve">传真： </w:t>
            </w:r>
          </w:p>
        </w:tc>
        <w:tc>
          <w:tcPr>
            <w:tcW w:w="7440" w:type="dxa"/>
            <w:shd w:val="clear" w:color="auto" w:fill="auto"/>
          </w:tcPr>
          <w:p w14:paraId="0E6C373D">
            <w:pPr>
              <w:pStyle w:val="8"/>
            </w:pPr>
            <w:r>
              <w:rPr>
                <w:rFonts w:hint="eastAsia"/>
              </w:rPr>
              <w:t xml:space="preserve">021－68777822 </w:t>
            </w:r>
          </w:p>
        </w:tc>
      </w:tr>
      <w:tr w14:paraId="49544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E5ECAA">
            <w:pPr>
              <w:pStyle w:val="8"/>
            </w:pPr>
            <w:r>
              <w:rPr>
                <w:rFonts w:hint="eastAsia"/>
              </w:rPr>
              <w:t xml:space="preserve">客户服务电话： </w:t>
            </w:r>
          </w:p>
        </w:tc>
        <w:tc>
          <w:tcPr>
            <w:tcW w:w="7440" w:type="dxa"/>
            <w:shd w:val="clear" w:color="auto" w:fill="auto"/>
          </w:tcPr>
          <w:p w14:paraId="7F28E6DA">
            <w:pPr>
              <w:pStyle w:val="8"/>
            </w:pPr>
            <w:r>
              <w:rPr>
                <w:rFonts w:hint="eastAsia"/>
              </w:rPr>
              <w:t xml:space="preserve">4008209898;021-38929908 </w:t>
            </w:r>
          </w:p>
        </w:tc>
      </w:tr>
      <w:tr w14:paraId="056F3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A13763">
            <w:pPr>
              <w:pStyle w:val="8"/>
            </w:pPr>
            <w:r>
              <w:rPr>
                <w:rFonts w:hint="eastAsia"/>
              </w:rPr>
              <w:t xml:space="preserve">网址： </w:t>
            </w:r>
          </w:p>
        </w:tc>
        <w:tc>
          <w:tcPr>
            <w:tcW w:w="7440" w:type="dxa"/>
            <w:shd w:val="clear" w:color="auto" w:fill="auto"/>
          </w:tcPr>
          <w:p w14:paraId="05812F33">
            <w:pPr>
              <w:pStyle w:val="8"/>
            </w:pPr>
            <w:r>
              <w:rPr>
                <w:rFonts w:hint="eastAsia"/>
              </w:rPr>
              <w:t xml:space="preserve">http://www.cnhbstock.com </w:t>
            </w:r>
          </w:p>
        </w:tc>
      </w:tr>
    </w:tbl>
    <w:p w14:paraId="7ACA7F21">
      <w:pPr>
        <w:pStyle w:val="8"/>
        <w:spacing w:before="0" w:beforeAutospacing="0" w:after="0" w:afterAutospacing="0" w:line="360" w:lineRule="auto"/>
        <w:ind w:firstLine="420"/>
        <w:rPr>
          <w:sz w:val="21"/>
          <w:szCs w:val="21"/>
        </w:rPr>
      </w:pPr>
      <w:r>
        <w:rPr>
          <w:rFonts w:hint="eastAsia"/>
          <w:b/>
          <w:bCs/>
          <w:sz w:val="21"/>
          <w:szCs w:val="21"/>
        </w:rPr>
        <w:t>(54)爱建证券有限责任公司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48C1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08D6E3E">
            <w:pPr>
              <w:pStyle w:val="8"/>
            </w:pPr>
            <w:r>
              <w:rPr>
                <w:rFonts w:hint="eastAsia"/>
              </w:rPr>
              <w:t xml:space="preserve">注册地址： </w:t>
            </w:r>
          </w:p>
        </w:tc>
        <w:tc>
          <w:tcPr>
            <w:tcW w:w="7440" w:type="dxa"/>
            <w:shd w:val="clear" w:color="auto" w:fill="auto"/>
          </w:tcPr>
          <w:p w14:paraId="11FC5812">
            <w:pPr>
              <w:pStyle w:val="8"/>
            </w:pPr>
            <w:r>
              <w:rPr>
                <w:rFonts w:hint="eastAsia"/>
              </w:rPr>
              <w:t xml:space="preserve">中国（上海）自由贸易试验区世纪大道1600号1幢32楼 </w:t>
            </w:r>
          </w:p>
        </w:tc>
      </w:tr>
      <w:tr w14:paraId="6521F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0BD566">
            <w:pPr>
              <w:pStyle w:val="8"/>
            </w:pPr>
            <w:r>
              <w:rPr>
                <w:rFonts w:hint="eastAsia"/>
              </w:rPr>
              <w:t xml:space="preserve">办公地址： </w:t>
            </w:r>
          </w:p>
        </w:tc>
        <w:tc>
          <w:tcPr>
            <w:tcW w:w="7440" w:type="dxa"/>
            <w:shd w:val="clear" w:color="auto" w:fill="auto"/>
          </w:tcPr>
          <w:p w14:paraId="6A8DFE98">
            <w:pPr>
              <w:pStyle w:val="8"/>
            </w:pPr>
            <w:r>
              <w:rPr>
                <w:rFonts w:hint="eastAsia"/>
              </w:rPr>
              <w:t xml:space="preserve">上海市浦东新区世纪大道1600号32楼 </w:t>
            </w:r>
          </w:p>
        </w:tc>
      </w:tr>
      <w:tr w14:paraId="4E5D5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9B9E08">
            <w:pPr>
              <w:pStyle w:val="8"/>
            </w:pPr>
            <w:r>
              <w:rPr>
                <w:rFonts w:hint="eastAsia"/>
              </w:rPr>
              <w:t xml:space="preserve">法定代表人： </w:t>
            </w:r>
          </w:p>
        </w:tc>
        <w:tc>
          <w:tcPr>
            <w:tcW w:w="7440" w:type="dxa"/>
            <w:shd w:val="clear" w:color="auto" w:fill="auto"/>
          </w:tcPr>
          <w:p w14:paraId="0B20E275">
            <w:pPr>
              <w:pStyle w:val="8"/>
            </w:pPr>
            <w:r>
              <w:rPr>
                <w:rFonts w:hint="eastAsia"/>
              </w:rPr>
              <w:t xml:space="preserve">祝健 </w:t>
            </w:r>
          </w:p>
        </w:tc>
      </w:tr>
      <w:tr w14:paraId="13FCB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14E6B8">
            <w:pPr>
              <w:pStyle w:val="8"/>
            </w:pPr>
            <w:r>
              <w:rPr>
                <w:rFonts w:hint="eastAsia"/>
              </w:rPr>
              <w:t xml:space="preserve">联系人： </w:t>
            </w:r>
          </w:p>
        </w:tc>
        <w:tc>
          <w:tcPr>
            <w:tcW w:w="7440" w:type="dxa"/>
            <w:shd w:val="clear" w:color="auto" w:fill="auto"/>
          </w:tcPr>
          <w:p w14:paraId="5398D7D0">
            <w:pPr>
              <w:pStyle w:val="8"/>
            </w:pPr>
            <w:r>
              <w:rPr>
                <w:rFonts w:hint="eastAsia"/>
              </w:rPr>
              <w:t xml:space="preserve">姚盛盛 </w:t>
            </w:r>
          </w:p>
        </w:tc>
      </w:tr>
      <w:tr w14:paraId="46AA5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491C69">
            <w:pPr>
              <w:pStyle w:val="8"/>
            </w:pPr>
            <w:r>
              <w:rPr>
                <w:rFonts w:hint="eastAsia"/>
              </w:rPr>
              <w:t xml:space="preserve">电话： </w:t>
            </w:r>
          </w:p>
        </w:tc>
        <w:tc>
          <w:tcPr>
            <w:tcW w:w="7440" w:type="dxa"/>
            <w:shd w:val="clear" w:color="auto" w:fill="auto"/>
          </w:tcPr>
          <w:p w14:paraId="5D647AC3">
            <w:pPr>
              <w:pStyle w:val="8"/>
            </w:pPr>
            <w:r>
              <w:rPr>
                <w:rFonts w:hint="eastAsia"/>
              </w:rPr>
              <w:t xml:space="preserve">021-32229888 </w:t>
            </w:r>
          </w:p>
        </w:tc>
      </w:tr>
      <w:tr w14:paraId="029B2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4D678E">
            <w:pPr>
              <w:pStyle w:val="8"/>
            </w:pPr>
            <w:r>
              <w:rPr>
                <w:rFonts w:hint="eastAsia"/>
              </w:rPr>
              <w:t xml:space="preserve">传真： </w:t>
            </w:r>
          </w:p>
        </w:tc>
        <w:tc>
          <w:tcPr>
            <w:tcW w:w="7440" w:type="dxa"/>
            <w:shd w:val="clear" w:color="auto" w:fill="auto"/>
          </w:tcPr>
          <w:p w14:paraId="5C31431B">
            <w:pPr>
              <w:pStyle w:val="8"/>
            </w:pPr>
            <w:r>
              <w:rPr>
                <w:rFonts w:hint="eastAsia"/>
              </w:rPr>
              <w:t xml:space="preserve">021- 68728703 </w:t>
            </w:r>
          </w:p>
        </w:tc>
      </w:tr>
      <w:tr w14:paraId="6F7D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5FAB31">
            <w:pPr>
              <w:pStyle w:val="8"/>
            </w:pPr>
            <w:r>
              <w:rPr>
                <w:rFonts w:hint="eastAsia"/>
              </w:rPr>
              <w:t xml:space="preserve">客户服务电话： </w:t>
            </w:r>
          </w:p>
        </w:tc>
        <w:tc>
          <w:tcPr>
            <w:tcW w:w="7440" w:type="dxa"/>
            <w:shd w:val="clear" w:color="auto" w:fill="auto"/>
          </w:tcPr>
          <w:p w14:paraId="7805F546">
            <w:pPr>
              <w:pStyle w:val="8"/>
            </w:pPr>
            <w:r>
              <w:rPr>
                <w:rFonts w:hint="eastAsia"/>
              </w:rPr>
              <w:t xml:space="preserve">4001-962-502 </w:t>
            </w:r>
          </w:p>
        </w:tc>
      </w:tr>
      <w:tr w14:paraId="7330E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01A6CD">
            <w:pPr>
              <w:pStyle w:val="8"/>
            </w:pPr>
            <w:r>
              <w:rPr>
                <w:rFonts w:hint="eastAsia"/>
              </w:rPr>
              <w:t xml:space="preserve">网址： </w:t>
            </w:r>
          </w:p>
        </w:tc>
        <w:tc>
          <w:tcPr>
            <w:tcW w:w="7440" w:type="dxa"/>
            <w:shd w:val="clear" w:color="auto" w:fill="auto"/>
          </w:tcPr>
          <w:p w14:paraId="21DABF57">
            <w:pPr>
              <w:pStyle w:val="8"/>
            </w:pPr>
            <w:r>
              <w:rPr>
                <w:rFonts w:hint="eastAsia"/>
              </w:rPr>
              <w:t xml:space="preserve">http://www.ajzq.com </w:t>
            </w:r>
          </w:p>
        </w:tc>
      </w:tr>
    </w:tbl>
    <w:p w14:paraId="61DE1B79">
      <w:pPr>
        <w:pStyle w:val="8"/>
        <w:spacing w:before="0" w:beforeAutospacing="0" w:after="0" w:afterAutospacing="0" w:line="360" w:lineRule="auto"/>
        <w:ind w:firstLine="420"/>
        <w:rPr>
          <w:sz w:val="21"/>
          <w:szCs w:val="21"/>
        </w:rPr>
      </w:pPr>
      <w:r>
        <w:rPr>
          <w:rFonts w:hint="eastAsia"/>
          <w:b/>
          <w:bCs/>
          <w:sz w:val="21"/>
          <w:szCs w:val="21"/>
        </w:rPr>
        <w:t>(55)国新证券股份有限公司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66E5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CC395">
            <w:pPr>
              <w:pStyle w:val="8"/>
            </w:pPr>
            <w:r>
              <w:rPr>
                <w:rFonts w:hint="eastAsia"/>
              </w:rPr>
              <w:t xml:space="preserve">注册地址： </w:t>
            </w:r>
          </w:p>
        </w:tc>
        <w:tc>
          <w:tcPr>
            <w:tcW w:w="7440" w:type="dxa"/>
            <w:shd w:val="clear" w:color="auto" w:fill="auto"/>
          </w:tcPr>
          <w:p w14:paraId="1AD5A702">
            <w:pPr>
              <w:pStyle w:val="8"/>
            </w:pPr>
            <w:r>
              <w:rPr>
                <w:rFonts w:hint="eastAsia"/>
              </w:rPr>
              <w:t xml:space="preserve">北京市西城区车公庄大街4号2幢1层A2112室 </w:t>
            </w:r>
          </w:p>
        </w:tc>
      </w:tr>
      <w:tr w14:paraId="484AE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E51E97">
            <w:pPr>
              <w:pStyle w:val="8"/>
            </w:pPr>
            <w:r>
              <w:rPr>
                <w:rFonts w:hint="eastAsia"/>
              </w:rPr>
              <w:t xml:space="preserve">办公地址： </w:t>
            </w:r>
          </w:p>
        </w:tc>
        <w:tc>
          <w:tcPr>
            <w:tcW w:w="7440" w:type="dxa"/>
            <w:shd w:val="clear" w:color="auto" w:fill="auto"/>
          </w:tcPr>
          <w:p w14:paraId="05468D7E">
            <w:pPr>
              <w:pStyle w:val="8"/>
            </w:pPr>
            <w:r>
              <w:rPr>
                <w:rFonts w:hint="eastAsia"/>
              </w:rPr>
              <w:t xml:space="preserve">北京市朝阳区朝阳门北大街18号中国人保寿险大厦12层 </w:t>
            </w:r>
          </w:p>
        </w:tc>
      </w:tr>
      <w:tr w14:paraId="11417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77C26D">
            <w:pPr>
              <w:pStyle w:val="8"/>
            </w:pPr>
            <w:r>
              <w:rPr>
                <w:rFonts w:hint="eastAsia"/>
              </w:rPr>
              <w:t xml:space="preserve">法定代表人： </w:t>
            </w:r>
          </w:p>
        </w:tc>
        <w:tc>
          <w:tcPr>
            <w:tcW w:w="7440" w:type="dxa"/>
            <w:shd w:val="clear" w:color="auto" w:fill="auto"/>
          </w:tcPr>
          <w:p w14:paraId="26EEE624">
            <w:pPr>
              <w:pStyle w:val="8"/>
            </w:pPr>
            <w:r>
              <w:rPr>
                <w:rFonts w:hint="eastAsia"/>
              </w:rPr>
              <w:t xml:space="preserve">张海文 </w:t>
            </w:r>
          </w:p>
        </w:tc>
      </w:tr>
      <w:tr w14:paraId="40161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B20BEB">
            <w:pPr>
              <w:pStyle w:val="8"/>
            </w:pPr>
            <w:r>
              <w:rPr>
                <w:rFonts w:hint="eastAsia"/>
              </w:rPr>
              <w:t xml:space="preserve">联系人： </w:t>
            </w:r>
          </w:p>
        </w:tc>
        <w:tc>
          <w:tcPr>
            <w:tcW w:w="7440" w:type="dxa"/>
            <w:shd w:val="clear" w:color="auto" w:fill="auto"/>
          </w:tcPr>
          <w:p w14:paraId="17C6BD81">
            <w:pPr>
              <w:pStyle w:val="8"/>
            </w:pPr>
            <w:r>
              <w:rPr>
                <w:rFonts w:hint="eastAsia"/>
              </w:rPr>
              <w:t xml:space="preserve">孙燕波 </w:t>
            </w:r>
          </w:p>
        </w:tc>
      </w:tr>
      <w:tr w14:paraId="4CE0B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88BB6E">
            <w:pPr>
              <w:pStyle w:val="8"/>
            </w:pPr>
            <w:r>
              <w:rPr>
                <w:rFonts w:hint="eastAsia"/>
              </w:rPr>
              <w:t xml:space="preserve">电话： </w:t>
            </w:r>
          </w:p>
        </w:tc>
        <w:tc>
          <w:tcPr>
            <w:tcW w:w="7440" w:type="dxa"/>
            <w:shd w:val="clear" w:color="auto" w:fill="auto"/>
          </w:tcPr>
          <w:p w14:paraId="6FE6F5C5">
            <w:pPr>
              <w:pStyle w:val="8"/>
            </w:pPr>
            <w:r>
              <w:rPr>
                <w:rFonts w:hint="eastAsia"/>
              </w:rPr>
              <w:t xml:space="preserve">010-85556048 </w:t>
            </w:r>
          </w:p>
        </w:tc>
      </w:tr>
      <w:tr w14:paraId="02C8B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AE6E1">
            <w:pPr>
              <w:pStyle w:val="8"/>
            </w:pPr>
            <w:r>
              <w:rPr>
                <w:rFonts w:hint="eastAsia"/>
              </w:rPr>
              <w:t xml:space="preserve">客户服务电话： </w:t>
            </w:r>
          </w:p>
        </w:tc>
        <w:tc>
          <w:tcPr>
            <w:tcW w:w="7440" w:type="dxa"/>
            <w:shd w:val="clear" w:color="auto" w:fill="auto"/>
          </w:tcPr>
          <w:p w14:paraId="32B0E4CD">
            <w:pPr>
              <w:pStyle w:val="8"/>
            </w:pPr>
            <w:r>
              <w:rPr>
                <w:rFonts w:hint="eastAsia"/>
              </w:rPr>
              <w:t xml:space="preserve">95390  </w:t>
            </w:r>
          </w:p>
        </w:tc>
      </w:tr>
      <w:tr w14:paraId="27C87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FF24D0">
            <w:pPr>
              <w:pStyle w:val="8"/>
            </w:pPr>
            <w:r>
              <w:rPr>
                <w:rFonts w:hint="eastAsia"/>
              </w:rPr>
              <w:t xml:space="preserve">网址： </w:t>
            </w:r>
          </w:p>
        </w:tc>
        <w:tc>
          <w:tcPr>
            <w:tcW w:w="7440" w:type="dxa"/>
            <w:shd w:val="clear" w:color="auto" w:fill="auto"/>
          </w:tcPr>
          <w:p w14:paraId="51342B21">
            <w:pPr>
              <w:pStyle w:val="8"/>
            </w:pPr>
            <w:r>
              <w:rPr>
                <w:rFonts w:hint="eastAsia"/>
              </w:rPr>
              <w:t xml:space="preserve">http://www.crsec.com.cn </w:t>
            </w:r>
          </w:p>
        </w:tc>
      </w:tr>
    </w:tbl>
    <w:p w14:paraId="00A7259A">
      <w:pPr>
        <w:pStyle w:val="8"/>
        <w:spacing w:before="0" w:beforeAutospacing="0" w:after="0" w:afterAutospacing="0" w:line="360" w:lineRule="auto"/>
        <w:ind w:firstLine="420"/>
        <w:rPr>
          <w:sz w:val="21"/>
          <w:szCs w:val="21"/>
        </w:rPr>
      </w:pPr>
      <w:r>
        <w:rPr>
          <w:rFonts w:hint="eastAsia"/>
          <w:b/>
          <w:bCs/>
          <w:sz w:val="21"/>
          <w:szCs w:val="21"/>
        </w:rPr>
        <w:t>(56)财达证券股份有限公司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B6DE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56778">
            <w:pPr>
              <w:pStyle w:val="8"/>
            </w:pPr>
            <w:r>
              <w:rPr>
                <w:rFonts w:hint="eastAsia"/>
              </w:rPr>
              <w:t xml:space="preserve">注册地址： </w:t>
            </w:r>
          </w:p>
        </w:tc>
        <w:tc>
          <w:tcPr>
            <w:tcW w:w="7440" w:type="dxa"/>
            <w:shd w:val="clear" w:color="auto" w:fill="auto"/>
          </w:tcPr>
          <w:p w14:paraId="462ADB34">
            <w:pPr>
              <w:pStyle w:val="8"/>
            </w:pPr>
            <w:r>
              <w:rPr>
                <w:rFonts w:hint="eastAsia"/>
              </w:rPr>
              <w:t xml:space="preserve">河北省石家庄市桥西区自强路35号庄家金融大厦23至26层 </w:t>
            </w:r>
          </w:p>
        </w:tc>
      </w:tr>
      <w:tr w14:paraId="57AAA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36F1D2">
            <w:pPr>
              <w:pStyle w:val="8"/>
            </w:pPr>
            <w:r>
              <w:rPr>
                <w:rFonts w:hint="eastAsia"/>
              </w:rPr>
              <w:t xml:space="preserve">办公地址： </w:t>
            </w:r>
          </w:p>
        </w:tc>
        <w:tc>
          <w:tcPr>
            <w:tcW w:w="7440" w:type="dxa"/>
            <w:shd w:val="clear" w:color="auto" w:fill="auto"/>
          </w:tcPr>
          <w:p w14:paraId="2041E779">
            <w:pPr>
              <w:pStyle w:val="8"/>
            </w:pPr>
            <w:r>
              <w:rPr>
                <w:rFonts w:hint="eastAsia"/>
              </w:rPr>
              <w:t xml:space="preserve">河北省石家庄市桥西区自强路35号庄家金融大厦23至26层 </w:t>
            </w:r>
          </w:p>
        </w:tc>
      </w:tr>
      <w:tr w14:paraId="1A96A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9585ED">
            <w:pPr>
              <w:pStyle w:val="8"/>
            </w:pPr>
            <w:r>
              <w:rPr>
                <w:rFonts w:hint="eastAsia"/>
              </w:rPr>
              <w:t xml:space="preserve">法定代表人： </w:t>
            </w:r>
          </w:p>
        </w:tc>
        <w:tc>
          <w:tcPr>
            <w:tcW w:w="7440" w:type="dxa"/>
            <w:shd w:val="clear" w:color="auto" w:fill="auto"/>
          </w:tcPr>
          <w:p w14:paraId="43C2CEC4">
            <w:pPr>
              <w:pStyle w:val="8"/>
            </w:pPr>
            <w:r>
              <w:rPr>
                <w:rFonts w:hint="eastAsia"/>
              </w:rPr>
              <w:t xml:space="preserve">翟建强 </w:t>
            </w:r>
          </w:p>
        </w:tc>
      </w:tr>
      <w:tr w14:paraId="348EA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54A93">
            <w:pPr>
              <w:pStyle w:val="8"/>
            </w:pPr>
            <w:r>
              <w:rPr>
                <w:rFonts w:hint="eastAsia"/>
              </w:rPr>
              <w:t xml:space="preserve">联系人： </w:t>
            </w:r>
          </w:p>
        </w:tc>
        <w:tc>
          <w:tcPr>
            <w:tcW w:w="7440" w:type="dxa"/>
            <w:shd w:val="clear" w:color="auto" w:fill="auto"/>
          </w:tcPr>
          <w:p w14:paraId="36B2ADCF">
            <w:pPr>
              <w:pStyle w:val="8"/>
            </w:pPr>
            <w:r>
              <w:rPr>
                <w:rFonts w:hint="eastAsia"/>
              </w:rPr>
              <w:t xml:space="preserve">刘亚静 </w:t>
            </w:r>
          </w:p>
        </w:tc>
      </w:tr>
      <w:tr w14:paraId="16994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D4FB1">
            <w:pPr>
              <w:pStyle w:val="8"/>
            </w:pPr>
            <w:r>
              <w:rPr>
                <w:rFonts w:hint="eastAsia"/>
              </w:rPr>
              <w:t xml:space="preserve">电话： </w:t>
            </w:r>
          </w:p>
        </w:tc>
        <w:tc>
          <w:tcPr>
            <w:tcW w:w="7440" w:type="dxa"/>
            <w:shd w:val="clear" w:color="auto" w:fill="auto"/>
          </w:tcPr>
          <w:p w14:paraId="692149AE">
            <w:pPr>
              <w:pStyle w:val="8"/>
            </w:pPr>
            <w:r>
              <w:rPr>
                <w:rFonts w:hint="eastAsia"/>
              </w:rPr>
              <w:t xml:space="preserve">0311-66006393 </w:t>
            </w:r>
          </w:p>
        </w:tc>
      </w:tr>
      <w:tr w14:paraId="0F455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20ED85">
            <w:pPr>
              <w:pStyle w:val="8"/>
            </w:pPr>
            <w:r>
              <w:rPr>
                <w:rFonts w:hint="eastAsia"/>
              </w:rPr>
              <w:t xml:space="preserve">传真： </w:t>
            </w:r>
          </w:p>
        </w:tc>
        <w:tc>
          <w:tcPr>
            <w:tcW w:w="7440" w:type="dxa"/>
            <w:shd w:val="clear" w:color="auto" w:fill="auto"/>
          </w:tcPr>
          <w:p w14:paraId="7967DAAF">
            <w:pPr>
              <w:pStyle w:val="8"/>
            </w:pPr>
            <w:r>
              <w:rPr>
                <w:rFonts w:hint="eastAsia"/>
              </w:rPr>
              <w:t xml:space="preserve">0311-66006249 </w:t>
            </w:r>
          </w:p>
        </w:tc>
      </w:tr>
      <w:tr w14:paraId="061D5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E0D84A">
            <w:pPr>
              <w:pStyle w:val="8"/>
            </w:pPr>
            <w:r>
              <w:rPr>
                <w:rFonts w:hint="eastAsia"/>
              </w:rPr>
              <w:t xml:space="preserve">客户服务电话： </w:t>
            </w:r>
          </w:p>
        </w:tc>
        <w:tc>
          <w:tcPr>
            <w:tcW w:w="7440" w:type="dxa"/>
            <w:shd w:val="clear" w:color="auto" w:fill="auto"/>
          </w:tcPr>
          <w:p w14:paraId="6460819B">
            <w:pPr>
              <w:pStyle w:val="8"/>
            </w:pPr>
            <w:r>
              <w:rPr>
                <w:rFonts w:hint="eastAsia"/>
              </w:rPr>
              <w:t xml:space="preserve">4006128888 </w:t>
            </w:r>
          </w:p>
        </w:tc>
      </w:tr>
      <w:tr w14:paraId="086B8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B5C5D">
            <w:pPr>
              <w:pStyle w:val="8"/>
            </w:pPr>
            <w:r>
              <w:rPr>
                <w:rFonts w:hint="eastAsia"/>
              </w:rPr>
              <w:t xml:space="preserve">网址： </w:t>
            </w:r>
          </w:p>
        </w:tc>
        <w:tc>
          <w:tcPr>
            <w:tcW w:w="7440" w:type="dxa"/>
            <w:shd w:val="clear" w:color="auto" w:fill="auto"/>
          </w:tcPr>
          <w:p w14:paraId="7D2DE3E8">
            <w:pPr>
              <w:pStyle w:val="8"/>
            </w:pPr>
            <w:r>
              <w:rPr>
                <w:rFonts w:hint="eastAsia"/>
              </w:rPr>
              <w:t xml:space="preserve">http://www.S10000.com </w:t>
            </w:r>
          </w:p>
        </w:tc>
      </w:tr>
    </w:tbl>
    <w:p w14:paraId="1F0D227B">
      <w:pPr>
        <w:pStyle w:val="8"/>
        <w:spacing w:before="0" w:beforeAutospacing="0" w:after="0" w:afterAutospacing="0" w:line="360" w:lineRule="auto"/>
        <w:ind w:firstLine="420"/>
        <w:rPr>
          <w:sz w:val="21"/>
          <w:szCs w:val="21"/>
        </w:rPr>
      </w:pPr>
      <w:r>
        <w:rPr>
          <w:rFonts w:hint="eastAsia"/>
          <w:b/>
          <w:bCs/>
          <w:sz w:val="21"/>
          <w:szCs w:val="21"/>
        </w:rPr>
        <w:t>(57)万和证券股份有限公司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23D2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3DA06D1">
            <w:pPr>
              <w:pStyle w:val="8"/>
            </w:pPr>
            <w:r>
              <w:rPr>
                <w:rFonts w:hint="eastAsia"/>
              </w:rPr>
              <w:t xml:space="preserve">注册地址： </w:t>
            </w:r>
          </w:p>
        </w:tc>
        <w:tc>
          <w:tcPr>
            <w:tcW w:w="7440" w:type="dxa"/>
            <w:shd w:val="clear" w:color="auto" w:fill="auto"/>
          </w:tcPr>
          <w:p w14:paraId="1C604ED3">
            <w:pPr>
              <w:pStyle w:val="8"/>
            </w:pPr>
            <w:r>
              <w:rPr>
                <w:rFonts w:hint="eastAsia"/>
              </w:rPr>
              <w:t xml:space="preserve">海南省海口市南沙路49号通信广场二楼 </w:t>
            </w:r>
          </w:p>
        </w:tc>
      </w:tr>
      <w:tr w14:paraId="42AEB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13178B">
            <w:pPr>
              <w:pStyle w:val="8"/>
            </w:pPr>
            <w:r>
              <w:rPr>
                <w:rFonts w:hint="eastAsia"/>
              </w:rPr>
              <w:t xml:space="preserve">办公地址： </w:t>
            </w:r>
          </w:p>
        </w:tc>
        <w:tc>
          <w:tcPr>
            <w:tcW w:w="7440" w:type="dxa"/>
            <w:shd w:val="clear" w:color="auto" w:fill="auto"/>
          </w:tcPr>
          <w:p w14:paraId="364E44A7">
            <w:pPr>
              <w:pStyle w:val="8"/>
            </w:pPr>
            <w:r>
              <w:rPr>
                <w:rFonts w:hint="eastAsia"/>
              </w:rPr>
              <w:t xml:space="preserve">深圳市福田区深南大道7028号时代科技大厦20层西厅 </w:t>
            </w:r>
          </w:p>
        </w:tc>
      </w:tr>
      <w:tr w14:paraId="3B8E1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89946">
            <w:pPr>
              <w:pStyle w:val="8"/>
            </w:pPr>
            <w:r>
              <w:rPr>
                <w:rFonts w:hint="eastAsia"/>
              </w:rPr>
              <w:t xml:space="preserve">法定代表人： </w:t>
            </w:r>
          </w:p>
        </w:tc>
        <w:tc>
          <w:tcPr>
            <w:tcW w:w="7440" w:type="dxa"/>
            <w:shd w:val="clear" w:color="auto" w:fill="auto"/>
          </w:tcPr>
          <w:p w14:paraId="20D49FFB">
            <w:pPr>
              <w:pStyle w:val="8"/>
            </w:pPr>
            <w:r>
              <w:rPr>
                <w:rFonts w:hint="eastAsia"/>
              </w:rPr>
              <w:t xml:space="preserve">甘卫斌 </w:t>
            </w:r>
          </w:p>
        </w:tc>
      </w:tr>
      <w:tr w14:paraId="3E042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AE0C1F">
            <w:pPr>
              <w:pStyle w:val="8"/>
            </w:pPr>
            <w:r>
              <w:rPr>
                <w:rFonts w:hint="eastAsia"/>
              </w:rPr>
              <w:t xml:space="preserve">联系人： </w:t>
            </w:r>
          </w:p>
        </w:tc>
        <w:tc>
          <w:tcPr>
            <w:tcW w:w="7440" w:type="dxa"/>
            <w:shd w:val="clear" w:color="auto" w:fill="auto"/>
          </w:tcPr>
          <w:p w14:paraId="20786BDD">
            <w:pPr>
              <w:pStyle w:val="8"/>
            </w:pPr>
            <w:r>
              <w:rPr>
                <w:rFonts w:hint="eastAsia"/>
              </w:rPr>
              <w:t xml:space="preserve">张雷 </w:t>
            </w:r>
          </w:p>
        </w:tc>
      </w:tr>
      <w:tr w14:paraId="2430A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F242B5">
            <w:pPr>
              <w:pStyle w:val="8"/>
            </w:pPr>
            <w:r>
              <w:rPr>
                <w:rFonts w:hint="eastAsia"/>
              </w:rPr>
              <w:t xml:space="preserve">电话： </w:t>
            </w:r>
          </w:p>
        </w:tc>
        <w:tc>
          <w:tcPr>
            <w:tcW w:w="7440" w:type="dxa"/>
            <w:shd w:val="clear" w:color="auto" w:fill="auto"/>
          </w:tcPr>
          <w:p w14:paraId="2FF1ABB1">
            <w:pPr>
              <w:pStyle w:val="8"/>
            </w:pPr>
            <w:r>
              <w:rPr>
                <w:rFonts w:hint="eastAsia"/>
              </w:rPr>
              <w:t xml:space="preserve">0755-82830333 </w:t>
            </w:r>
          </w:p>
        </w:tc>
      </w:tr>
      <w:tr w14:paraId="1CDC3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B8E33B">
            <w:pPr>
              <w:pStyle w:val="8"/>
            </w:pPr>
            <w:r>
              <w:rPr>
                <w:rFonts w:hint="eastAsia"/>
              </w:rPr>
              <w:t xml:space="preserve">传真： </w:t>
            </w:r>
          </w:p>
        </w:tc>
        <w:tc>
          <w:tcPr>
            <w:tcW w:w="7440" w:type="dxa"/>
            <w:shd w:val="clear" w:color="auto" w:fill="auto"/>
          </w:tcPr>
          <w:p w14:paraId="6858B2D2">
            <w:pPr>
              <w:pStyle w:val="8"/>
            </w:pPr>
            <w:r>
              <w:rPr>
                <w:rFonts w:hint="eastAsia"/>
              </w:rPr>
              <w:t xml:space="preserve">0755-25170093 </w:t>
            </w:r>
          </w:p>
        </w:tc>
      </w:tr>
      <w:tr w14:paraId="7EDB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D24B8">
            <w:pPr>
              <w:pStyle w:val="8"/>
            </w:pPr>
            <w:r>
              <w:rPr>
                <w:rFonts w:hint="eastAsia"/>
              </w:rPr>
              <w:t xml:space="preserve">客户服务电话： </w:t>
            </w:r>
          </w:p>
        </w:tc>
        <w:tc>
          <w:tcPr>
            <w:tcW w:w="7440" w:type="dxa"/>
            <w:shd w:val="clear" w:color="auto" w:fill="auto"/>
          </w:tcPr>
          <w:p w14:paraId="2E6D4A5A">
            <w:pPr>
              <w:pStyle w:val="8"/>
            </w:pPr>
            <w:r>
              <w:rPr>
                <w:rFonts w:hint="eastAsia"/>
              </w:rPr>
              <w:t xml:space="preserve">4008-882-882 </w:t>
            </w:r>
          </w:p>
        </w:tc>
      </w:tr>
      <w:tr w14:paraId="3AB52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6FA53C">
            <w:pPr>
              <w:pStyle w:val="8"/>
            </w:pPr>
            <w:r>
              <w:rPr>
                <w:rFonts w:hint="eastAsia"/>
              </w:rPr>
              <w:t xml:space="preserve">网址： </w:t>
            </w:r>
          </w:p>
        </w:tc>
        <w:tc>
          <w:tcPr>
            <w:tcW w:w="7440" w:type="dxa"/>
            <w:shd w:val="clear" w:color="auto" w:fill="auto"/>
          </w:tcPr>
          <w:p w14:paraId="4A7162DF">
            <w:pPr>
              <w:pStyle w:val="8"/>
            </w:pPr>
            <w:r>
              <w:rPr>
                <w:rFonts w:hint="eastAsia"/>
              </w:rPr>
              <w:t xml:space="preserve">http://www.vanho.cn </w:t>
            </w:r>
          </w:p>
        </w:tc>
      </w:tr>
    </w:tbl>
    <w:p w14:paraId="1D7490A6">
      <w:pPr>
        <w:pStyle w:val="8"/>
        <w:spacing w:before="0" w:beforeAutospacing="0" w:after="0" w:afterAutospacing="0" w:line="360" w:lineRule="auto"/>
        <w:ind w:firstLine="420"/>
        <w:rPr>
          <w:sz w:val="21"/>
          <w:szCs w:val="21"/>
        </w:rPr>
      </w:pPr>
      <w:r>
        <w:rPr>
          <w:rFonts w:hint="eastAsia"/>
          <w:b/>
          <w:bCs/>
          <w:sz w:val="21"/>
          <w:szCs w:val="21"/>
        </w:rPr>
        <w:t>(58)开源证券股份有限公司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4FF5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9C2BB5">
            <w:pPr>
              <w:pStyle w:val="8"/>
            </w:pPr>
            <w:r>
              <w:rPr>
                <w:rFonts w:hint="eastAsia"/>
              </w:rPr>
              <w:t xml:space="preserve">注册地址： </w:t>
            </w:r>
          </w:p>
        </w:tc>
        <w:tc>
          <w:tcPr>
            <w:tcW w:w="7440" w:type="dxa"/>
            <w:shd w:val="clear" w:color="auto" w:fill="auto"/>
          </w:tcPr>
          <w:p w14:paraId="7CBE3827">
            <w:pPr>
              <w:pStyle w:val="8"/>
            </w:pPr>
            <w:r>
              <w:rPr>
                <w:rFonts w:hint="eastAsia"/>
              </w:rPr>
              <w:t xml:space="preserve">陕西省西安市高新区锦业路1号都市之门B座5层 </w:t>
            </w:r>
          </w:p>
        </w:tc>
      </w:tr>
      <w:tr w14:paraId="36ADD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290A2C">
            <w:pPr>
              <w:pStyle w:val="8"/>
            </w:pPr>
            <w:r>
              <w:rPr>
                <w:rFonts w:hint="eastAsia"/>
              </w:rPr>
              <w:t xml:space="preserve">办公地址： </w:t>
            </w:r>
          </w:p>
        </w:tc>
        <w:tc>
          <w:tcPr>
            <w:tcW w:w="7440" w:type="dxa"/>
            <w:shd w:val="clear" w:color="auto" w:fill="auto"/>
          </w:tcPr>
          <w:p w14:paraId="4D80EF71">
            <w:pPr>
              <w:pStyle w:val="8"/>
            </w:pPr>
            <w:r>
              <w:rPr>
                <w:rFonts w:hint="eastAsia"/>
              </w:rPr>
              <w:t xml:space="preserve">陕西省西安市高新区锦业路1号都市之门B座5层 </w:t>
            </w:r>
          </w:p>
        </w:tc>
      </w:tr>
      <w:tr w14:paraId="0C104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9035A">
            <w:pPr>
              <w:pStyle w:val="8"/>
            </w:pPr>
            <w:r>
              <w:rPr>
                <w:rFonts w:hint="eastAsia"/>
              </w:rPr>
              <w:t xml:space="preserve">法定代表人： </w:t>
            </w:r>
          </w:p>
        </w:tc>
        <w:tc>
          <w:tcPr>
            <w:tcW w:w="7440" w:type="dxa"/>
            <w:shd w:val="clear" w:color="auto" w:fill="auto"/>
          </w:tcPr>
          <w:p w14:paraId="61883002">
            <w:pPr>
              <w:pStyle w:val="8"/>
            </w:pPr>
            <w:r>
              <w:rPr>
                <w:rFonts w:hint="eastAsia"/>
              </w:rPr>
              <w:t xml:space="preserve">李刚 </w:t>
            </w:r>
          </w:p>
        </w:tc>
      </w:tr>
      <w:tr w14:paraId="6B223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BCA20">
            <w:pPr>
              <w:pStyle w:val="8"/>
            </w:pPr>
            <w:r>
              <w:rPr>
                <w:rFonts w:hint="eastAsia"/>
              </w:rPr>
              <w:t xml:space="preserve">联系人： </w:t>
            </w:r>
          </w:p>
        </w:tc>
        <w:tc>
          <w:tcPr>
            <w:tcW w:w="7440" w:type="dxa"/>
            <w:shd w:val="clear" w:color="auto" w:fill="auto"/>
          </w:tcPr>
          <w:p w14:paraId="42A894B1">
            <w:pPr>
              <w:pStyle w:val="8"/>
            </w:pPr>
            <w:r>
              <w:rPr>
                <w:rFonts w:hint="eastAsia"/>
              </w:rPr>
              <w:t xml:space="preserve">张蕊 </w:t>
            </w:r>
          </w:p>
        </w:tc>
      </w:tr>
      <w:tr w14:paraId="3B262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6DE6A6">
            <w:pPr>
              <w:pStyle w:val="8"/>
            </w:pPr>
            <w:r>
              <w:rPr>
                <w:rFonts w:hint="eastAsia"/>
              </w:rPr>
              <w:t xml:space="preserve">电话： </w:t>
            </w:r>
          </w:p>
        </w:tc>
        <w:tc>
          <w:tcPr>
            <w:tcW w:w="7440" w:type="dxa"/>
            <w:shd w:val="clear" w:color="auto" w:fill="auto"/>
          </w:tcPr>
          <w:p w14:paraId="45741DC3">
            <w:pPr>
              <w:pStyle w:val="8"/>
            </w:pPr>
            <w:r>
              <w:rPr>
                <w:rFonts w:hint="eastAsia"/>
              </w:rPr>
              <w:t xml:space="preserve">029-88365809  </w:t>
            </w:r>
          </w:p>
        </w:tc>
      </w:tr>
      <w:tr w14:paraId="2E97A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BC706A">
            <w:pPr>
              <w:pStyle w:val="8"/>
            </w:pPr>
            <w:r>
              <w:rPr>
                <w:rFonts w:hint="eastAsia"/>
              </w:rPr>
              <w:t xml:space="preserve">传真： </w:t>
            </w:r>
          </w:p>
        </w:tc>
        <w:tc>
          <w:tcPr>
            <w:tcW w:w="7440" w:type="dxa"/>
            <w:shd w:val="clear" w:color="auto" w:fill="auto"/>
          </w:tcPr>
          <w:p w14:paraId="05953A13">
            <w:pPr>
              <w:pStyle w:val="8"/>
            </w:pPr>
            <w:r>
              <w:rPr>
                <w:rFonts w:hint="eastAsia"/>
              </w:rPr>
              <w:t xml:space="preserve">86-29-88365835 </w:t>
            </w:r>
          </w:p>
        </w:tc>
      </w:tr>
      <w:tr w14:paraId="58AB3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163520">
            <w:pPr>
              <w:pStyle w:val="8"/>
            </w:pPr>
            <w:r>
              <w:rPr>
                <w:rFonts w:hint="eastAsia"/>
              </w:rPr>
              <w:t xml:space="preserve">客户服务电话： </w:t>
            </w:r>
          </w:p>
        </w:tc>
        <w:tc>
          <w:tcPr>
            <w:tcW w:w="7440" w:type="dxa"/>
            <w:shd w:val="clear" w:color="auto" w:fill="auto"/>
          </w:tcPr>
          <w:p w14:paraId="113F38A4">
            <w:pPr>
              <w:pStyle w:val="8"/>
            </w:pPr>
            <w:r>
              <w:rPr>
                <w:rFonts w:hint="eastAsia"/>
              </w:rPr>
              <w:t xml:space="preserve">95325 /400-860-8866 </w:t>
            </w:r>
          </w:p>
        </w:tc>
      </w:tr>
      <w:tr w14:paraId="612FC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2FC6FD">
            <w:pPr>
              <w:pStyle w:val="8"/>
            </w:pPr>
            <w:r>
              <w:rPr>
                <w:rFonts w:hint="eastAsia"/>
              </w:rPr>
              <w:t xml:space="preserve">网址： </w:t>
            </w:r>
          </w:p>
        </w:tc>
        <w:tc>
          <w:tcPr>
            <w:tcW w:w="7440" w:type="dxa"/>
            <w:shd w:val="clear" w:color="auto" w:fill="auto"/>
          </w:tcPr>
          <w:p w14:paraId="6F4EFA01">
            <w:pPr>
              <w:pStyle w:val="8"/>
            </w:pPr>
            <w:r>
              <w:rPr>
                <w:rFonts w:hint="eastAsia"/>
              </w:rPr>
              <w:t xml:space="preserve">http://www.kysec.cn/ </w:t>
            </w:r>
          </w:p>
        </w:tc>
      </w:tr>
    </w:tbl>
    <w:p w14:paraId="2372C81F">
      <w:pPr>
        <w:pStyle w:val="8"/>
        <w:spacing w:before="0" w:beforeAutospacing="0" w:after="0" w:afterAutospacing="0" w:line="360" w:lineRule="auto"/>
        <w:ind w:firstLine="420"/>
        <w:rPr>
          <w:sz w:val="21"/>
          <w:szCs w:val="21"/>
        </w:rPr>
      </w:pPr>
      <w:r>
        <w:rPr>
          <w:rFonts w:hint="eastAsia"/>
          <w:b/>
          <w:bCs/>
          <w:sz w:val="21"/>
          <w:szCs w:val="21"/>
        </w:rPr>
        <w:t>(59)华金证券股份有限公司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5EED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8B3A3">
            <w:pPr>
              <w:pStyle w:val="8"/>
            </w:pPr>
            <w:r>
              <w:rPr>
                <w:rFonts w:hint="eastAsia"/>
              </w:rPr>
              <w:t xml:space="preserve">注册地址： </w:t>
            </w:r>
          </w:p>
        </w:tc>
        <w:tc>
          <w:tcPr>
            <w:tcW w:w="7440" w:type="dxa"/>
            <w:shd w:val="clear" w:color="auto" w:fill="auto"/>
          </w:tcPr>
          <w:p w14:paraId="2AC105DD">
            <w:pPr>
              <w:pStyle w:val="8"/>
            </w:pPr>
            <w:r>
              <w:rPr>
                <w:rFonts w:hint="eastAsia"/>
              </w:rPr>
              <w:t xml:space="preserve">上海市静安区天目西路128号1902室 </w:t>
            </w:r>
          </w:p>
        </w:tc>
      </w:tr>
      <w:tr w14:paraId="487C8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82396C">
            <w:pPr>
              <w:pStyle w:val="8"/>
            </w:pPr>
            <w:r>
              <w:rPr>
                <w:rFonts w:hint="eastAsia"/>
              </w:rPr>
              <w:t xml:space="preserve">办公地址： </w:t>
            </w:r>
          </w:p>
        </w:tc>
        <w:tc>
          <w:tcPr>
            <w:tcW w:w="7440" w:type="dxa"/>
            <w:shd w:val="clear" w:color="auto" w:fill="auto"/>
          </w:tcPr>
          <w:p w14:paraId="10C08091">
            <w:pPr>
              <w:pStyle w:val="8"/>
            </w:pPr>
            <w:r>
              <w:rPr>
                <w:rFonts w:hint="eastAsia"/>
              </w:rPr>
              <w:t xml:space="preserve">上海市浦东新区杨高南路759号27层（陆家嘴世纪金融广场2号楼） </w:t>
            </w:r>
          </w:p>
        </w:tc>
      </w:tr>
      <w:tr w14:paraId="07537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85458C">
            <w:pPr>
              <w:pStyle w:val="8"/>
            </w:pPr>
            <w:r>
              <w:rPr>
                <w:rFonts w:hint="eastAsia"/>
              </w:rPr>
              <w:t xml:space="preserve">法定代表人： </w:t>
            </w:r>
          </w:p>
        </w:tc>
        <w:tc>
          <w:tcPr>
            <w:tcW w:w="7440" w:type="dxa"/>
            <w:shd w:val="clear" w:color="auto" w:fill="auto"/>
          </w:tcPr>
          <w:p w14:paraId="4EAF3E51">
            <w:pPr>
              <w:pStyle w:val="8"/>
            </w:pPr>
            <w:r>
              <w:rPr>
                <w:rFonts w:hint="eastAsia"/>
              </w:rPr>
              <w:t xml:space="preserve">燕文波 </w:t>
            </w:r>
          </w:p>
        </w:tc>
      </w:tr>
      <w:tr w14:paraId="1B8E3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A278B6">
            <w:pPr>
              <w:pStyle w:val="8"/>
            </w:pPr>
            <w:r>
              <w:rPr>
                <w:rFonts w:hint="eastAsia"/>
              </w:rPr>
              <w:t xml:space="preserve">联系人： </w:t>
            </w:r>
          </w:p>
        </w:tc>
        <w:tc>
          <w:tcPr>
            <w:tcW w:w="7440" w:type="dxa"/>
            <w:shd w:val="clear" w:color="auto" w:fill="auto"/>
          </w:tcPr>
          <w:p w14:paraId="02E5C02D">
            <w:pPr>
              <w:pStyle w:val="8"/>
            </w:pPr>
            <w:r>
              <w:rPr>
                <w:rFonts w:hint="eastAsia"/>
              </w:rPr>
              <w:t xml:space="preserve">秦臻 </w:t>
            </w:r>
          </w:p>
        </w:tc>
      </w:tr>
      <w:tr w14:paraId="32CA8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2BB129">
            <w:pPr>
              <w:pStyle w:val="8"/>
            </w:pPr>
            <w:r>
              <w:rPr>
                <w:rFonts w:hint="eastAsia"/>
              </w:rPr>
              <w:t xml:space="preserve">电话： </w:t>
            </w:r>
          </w:p>
        </w:tc>
        <w:tc>
          <w:tcPr>
            <w:tcW w:w="7440" w:type="dxa"/>
            <w:shd w:val="clear" w:color="auto" w:fill="auto"/>
          </w:tcPr>
          <w:p w14:paraId="5E360188">
            <w:pPr>
              <w:pStyle w:val="8"/>
            </w:pPr>
            <w:r>
              <w:rPr>
                <w:rFonts w:hint="eastAsia"/>
              </w:rPr>
              <w:t xml:space="preserve">021-20655588 </w:t>
            </w:r>
          </w:p>
        </w:tc>
      </w:tr>
      <w:tr w14:paraId="78F18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7BBF7">
            <w:pPr>
              <w:pStyle w:val="8"/>
            </w:pPr>
            <w:r>
              <w:rPr>
                <w:rFonts w:hint="eastAsia"/>
              </w:rPr>
              <w:t xml:space="preserve">传真： </w:t>
            </w:r>
          </w:p>
        </w:tc>
        <w:tc>
          <w:tcPr>
            <w:tcW w:w="7440" w:type="dxa"/>
            <w:shd w:val="clear" w:color="auto" w:fill="auto"/>
          </w:tcPr>
          <w:p w14:paraId="3DC7FB1C">
            <w:pPr>
              <w:pStyle w:val="8"/>
            </w:pPr>
            <w:r>
              <w:rPr>
                <w:rFonts w:hint="eastAsia"/>
              </w:rPr>
              <w:t xml:space="preserve">021-50390850 </w:t>
            </w:r>
          </w:p>
        </w:tc>
      </w:tr>
      <w:tr w14:paraId="7A80E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4C5588">
            <w:pPr>
              <w:pStyle w:val="8"/>
            </w:pPr>
            <w:r>
              <w:rPr>
                <w:rFonts w:hint="eastAsia"/>
              </w:rPr>
              <w:t xml:space="preserve">客户服务电话： </w:t>
            </w:r>
          </w:p>
        </w:tc>
        <w:tc>
          <w:tcPr>
            <w:tcW w:w="7440" w:type="dxa"/>
            <w:shd w:val="clear" w:color="auto" w:fill="auto"/>
          </w:tcPr>
          <w:p w14:paraId="0605A0FD">
            <w:pPr>
              <w:pStyle w:val="8"/>
            </w:pPr>
            <w:r>
              <w:rPr>
                <w:rFonts w:hint="eastAsia"/>
              </w:rPr>
              <w:t xml:space="preserve">956011 </w:t>
            </w:r>
          </w:p>
        </w:tc>
      </w:tr>
      <w:tr w14:paraId="0EB88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E2DB1B">
            <w:pPr>
              <w:pStyle w:val="8"/>
            </w:pPr>
            <w:r>
              <w:rPr>
                <w:rFonts w:hint="eastAsia"/>
              </w:rPr>
              <w:t xml:space="preserve">网址： </w:t>
            </w:r>
          </w:p>
        </w:tc>
        <w:tc>
          <w:tcPr>
            <w:tcW w:w="7440" w:type="dxa"/>
            <w:shd w:val="clear" w:color="auto" w:fill="auto"/>
          </w:tcPr>
          <w:p w14:paraId="0F49C649">
            <w:pPr>
              <w:pStyle w:val="8"/>
            </w:pPr>
            <w:r>
              <w:rPr>
                <w:rFonts w:hint="eastAsia"/>
              </w:rPr>
              <w:t xml:space="preserve">https://www.huajinsc.cn </w:t>
            </w:r>
          </w:p>
        </w:tc>
      </w:tr>
    </w:tbl>
    <w:p w14:paraId="0688A9FF">
      <w:pPr>
        <w:pStyle w:val="8"/>
        <w:spacing w:before="0" w:beforeAutospacing="0" w:after="0" w:afterAutospacing="0" w:line="360" w:lineRule="auto"/>
        <w:ind w:firstLine="420"/>
        <w:rPr>
          <w:sz w:val="21"/>
          <w:szCs w:val="21"/>
        </w:rPr>
      </w:pPr>
      <w:r>
        <w:rPr>
          <w:rFonts w:hint="eastAsia"/>
          <w:b/>
          <w:bCs/>
          <w:sz w:val="21"/>
          <w:szCs w:val="21"/>
        </w:rPr>
        <w:t>(60)联储证券股份有限公司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35BA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8AE5A4">
            <w:pPr>
              <w:pStyle w:val="8"/>
            </w:pPr>
            <w:r>
              <w:rPr>
                <w:rFonts w:hint="eastAsia"/>
              </w:rPr>
              <w:t xml:space="preserve">注册地址： </w:t>
            </w:r>
          </w:p>
        </w:tc>
        <w:tc>
          <w:tcPr>
            <w:tcW w:w="7440" w:type="dxa"/>
            <w:shd w:val="clear" w:color="auto" w:fill="auto"/>
          </w:tcPr>
          <w:p w14:paraId="33CB29C2">
            <w:pPr>
              <w:pStyle w:val="8"/>
            </w:pPr>
            <w:r>
              <w:rPr>
                <w:rFonts w:hint="eastAsia"/>
              </w:rPr>
              <w:t xml:space="preserve">深圳市福田区华强北路圣廷苑酒店B座26楼 </w:t>
            </w:r>
          </w:p>
        </w:tc>
      </w:tr>
      <w:tr w14:paraId="13DD1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37676E">
            <w:pPr>
              <w:pStyle w:val="8"/>
            </w:pPr>
            <w:r>
              <w:rPr>
                <w:rFonts w:hint="eastAsia"/>
              </w:rPr>
              <w:t xml:space="preserve">办公地址： </w:t>
            </w:r>
          </w:p>
        </w:tc>
        <w:tc>
          <w:tcPr>
            <w:tcW w:w="7440" w:type="dxa"/>
            <w:shd w:val="clear" w:color="auto" w:fill="auto"/>
          </w:tcPr>
          <w:p w14:paraId="5FCD9AAE">
            <w:pPr>
              <w:pStyle w:val="8"/>
            </w:pPr>
            <w:r>
              <w:rPr>
                <w:rFonts w:hint="eastAsia"/>
              </w:rPr>
              <w:t xml:space="preserve">深圳市福田区华强北路圣廷苑酒店B座26楼 </w:t>
            </w:r>
          </w:p>
        </w:tc>
      </w:tr>
      <w:tr w14:paraId="21DE3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7F8FA2">
            <w:pPr>
              <w:pStyle w:val="8"/>
            </w:pPr>
            <w:r>
              <w:rPr>
                <w:rFonts w:hint="eastAsia"/>
              </w:rPr>
              <w:t xml:space="preserve">法定代表人： </w:t>
            </w:r>
          </w:p>
        </w:tc>
        <w:tc>
          <w:tcPr>
            <w:tcW w:w="7440" w:type="dxa"/>
            <w:shd w:val="clear" w:color="auto" w:fill="auto"/>
          </w:tcPr>
          <w:p w14:paraId="66B6E522">
            <w:pPr>
              <w:pStyle w:val="8"/>
            </w:pPr>
            <w:r>
              <w:rPr>
                <w:rFonts w:hint="eastAsia"/>
              </w:rPr>
              <w:t xml:space="preserve">吕春卫 </w:t>
            </w:r>
          </w:p>
        </w:tc>
      </w:tr>
      <w:tr w14:paraId="57457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54502B">
            <w:pPr>
              <w:pStyle w:val="8"/>
            </w:pPr>
            <w:r>
              <w:rPr>
                <w:rFonts w:hint="eastAsia"/>
              </w:rPr>
              <w:t xml:space="preserve">联系人： </w:t>
            </w:r>
          </w:p>
        </w:tc>
        <w:tc>
          <w:tcPr>
            <w:tcW w:w="7440" w:type="dxa"/>
            <w:shd w:val="clear" w:color="auto" w:fill="auto"/>
          </w:tcPr>
          <w:p w14:paraId="60FDA61A">
            <w:pPr>
              <w:pStyle w:val="8"/>
            </w:pPr>
            <w:r>
              <w:rPr>
                <w:rFonts w:hint="eastAsia"/>
              </w:rPr>
              <w:t xml:space="preserve">张婉婷 </w:t>
            </w:r>
          </w:p>
        </w:tc>
      </w:tr>
      <w:tr w14:paraId="7FF40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1D68E8">
            <w:pPr>
              <w:pStyle w:val="8"/>
            </w:pPr>
            <w:r>
              <w:rPr>
                <w:rFonts w:hint="eastAsia"/>
              </w:rPr>
              <w:t xml:space="preserve">电话： </w:t>
            </w:r>
          </w:p>
        </w:tc>
        <w:tc>
          <w:tcPr>
            <w:tcW w:w="7440" w:type="dxa"/>
            <w:shd w:val="clear" w:color="auto" w:fill="auto"/>
          </w:tcPr>
          <w:p w14:paraId="4E86ADE7">
            <w:pPr>
              <w:pStyle w:val="8"/>
            </w:pPr>
            <w:r>
              <w:rPr>
                <w:rFonts w:hint="eastAsia"/>
              </w:rPr>
              <w:t xml:space="preserve">010-86499765  </w:t>
            </w:r>
          </w:p>
        </w:tc>
      </w:tr>
      <w:tr w14:paraId="68F8C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7F4170">
            <w:pPr>
              <w:pStyle w:val="8"/>
            </w:pPr>
            <w:r>
              <w:rPr>
                <w:rFonts w:hint="eastAsia"/>
              </w:rPr>
              <w:t xml:space="preserve">传真： </w:t>
            </w:r>
          </w:p>
        </w:tc>
        <w:tc>
          <w:tcPr>
            <w:tcW w:w="7440" w:type="dxa"/>
            <w:shd w:val="clear" w:color="auto" w:fill="auto"/>
          </w:tcPr>
          <w:p w14:paraId="17832F4F">
            <w:pPr>
              <w:pStyle w:val="8"/>
            </w:pPr>
            <w:r>
              <w:rPr>
                <w:rFonts w:hint="eastAsia"/>
              </w:rPr>
              <w:t xml:space="preserve">0755-82075835 </w:t>
            </w:r>
          </w:p>
        </w:tc>
      </w:tr>
      <w:tr w14:paraId="25A96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23982C">
            <w:pPr>
              <w:pStyle w:val="8"/>
            </w:pPr>
            <w:r>
              <w:rPr>
                <w:rFonts w:hint="eastAsia"/>
              </w:rPr>
              <w:t xml:space="preserve">客户服务电话： </w:t>
            </w:r>
          </w:p>
        </w:tc>
        <w:tc>
          <w:tcPr>
            <w:tcW w:w="7440" w:type="dxa"/>
            <w:shd w:val="clear" w:color="auto" w:fill="auto"/>
          </w:tcPr>
          <w:p w14:paraId="7B870778">
            <w:pPr>
              <w:pStyle w:val="8"/>
            </w:pPr>
            <w:r>
              <w:rPr>
                <w:rFonts w:hint="eastAsia"/>
              </w:rPr>
              <w:t xml:space="preserve">4006206868/010-56177851 </w:t>
            </w:r>
          </w:p>
        </w:tc>
      </w:tr>
      <w:tr w14:paraId="7EEFE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3E3696">
            <w:pPr>
              <w:pStyle w:val="8"/>
            </w:pPr>
            <w:r>
              <w:rPr>
                <w:rFonts w:hint="eastAsia"/>
              </w:rPr>
              <w:t xml:space="preserve">网址： </w:t>
            </w:r>
          </w:p>
        </w:tc>
        <w:tc>
          <w:tcPr>
            <w:tcW w:w="7440" w:type="dxa"/>
            <w:shd w:val="clear" w:color="auto" w:fill="auto"/>
          </w:tcPr>
          <w:p w14:paraId="4C767480">
            <w:pPr>
              <w:pStyle w:val="8"/>
            </w:pPr>
            <w:r>
              <w:rPr>
                <w:rFonts w:hint="eastAsia"/>
              </w:rPr>
              <w:t xml:space="preserve">http://www.lczq.com/ </w:t>
            </w:r>
          </w:p>
        </w:tc>
      </w:tr>
    </w:tbl>
    <w:p w14:paraId="0FA16563">
      <w:pPr>
        <w:rPr>
          <w:rFonts w:ascii="宋体" w:hAnsi="宋体" w:eastAsia="宋体"/>
          <w:sz w:val="24"/>
          <w:szCs w:val="24"/>
        </w:rPr>
      </w:pPr>
      <w:bookmarkStart w:id="60" w:name="field_0_allproxysaletables_1_end"/>
      <w:bookmarkEnd w:id="60"/>
      <w:r>
        <w:rPr>
          <w:rFonts w:ascii="宋体" w:hAnsi="宋体" w:eastAsia="宋体"/>
        </w:rPr>
        <w:t xml:space="preserve">  </w:t>
      </w:r>
    </w:p>
    <w:p w14:paraId="0D45A19E">
      <w:pPr>
        <w:pStyle w:val="8"/>
        <w:spacing w:before="0" w:beforeAutospacing="0" w:after="0" w:afterAutospacing="0" w:line="360" w:lineRule="auto"/>
        <w:ind w:firstLine="420"/>
        <w:rPr>
          <w:sz w:val="21"/>
          <w:szCs w:val="21"/>
        </w:rPr>
      </w:pPr>
    </w:p>
    <w:p w14:paraId="4066FE7E">
      <w:pPr>
        <w:pStyle w:val="8"/>
        <w:spacing w:before="0" w:beforeAutospacing="0" w:after="0" w:afterAutospacing="0" w:line="360" w:lineRule="auto"/>
        <w:ind w:firstLine="420"/>
        <w:rPr>
          <w:sz w:val="21"/>
          <w:szCs w:val="21"/>
        </w:rPr>
      </w:pPr>
      <w:r>
        <w:rPr>
          <w:rFonts w:hint="eastAsia"/>
          <w:sz w:val="21"/>
          <w:szCs w:val="21"/>
        </w:rPr>
        <w:t xml:space="preserve">2．二级市场交易代理券商 </w:t>
      </w:r>
    </w:p>
    <w:p w14:paraId="75479D26">
      <w:pPr>
        <w:pStyle w:val="8"/>
        <w:spacing w:before="0" w:beforeAutospacing="0" w:after="0" w:afterAutospacing="0" w:line="360" w:lineRule="auto"/>
        <w:ind w:firstLine="420"/>
        <w:rPr>
          <w:sz w:val="21"/>
          <w:szCs w:val="21"/>
        </w:rPr>
      </w:pPr>
      <w:r>
        <w:rPr>
          <w:rFonts w:hint="eastAsia"/>
          <w:sz w:val="21"/>
          <w:szCs w:val="21"/>
        </w:rPr>
        <w:t xml:space="preserve">包括具有经纪业务资格及上海证券交易所会员资格的所有证券公司。 </w:t>
      </w:r>
    </w:p>
    <w:p w14:paraId="7C97EADF">
      <w:pPr>
        <w:pStyle w:val="8"/>
        <w:spacing w:before="0" w:beforeAutospacing="0" w:after="0" w:afterAutospacing="0" w:line="360" w:lineRule="auto"/>
        <w:ind w:firstLine="420"/>
        <w:rPr>
          <w:sz w:val="21"/>
          <w:szCs w:val="21"/>
        </w:rPr>
      </w:pPr>
      <w:r>
        <w:rPr>
          <w:rFonts w:hint="eastAsia"/>
          <w:sz w:val="21"/>
          <w:szCs w:val="21"/>
        </w:rPr>
        <w:t>3．基金管理人可根据有关法律法规，选择其他符合要求的机构代理发售本基金，并在</w:t>
      </w:r>
      <w:bookmarkStart w:id="61" w:name="chapter_level1_7_56_section_2_end"/>
      <w:bookmarkEnd w:id="61"/>
      <w:r>
        <w:rPr>
          <w:rFonts w:hint="eastAsia"/>
          <w:sz w:val="21"/>
          <w:szCs w:val="21"/>
        </w:rPr>
        <w:t xml:space="preserve">基金管理人网站公示。 </w:t>
      </w:r>
    </w:p>
    <w:p w14:paraId="7F0E9716">
      <w:pPr>
        <w:pStyle w:val="8"/>
        <w:spacing w:before="0" w:beforeAutospacing="0" w:after="0" w:afterAutospacing="0" w:line="360" w:lineRule="auto"/>
        <w:ind w:firstLine="420"/>
        <w:rPr>
          <w:sz w:val="21"/>
          <w:szCs w:val="21"/>
        </w:rPr>
      </w:pPr>
      <w:bookmarkStart w:id="62" w:name="chapter_level1_7_56_section_3"/>
      <w:bookmarkEnd w:id="62"/>
      <w:r>
        <w:rPr>
          <w:rStyle w:val="12"/>
          <w:rFonts w:hint="eastAsia"/>
          <w:sz w:val="21"/>
          <w:szCs w:val="21"/>
        </w:rPr>
        <w:t>二、登记结算机构</w:t>
      </w:r>
    </w:p>
    <w:p w14:paraId="2D34DCEA">
      <w:pPr>
        <w:pStyle w:val="8"/>
        <w:spacing w:before="0" w:beforeAutospacing="0" w:after="0" w:afterAutospacing="0" w:line="360" w:lineRule="auto"/>
        <w:ind w:firstLine="420"/>
        <w:rPr>
          <w:sz w:val="21"/>
          <w:szCs w:val="21"/>
        </w:rPr>
      </w:pPr>
      <w:bookmarkStart w:id="63" w:name="field_0_registercompanyinfo_1_start"/>
      <w:bookmarkEnd w:id="63"/>
      <w:r>
        <w:rPr>
          <w:rFonts w:hint="eastAsia"/>
          <w:sz w:val="21"/>
          <w:szCs w:val="21"/>
        </w:rPr>
        <w:t xml:space="preserve">名称：中国证券登记结算有限责任公司  </w:t>
      </w:r>
    </w:p>
    <w:p w14:paraId="6567A8AB">
      <w:pPr>
        <w:pStyle w:val="8"/>
        <w:spacing w:before="0" w:beforeAutospacing="0" w:after="0" w:afterAutospacing="0" w:line="360" w:lineRule="auto"/>
        <w:ind w:firstLine="420"/>
        <w:rPr>
          <w:sz w:val="21"/>
          <w:szCs w:val="21"/>
        </w:rPr>
      </w:pPr>
      <w:r>
        <w:rPr>
          <w:rFonts w:hint="eastAsia"/>
          <w:sz w:val="21"/>
          <w:szCs w:val="21"/>
        </w:rPr>
        <w:t xml:space="preserve">注册地址：北京市西城区太平桥大街17号 </w:t>
      </w:r>
    </w:p>
    <w:p w14:paraId="3A163465">
      <w:pPr>
        <w:pStyle w:val="8"/>
        <w:spacing w:before="0" w:beforeAutospacing="0" w:after="0" w:afterAutospacing="0" w:line="360" w:lineRule="auto"/>
        <w:ind w:firstLine="420"/>
        <w:rPr>
          <w:sz w:val="21"/>
          <w:szCs w:val="21"/>
        </w:rPr>
      </w:pPr>
      <w:r>
        <w:rPr>
          <w:rFonts w:hint="eastAsia"/>
          <w:sz w:val="21"/>
          <w:szCs w:val="21"/>
        </w:rPr>
        <w:t xml:space="preserve">办公地址：北京市西城区太平桥大街17号 </w:t>
      </w:r>
    </w:p>
    <w:p w14:paraId="16B19448">
      <w:pPr>
        <w:pStyle w:val="8"/>
        <w:spacing w:before="0" w:beforeAutospacing="0" w:after="0" w:afterAutospacing="0" w:line="360" w:lineRule="auto"/>
        <w:ind w:firstLine="420"/>
        <w:rPr>
          <w:sz w:val="21"/>
          <w:szCs w:val="21"/>
        </w:rPr>
      </w:pPr>
      <w:r>
        <w:rPr>
          <w:rFonts w:hint="eastAsia"/>
          <w:sz w:val="21"/>
          <w:szCs w:val="21"/>
        </w:rPr>
        <w:t xml:space="preserve">法定代表人：于文强 </w:t>
      </w:r>
    </w:p>
    <w:p w14:paraId="116C05C1">
      <w:pPr>
        <w:pStyle w:val="8"/>
        <w:spacing w:before="0" w:beforeAutospacing="0" w:after="0" w:afterAutospacing="0" w:line="360" w:lineRule="auto"/>
        <w:ind w:firstLine="420"/>
        <w:rPr>
          <w:sz w:val="21"/>
          <w:szCs w:val="21"/>
        </w:rPr>
      </w:pPr>
      <w:r>
        <w:rPr>
          <w:rFonts w:hint="eastAsia"/>
          <w:sz w:val="21"/>
          <w:szCs w:val="21"/>
        </w:rPr>
        <w:t xml:space="preserve">电  话：0755-25946013 </w:t>
      </w:r>
    </w:p>
    <w:p w14:paraId="09D41F83">
      <w:pPr>
        <w:pStyle w:val="8"/>
        <w:spacing w:before="0" w:beforeAutospacing="0" w:after="0" w:afterAutospacing="0" w:line="360" w:lineRule="auto"/>
        <w:ind w:firstLine="420"/>
        <w:rPr>
          <w:sz w:val="21"/>
          <w:szCs w:val="21"/>
        </w:rPr>
      </w:pPr>
      <w:r>
        <w:rPr>
          <w:rFonts w:hint="eastAsia"/>
          <w:sz w:val="21"/>
          <w:szCs w:val="21"/>
        </w:rPr>
        <w:t xml:space="preserve">传  真：0755-25987122 </w:t>
      </w:r>
    </w:p>
    <w:p w14:paraId="4EE62A3B">
      <w:pPr>
        <w:pStyle w:val="8"/>
        <w:spacing w:before="0" w:beforeAutospacing="0" w:after="0" w:afterAutospacing="0" w:line="360" w:lineRule="auto"/>
        <w:ind w:firstLine="420"/>
        <w:rPr>
          <w:sz w:val="21"/>
          <w:szCs w:val="21"/>
        </w:rPr>
      </w:pPr>
      <w:r>
        <w:rPr>
          <w:rFonts w:hint="eastAsia"/>
          <w:sz w:val="21"/>
          <w:szCs w:val="21"/>
        </w:rPr>
        <w:t xml:space="preserve">联系人：严峰 </w:t>
      </w:r>
      <w:bookmarkStart w:id="64" w:name="field_0_registercompanyinfo_1_end"/>
      <w:bookmarkEnd w:id="64"/>
      <w:r>
        <w:rPr>
          <w:rFonts w:hint="eastAsia"/>
          <w:sz w:val="21"/>
          <w:szCs w:val="21"/>
        </w:rPr>
        <w:t xml:space="preserve">  </w:t>
      </w:r>
    </w:p>
    <w:p w14:paraId="7A3CC4B8">
      <w:pPr>
        <w:pStyle w:val="8"/>
        <w:spacing w:before="0" w:beforeAutospacing="0" w:after="0" w:afterAutospacing="0" w:line="360" w:lineRule="auto"/>
        <w:ind w:firstLine="420"/>
        <w:rPr>
          <w:sz w:val="21"/>
          <w:szCs w:val="21"/>
        </w:rPr>
      </w:pPr>
      <w:r>
        <w:rPr>
          <w:rStyle w:val="12"/>
          <w:rFonts w:hint="eastAsia"/>
          <w:sz w:val="21"/>
          <w:szCs w:val="21"/>
        </w:rPr>
        <w:t>三、出具法律意见书的律师事务所</w:t>
      </w:r>
    </w:p>
    <w:p w14:paraId="4BCEA227">
      <w:pPr>
        <w:pStyle w:val="8"/>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02EC39A0">
      <w:pPr>
        <w:pStyle w:val="8"/>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0B43865D">
      <w:pPr>
        <w:pStyle w:val="8"/>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3D0F4129">
      <w:pPr>
        <w:pStyle w:val="8"/>
        <w:spacing w:before="0" w:beforeAutospacing="0" w:after="0" w:afterAutospacing="0" w:line="360" w:lineRule="auto"/>
        <w:ind w:firstLine="420"/>
        <w:rPr>
          <w:sz w:val="21"/>
          <w:szCs w:val="21"/>
        </w:rPr>
      </w:pPr>
      <w:r>
        <w:rPr>
          <w:rFonts w:hint="eastAsia"/>
          <w:sz w:val="21"/>
          <w:szCs w:val="21"/>
        </w:rPr>
        <w:t xml:space="preserve">电话： 021- 31358666 </w:t>
      </w:r>
    </w:p>
    <w:p w14:paraId="7B1820F8">
      <w:pPr>
        <w:pStyle w:val="8"/>
        <w:spacing w:before="0" w:beforeAutospacing="0" w:after="0" w:afterAutospacing="0" w:line="360" w:lineRule="auto"/>
        <w:ind w:firstLine="420"/>
        <w:rPr>
          <w:sz w:val="21"/>
          <w:szCs w:val="21"/>
        </w:rPr>
      </w:pPr>
      <w:r>
        <w:rPr>
          <w:rFonts w:hint="eastAsia"/>
          <w:sz w:val="21"/>
          <w:szCs w:val="21"/>
        </w:rPr>
        <w:t xml:space="preserve">传真： 021- 31358600 </w:t>
      </w:r>
    </w:p>
    <w:p w14:paraId="1CDD5F80">
      <w:pPr>
        <w:pStyle w:val="8"/>
        <w:spacing w:before="0" w:beforeAutospacing="0" w:after="0" w:afterAutospacing="0" w:line="360" w:lineRule="auto"/>
        <w:ind w:firstLine="420"/>
        <w:rPr>
          <w:sz w:val="21"/>
          <w:szCs w:val="21"/>
        </w:rPr>
      </w:pPr>
      <w:r>
        <w:rPr>
          <w:rFonts w:hint="eastAsia"/>
          <w:sz w:val="21"/>
          <w:szCs w:val="21"/>
        </w:rPr>
        <w:t xml:space="preserve">联系人：安冬 </w:t>
      </w:r>
    </w:p>
    <w:p w14:paraId="2D0B9446">
      <w:pPr>
        <w:pStyle w:val="8"/>
        <w:spacing w:before="0" w:beforeAutospacing="0" w:after="0" w:afterAutospacing="0" w:line="360" w:lineRule="auto"/>
        <w:ind w:firstLine="420"/>
        <w:rPr>
          <w:sz w:val="21"/>
          <w:szCs w:val="21"/>
        </w:rPr>
      </w:pPr>
      <w:r>
        <w:rPr>
          <w:rFonts w:hint="eastAsia"/>
          <w:sz w:val="21"/>
          <w:szCs w:val="21"/>
        </w:rPr>
        <w:t xml:space="preserve">经办律师： 吕红、安冬 </w:t>
      </w:r>
    </w:p>
    <w:p w14:paraId="5B5377C4">
      <w:pPr>
        <w:pStyle w:val="8"/>
        <w:spacing w:before="0" w:beforeAutospacing="0" w:after="0" w:afterAutospacing="0" w:line="360" w:lineRule="auto"/>
        <w:ind w:firstLine="420"/>
        <w:rPr>
          <w:sz w:val="21"/>
          <w:szCs w:val="21"/>
        </w:rPr>
      </w:pPr>
      <w:r>
        <w:rPr>
          <w:rStyle w:val="12"/>
          <w:rFonts w:hint="eastAsia"/>
          <w:sz w:val="21"/>
          <w:szCs w:val="21"/>
        </w:rPr>
        <w:t>四、审计基金财产的会计师事务所</w:t>
      </w:r>
    </w:p>
    <w:p w14:paraId="427AF423">
      <w:pPr>
        <w:pStyle w:val="8"/>
        <w:spacing w:before="0" w:beforeAutospacing="0" w:after="0" w:afterAutospacing="0" w:line="360" w:lineRule="auto"/>
        <w:ind w:firstLine="420"/>
        <w:rPr>
          <w:sz w:val="21"/>
          <w:szCs w:val="21"/>
        </w:rPr>
      </w:pPr>
      <w:bookmarkStart w:id="65" w:name="field_0_accountingcompanyinfo_1_start"/>
      <w:bookmarkEnd w:id="65"/>
      <w:r>
        <w:rPr>
          <w:rFonts w:hint="eastAsia"/>
          <w:sz w:val="21"/>
          <w:szCs w:val="21"/>
        </w:rPr>
        <w:t xml:space="preserve">名称：容诚会计师事务所（特殊普通合伙） </w:t>
      </w:r>
    </w:p>
    <w:p w14:paraId="5A9D7757">
      <w:pPr>
        <w:pStyle w:val="8"/>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4EC2BDBD">
      <w:pPr>
        <w:pStyle w:val="8"/>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1CD550A6">
      <w:pPr>
        <w:pStyle w:val="8"/>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367955A5">
      <w:pPr>
        <w:pStyle w:val="8"/>
        <w:spacing w:before="0" w:beforeAutospacing="0" w:after="0" w:afterAutospacing="0" w:line="360" w:lineRule="auto"/>
        <w:ind w:firstLine="420"/>
        <w:rPr>
          <w:sz w:val="21"/>
          <w:szCs w:val="21"/>
        </w:rPr>
      </w:pPr>
      <w:r>
        <w:rPr>
          <w:rFonts w:hint="eastAsia"/>
          <w:sz w:val="21"/>
          <w:szCs w:val="21"/>
        </w:rPr>
        <w:t xml:space="preserve">联系电话：010-66001391 </w:t>
      </w:r>
    </w:p>
    <w:p w14:paraId="2E7D7DCE">
      <w:pPr>
        <w:pStyle w:val="8"/>
        <w:spacing w:before="0" w:beforeAutospacing="0" w:after="0" w:afterAutospacing="0" w:line="360" w:lineRule="auto"/>
        <w:ind w:firstLine="420"/>
        <w:rPr>
          <w:sz w:val="21"/>
          <w:szCs w:val="21"/>
        </w:rPr>
      </w:pPr>
      <w:r>
        <w:rPr>
          <w:rFonts w:hint="eastAsia"/>
          <w:sz w:val="21"/>
          <w:szCs w:val="21"/>
        </w:rPr>
        <w:t xml:space="preserve">传真：010-66001392 </w:t>
      </w:r>
    </w:p>
    <w:p w14:paraId="46491CC0">
      <w:pPr>
        <w:pStyle w:val="8"/>
        <w:spacing w:before="0" w:beforeAutospacing="0" w:after="0" w:afterAutospacing="0" w:line="360" w:lineRule="auto"/>
        <w:ind w:firstLine="420"/>
        <w:rPr>
          <w:sz w:val="21"/>
          <w:szCs w:val="21"/>
        </w:rPr>
      </w:pPr>
      <w:r>
        <w:rPr>
          <w:rFonts w:hint="eastAsia"/>
          <w:sz w:val="21"/>
          <w:szCs w:val="21"/>
        </w:rPr>
        <w:t xml:space="preserve">联系人：吴琳杰 </w:t>
      </w:r>
    </w:p>
    <w:p w14:paraId="26C24029">
      <w:pPr>
        <w:pStyle w:val="8"/>
        <w:spacing w:before="0" w:beforeAutospacing="0" w:after="0" w:afterAutospacing="0" w:line="360" w:lineRule="auto"/>
        <w:ind w:firstLine="420"/>
        <w:rPr>
          <w:sz w:val="21"/>
          <w:szCs w:val="21"/>
        </w:rPr>
      </w:pPr>
      <w:bookmarkStart w:id="66" w:name="chapter_level1_7_56_section_3_end"/>
      <w:bookmarkEnd w:id="66"/>
      <w:r>
        <w:rPr>
          <w:rFonts w:hint="eastAsia"/>
          <w:sz w:val="21"/>
          <w:szCs w:val="21"/>
        </w:rPr>
        <w:t xml:space="preserve">经办注册会计师：薛竞 吴琳杰 </w:t>
      </w:r>
      <w:bookmarkStart w:id="67" w:name="field_0_accountingcompanyinfo_1_end"/>
      <w:bookmarkEnd w:id="67"/>
      <w:r>
        <w:rPr>
          <w:rFonts w:hint="eastAsia"/>
          <w:sz w:val="21"/>
          <w:szCs w:val="21"/>
        </w:rPr>
        <w:t xml:space="preserve">  </w:t>
      </w:r>
    </w:p>
    <w:p w14:paraId="2B1BA5FB">
      <w:pPr>
        <w:widowControl/>
        <w:jc w:val="left"/>
        <w:rPr>
          <w:rFonts w:ascii="宋体" w:hAnsi="宋体" w:eastAsia="宋体"/>
        </w:rPr>
      </w:pPr>
      <w:r>
        <w:rPr>
          <w:rFonts w:ascii="宋体" w:hAnsi="宋体" w:eastAsia="宋体"/>
        </w:rPr>
        <w:br w:type="page"/>
      </w:r>
    </w:p>
    <w:p w14:paraId="410E3FAE">
      <w:pPr>
        <w:pStyle w:val="2"/>
        <w:jc w:val="center"/>
        <w:rPr>
          <w:rFonts w:ascii="宋体" w:hAnsi="宋体" w:eastAsia="宋体"/>
          <w:sz w:val="30"/>
        </w:rPr>
      </w:pPr>
      <w:bookmarkStart w:id="68" w:name="chapter_level1_9_58"/>
      <w:bookmarkStart w:id="69" w:name="_Toc209441840"/>
      <w:r>
        <w:rPr>
          <w:rFonts w:hint="eastAsia" w:ascii="宋体" w:hAnsi="宋体" w:eastAsia="宋体"/>
          <w:sz w:val="30"/>
        </w:rPr>
        <w:t>第六部分 基金的募集</w:t>
      </w:r>
      <w:bookmarkEnd w:id="68"/>
      <w:bookmarkEnd w:id="69"/>
    </w:p>
    <w:p w14:paraId="68E0D32D">
      <w:pPr>
        <w:pStyle w:val="8"/>
        <w:spacing w:before="0" w:beforeAutospacing="0" w:after="0" w:afterAutospacing="0" w:line="360" w:lineRule="auto"/>
        <w:ind w:firstLine="420"/>
        <w:rPr>
          <w:sz w:val="21"/>
          <w:szCs w:val="21"/>
        </w:rPr>
      </w:pPr>
      <w:bookmarkStart w:id="70" w:name="chapter_level1_9_58_section_1"/>
      <w:bookmarkEnd w:id="70"/>
      <w:r>
        <w:rPr>
          <w:rFonts w:hint="eastAsia"/>
          <w:sz w:val="21"/>
          <w:szCs w:val="21"/>
        </w:rPr>
        <w:t xml:space="preserve">基金管理人按照《基金法》、《运作办法》、《销售办法》、基金合同及其他有关规定募集本基金，并于2013年6月6日经中国证监会证监许可【2013】750号文核准募集。  </w:t>
      </w:r>
    </w:p>
    <w:p w14:paraId="698EE7A0">
      <w:pPr>
        <w:pStyle w:val="8"/>
        <w:spacing w:before="0" w:beforeAutospacing="0" w:after="0" w:afterAutospacing="0" w:line="360" w:lineRule="auto"/>
        <w:ind w:firstLine="420"/>
        <w:rPr>
          <w:sz w:val="21"/>
          <w:szCs w:val="21"/>
        </w:rPr>
      </w:pPr>
      <w:r>
        <w:rPr>
          <w:rFonts w:hint="eastAsia"/>
          <w:sz w:val="21"/>
          <w:szCs w:val="21"/>
        </w:rPr>
        <w:t>本基金自</w:t>
      </w:r>
      <w:bookmarkStart w:id="71" w:name="field_58_raisebegindate_1"/>
      <w:r>
        <w:rPr>
          <w:sz w:val="21"/>
          <w:szCs w:val="21"/>
        </w:rPr>
        <w:t>2013年11月4日</w:t>
      </w:r>
      <w:bookmarkEnd w:id="71"/>
      <w:r>
        <w:rPr>
          <w:rFonts w:hint="eastAsia"/>
          <w:sz w:val="21"/>
          <w:szCs w:val="21"/>
        </w:rPr>
        <w:t>至</w:t>
      </w:r>
      <w:bookmarkStart w:id="72" w:name="field_58_raiseenddate_1"/>
      <w:r>
        <w:rPr>
          <w:sz w:val="21"/>
          <w:szCs w:val="21"/>
        </w:rPr>
        <w:t>2013年11月29日</w:t>
      </w:r>
      <w:bookmarkEnd w:id="72"/>
      <w:r>
        <w:rPr>
          <w:rFonts w:hint="eastAsia"/>
          <w:sz w:val="21"/>
          <w:szCs w:val="21"/>
        </w:rPr>
        <w:t>进行发售。共募集</w:t>
      </w:r>
      <w:bookmarkStart w:id="73" w:name="field_58_raisetotal_1"/>
      <w:r>
        <w:rPr>
          <w:sz w:val="21"/>
          <w:szCs w:val="21"/>
        </w:rPr>
        <w:t>565,043,200.00</w:t>
      </w:r>
      <w:bookmarkEnd w:id="73"/>
      <w:r>
        <w:rPr>
          <w:rFonts w:hint="eastAsia"/>
          <w:sz w:val="21"/>
          <w:szCs w:val="21"/>
        </w:rPr>
        <w:t>份基金份额，有效认购户数为</w:t>
      </w:r>
      <w:bookmarkStart w:id="74" w:name="field_58_effectivetotal_1"/>
      <w:r>
        <w:rPr>
          <w:sz w:val="21"/>
          <w:szCs w:val="21"/>
        </w:rPr>
        <w:t>5,360</w:t>
      </w:r>
      <w:bookmarkEnd w:id="74"/>
      <w:r>
        <w:rPr>
          <w:rFonts w:hint="eastAsia"/>
          <w:sz w:val="21"/>
          <w:szCs w:val="21"/>
        </w:rPr>
        <w:t xml:space="preserve">户。 </w:t>
      </w:r>
    </w:p>
    <w:p w14:paraId="0670777F">
      <w:pPr>
        <w:pStyle w:val="8"/>
        <w:spacing w:before="0" w:beforeAutospacing="0" w:after="0" w:afterAutospacing="0" w:line="360" w:lineRule="auto"/>
        <w:ind w:firstLine="420"/>
        <w:rPr>
          <w:sz w:val="21"/>
          <w:szCs w:val="21"/>
        </w:rPr>
      </w:pPr>
      <w:bookmarkStart w:id="75" w:name="chapter_level1_9_58_section_1_end"/>
      <w:bookmarkEnd w:id="75"/>
      <w:r>
        <w:rPr>
          <w:rFonts w:hint="eastAsia"/>
          <w:sz w:val="21"/>
          <w:szCs w:val="21"/>
        </w:rPr>
        <w:t xml:space="preserve">本基金为交易型开放式指数证券投资基金。基金存续期限为不定期。 </w:t>
      </w:r>
    </w:p>
    <w:p w14:paraId="0F5A995A">
      <w:pPr>
        <w:widowControl/>
        <w:jc w:val="left"/>
        <w:rPr>
          <w:rFonts w:ascii="宋体" w:hAnsi="宋体" w:eastAsia="宋体"/>
        </w:rPr>
      </w:pPr>
      <w:r>
        <w:rPr>
          <w:rFonts w:ascii="宋体" w:hAnsi="宋体" w:eastAsia="宋体"/>
        </w:rPr>
        <w:br w:type="page"/>
      </w:r>
    </w:p>
    <w:p w14:paraId="37523A17">
      <w:pPr>
        <w:pStyle w:val="2"/>
        <w:jc w:val="center"/>
        <w:rPr>
          <w:rFonts w:ascii="宋体" w:hAnsi="宋体" w:eastAsia="宋体"/>
          <w:sz w:val="30"/>
        </w:rPr>
      </w:pPr>
      <w:bookmarkStart w:id="76" w:name="_Toc209441841"/>
      <w:bookmarkStart w:id="77" w:name="chapter_level1_10_70208"/>
      <w:r>
        <w:rPr>
          <w:rFonts w:hint="eastAsia" w:ascii="宋体" w:hAnsi="宋体" w:eastAsia="宋体"/>
          <w:sz w:val="30"/>
        </w:rPr>
        <w:t>第七部分  基金合同的生效</w:t>
      </w:r>
      <w:bookmarkEnd w:id="76"/>
      <w:bookmarkEnd w:id="77"/>
    </w:p>
    <w:p w14:paraId="54450E47">
      <w:pPr>
        <w:pStyle w:val="8"/>
        <w:spacing w:before="0" w:beforeAutospacing="0" w:after="0" w:afterAutospacing="0" w:line="360" w:lineRule="auto"/>
        <w:ind w:firstLine="420"/>
        <w:rPr>
          <w:sz w:val="21"/>
          <w:szCs w:val="21"/>
        </w:rPr>
      </w:pPr>
      <w:bookmarkStart w:id="78" w:name="chapter_level1_10_70208_section_1"/>
      <w:bookmarkEnd w:id="78"/>
      <w:r>
        <w:rPr>
          <w:rStyle w:val="12"/>
          <w:rFonts w:hint="eastAsia"/>
          <w:sz w:val="21"/>
          <w:szCs w:val="21"/>
        </w:rPr>
        <w:t>一、基金合同的生效</w:t>
      </w:r>
    </w:p>
    <w:p w14:paraId="348F5776">
      <w:pPr>
        <w:pStyle w:val="8"/>
        <w:spacing w:before="0" w:beforeAutospacing="0" w:after="0" w:afterAutospacing="0" w:line="360" w:lineRule="auto"/>
        <w:ind w:firstLine="420"/>
        <w:rPr>
          <w:sz w:val="21"/>
          <w:szCs w:val="21"/>
        </w:rPr>
      </w:pPr>
      <w:r>
        <w:rPr>
          <w:rFonts w:hint="eastAsia"/>
          <w:sz w:val="21"/>
          <w:szCs w:val="21"/>
        </w:rPr>
        <w:t>本基金的基金合同已于</w:t>
      </w:r>
      <w:bookmarkStart w:id="79" w:name="field_0_foundday_1"/>
      <w:r>
        <w:rPr>
          <w:sz w:val="21"/>
          <w:szCs w:val="21"/>
        </w:rPr>
        <w:t>2013年12月5日</w:t>
      </w:r>
      <w:bookmarkEnd w:id="79"/>
      <w:r>
        <w:rPr>
          <w:rFonts w:hint="eastAsia"/>
          <w:sz w:val="21"/>
          <w:szCs w:val="21"/>
        </w:rPr>
        <w:t xml:space="preserve">正式生效。 </w:t>
      </w:r>
    </w:p>
    <w:p w14:paraId="1ED55EC4">
      <w:pPr>
        <w:pStyle w:val="8"/>
        <w:spacing w:before="0" w:beforeAutospacing="0" w:after="0" w:afterAutospacing="0" w:line="360" w:lineRule="auto"/>
        <w:ind w:firstLine="420"/>
        <w:rPr>
          <w:sz w:val="21"/>
          <w:szCs w:val="21"/>
        </w:rPr>
      </w:pPr>
      <w:r>
        <w:rPr>
          <w:rStyle w:val="12"/>
          <w:rFonts w:hint="eastAsia"/>
          <w:sz w:val="21"/>
          <w:szCs w:val="21"/>
        </w:rPr>
        <w:t>二、基金存续期内的基金份额持有人数量和资金数额</w:t>
      </w:r>
    </w:p>
    <w:p w14:paraId="599C0683">
      <w:pPr>
        <w:pStyle w:val="8"/>
        <w:spacing w:before="0" w:beforeAutospacing="0" w:after="0" w:afterAutospacing="0" w:line="360" w:lineRule="auto"/>
        <w:ind w:firstLine="420"/>
        <w:rPr>
          <w:sz w:val="21"/>
          <w:szCs w:val="21"/>
        </w:rPr>
      </w:pPr>
      <w:r>
        <w:rPr>
          <w:rFonts w:hint="eastAsia"/>
          <w:sz w:val="21"/>
          <w:szCs w:val="21"/>
        </w:rPr>
        <w:t xml:space="preserve">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 </w:t>
      </w:r>
    </w:p>
    <w:p w14:paraId="1F29FA88">
      <w:pPr>
        <w:pStyle w:val="8"/>
        <w:spacing w:before="0" w:beforeAutospacing="0" w:after="0" w:afterAutospacing="0" w:line="360" w:lineRule="auto"/>
        <w:ind w:firstLine="420"/>
        <w:rPr>
          <w:sz w:val="21"/>
          <w:szCs w:val="21"/>
        </w:rPr>
      </w:pPr>
      <w:bookmarkStart w:id="80" w:name="chapter_level1_10_70208_section_1_end"/>
      <w:bookmarkEnd w:id="80"/>
      <w:r>
        <w:rPr>
          <w:rFonts w:hint="eastAsia"/>
          <w:sz w:val="21"/>
          <w:szCs w:val="21"/>
        </w:rPr>
        <w:t xml:space="preserve">法律法规另有规定时，从其规定。 </w:t>
      </w:r>
    </w:p>
    <w:p w14:paraId="1724F58B">
      <w:pPr>
        <w:widowControl/>
        <w:jc w:val="left"/>
        <w:rPr>
          <w:rFonts w:ascii="宋体" w:hAnsi="宋体" w:eastAsia="宋体"/>
        </w:rPr>
      </w:pPr>
      <w:r>
        <w:rPr>
          <w:rFonts w:ascii="宋体" w:hAnsi="宋体" w:eastAsia="宋体"/>
        </w:rPr>
        <w:br w:type="page"/>
      </w:r>
    </w:p>
    <w:p w14:paraId="5C67E8F2">
      <w:pPr>
        <w:pStyle w:val="2"/>
        <w:jc w:val="center"/>
        <w:rPr>
          <w:rFonts w:ascii="宋体" w:hAnsi="宋体" w:eastAsia="宋体"/>
          <w:sz w:val="30"/>
        </w:rPr>
      </w:pPr>
      <w:bookmarkStart w:id="81" w:name="chapter_level1_11_70221"/>
      <w:bookmarkStart w:id="82" w:name="_Toc209441842"/>
      <w:r>
        <w:rPr>
          <w:rFonts w:hint="eastAsia" w:ascii="宋体" w:hAnsi="宋体" w:eastAsia="宋体"/>
          <w:sz w:val="30"/>
        </w:rPr>
        <w:t>第八部分  基金份额的折算和变更登记</w:t>
      </w:r>
      <w:bookmarkEnd w:id="81"/>
      <w:bookmarkEnd w:id="82"/>
    </w:p>
    <w:p w14:paraId="680AA9DA">
      <w:pPr>
        <w:pStyle w:val="8"/>
        <w:spacing w:before="0" w:beforeAutospacing="0" w:after="0" w:afterAutospacing="0" w:line="360" w:lineRule="auto"/>
        <w:ind w:firstLine="420"/>
        <w:rPr>
          <w:sz w:val="21"/>
          <w:szCs w:val="21"/>
        </w:rPr>
      </w:pPr>
      <w:bookmarkStart w:id="83" w:name="chapter_level1_11_70221_section_1"/>
      <w:bookmarkEnd w:id="83"/>
      <w:r>
        <w:rPr>
          <w:rFonts w:hint="eastAsia"/>
          <w:sz w:val="21"/>
          <w:szCs w:val="21"/>
        </w:rPr>
        <w:t xml:space="preserve">基金份额折算是指基金管理人根据基金运作的需要，在基金资产净值不变的前提下，按照一定比例调整基金份额总额及基金份额净值。 </w:t>
      </w:r>
    </w:p>
    <w:p w14:paraId="5778B23A">
      <w:pPr>
        <w:pStyle w:val="8"/>
        <w:spacing w:before="0" w:beforeAutospacing="0" w:after="0" w:afterAutospacing="0" w:line="360" w:lineRule="auto"/>
        <w:ind w:firstLine="420"/>
        <w:rPr>
          <w:sz w:val="21"/>
          <w:szCs w:val="21"/>
        </w:rPr>
      </w:pPr>
      <w:r>
        <w:rPr>
          <w:rFonts w:hint="eastAsia"/>
          <w:b/>
          <w:bCs/>
          <w:sz w:val="21"/>
          <w:szCs w:val="21"/>
        </w:rPr>
        <w:t>一、基金份额折算的时间</w:t>
      </w:r>
    </w:p>
    <w:p w14:paraId="65DDF920">
      <w:pPr>
        <w:pStyle w:val="8"/>
        <w:spacing w:before="0" w:beforeAutospacing="0" w:after="0" w:afterAutospacing="0" w:line="360" w:lineRule="auto"/>
        <w:ind w:firstLine="420"/>
        <w:rPr>
          <w:sz w:val="21"/>
          <w:szCs w:val="21"/>
        </w:rPr>
      </w:pPr>
      <w:r>
        <w:rPr>
          <w:rFonts w:hint="eastAsia"/>
          <w:sz w:val="21"/>
          <w:szCs w:val="21"/>
        </w:rPr>
        <w:t xml:space="preserve">本基金存续期间，基金管理人可根据实际需要对基金份额进行折算，基金管理人应事先确定基金份额折算日，并依照《信息披露办法》的有关规定提前公告。 </w:t>
      </w:r>
    </w:p>
    <w:p w14:paraId="7EF9061A">
      <w:pPr>
        <w:pStyle w:val="8"/>
        <w:spacing w:before="0" w:beforeAutospacing="0" w:after="0" w:afterAutospacing="0" w:line="360" w:lineRule="auto"/>
        <w:ind w:firstLine="420"/>
        <w:rPr>
          <w:sz w:val="21"/>
          <w:szCs w:val="21"/>
        </w:rPr>
      </w:pPr>
      <w:r>
        <w:rPr>
          <w:rFonts w:hint="eastAsia"/>
          <w:b/>
          <w:bCs/>
          <w:sz w:val="21"/>
          <w:szCs w:val="21"/>
        </w:rPr>
        <w:t>二、基金份额折算的原则</w:t>
      </w:r>
    </w:p>
    <w:p w14:paraId="59EBE47B">
      <w:pPr>
        <w:pStyle w:val="8"/>
        <w:spacing w:before="0" w:beforeAutospacing="0" w:after="0" w:afterAutospacing="0" w:line="360" w:lineRule="auto"/>
        <w:ind w:firstLine="420"/>
        <w:rPr>
          <w:sz w:val="21"/>
          <w:szCs w:val="21"/>
        </w:rPr>
      </w:pPr>
      <w:r>
        <w:rPr>
          <w:rFonts w:hint="eastAsia"/>
          <w:sz w:val="21"/>
          <w:szCs w:val="21"/>
        </w:rPr>
        <w:t xml:space="preserve">基金份额折算由基金管理人向登记结算机构申请办理，并由登记结算机构进行基金份额的变更登记。 </w:t>
      </w:r>
    </w:p>
    <w:p w14:paraId="44A186D9">
      <w:pPr>
        <w:pStyle w:val="8"/>
        <w:spacing w:before="0" w:beforeAutospacing="0" w:after="0" w:afterAutospacing="0" w:line="360" w:lineRule="auto"/>
        <w:ind w:firstLine="420"/>
        <w:rPr>
          <w:sz w:val="21"/>
          <w:szCs w:val="21"/>
        </w:rPr>
      </w:pPr>
      <w:r>
        <w:rPr>
          <w:rFonts w:hint="eastAsia"/>
          <w:sz w:val="21"/>
          <w:szCs w:val="21"/>
        </w:rPr>
        <w:t xml:space="preserve">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 </w:t>
      </w:r>
    </w:p>
    <w:p w14:paraId="6DC23A96">
      <w:pPr>
        <w:pStyle w:val="8"/>
        <w:spacing w:before="0" w:beforeAutospacing="0" w:after="0" w:afterAutospacing="0" w:line="360" w:lineRule="auto"/>
        <w:ind w:firstLine="420"/>
        <w:rPr>
          <w:sz w:val="21"/>
          <w:szCs w:val="21"/>
        </w:rPr>
      </w:pPr>
      <w:r>
        <w:rPr>
          <w:rFonts w:hint="eastAsia"/>
          <w:sz w:val="21"/>
          <w:szCs w:val="21"/>
        </w:rPr>
        <w:t xml:space="preserve">如果基金份额折算过程中发生不可抗力，基金管理人可延迟办理基金份额折算。 </w:t>
      </w:r>
    </w:p>
    <w:p w14:paraId="48012A47">
      <w:pPr>
        <w:pStyle w:val="8"/>
        <w:spacing w:before="0" w:beforeAutospacing="0" w:after="0" w:afterAutospacing="0" w:line="360" w:lineRule="auto"/>
        <w:ind w:firstLine="420"/>
        <w:rPr>
          <w:sz w:val="21"/>
          <w:szCs w:val="21"/>
        </w:rPr>
      </w:pPr>
      <w:r>
        <w:rPr>
          <w:rFonts w:hint="eastAsia"/>
          <w:b/>
          <w:bCs/>
          <w:sz w:val="21"/>
          <w:szCs w:val="21"/>
        </w:rPr>
        <w:t>三、基金份额折算的方法</w:t>
      </w:r>
    </w:p>
    <w:p w14:paraId="58B1604A">
      <w:pPr>
        <w:pStyle w:val="8"/>
        <w:spacing w:before="0" w:beforeAutospacing="0" w:after="0" w:afterAutospacing="0" w:line="360" w:lineRule="auto"/>
        <w:ind w:firstLine="420"/>
        <w:rPr>
          <w:sz w:val="21"/>
          <w:szCs w:val="21"/>
        </w:rPr>
      </w:pPr>
      <w:r>
        <w:rPr>
          <w:rFonts w:hint="eastAsia"/>
          <w:sz w:val="21"/>
          <w:szCs w:val="21"/>
        </w:rPr>
        <w:t xml:space="preserve">基金份额折算的具体方法在份额折算公告中列示。 </w:t>
      </w:r>
    </w:p>
    <w:p w14:paraId="477C03CF">
      <w:pPr>
        <w:pStyle w:val="8"/>
        <w:spacing w:before="0" w:beforeAutospacing="0" w:after="0" w:afterAutospacing="0" w:line="360" w:lineRule="auto"/>
        <w:ind w:firstLine="420"/>
        <w:rPr>
          <w:sz w:val="21"/>
          <w:szCs w:val="21"/>
        </w:rPr>
      </w:pPr>
      <w:bookmarkStart w:id="84" w:name="chapter_level1_11_70221_section_1_end"/>
      <w:bookmarkEnd w:id="84"/>
      <w:r>
        <w:rPr>
          <w:rFonts w:hint="eastAsia"/>
          <w:sz w:val="21"/>
          <w:szCs w:val="21"/>
        </w:rPr>
        <w:t xml:space="preserve">本基金本期间未进行份额折算。 </w:t>
      </w:r>
    </w:p>
    <w:p w14:paraId="53D9BBF6">
      <w:pPr>
        <w:widowControl/>
        <w:jc w:val="left"/>
        <w:rPr>
          <w:rFonts w:ascii="宋体" w:hAnsi="宋体" w:eastAsia="宋体"/>
        </w:rPr>
      </w:pPr>
      <w:r>
        <w:rPr>
          <w:rFonts w:ascii="宋体" w:hAnsi="宋体" w:eastAsia="宋体"/>
        </w:rPr>
        <w:br w:type="page"/>
      </w:r>
    </w:p>
    <w:p w14:paraId="4CC105B5">
      <w:pPr>
        <w:pStyle w:val="2"/>
        <w:jc w:val="center"/>
        <w:rPr>
          <w:rFonts w:ascii="宋体" w:hAnsi="宋体" w:eastAsia="宋体"/>
          <w:sz w:val="30"/>
        </w:rPr>
      </w:pPr>
      <w:bookmarkStart w:id="85" w:name="chapter_level1_12_70351"/>
      <w:bookmarkStart w:id="86" w:name="_Toc209441843"/>
      <w:r>
        <w:rPr>
          <w:rFonts w:hint="eastAsia" w:ascii="宋体" w:hAnsi="宋体" w:eastAsia="宋体"/>
          <w:sz w:val="30"/>
        </w:rPr>
        <w:t>第九部分  基金份额的交易</w:t>
      </w:r>
      <w:bookmarkEnd w:id="85"/>
      <w:bookmarkEnd w:id="86"/>
    </w:p>
    <w:p w14:paraId="3850FE48">
      <w:pPr>
        <w:pStyle w:val="8"/>
        <w:spacing w:before="0" w:beforeAutospacing="0" w:after="0" w:afterAutospacing="0" w:line="360" w:lineRule="auto"/>
        <w:ind w:firstLine="420"/>
        <w:rPr>
          <w:sz w:val="21"/>
          <w:szCs w:val="21"/>
        </w:rPr>
      </w:pPr>
      <w:bookmarkStart w:id="87" w:name="chapter_level1_12_70351_section_1"/>
      <w:bookmarkEnd w:id="87"/>
      <w:r>
        <w:rPr>
          <w:rFonts w:hint="eastAsia"/>
          <w:b/>
          <w:bCs/>
          <w:sz w:val="21"/>
          <w:szCs w:val="21"/>
        </w:rPr>
        <w:t>一、基金上市</w:t>
      </w:r>
    </w:p>
    <w:p w14:paraId="7F80248F">
      <w:pPr>
        <w:pStyle w:val="8"/>
        <w:spacing w:before="0" w:beforeAutospacing="0" w:after="0" w:afterAutospacing="0" w:line="360" w:lineRule="auto"/>
        <w:ind w:firstLine="420"/>
        <w:rPr>
          <w:sz w:val="21"/>
          <w:szCs w:val="21"/>
        </w:rPr>
      </w:pPr>
      <w:r>
        <w:rPr>
          <w:rFonts w:hint="eastAsia"/>
          <w:sz w:val="21"/>
          <w:szCs w:val="21"/>
        </w:rPr>
        <w:t xml:space="preserve">本基金于2014年1月15日起在上海证券交易所上市交易，交易代码：513500。 </w:t>
      </w:r>
    </w:p>
    <w:p w14:paraId="116F2C82">
      <w:pPr>
        <w:pStyle w:val="8"/>
        <w:spacing w:before="0" w:beforeAutospacing="0" w:after="0" w:afterAutospacing="0" w:line="360" w:lineRule="auto"/>
        <w:ind w:firstLine="420"/>
        <w:rPr>
          <w:sz w:val="21"/>
          <w:szCs w:val="21"/>
        </w:rPr>
      </w:pPr>
      <w:r>
        <w:rPr>
          <w:rFonts w:hint="eastAsia"/>
          <w:b/>
          <w:bCs/>
          <w:sz w:val="21"/>
          <w:szCs w:val="21"/>
        </w:rPr>
        <w:t>二、基金份额的上市交易</w:t>
      </w:r>
    </w:p>
    <w:p w14:paraId="7E1DB617">
      <w:pPr>
        <w:pStyle w:val="8"/>
        <w:spacing w:before="0" w:beforeAutospacing="0" w:after="0" w:afterAutospacing="0" w:line="360" w:lineRule="auto"/>
        <w:ind w:firstLine="420"/>
        <w:rPr>
          <w:sz w:val="21"/>
          <w:szCs w:val="21"/>
        </w:rPr>
      </w:pPr>
      <w:r>
        <w:rPr>
          <w:rFonts w:hint="eastAsia"/>
          <w:sz w:val="21"/>
          <w:szCs w:val="21"/>
        </w:rPr>
        <w:t xml:space="preserve">本基金的基金份额在上海证券交易所的上市交易须遵照《上海证券交易所证券投资基金上市规则》、《上海证券交易所交易型开放式指数基金业务实施细则》，以及《上海证券交易所交易规则》等有关规定。 </w:t>
      </w:r>
    </w:p>
    <w:p w14:paraId="1880A07E">
      <w:pPr>
        <w:pStyle w:val="8"/>
        <w:spacing w:before="0" w:beforeAutospacing="0" w:after="0" w:afterAutospacing="0" w:line="360" w:lineRule="auto"/>
        <w:ind w:firstLine="420"/>
        <w:rPr>
          <w:sz w:val="21"/>
          <w:szCs w:val="21"/>
        </w:rPr>
      </w:pPr>
      <w:r>
        <w:rPr>
          <w:rFonts w:hint="eastAsia"/>
          <w:sz w:val="21"/>
          <w:szCs w:val="21"/>
        </w:rPr>
        <w:t>本基金上市交易的币种为人民币。在未来市场和技术成熟时，本基金可开通或终止人民币以外的其他币种的交易，该事项无须基金份额持有人大会通过。如本基金开通或终止人民币以外的其他币种的交易，更新的交易原则、程序、费用等业务规则及相关事项届时由基金管理人确定并提前公告。</w:t>
      </w:r>
    </w:p>
    <w:p w14:paraId="33A59138">
      <w:pPr>
        <w:pStyle w:val="8"/>
        <w:spacing w:before="0" w:beforeAutospacing="0" w:after="0" w:afterAutospacing="0" w:line="360" w:lineRule="auto"/>
        <w:ind w:firstLine="420"/>
        <w:rPr>
          <w:sz w:val="21"/>
          <w:szCs w:val="21"/>
        </w:rPr>
      </w:pPr>
      <w:r>
        <w:rPr>
          <w:rFonts w:hint="eastAsia"/>
          <w:b/>
          <w:bCs/>
          <w:sz w:val="21"/>
          <w:szCs w:val="21"/>
        </w:rPr>
        <w:t>三、终止上市交易</w:t>
      </w:r>
    </w:p>
    <w:p w14:paraId="0012A127">
      <w:pPr>
        <w:pStyle w:val="8"/>
        <w:spacing w:before="0" w:beforeAutospacing="0" w:after="0" w:afterAutospacing="0" w:line="360" w:lineRule="auto"/>
        <w:ind w:firstLine="420"/>
        <w:rPr>
          <w:sz w:val="21"/>
          <w:szCs w:val="21"/>
        </w:rPr>
      </w:pPr>
      <w:r>
        <w:rPr>
          <w:rFonts w:hint="eastAsia"/>
          <w:sz w:val="21"/>
          <w:szCs w:val="21"/>
        </w:rPr>
        <w:t xml:space="preserve">基金份额上市交易后，有下列情形之一的，上海证券交易所可终止基金份额的上市交易，并报中国证监会备案： </w:t>
      </w:r>
    </w:p>
    <w:p w14:paraId="029C860C">
      <w:pPr>
        <w:pStyle w:val="8"/>
        <w:spacing w:before="0" w:beforeAutospacing="0" w:after="0" w:afterAutospacing="0" w:line="360" w:lineRule="auto"/>
        <w:ind w:firstLine="420"/>
        <w:rPr>
          <w:sz w:val="21"/>
          <w:szCs w:val="21"/>
        </w:rPr>
      </w:pPr>
      <w:r>
        <w:rPr>
          <w:rFonts w:hint="eastAsia"/>
          <w:sz w:val="21"/>
          <w:szCs w:val="21"/>
        </w:rPr>
        <w:t xml:space="preserve">1、不再具备本部分第一条规定的上市条件； </w:t>
      </w:r>
    </w:p>
    <w:p w14:paraId="72057FE4">
      <w:pPr>
        <w:pStyle w:val="8"/>
        <w:spacing w:before="0" w:beforeAutospacing="0" w:after="0" w:afterAutospacing="0" w:line="360" w:lineRule="auto"/>
        <w:ind w:firstLine="420"/>
        <w:rPr>
          <w:sz w:val="21"/>
          <w:szCs w:val="21"/>
        </w:rPr>
      </w:pPr>
      <w:r>
        <w:rPr>
          <w:rFonts w:hint="eastAsia"/>
          <w:sz w:val="21"/>
          <w:szCs w:val="21"/>
        </w:rPr>
        <w:t xml:space="preserve">2、基金合同终止； </w:t>
      </w:r>
    </w:p>
    <w:p w14:paraId="0D5BE882">
      <w:pPr>
        <w:pStyle w:val="8"/>
        <w:spacing w:before="0" w:beforeAutospacing="0" w:after="0" w:afterAutospacing="0" w:line="360" w:lineRule="auto"/>
        <w:ind w:firstLine="420"/>
        <w:rPr>
          <w:sz w:val="21"/>
          <w:szCs w:val="21"/>
        </w:rPr>
      </w:pPr>
      <w:r>
        <w:rPr>
          <w:rFonts w:hint="eastAsia"/>
          <w:sz w:val="21"/>
          <w:szCs w:val="21"/>
        </w:rPr>
        <w:t xml:space="preserve">3、基金份额持有人大会决定提前终止上市；  </w:t>
      </w:r>
    </w:p>
    <w:p w14:paraId="6577808C">
      <w:pPr>
        <w:pStyle w:val="8"/>
        <w:spacing w:before="0" w:beforeAutospacing="0" w:after="0" w:afterAutospacing="0" w:line="360" w:lineRule="auto"/>
        <w:ind w:firstLine="420"/>
        <w:rPr>
          <w:sz w:val="21"/>
          <w:szCs w:val="21"/>
        </w:rPr>
      </w:pPr>
      <w:r>
        <w:rPr>
          <w:rFonts w:hint="eastAsia"/>
          <w:sz w:val="21"/>
          <w:szCs w:val="21"/>
        </w:rPr>
        <w:t xml:space="preserve">4、上海证券交易所认为应当终止上市的其他情形。  </w:t>
      </w:r>
    </w:p>
    <w:p w14:paraId="052F8811">
      <w:pPr>
        <w:pStyle w:val="8"/>
        <w:spacing w:before="0" w:beforeAutospacing="0" w:after="0" w:afterAutospacing="0" w:line="360" w:lineRule="auto"/>
        <w:ind w:firstLine="420"/>
        <w:rPr>
          <w:sz w:val="21"/>
          <w:szCs w:val="21"/>
        </w:rPr>
      </w:pPr>
      <w:r>
        <w:rPr>
          <w:rFonts w:hint="eastAsia"/>
          <w:sz w:val="21"/>
          <w:szCs w:val="21"/>
        </w:rPr>
        <w:t xml:space="preserve">基金管理人应当在收到上海证券交易所终止基金上市的决定之日起按规定在指定媒介发布基金终止上市公告。 </w:t>
      </w:r>
    </w:p>
    <w:p w14:paraId="0F762934">
      <w:pPr>
        <w:pStyle w:val="8"/>
        <w:spacing w:before="0" w:beforeAutospacing="0" w:after="0" w:afterAutospacing="0" w:line="360" w:lineRule="auto"/>
        <w:ind w:firstLine="420"/>
        <w:rPr>
          <w:sz w:val="21"/>
          <w:szCs w:val="21"/>
        </w:rPr>
      </w:pPr>
      <w:r>
        <w:rPr>
          <w:rFonts w:hint="eastAsia"/>
          <w:b/>
          <w:bCs/>
          <w:sz w:val="21"/>
          <w:szCs w:val="21"/>
        </w:rPr>
        <w:t>四、基金份额参考净值（IOPV）的计算与公告</w:t>
      </w:r>
    </w:p>
    <w:p w14:paraId="23D12CE5">
      <w:pPr>
        <w:pStyle w:val="8"/>
        <w:spacing w:before="0" w:beforeAutospacing="0" w:after="0" w:afterAutospacing="0" w:line="360" w:lineRule="auto"/>
        <w:ind w:firstLine="420"/>
        <w:rPr>
          <w:sz w:val="21"/>
          <w:szCs w:val="21"/>
        </w:rPr>
      </w:pPr>
      <w:r>
        <w:rPr>
          <w:rFonts w:hint="eastAsia"/>
          <w:sz w:val="21"/>
          <w:szCs w:val="21"/>
        </w:rPr>
        <w:t xml:space="preserve">基金管理人在每一个交易日开市前向中证指数有限公司提供当日基金的申购赎回清单。中证指数有限公司在开市后根据基金的申购赎回清单和中国人民银行公布的人民币对美元汇率中间价，计算并发布基金份额参考净值（IOPV），供投资人交易、申购、赎回基金 </w:t>
      </w:r>
    </w:p>
    <w:p w14:paraId="50917DCB">
      <w:pPr>
        <w:pStyle w:val="8"/>
        <w:spacing w:before="0" w:beforeAutospacing="0" w:after="0" w:afterAutospacing="0" w:line="360" w:lineRule="auto"/>
        <w:ind w:firstLine="420"/>
        <w:rPr>
          <w:sz w:val="21"/>
          <w:szCs w:val="21"/>
        </w:rPr>
      </w:pPr>
      <w:r>
        <w:rPr>
          <w:rFonts w:hint="eastAsia"/>
          <w:sz w:val="21"/>
          <w:szCs w:val="21"/>
        </w:rPr>
        <w:t xml:space="preserve">份额时参考。 </w:t>
      </w:r>
    </w:p>
    <w:p w14:paraId="2E8EAE8F">
      <w:pPr>
        <w:pStyle w:val="8"/>
        <w:spacing w:before="0" w:beforeAutospacing="0" w:after="0" w:afterAutospacing="0" w:line="360" w:lineRule="auto"/>
        <w:ind w:firstLine="420"/>
        <w:rPr>
          <w:sz w:val="21"/>
          <w:szCs w:val="21"/>
        </w:rPr>
      </w:pPr>
      <w:r>
        <w:rPr>
          <w:rFonts w:hint="eastAsia"/>
          <w:sz w:val="21"/>
          <w:szCs w:val="21"/>
        </w:rPr>
        <w:t xml:space="preserve">基金管理人可以调整基金份额参考净值的计算公式，并予以公告。 </w:t>
      </w:r>
    </w:p>
    <w:p w14:paraId="3151C58A">
      <w:pPr>
        <w:pStyle w:val="8"/>
        <w:spacing w:before="0" w:beforeAutospacing="0" w:after="0" w:afterAutospacing="0" w:line="360" w:lineRule="auto"/>
        <w:ind w:firstLine="420"/>
        <w:rPr>
          <w:sz w:val="21"/>
          <w:szCs w:val="21"/>
        </w:rPr>
      </w:pPr>
      <w:r>
        <w:rPr>
          <w:rFonts w:hint="eastAsia"/>
          <w:sz w:val="21"/>
          <w:szCs w:val="21"/>
        </w:rPr>
        <w:t xml:space="preserve">（1）基金份额参考净值的计算公式：  </w:t>
      </w:r>
    </w:p>
    <w:p w14:paraId="1A38465D">
      <w:pPr>
        <w:pStyle w:val="8"/>
        <w:spacing w:before="0" w:beforeAutospacing="0" w:after="0" w:afterAutospacing="0" w:line="360" w:lineRule="auto"/>
        <w:ind w:firstLine="420"/>
        <w:rPr>
          <w:sz w:val="21"/>
          <w:szCs w:val="21"/>
        </w:rPr>
      </w:pPr>
      <w:r>
        <w:rPr>
          <w:rFonts w:hint="eastAsia"/>
          <w:sz w:val="21"/>
          <w:szCs w:val="21"/>
        </w:rPr>
        <w:t xml:space="preserve">中国T日基金份额参考净值＝（申购赎回清单中必须现金替代成份证券的替代金额+申购赎回清单中可以现金替代成分证券的数量、经调整的T-1日预计开盘价、T-1日标的指数涨跌幅以及中国人民银行公布的人民币对美元的汇率中间价的乘积之和+申购赎回清单中的预估现金部分）/最小申购、赎回单位对应的基金份额  </w:t>
      </w:r>
    </w:p>
    <w:p w14:paraId="62311567">
      <w:pPr>
        <w:pStyle w:val="8"/>
        <w:spacing w:before="0" w:beforeAutospacing="0" w:after="0" w:afterAutospacing="0" w:line="360" w:lineRule="auto"/>
        <w:ind w:firstLine="420"/>
        <w:rPr>
          <w:sz w:val="21"/>
          <w:szCs w:val="21"/>
        </w:rPr>
      </w:pPr>
      <w:r>
        <w:rPr>
          <w:rFonts w:hint="eastAsia"/>
          <w:sz w:val="21"/>
          <w:szCs w:val="21"/>
        </w:rPr>
        <w:t xml:space="preserve">（2）基金份额参考净值的计算以四舍五入的方法保留小数点后4位。  </w:t>
      </w:r>
    </w:p>
    <w:p w14:paraId="41EB81A4">
      <w:pPr>
        <w:pStyle w:val="8"/>
        <w:spacing w:before="0" w:beforeAutospacing="0" w:after="0" w:afterAutospacing="0" w:line="360" w:lineRule="auto"/>
        <w:ind w:firstLine="420"/>
        <w:rPr>
          <w:sz w:val="21"/>
          <w:szCs w:val="21"/>
        </w:rPr>
      </w:pPr>
      <w:r>
        <w:rPr>
          <w:rFonts w:hint="eastAsia"/>
          <w:sz w:val="21"/>
          <w:szCs w:val="21"/>
        </w:rPr>
        <w:t xml:space="preserve">（3）上海证券交易所可以调整基金份额参考净值的计算公式，并予以公告。  </w:t>
      </w:r>
    </w:p>
    <w:p w14:paraId="39DBAD0A">
      <w:pPr>
        <w:pStyle w:val="8"/>
        <w:spacing w:before="0" w:beforeAutospacing="0" w:after="0" w:afterAutospacing="0" w:line="360" w:lineRule="auto"/>
        <w:ind w:firstLine="420"/>
        <w:rPr>
          <w:sz w:val="21"/>
          <w:szCs w:val="21"/>
        </w:rPr>
      </w:pPr>
      <w:r>
        <w:rPr>
          <w:rFonts w:hint="eastAsia"/>
          <w:b/>
          <w:bCs/>
          <w:sz w:val="21"/>
          <w:szCs w:val="21"/>
        </w:rPr>
        <w:t>五、未来条件成熟时，基金管理人可依据有关法律法规及交易所规则申请本基金于其</w:t>
      </w:r>
      <w:bookmarkStart w:id="88" w:name="chapter_level1_12_70351_section_1_end"/>
      <w:bookmarkEnd w:id="88"/>
      <w:r>
        <w:rPr>
          <w:rFonts w:hint="eastAsia"/>
          <w:b/>
          <w:bCs/>
          <w:sz w:val="21"/>
          <w:szCs w:val="21"/>
        </w:rPr>
        <w:t>他证券交易所上市交易。</w:t>
      </w:r>
    </w:p>
    <w:p w14:paraId="5B7CA94A">
      <w:pPr>
        <w:widowControl/>
        <w:jc w:val="left"/>
        <w:rPr>
          <w:rFonts w:ascii="宋体" w:hAnsi="宋体" w:eastAsia="宋体"/>
        </w:rPr>
      </w:pPr>
      <w:r>
        <w:rPr>
          <w:rFonts w:ascii="宋体" w:hAnsi="宋体" w:eastAsia="宋体"/>
        </w:rPr>
        <w:br w:type="page"/>
      </w:r>
    </w:p>
    <w:p w14:paraId="3ACE781B">
      <w:pPr>
        <w:pStyle w:val="2"/>
        <w:jc w:val="center"/>
        <w:rPr>
          <w:rFonts w:ascii="宋体" w:hAnsi="宋体" w:eastAsia="宋体"/>
          <w:sz w:val="30"/>
        </w:rPr>
      </w:pPr>
      <w:bookmarkStart w:id="89" w:name="_Toc209441844"/>
      <w:bookmarkStart w:id="90" w:name="chapter_level1_13_59"/>
      <w:r>
        <w:rPr>
          <w:rFonts w:hint="eastAsia" w:ascii="宋体" w:hAnsi="宋体" w:eastAsia="宋体"/>
          <w:sz w:val="30"/>
        </w:rPr>
        <w:t>第十部分  基金份额的申购与赎回</w:t>
      </w:r>
      <w:bookmarkEnd w:id="89"/>
      <w:bookmarkEnd w:id="90"/>
    </w:p>
    <w:p w14:paraId="7E41EF1F">
      <w:pPr>
        <w:pStyle w:val="8"/>
        <w:spacing w:before="0" w:beforeAutospacing="0" w:after="0" w:afterAutospacing="0" w:line="360" w:lineRule="auto"/>
        <w:ind w:firstLine="420"/>
        <w:rPr>
          <w:sz w:val="21"/>
          <w:szCs w:val="21"/>
        </w:rPr>
      </w:pPr>
      <w:bookmarkStart w:id="91" w:name="chapter_level1_13_59_section_1"/>
      <w:bookmarkEnd w:id="91"/>
      <w:r>
        <w:rPr>
          <w:rStyle w:val="12"/>
          <w:rFonts w:hint="eastAsia"/>
          <w:sz w:val="21"/>
          <w:szCs w:val="21"/>
        </w:rPr>
        <w:t>一、申购与赎回场所</w:t>
      </w:r>
    </w:p>
    <w:p w14:paraId="3A1CB0BC">
      <w:pPr>
        <w:pStyle w:val="8"/>
        <w:spacing w:before="0" w:beforeAutospacing="0" w:after="0" w:afterAutospacing="0" w:line="360" w:lineRule="auto"/>
        <w:ind w:firstLine="420"/>
        <w:rPr>
          <w:sz w:val="21"/>
          <w:szCs w:val="21"/>
        </w:rPr>
      </w:pPr>
      <w:r>
        <w:rPr>
          <w:rFonts w:hint="eastAsia"/>
          <w:sz w:val="21"/>
          <w:szCs w:val="21"/>
        </w:rPr>
        <w:t xml:space="preserve">投资人应当在申购赎回代理券商的营业场所按申购赎回代理券商提供的方式办理基金的申购和赎回。 </w:t>
      </w:r>
    </w:p>
    <w:p w14:paraId="6A0C194E">
      <w:pPr>
        <w:pStyle w:val="8"/>
        <w:spacing w:before="0" w:beforeAutospacing="0" w:after="0" w:afterAutospacing="0" w:line="360" w:lineRule="auto"/>
        <w:ind w:firstLine="420"/>
        <w:rPr>
          <w:sz w:val="21"/>
          <w:szCs w:val="21"/>
        </w:rPr>
      </w:pPr>
      <w:r>
        <w:rPr>
          <w:rFonts w:hint="eastAsia"/>
          <w:sz w:val="21"/>
          <w:szCs w:val="21"/>
        </w:rPr>
        <w:t xml:space="preserve">本基金管理人将在开始申购、赎回业务前公告申购赎回代理券商的名单，并可依据实际情况增减、变更申购赎回代理券商，并在基金管理人网站公示。 </w:t>
      </w:r>
    </w:p>
    <w:p w14:paraId="230F596D">
      <w:pPr>
        <w:pStyle w:val="8"/>
        <w:spacing w:before="0" w:beforeAutospacing="0" w:after="0" w:afterAutospacing="0" w:line="360" w:lineRule="auto"/>
        <w:ind w:firstLine="420"/>
        <w:rPr>
          <w:sz w:val="21"/>
          <w:szCs w:val="21"/>
        </w:rPr>
      </w:pPr>
      <w:r>
        <w:rPr>
          <w:rStyle w:val="12"/>
          <w:rFonts w:hint="eastAsia"/>
          <w:sz w:val="21"/>
          <w:szCs w:val="21"/>
        </w:rPr>
        <w:t>二、基金规模控制</w:t>
      </w:r>
    </w:p>
    <w:p w14:paraId="5CFFB746">
      <w:pPr>
        <w:pStyle w:val="8"/>
        <w:spacing w:before="0" w:beforeAutospacing="0" w:after="0" w:afterAutospacing="0" w:line="360" w:lineRule="auto"/>
        <w:ind w:firstLine="420"/>
        <w:rPr>
          <w:sz w:val="21"/>
          <w:szCs w:val="21"/>
        </w:rPr>
      </w:pPr>
      <w:bookmarkStart w:id="92" w:name="chapter_level1_13_59_section_1_end"/>
      <w:bookmarkEnd w:id="92"/>
      <w:r>
        <w:rPr>
          <w:rFonts w:hint="eastAsia"/>
          <w:sz w:val="21"/>
          <w:szCs w:val="21"/>
        </w:rPr>
        <w:t xml:space="preserve">基金管理人可根据中国证监会、外管局核准的境外证券投资额度，对基金规模进行控制。 </w:t>
      </w:r>
    </w:p>
    <w:p w14:paraId="2A0C0889">
      <w:pPr>
        <w:pStyle w:val="8"/>
        <w:spacing w:before="0" w:beforeAutospacing="0" w:after="0" w:afterAutospacing="0" w:line="360" w:lineRule="auto"/>
        <w:ind w:firstLine="420"/>
        <w:rPr>
          <w:sz w:val="21"/>
          <w:szCs w:val="21"/>
        </w:rPr>
      </w:pPr>
      <w:bookmarkStart w:id="93" w:name="chapter_level1_13_59_section_2"/>
      <w:bookmarkEnd w:id="93"/>
      <w:r>
        <w:rPr>
          <w:rStyle w:val="12"/>
          <w:rFonts w:hint="eastAsia"/>
          <w:sz w:val="21"/>
          <w:szCs w:val="21"/>
        </w:rPr>
        <w:t>三、申购与赎回的开放日及时间</w:t>
      </w:r>
    </w:p>
    <w:p w14:paraId="4EF2A43A">
      <w:pPr>
        <w:pStyle w:val="8"/>
        <w:spacing w:before="0" w:beforeAutospacing="0" w:after="0" w:afterAutospacing="0" w:line="360" w:lineRule="auto"/>
        <w:ind w:firstLine="420"/>
        <w:rPr>
          <w:sz w:val="21"/>
          <w:szCs w:val="21"/>
        </w:rPr>
      </w:pPr>
      <w:r>
        <w:rPr>
          <w:rFonts w:hint="eastAsia"/>
          <w:sz w:val="21"/>
          <w:szCs w:val="21"/>
        </w:rPr>
        <w:t xml:space="preserve">1、开放日及开放时间 </w:t>
      </w:r>
    </w:p>
    <w:p w14:paraId="22E400C4">
      <w:pPr>
        <w:pStyle w:val="8"/>
        <w:spacing w:before="0" w:beforeAutospacing="0" w:after="0" w:afterAutospacing="0" w:line="360" w:lineRule="auto"/>
        <w:ind w:firstLine="420"/>
        <w:rPr>
          <w:sz w:val="21"/>
          <w:szCs w:val="21"/>
        </w:rPr>
      </w:pPr>
      <w:r>
        <w:rPr>
          <w:rFonts w:hint="eastAsia"/>
          <w:sz w:val="21"/>
          <w:szCs w:val="21"/>
        </w:rPr>
        <w:t xml:space="preserve">投资人可办理申购、赎回等业务的开放日为上海证券交易所和美国主要证券交易所同时开放交易的工作日，但基金管理人公告暂停申购或赎回等业务时除外。通常开放时间为中国上午9:30-11:30和下午1:00-3:00，具体业务办理时间以销售机构公布的时间为准。在此时间之外不办理基金份额的申购、赎回。 </w:t>
      </w:r>
    </w:p>
    <w:p w14:paraId="367C6105">
      <w:pPr>
        <w:pStyle w:val="8"/>
        <w:spacing w:before="0" w:beforeAutospacing="0" w:after="0" w:afterAutospacing="0" w:line="360" w:lineRule="auto"/>
        <w:ind w:firstLine="420"/>
        <w:rPr>
          <w:sz w:val="21"/>
          <w:szCs w:val="21"/>
        </w:rPr>
      </w:pPr>
      <w:r>
        <w:rPr>
          <w:rFonts w:hint="eastAsia"/>
          <w:sz w:val="21"/>
          <w:szCs w:val="21"/>
        </w:rPr>
        <w:t xml:space="preserve">基金合同生效后，若出现新的证券交易市场、上海证券交易所或美国主要证券交易所交易时间变更或其他特殊情况，基金管理人将视情况对前述开放日及开放时间进行相应的调整，但应在实施日前依照《信息披露办法》在指定媒介公告。 </w:t>
      </w:r>
    </w:p>
    <w:p w14:paraId="22DEE614">
      <w:pPr>
        <w:pStyle w:val="8"/>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3C04DB02">
      <w:pPr>
        <w:pStyle w:val="8"/>
        <w:spacing w:before="0" w:beforeAutospacing="0" w:after="0" w:afterAutospacing="0" w:line="360" w:lineRule="auto"/>
        <w:ind w:firstLine="420"/>
        <w:rPr>
          <w:sz w:val="21"/>
          <w:szCs w:val="21"/>
        </w:rPr>
      </w:pPr>
      <w:r>
        <w:rPr>
          <w:rFonts w:hint="eastAsia"/>
          <w:sz w:val="21"/>
          <w:szCs w:val="21"/>
        </w:rPr>
        <w:t xml:space="preserve">本基金已于2014年1月15日开始办理日常申购、赎回业务。 </w:t>
      </w:r>
    </w:p>
    <w:p w14:paraId="537A8CC6">
      <w:pPr>
        <w:pStyle w:val="8"/>
        <w:spacing w:before="0" w:beforeAutospacing="0" w:after="0" w:afterAutospacing="0" w:line="360" w:lineRule="auto"/>
        <w:ind w:firstLine="420"/>
        <w:rPr>
          <w:sz w:val="21"/>
          <w:szCs w:val="21"/>
        </w:rPr>
      </w:pPr>
      <w:r>
        <w:rPr>
          <w:rFonts w:hint="eastAsia"/>
          <w:sz w:val="21"/>
          <w:szCs w:val="21"/>
        </w:rPr>
        <w:t>本基金在基金合同生效后，在不影响现有基金份额持有人利益的情况下，将向本基金的联接基金开通特殊申购，特殊申购仅开通一日，申购价格以特殊申购日的基金份额净值为基</w:t>
      </w:r>
      <w:bookmarkStart w:id="94" w:name="chapter_level1_13_59_section_2_end"/>
      <w:bookmarkEnd w:id="94"/>
      <w:r>
        <w:rPr>
          <w:rFonts w:hint="eastAsia"/>
          <w:sz w:val="21"/>
          <w:szCs w:val="21"/>
        </w:rPr>
        <w:t xml:space="preserve">准计算，按组合证券或金额申购，不收取申购费。 </w:t>
      </w:r>
    </w:p>
    <w:p w14:paraId="5436A9B3">
      <w:pPr>
        <w:pStyle w:val="8"/>
        <w:spacing w:before="0" w:beforeAutospacing="0" w:after="0" w:afterAutospacing="0" w:line="360" w:lineRule="auto"/>
        <w:ind w:firstLine="420"/>
        <w:rPr>
          <w:sz w:val="21"/>
          <w:szCs w:val="21"/>
        </w:rPr>
      </w:pPr>
      <w:bookmarkStart w:id="95" w:name="chapter_level1_13_59_section_3"/>
      <w:bookmarkEnd w:id="95"/>
      <w:r>
        <w:rPr>
          <w:rFonts w:hint="eastAsia"/>
          <w:sz w:val="21"/>
          <w:szCs w:val="21"/>
        </w:rPr>
        <w:t xml:space="preserve">四、申购与赎回的原则 </w:t>
      </w:r>
    </w:p>
    <w:p w14:paraId="3D9BF9F9">
      <w:pPr>
        <w:pStyle w:val="8"/>
        <w:spacing w:before="0" w:beforeAutospacing="0" w:after="0" w:afterAutospacing="0" w:line="360" w:lineRule="auto"/>
        <w:ind w:firstLine="420"/>
        <w:rPr>
          <w:sz w:val="21"/>
          <w:szCs w:val="21"/>
        </w:rPr>
      </w:pPr>
      <w:r>
        <w:rPr>
          <w:rFonts w:hint="eastAsia"/>
          <w:sz w:val="21"/>
          <w:szCs w:val="21"/>
        </w:rPr>
        <w:t xml:space="preserve">1、本基金采用份额申购和份额赎回的方式，即申购、赎回均以份额申请。 </w:t>
      </w:r>
    </w:p>
    <w:p w14:paraId="7381B893">
      <w:pPr>
        <w:pStyle w:val="8"/>
        <w:spacing w:before="0" w:beforeAutospacing="0" w:after="0" w:afterAutospacing="0" w:line="360" w:lineRule="auto"/>
        <w:ind w:firstLine="420"/>
        <w:rPr>
          <w:sz w:val="21"/>
          <w:szCs w:val="21"/>
        </w:rPr>
      </w:pPr>
      <w:r>
        <w:rPr>
          <w:rFonts w:hint="eastAsia"/>
          <w:sz w:val="21"/>
          <w:szCs w:val="21"/>
        </w:rPr>
        <w:t xml:space="preserve">2、本基金的申购对价、赎回对价包括现金替代、现金差额及其他对价。 </w:t>
      </w:r>
    </w:p>
    <w:p w14:paraId="1898C3DA">
      <w:pPr>
        <w:pStyle w:val="8"/>
        <w:spacing w:before="0" w:beforeAutospacing="0" w:after="0" w:afterAutospacing="0" w:line="360" w:lineRule="auto"/>
        <w:ind w:firstLine="420"/>
        <w:rPr>
          <w:sz w:val="21"/>
          <w:szCs w:val="21"/>
        </w:rPr>
      </w:pPr>
      <w:r>
        <w:rPr>
          <w:rFonts w:hint="eastAsia"/>
          <w:sz w:val="21"/>
          <w:szCs w:val="21"/>
        </w:rPr>
        <w:t xml:space="preserve">3、申购、赎回申请提交后不得撤销。 </w:t>
      </w:r>
    </w:p>
    <w:p w14:paraId="717694A1">
      <w:pPr>
        <w:pStyle w:val="8"/>
        <w:spacing w:before="0" w:beforeAutospacing="0" w:after="0" w:afterAutospacing="0" w:line="360" w:lineRule="auto"/>
        <w:ind w:firstLine="420"/>
        <w:rPr>
          <w:sz w:val="21"/>
          <w:szCs w:val="21"/>
        </w:rPr>
      </w:pPr>
      <w:r>
        <w:rPr>
          <w:rFonts w:hint="eastAsia"/>
          <w:sz w:val="21"/>
          <w:szCs w:val="21"/>
        </w:rPr>
        <w:t xml:space="preserve">4、申购、赎回应遵守业务规则的规定。 </w:t>
      </w:r>
    </w:p>
    <w:p w14:paraId="1BDF7BD3">
      <w:pPr>
        <w:pStyle w:val="8"/>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基金管理人可在法律法规允许的情况下，对上述原则进行调整。基金管理人必须在新规则开始实施前依照《信息披露办法》的有关规定在指定媒介上公告。 </w:t>
      </w:r>
    </w:p>
    <w:p w14:paraId="0782D7D7">
      <w:pPr>
        <w:pStyle w:val="8"/>
        <w:spacing w:before="0" w:beforeAutospacing="0" w:after="0" w:afterAutospacing="0" w:line="360" w:lineRule="auto"/>
        <w:ind w:firstLine="420"/>
        <w:rPr>
          <w:sz w:val="21"/>
          <w:szCs w:val="21"/>
        </w:rPr>
      </w:pPr>
      <w:r>
        <w:rPr>
          <w:rFonts w:hint="eastAsia"/>
          <w:sz w:val="21"/>
          <w:szCs w:val="21"/>
        </w:rPr>
        <w:t xml:space="preserve">五、申购与赎回的程序 </w:t>
      </w:r>
    </w:p>
    <w:p w14:paraId="31AA57C6">
      <w:pPr>
        <w:pStyle w:val="8"/>
        <w:spacing w:before="0" w:beforeAutospacing="0" w:after="0" w:afterAutospacing="0" w:line="360" w:lineRule="auto"/>
        <w:ind w:firstLine="420"/>
        <w:rPr>
          <w:sz w:val="21"/>
          <w:szCs w:val="21"/>
        </w:rPr>
      </w:pPr>
      <w:r>
        <w:rPr>
          <w:rFonts w:hint="eastAsia"/>
          <w:sz w:val="21"/>
          <w:szCs w:val="21"/>
        </w:rPr>
        <w:t xml:space="preserve">1、申购和赎回的申请方式  </w:t>
      </w:r>
    </w:p>
    <w:p w14:paraId="71BEF9AE">
      <w:pPr>
        <w:pStyle w:val="8"/>
        <w:spacing w:before="0" w:beforeAutospacing="0" w:after="0" w:afterAutospacing="0" w:line="360" w:lineRule="auto"/>
        <w:ind w:firstLine="420"/>
        <w:rPr>
          <w:sz w:val="21"/>
          <w:szCs w:val="21"/>
        </w:rPr>
      </w:pPr>
      <w:r>
        <w:rPr>
          <w:rFonts w:hint="eastAsia"/>
          <w:sz w:val="21"/>
          <w:szCs w:val="21"/>
        </w:rPr>
        <w:t xml:space="preserve">投资人必须根据申购赎回代理券商规定的程序，在开放日的具体业务办理时间内提出申购或赎回的申请。 </w:t>
      </w:r>
    </w:p>
    <w:p w14:paraId="633A4C41">
      <w:pPr>
        <w:pStyle w:val="8"/>
        <w:spacing w:before="0" w:beforeAutospacing="0" w:after="0" w:afterAutospacing="0" w:line="360" w:lineRule="auto"/>
        <w:ind w:firstLine="420"/>
        <w:rPr>
          <w:sz w:val="21"/>
          <w:szCs w:val="21"/>
        </w:rPr>
      </w:pPr>
      <w:r>
        <w:rPr>
          <w:rFonts w:hint="eastAsia"/>
          <w:sz w:val="21"/>
          <w:szCs w:val="21"/>
        </w:rPr>
        <w:t xml:space="preserve">投资人申购本基金时，须根据申购、赎回清单备足相应数量的现金。投资人提交赎回申请时，必须持有足够的基金份额余额和现金。 </w:t>
      </w:r>
    </w:p>
    <w:p w14:paraId="092B1BAE">
      <w:pPr>
        <w:pStyle w:val="8"/>
        <w:spacing w:before="0" w:beforeAutospacing="0" w:after="0" w:afterAutospacing="0" w:line="360" w:lineRule="auto"/>
        <w:ind w:firstLine="420"/>
        <w:rPr>
          <w:sz w:val="21"/>
          <w:szCs w:val="21"/>
        </w:rPr>
      </w:pPr>
      <w:r>
        <w:rPr>
          <w:rFonts w:hint="eastAsia"/>
          <w:sz w:val="21"/>
          <w:szCs w:val="21"/>
        </w:rPr>
        <w:t xml:space="preserve">2、申购和赎回申请的确认 </w:t>
      </w:r>
    </w:p>
    <w:p w14:paraId="71868AE7">
      <w:pPr>
        <w:pStyle w:val="8"/>
        <w:spacing w:before="0" w:beforeAutospacing="0" w:after="0" w:afterAutospacing="0" w:line="360" w:lineRule="auto"/>
        <w:ind w:firstLine="420"/>
        <w:rPr>
          <w:sz w:val="21"/>
          <w:szCs w:val="21"/>
        </w:rPr>
      </w:pPr>
      <w:r>
        <w:rPr>
          <w:rFonts w:hint="eastAsia"/>
          <w:sz w:val="21"/>
          <w:szCs w:val="21"/>
        </w:rPr>
        <w:t xml:space="preserve">投资者申购、赎回申请在受理当日进行确认。如投资人未能提供符合要求的申购对价，则申购申请失败。如投资人持有的符合要求的基金份额不足或未能根据要求准备足额的现金，则赎回申请失败。投资者申购的基金份额，清算交收完成后方可卖出和赎回。 </w:t>
      </w:r>
    </w:p>
    <w:p w14:paraId="2424EDAE">
      <w:pPr>
        <w:pStyle w:val="8"/>
        <w:spacing w:before="0" w:beforeAutospacing="0" w:after="0" w:afterAutospacing="0" w:line="360" w:lineRule="auto"/>
        <w:ind w:firstLine="420"/>
        <w:rPr>
          <w:sz w:val="21"/>
          <w:szCs w:val="21"/>
        </w:rPr>
      </w:pPr>
      <w:r>
        <w:rPr>
          <w:rFonts w:hint="eastAsia"/>
          <w:sz w:val="21"/>
          <w:szCs w:val="21"/>
        </w:rPr>
        <w:t xml:space="preserve">3、申购和赎回的清算交收与登记 </w:t>
      </w:r>
    </w:p>
    <w:p w14:paraId="441DEE8E">
      <w:pPr>
        <w:pStyle w:val="8"/>
        <w:spacing w:before="0" w:beforeAutospacing="0" w:after="0" w:afterAutospacing="0" w:line="360" w:lineRule="auto"/>
        <w:ind w:firstLine="420"/>
        <w:rPr>
          <w:sz w:val="21"/>
          <w:szCs w:val="21"/>
        </w:rPr>
      </w:pPr>
      <w:r>
        <w:rPr>
          <w:rFonts w:hint="eastAsia"/>
          <w:sz w:val="21"/>
          <w:szCs w:val="21"/>
        </w:rPr>
        <w:t xml:space="preserve">本基金申购赎回过程中涉及的基金份额、现金替代、现金差额及其他对价的清算交收适用相关业务规则和参与各方相关协议及其不时修订的有关规定。 </w:t>
      </w:r>
    </w:p>
    <w:p w14:paraId="2AB666C8">
      <w:pPr>
        <w:pStyle w:val="8"/>
        <w:spacing w:before="0" w:beforeAutospacing="0" w:after="0" w:afterAutospacing="0" w:line="360" w:lineRule="auto"/>
        <w:ind w:firstLine="420"/>
        <w:rPr>
          <w:sz w:val="21"/>
          <w:szCs w:val="21"/>
        </w:rPr>
      </w:pPr>
      <w:r>
        <w:rPr>
          <w:rFonts w:hint="eastAsia"/>
          <w:sz w:val="21"/>
          <w:szCs w:val="21"/>
        </w:rPr>
        <w:t xml:space="preserve">本基金申购业务采用实时逐笔全额结算（Real  Time  Gross  Settlement）模式；赎回业务涉及的现金替代可采用代收代付处理；申购、赎回业务涉及的现金差额和现金替代退补款可采用代收代付处理。 </w:t>
      </w:r>
    </w:p>
    <w:p w14:paraId="63FEFA3D">
      <w:pPr>
        <w:pStyle w:val="8"/>
        <w:spacing w:before="0" w:beforeAutospacing="0" w:after="0" w:afterAutospacing="0" w:line="360" w:lineRule="auto"/>
        <w:ind w:firstLine="420"/>
        <w:rPr>
          <w:sz w:val="21"/>
          <w:szCs w:val="21"/>
        </w:rPr>
      </w:pPr>
      <w:r>
        <w:rPr>
          <w:rFonts w:hint="eastAsia"/>
          <w:sz w:val="21"/>
          <w:szCs w:val="21"/>
        </w:rPr>
        <w:t xml:space="preserve">（1）、申购的清算交收与登记 </w:t>
      </w:r>
    </w:p>
    <w:p w14:paraId="2804911D">
      <w:pPr>
        <w:pStyle w:val="8"/>
        <w:spacing w:before="0" w:beforeAutospacing="0" w:after="0" w:afterAutospacing="0" w:line="360" w:lineRule="auto"/>
        <w:ind w:firstLine="420"/>
        <w:rPr>
          <w:sz w:val="21"/>
          <w:szCs w:val="21"/>
        </w:rPr>
      </w:pPr>
      <w:r>
        <w:rPr>
          <w:rFonts w:hint="eastAsia"/>
          <w:sz w:val="21"/>
          <w:szCs w:val="21"/>
        </w:rPr>
        <w:t xml:space="preserve">投资者T日申购申请受理后，如交易记录已勾单且申购资金足额的，登记结算机构在T日日间实时办理基金份额及现金替代的交收；T日日间未进行勾单确认或日间资金不足的，登记结算机构在T日日终根据资金是否足额办理基金份额及现金替代的清算交收，并将结果发送给基金管理人、申购赎回代理券商和基金托管人。登记结算机构在T+2日内办理现金差额的清算，在T+3日内办理现金差额的交收。 </w:t>
      </w:r>
    </w:p>
    <w:p w14:paraId="7B52E287">
      <w:pPr>
        <w:pStyle w:val="8"/>
        <w:spacing w:before="0" w:beforeAutospacing="0" w:after="0" w:afterAutospacing="0" w:line="360" w:lineRule="auto"/>
        <w:ind w:firstLine="420"/>
        <w:rPr>
          <w:sz w:val="21"/>
          <w:szCs w:val="21"/>
        </w:rPr>
      </w:pPr>
      <w:r>
        <w:rPr>
          <w:rFonts w:hint="eastAsia"/>
          <w:sz w:val="21"/>
          <w:szCs w:val="21"/>
        </w:rPr>
        <w:t xml:space="preserve">（2）、赎回的清算交收与登记 </w:t>
      </w:r>
    </w:p>
    <w:p w14:paraId="278F9E9B">
      <w:pPr>
        <w:pStyle w:val="8"/>
        <w:spacing w:before="0" w:beforeAutospacing="0" w:after="0" w:afterAutospacing="0" w:line="360" w:lineRule="auto"/>
        <w:ind w:firstLine="420"/>
        <w:rPr>
          <w:sz w:val="21"/>
          <w:szCs w:val="21"/>
        </w:rPr>
      </w:pPr>
      <w:r>
        <w:rPr>
          <w:rFonts w:hint="eastAsia"/>
          <w:sz w:val="21"/>
          <w:szCs w:val="21"/>
        </w:rPr>
        <w:t xml:space="preserve">投资人T日赎回成功后，正常情况下，登记结算机构在T日收市后为投资人办理基金份额的交收，在T+2日办理现金差额的清算，并将清算结果发送给基金管理人、基金托管人及相关申购赎回代理券商。基金管理人与申购赎回代理券商在T+3日办理现金差额的交收。赎回现金替代款将自有效赎回申请之日起10个工作日内划往基金份额持有人账户。 </w:t>
      </w:r>
    </w:p>
    <w:p w14:paraId="4663FC65">
      <w:pPr>
        <w:pStyle w:val="8"/>
        <w:spacing w:before="0" w:beforeAutospacing="0" w:after="0" w:afterAutospacing="0" w:line="360" w:lineRule="auto"/>
        <w:ind w:firstLine="420"/>
        <w:rPr>
          <w:sz w:val="21"/>
          <w:szCs w:val="21"/>
        </w:rPr>
      </w:pPr>
      <w:r>
        <w:rPr>
          <w:rFonts w:hint="eastAsia"/>
          <w:sz w:val="21"/>
          <w:szCs w:val="21"/>
        </w:rPr>
        <w:t xml:space="preserve">外管局相关规定有变更或本基金境外投资主要市场的交易清算规则有变更时，申购赎回现金替代款支付时间将相应调整。当基金境外投资主要市场休市或暂停交易时，赎回现金替代款支付的时间顺延。 </w:t>
      </w:r>
    </w:p>
    <w:p w14:paraId="1A0FA19C">
      <w:pPr>
        <w:pStyle w:val="8"/>
        <w:spacing w:before="0" w:beforeAutospacing="0" w:after="0" w:afterAutospacing="0" w:line="360" w:lineRule="auto"/>
        <w:ind w:firstLine="420"/>
        <w:rPr>
          <w:sz w:val="21"/>
          <w:szCs w:val="21"/>
        </w:rPr>
      </w:pPr>
      <w:r>
        <w:rPr>
          <w:rFonts w:hint="eastAsia"/>
          <w:sz w:val="21"/>
          <w:szCs w:val="21"/>
        </w:rPr>
        <w:t xml:space="preserve">如果登记结算机构在清算交收时发现不能正常履约的情形，则依据上海证券交易所、中国证券登记结算有限责任公司相关业务规则和参与各方相关协议及其不时修订的有关规定进行处理。若发生特殊情况，基金管理人可以对交收日期进行相应调整。 </w:t>
      </w:r>
    </w:p>
    <w:p w14:paraId="03403546">
      <w:pPr>
        <w:pStyle w:val="8"/>
        <w:spacing w:before="0" w:beforeAutospacing="0" w:after="0" w:afterAutospacing="0" w:line="360" w:lineRule="auto"/>
        <w:ind w:firstLine="420"/>
        <w:rPr>
          <w:sz w:val="21"/>
          <w:szCs w:val="21"/>
        </w:rPr>
      </w:pPr>
      <w:r>
        <w:rPr>
          <w:rFonts w:hint="eastAsia"/>
          <w:sz w:val="21"/>
          <w:szCs w:val="21"/>
        </w:rPr>
        <w:t xml:space="preserve">登记结算机构和基金管理人可在法律法规允许的范围内，对清算交收和登记的办理时间、方式进行调整，并最迟于开始实施前3个工作日在指定媒介公告。 </w:t>
      </w:r>
    </w:p>
    <w:p w14:paraId="2F5D7C57">
      <w:pPr>
        <w:pStyle w:val="8"/>
        <w:spacing w:before="0" w:beforeAutospacing="0" w:after="0" w:afterAutospacing="0" w:line="360" w:lineRule="auto"/>
        <w:ind w:firstLine="420"/>
        <w:rPr>
          <w:sz w:val="21"/>
          <w:szCs w:val="21"/>
        </w:rPr>
      </w:pPr>
      <w:r>
        <w:rPr>
          <w:rFonts w:hint="eastAsia"/>
          <w:sz w:val="21"/>
          <w:szCs w:val="21"/>
        </w:rPr>
        <w:t xml:space="preserve">投资人应按照基金合同的约定和申购赎回代理券商的规定按时足额支付应付的现金差额和现金替代退补款。因投资人原因导致现金差额或现金替代退补款未能按时足额交收的，基金管理人有权为基金的利益向该投资人追偿并要求其承担由此导致的其他基金份额持有人或基金资产的损失。 </w:t>
      </w:r>
    </w:p>
    <w:p w14:paraId="21A2AB89">
      <w:pPr>
        <w:pStyle w:val="8"/>
        <w:spacing w:before="0" w:beforeAutospacing="0" w:after="0" w:afterAutospacing="0" w:line="360" w:lineRule="auto"/>
        <w:ind w:firstLine="420"/>
        <w:rPr>
          <w:sz w:val="21"/>
          <w:szCs w:val="21"/>
        </w:rPr>
      </w:pPr>
      <w:r>
        <w:rPr>
          <w:rFonts w:hint="eastAsia"/>
          <w:sz w:val="21"/>
          <w:szCs w:val="21"/>
        </w:rPr>
        <w:t xml:space="preserve">六、申购与赎回的数量限制 </w:t>
      </w:r>
    </w:p>
    <w:p w14:paraId="43B12842">
      <w:pPr>
        <w:pStyle w:val="8"/>
        <w:spacing w:before="0" w:beforeAutospacing="0" w:after="0" w:afterAutospacing="0" w:line="360" w:lineRule="auto"/>
        <w:ind w:firstLine="420"/>
        <w:rPr>
          <w:sz w:val="21"/>
          <w:szCs w:val="21"/>
        </w:rPr>
      </w:pPr>
      <w:r>
        <w:rPr>
          <w:rFonts w:hint="eastAsia"/>
          <w:sz w:val="21"/>
          <w:szCs w:val="21"/>
        </w:rPr>
        <w:t xml:space="preserve">投资人申购、赎回的基金份额须为最小申购赎回单位的整数倍。 </w:t>
      </w:r>
    </w:p>
    <w:p w14:paraId="69EF0D28">
      <w:pPr>
        <w:pStyle w:val="8"/>
        <w:spacing w:before="0" w:beforeAutospacing="0" w:after="0" w:afterAutospacing="0" w:line="360" w:lineRule="auto"/>
        <w:ind w:firstLine="420"/>
        <w:rPr>
          <w:sz w:val="21"/>
          <w:szCs w:val="21"/>
        </w:rPr>
      </w:pPr>
      <w:r>
        <w:rPr>
          <w:rFonts w:hint="eastAsia"/>
          <w:sz w:val="21"/>
          <w:szCs w:val="21"/>
        </w:rPr>
        <w:t xml:space="preserve">本基金最小申购赎回单位为100万份。 </w:t>
      </w:r>
    </w:p>
    <w:p w14:paraId="785A8465">
      <w:pPr>
        <w:pStyle w:val="8"/>
        <w:spacing w:before="0" w:beforeAutospacing="0" w:after="0" w:afterAutospacing="0" w:line="360" w:lineRule="auto"/>
        <w:ind w:firstLine="420"/>
        <w:rPr>
          <w:sz w:val="21"/>
          <w:szCs w:val="21"/>
        </w:rPr>
      </w:pPr>
      <w:r>
        <w:rPr>
          <w:rFonts w:hint="eastAsia"/>
          <w:sz w:val="21"/>
          <w:szCs w:val="21"/>
        </w:rPr>
        <w:t xml:space="preserve">基金管理人可在法律法规允许的情况下，调整上述对申购和赎回份额的数量限制，基金管理人必须在调整生效前依照《信息披露办法》的有关规定在指定媒介上公告。 </w:t>
      </w:r>
    </w:p>
    <w:p w14:paraId="3BCFFABE">
      <w:pPr>
        <w:pStyle w:val="8"/>
        <w:spacing w:before="0" w:beforeAutospacing="0" w:after="0" w:afterAutospacing="0" w:line="360" w:lineRule="auto"/>
        <w:ind w:firstLine="420"/>
        <w:rPr>
          <w:sz w:val="21"/>
          <w:szCs w:val="21"/>
        </w:rPr>
      </w:pPr>
      <w:r>
        <w:rPr>
          <w:rFonts w:hint="eastAsia"/>
          <w:sz w:val="21"/>
          <w:szCs w:val="21"/>
        </w:rPr>
        <w:t xml:space="preserve">基金管理人可根据境外证券投资额度、基金组合情况等因素，设定申购份额上限和赎回份额上限，以对当日的申购总规模或赎回总规模进行控制，并在申购赎回清单中公告。 </w:t>
      </w:r>
    </w:p>
    <w:p w14:paraId="1775AEBA">
      <w:pPr>
        <w:pStyle w:val="8"/>
        <w:spacing w:before="0" w:beforeAutospacing="0" w:after="0" w:afterAutospacing="0" w:line="360" w:lineRule="auto"/>
        <w:ind w:firstLine="420"/>
        <w:rPr>
          <w:sz w:val="21"/>
          <w:szCs w:val="21"/>
        </w:rPr>
      </w:pPr>
      <w:r>
        <w:rPr>
          <w:rFonts w:hint="eastAsia"/>
          <w:sz w:val="21"/>
          <w:szCs w:val="21"/>
        </w:rPr>
        <w:t xml:space="preserve">七、申购和赎回的对价、费用及其用途 </w:t>
      </w:r>
    </w:p>
    <w:p w14:paraId="3F9293BA">
      <w:pPr>
        <w:pStyle w:val="8"/>
        <w:spacing w:before="0" w:beforeAutospacing="0" w:after="0" w:afterAutospacing="0" w:line="360" w:lineRule="auto"/>
        <w:ind w:firstLine="420"/>
        <w:rPr>
          <w:sz w:val="21"/>
          <w:szCs w:val="21"/>
        </w:rPr>
      </w:pPr>
      <w:r>
        <w:rPr>
          <w:rFonts w:hint="eastAsia"/>
          <w:sz w:val="21"/>
          <w:szCs w:val="21"/>
        </w:rPr>
        <w:t xml:space="preserve">A. 申购对价是指投资人申购基金份额时应交付的现金替代、现金差额及其他对价。赎回对价是指投资人赎回基金份额时，基金管理人应交付给赎回人的现金替代、现金差额及其他对价。 </w:t>
      </w:r>
    </w:p>
    <w:p w14:paraId="590453EF">
      <w:pPr>
        <w:pStyle w:val="8"/>
        <w:spacing w:before="0" w:beforeAutospacing="0" w:after="0" w:afterAutospacing="0" w:line="360" w:lineRule="auto"/>
        <w:ind w:firstLine="420"/>
        <w:rPr>
          <w:sz w:val="21"/>
          <w:szCs w:val="21"/>
        </w:rPr>
      </w:pPr>
      <w:r>
        <w:rPr>
          <w:rFonts w:hint="eastAsia"/>
          <w:sz w:val="21"/>
          <w:szCs w:val="21"/>
        </w:rPr>
        <w:t xml:space="preserve">B. 申购对价、赎回对价根据申购、赎回清单和投资人申购、赎回的基金份额数额确定。 </w:t>
      </w:r>
    </w:p>
    <w:p w14:paraId="43B24792">
      <w:pPr>
        <w:pStyle w:val="8"/>
        <w:spacing w:before="0" w:beforeAutospacing="0" w:after="0" w:afterAutospacing="0" w:line="360" w:lineRule="auto"/>
        <w:ind w:firstLine="420"/>
        <w:rPr>
          <w:sz w:val="21"/>
          <w:szCs w:val="21"/>
        </w:rPr>
      </w:pPr>
      <w:r>
        <w:rPr>
          <w:rFonts w:hint="eastAsia"/>
          <w:sz w:val="21"/>
          <w:szCs w:val="21"/>
        </w:rPr>
        <w:t xml:space="preserve">C. 申购、赎回清单由基金管理人编制。T日的申购、赎回清单在当日上海证券交易所开市前公告。如遇特殊情况，可以适当延迟计算或公告，并报中国证监会备案。 </w:t>
      </w:r>
    </w:p>
    <w:p w14:paraId="72C408D7">
      <w:pPr>
        <w:pStyle w:val="8"/>
        <w:spacing w:before="0" w:beforeAutospacing="0" w:after="0" w:afterAutospacing="0" w:line="360" w:lineRule="auto"/>
        <w:ind w:firstLine="420"/>
        <w:rPr>
          <w:sz w:val="21"/>
          <w:szCs w:val="21"/>
        </w:rPr>
      </w:pPr>
      <w:r>
        <w:rPr>
          <w:rFonts w:hint="eastAsia"/>
          <w:sz w:val="21"/>
          <w:szCs w:val="21"/>
        </w:rPr>
        <w:t xml:space="preserve">D. 投资人在申购或赎回基金份额时，申购赎回代理券商可按照相应标准收取佣金，其中包含证券交易所、登记结算机构等收取的相关费用。最高不超过0.5%。 </w:t>
      </w:r>
    </w:p>
    <w:p w14:paraId="601A3A46">
      <w:pPr>
        <w:pStyle w:val="8"/>
        <w:spacing w:before="0" w:beforeAutospacing="0" w:after="0" w:afterAutospacing="0" w:line="360" w:lineRule="auto"/>
        <w:ind w:firstLine="420"/>
        <w:rPr>
          <w:sz w:val="21"/>
          <w:szCs w:val="21"/>
        </w:rPr>
      </w:pPr>
      <w:r>
        <w:rPr>
          <w:rFonts w:hint="eastAsia"/>
          <w:sz w:val="21"/>
          <w:szCs w:val="21"/>
        </w:rPr>
        <w:t xml:space="preserve">E. T日的基金份额净值在T+1日计算，并按照基金合同约定公告，计算公式为计算日基金资产净值除以计算日发售在外的基金份额总数。如遇特殊情况，经中国证监会同意，可适当延迟计算或公告。 </w:t>
      </w:r>
    </w:p>
    <w:p w14:paraId="06EF944F">
      <w:pPr>
        <w:pStyle w:val="8"/>
        <w:spacing w:before="0" w:beforeAutospacing="0" w:after="0" w:afterAutospacing="0" w:line="360" w:lineRule="auto"/>
        <w:ind w:firstLine="420"/>
        <w:rPr>
          <w:sz w:val="21"/>
          <w:szCs w:val="21"/>
        </w:rPr>
      </w:pPr>
      <w:r>
        <w:rPr>
          <w:rFonts w:hint="eastAsia"/>
          <w:sz w:val="21"/>
          <w:szCs w:val="21"/>
        </w:rPr>
        <w:t xml:space="preserve">F. 本基金申购、赎回的币种为人民币。在未来市场和技术成熟时，本基金可开通或终止人民币以外的其他币种的申购、赎回，该事项无须基金份额持有人大会通过。如本基金开通或终止人民币以外的其他币种的申购、赎回，更新的申赎原则、程序、费用等业务规则及相关事项届时由基金管理人确定并提前公告。 </w:t>
      </w:r>
    </w:p>
    <w:p w14:paraId="13765182">
      <w:pPr>
        <w:pStyle w:val="8"/>
        <w:spacing w:before="0" w:beforeAutospacing="0" w:after="0" w:afterAutospacing="0" w:line="360" w:lineRule="auto"/>
        <w:ind w:firstLine="420"/>
        <w:rPr>
          <w:sz w:val="21"/>
          <w:szCs w:val="21"/>
        </w:rPr>
      </w:pPr>
      <w:r>
        <w:rPr>
          <w:rFonts w:hint="eastAsia"/>
          <w:sz w:val="21"/>
          <w:szCs w:val="21"/>
        </w:rPr>
        <w:t xml:space="preserve">八、申购赎回清单的内容与格式 </w:t>
      </w:r>
    </w:p>
    <w:p w14:paraId="4CC0DF1D">
      <w:pPr>
        <w:pStyle w:val="8"/>
        <w:spacing w:before="0" w:beforeAutospacing="0" w:after="0" w:afterAutospacing="0" w:line="360" w:lineRule="auto"/>
        <w:ind w:firstLine="420"/>
        <w:rPr>
          <w:sz w:val="21"/>
          <w:szCs w:val="21"/>
        </w:rPr>
      </w:pPr>
      <w:r>
        <w:rPr>
          <w:rFonts w:hint="eastAsia"/>
          <w:sz w:val="21"/>
          <w:szCs w:val="21"/>
        </w:rPr>
        <w:t xml:space="preserve">A. 申购赎回清单的内容 </w:t>
      </w:r>
    </w:p>
    <w:p w14:paraId="3D4A4451">
      <w:pPr>
        <w:pStyle w:val="8"/>
        <w:spacing w:before="0" w:beforeAutospacing="0" w:after="0" w:afterAutospacing="0" w:line="360" w:lineRule="auto"/>
        <w:ind w:firstLine="420"/>
        <w:rPr>
          <w:sz w:val="21"/>
          <w:szCs w:val="21"/>
        </w:rPr>
      </w:pPr>
      <w:r>
        <w:rPr>
          <w:rFonts w:hint="eastAsia"/>
          <w:sz w:val="21"/>
          <w:szCs w:val="21"/>
        </w:rPr>
        <w:t xml:space="preserve">T日申购赎回清单公告内容包括最小申购、赎回单位所对应的组合证券内各成份证券数据、现金替代、T日预估现金部分、T-2日的现金差额、T-2日的基金份额净值、申购上限、赎回上限及其他相关内容。  </w:t>
      </w:r>
    </w:p>
    <w:p w14:paraId="2A106E35">
      <w:pPr>
        <w:pStyle w:val="8"/>
        <w:spacing w:before="0" w:beforeAutospacing="0" w:after="0" w:afterAutospacing="0" w:line="360" w:lineRule="auto"/>
        <w:ind w:firstLine="420"/>
        <w:rPr>
          <w:sz w:val="21"/>
          <w:szCs w:val="21"/>
        </w:rPr>
      </w:pPr>
      <w:r>
        <w:rPr>
          <w:rFonts w:hint="eastAsia"/>
          <w:sz w:val="21"/>
          <w:szCs w:val="21"/>
        </w:rPr>
        <w:t xml:space="preserve">B. 组合证券相关内容 </w:t>
      </w:r>
    </w:p>
    <w:p w14:paraId="395B7501">
      <w:pPr>
        <w:pStyle w:val="8"/>
        <w:spacing w:before="0" w:beforeAutospacing="0" w:after="0" w:afterAutospacing="0" w:line="360" w:lineRule="auto"/>
        <w:ind w:firstLine="420"/>
        <w:rPr>
          <w:sz w:val="21"/>
          <w:szCs w:val="21"/>
        </w:rPr>
      </w:pPr>
      <w:r>
        <w:rPr>
          <w:rFonts w:hint="eastAsia"/>
          <w:sz w:val="21"/>
          <w:szCs w:val="21"/>
        </w:rPr>
        <w:t xml:space="preserve">组合证券是指本基金标的指数所包含的全部或部分证券。申购赎回清单将公告最小申购赎回单位所对应的各成份证券名称、证券代码、数量及市值等。 </w:t>
      </w:r>
    </w:p>
    <w:p w14:paraId="287BA519">
      <w:pPr>
        <w:pStyle w:val="8"/>
        <w:spacing w:before="0" w:beforeAutospacing="0" w:after="0" w:afterAutospacing="0" w:line="360" w:lineRule="auto"/>
        <w:ind w:firstLine="420"/>
        <w:rPr>
          <w:sz w:val="21"/>
          <w:szCs w:val="21"/>
        </w:rPr>
      </w:pPr>
      <w:r>
        <w:rPr>
          <w:rFonts w:hint="eastAsia"/>
          <w:sz w:val="21"/>
          <w:szCs w:val="21"/>
        </w:rPr>
        <w:t xml:space="preserve">C. 现金替代相关内容 </w:t>
      </w:r>
    </w:p>
    <w:p w14:paraId="19CBCD49">
      <w:pPr>
        <w:pStyle w:val="8"/>
        <w:spacing w:before="0" w:beforeAutospacing="0" w:after="0" w:afterAutospacing="0" w:line="360" w:lineRule="auto"/>
        <w:ind w:firstLine="420"/>
        <w:rPr>
          <w:sz w:val="21"/>
          <w:szCs w:val="21"/>
        </w:rPr>
      </w:pPr>
      <w:r>
        <w:rPr>
          <w:rFonts w:hint="eastAsia"/>
          <w:sz w:val="21"/>
          <w:szCs w:val="21"/>
        </w:rPr>
        <w:t xml:space="preserve">现金替代是指申购、赎回过程中，投资人按基金合同和招募说明书规定的原则，用于替代组合证券中部分证券的一定数量的现金。 </w:t>
      </w:r>
    </w:p>
    <w:p w14:paraId="75BB1027">
      <w:pPr>
        <w:pStyle w:val="8"/>
        <w:spacing w:before="0" w:beforeAutospacing="0" w:after="0" w:afterAutospacing="0" w:line="360" w:lineRule="auto"/>
        <w:ind w:firstLine="420"/>
        <w:rPr>
          <w:sz w:val="21"/>
          <w:szCs w:val="21"/>
        </w:rPr>
      </w:pPr>
      <w:r>
        <w:rPr>
          <w:rFonts w:hint="eastAsia"/>
          <w:sz w:val="21"/>
          <w:szCs w:val="21"/>
        </w:rPr>
        <w:t xml:space="preserve">现金替代分为两种类型：可以现金替代（标志为“允许”）和必须现金替代（标志为“必须”）。  </w:t>
      </w:r>
    </w:p>
    <w:p w14:paraId="74C25F69">
      <w:pPr>
        <w:pStyle w:val="8"/>
        <w:spacing w:before="0" w:beforeAutospacing="0" w:after="0" w:afterAutospacing="0" w:line="360" w:lineRule="auto"/>
        <w:ind w:firstLine="420"/>
        <w:rPr>
          <w:sz w:val="21"/>
          <w:szCs w:val="21"/>
        </w:rPr>
      </w:pPr>
      <w:r>
        <w:rPr>
          <w:rFonts w:hint="eastAsia"/>
          <w:sz w:val="21"/>
          <w:szCs w:val="21"/>
        </w:rPr>
        <w:t xml:space="preserve">可以现金替代是指当投资人申购或赎回基金份额时，允许使用现金作为该成份证券的替代，基金管理人按照申购、赎回清单要求，代理投资人买入或卖出证券，并与投资人进行相应结算。  </w:t>
      </w:r>
    </w:p>
    <w:p w14:paraId="18A239AB">
      <w:pPr>
        <w:pStyle w:val="8"/>
        <w:spacing w:before="0" w:beforeAutospacing="0" w:after="0" w:afterAutospacing="0" w:line="360" w:lineRule="auto"/>
        <w:ind w:firstLine="420"/>
        <w:rPr>
          <w:sz w:val="21"/>
          <w:szCs w:val="21"/>
        </w:rPr>
      </w:pPr>
      <w:r>
        <w:rPr>
          <w:rFonts w:hint="eastAsia"/>
          <w:sz w:val="21"/>
          <w:szCs w:val="21"/>
        </w:rPr>
        <w:t xml:space="preserve">必须现金替代是指在申购、赎回基金份额时，该成份证券必须使用现金作为替代，基金管理人按照固定现金替代金额与投资人进行结算。 </w:t>
      </w:r>
    </w:p>
    <w:p w14:paraId="1B652BA0">
      <w:pPr>
        <w:pStyle w:val="8"/>
        <w:spacing w:before="0" w:beforeAutospacing="0" w:after="0" w:afterAutospacing="0" w:line="360" w:lineRule="auto"/>
        <w:ind w:firstLine="420"/>
        <w:rPr>
          <w:sz w:val="21"/>
          <w:szCs w:val="21"/>
        </w:rPr>
      </w:pPr>
      <w:r>
        <w:rPr>
          <w:rFonts w:hint="eastAsia"/>
          <w:sz w:val="21"/>
          <w:szCs w:val="21"/>
        </w:rPr>
        <w:t xml:space="preserve">a、可以现金替代 </w:t>
      </w:r>
    </w:p>
    <w:p w14:paraId="634AEA82">
      <w:pPr>
        <w:pStyle w:val="8"/>
        <w:spacing w:before="0" w:beforeAutospacing="0" w:after="0" w:afterAutospacing="0" w:line="360" w:lineRule="auto"/>
        <w:ind w:firstLine="420"/>
        <w:rPr>
          <w:sz w:val="21"/>
          <w:szCs w:val="21"/>
        </w:rPr>
      </w:pPr>
      <w:r>
        <w:rPr>
          <w:rFonts w:hint="eastAsia"/>
          <w:sz w:val="21"/>
          <w:szCs w:val="21"/>
        </w:rPr>
        <w:t xml:space="preserve">i. 适用情形 </w:t>
      </w:r>
    </w:p>
    <w:p w14:paraId="4EC9E68D">
      <w:pPr>
        <w:pStyle w:val="8"/>
        <w:spacing w:before="0" w:beforeAutospacing="0" w:after="0" w:afterAutospacing="0" w:line="360" w:lineRule="auto"/>
        <w:ind w:firstLine="420"/>
        <w:rPr>
          <w:sz w:val="21"/>
          <w:szCs w:val="21"/>
        </w:rPr>
      </w:pPr>
      <w:r>
        <w:rPr>
          <w:rFonts w:hint="eastAsia"/>
          <w:sz w:val="21"/>
          <w:szCs w:val="21"/>
        </w:rPr>
        <w:t xml:space="preserve">可以现金替代的证券是指基金管理人认为需要在投资人申购或赎回时代投资人买入或卖出的证券。 </w:t>
      </w:r>
    </w:p>
    <w:p w14:paraId="0CDC3842">
      <w:pPr>
        <w:pStyle w:val="8"/>
        <w:spacing w:before="0" w:beforeAutospacing="0" w:after="0" w:afterAutospacing="0" w:line="360" w:lineRule="auto"/>
        <w:ind w:firstLine="420"/>
        <w:rPr>
          <w:sz w:val="21"/>
          <w:szCs w:val="21"/>
        </w:rPr>
      </w:pPr>
      <w:r>
        <w:rPr>
          <w:rFonts w:hint="eastAsia"/>
          <w:sz w:val="21"/>
          <w:szCs w:val="21"/>
        </w:rPr>
        <w:t xml:space="preserve">ii. 可以现金替代的计算 </w:t>
      </w:r>
    </w:p>
    <w:p w14:paraId="0B310B2D">
      <w:pPr>
        <w:pStyle w:val="8"/>
        <w:spacing w:before="0" w:beforeAutospacing="0" w:after="0" w:afterAutospacing="0" w:line="360" w:lineRule="auto"/>
        <w:ind w:firstLine="420"/>
        <w:rPr>
          <w:sz w:val="21"/>
          <w:szCs w:val="21"/>
        </w:rPr>
      </w:pPr>
      <w:r>
        <w:rPr>
          <w:rFonts w:hint="eastAsia"/>
          <w:sz w:val="21"/>
          <w:szCs w:val="21"/>
        </w:rPr>
        <w:t xml:space="preserve">对于标的指数中可以现金替代的证券，替代金额的计算公式为： </w:t>
      </w:r>
    </w:p>
    <w:p w14:paraId="079B881D">
      <w:pPr>
        <w:pStyle w:val="8"/>
        <w:spacing w:before="0" w:beforeAutospacing="0" w:after="0" w:afterAutospacing="0" w:line="360" w:lineRule="auto"/>
        <w:ind w:firstLine="420"/>
        <w:rPr>
          <w:sz w:val="21"/>
          <w:szCs w:val="21"/>
        </w:rPr>
      </w:pPr>
      <w:r>
        <w:rPr>
          <w:rFonts w:hint="eastAsia"/>
          <w:sz w:val="21"/>
          <w:szCs w:val="21"/>
        </w:rPr>
        <w:t xml:space="preserve">申购的替代金额＝【替代证券数量×该证券T-1日预估开盘价（美元计价）×（1＋申购现金替代溢价比例）】×（T-2）日估值汇率 </w:t>
      </w:r>
    </w:p>
    <w:p w14:paraId="085168FB">
      <w:pPr>
        <w:pStyle w:val="8"/>
        <w:spacing w:before="0" w:beforeAutospacing="0" w:after="0" w:afterAutospacing="0" w:line="360" w:lineRule="auto"/>
        <w:ind w:firstLine="420"/>
        <w:rPr>
          <w:sz w:val="21"/>
          <w:szCs w:val="21"/>
        </w:rPr>
      </w:pPr>
      <w:r>
        <w:rPr>
          <w:rFonts w:hint="eastAsia"/>
          <w:sz w:val="21"/>
          <w:szCs w:val="21"/>
        </w:rPr>
        <w:t xml:space="preserve">收取可以现金替代溢价的原因是，基金管理人需为投资人在美国开市期间买入组合证券，而实际买入价格加上相关交易费用并折算为人民币后与申购时的最新价格可能有所差异。为便于操作，基金管理人在申购、赎回清单中预先确定申购现金替代溢价比例，并据此收取可以现金替代金额。投资人申购时，如果预先收取的金额高于基金买入该部分证券的实际成本，则基金管理人将退还多收取的差额；如果预先收取的金额低于基金买入该部分证券的实际成本，则基金管理人将向投资人收取欠缺的差额。 </w:t>
      </w:r>
    </w:p>
    <w:p w14:paraId="17B204B5">
      <w:pPr>
        <w:pStyle w:val="8"/>
        <w:spacing w:before="0" w:beforeAutospacing="0" w:after="0" w:afterAutospacing="0" w:line="360" w:lineRule="auto"/>
        <w:ind w:firstLine="420"/>
        <w:rPr>
          <w:sz w:val="21"/>
          <w:szCs w:val="21"/>
        </w:rPr>
      </w:pPr>
      <w:r>
        <w:rPr>
          <w:rFonts w:hint="eastAsia"/>
          <w:sz w:val="21"/>
          <w:szCs w:val="21"/>
        </w:rPr>
        <w:t xml:space="preserve">b、必须现金替代 </w:t>
      </w:r>
    </w:p>
    <w:p w14:paraId="3D94C320">
      <w:pPr>
        <w:pStyle w:val="8"/>
        <w:spacing w:before="0" w:beforeAutospacing="0" w:after="0" w:afterAutospacing="0" w:line="360" w:lineRule="auto"/>
        <w:ind w:firstLine="420"/>
        <w:rPr>
          <w:sz w:val="21"/>
          <w:szCs w:val="21"/>
        </w:rPr>
      </w:pPr>
      <w:r>
        <w:rPr>
          <w:rFonts w:hint="eastAsia"/>
          <w:sz w:val="21"/>
          <w:szCs w:val="21"/>
        </w:rPr>
        <w:t xml:space="preserve">i. 必须现金替代的适用情形 </w:t>
      </w:r>
    </w:p>
    <w:p w14:paraId="2CCD75CE">
      <w:pPr>
        <w:pStyle w:val="8"/>
        <w:spacing w:before="0" w:beforeAutospacing="0" w:after="0" w:afterAutospacing="0" w:line="360" w:lineRule="auto"/>
        <w:ind w:firstLine="420"/>
        <w:rPr>
          <w:sz w:val="21"/>
          <w:szCs w:val="21"/>
        </w:rPr>
      </w:pPr>
      <w:r>
        <w:rPr>
          <w:rFonts w:hint="eastAsia"/>
          <w:sz w:val="21"/>
          <w:szCs w:val="21"/>
        </w:rPr>
        <w:t xml:space="preserve">必须现金替代的证券一般是由于标的指数调整，即将被剔除的成份证券；或法律法规限制投资的证券；或基金管理人出于保护基金份额持有人利益等原因认为有必要实行必须现金替代的成份证券。  </w:t>
      </w:r>
    </w:p>
    <w:p w14:paraId="47F870D3">
      <w:pPr>
        <w:pStyle w:val="8"/>
        <w:spacing w:before="0" w:beforeAutospacing="0" w:after="0" w:afterAutospacing="0" w:line="360" w:lineRule="auto"/>
        <w:ind w:firstLine="420"/>
        <w:rPr>
          <w:sz w:val="21"/>
          <w:szCs w:val="21"/>
        </w:rPr>
      </w:pPr>
      <w:r>
        <w:rPr>
          <w:rFonts w:hint="eastAsia"/>
          <w:sz w:val="21"/>
          <w:szCs w:val="21"/>
        </w:rPr>
        <w:t xml:space="preserve">ii. 必须现金替代的金额 </w:t>
      </w:r>
    </w:p>
    <w:p w14:paraId="7F8DC7D7">
      <w:pPr>
        <w:pStyle w:val="8"/>
        <w:spacing w:before="0" w:beforeAutospacing="0" w:after="0" w:afterAutospacing="0" w:line="360" w:lineRule="auto"/>
        <w:ind w:firstLine="420"/>
        <w:rPr>
          <w:sz w:val="21"/>
          <w:szCs w:val="21"/>
        </w:rPr>
      </w:pPr>
      <w:r>
        <w:rPr>
          <w:rFonts w:hint="eastAsia"/>
          <w:sz w:val="21"/>
          <w:szCs w:val="21"/>
        </w:rPr>
        <w:t xml:space="preserve">对于必须现金替代的证券，基金管理人将在申购、赎回清单中公告替代的一定数量的现金，即“固定替代金额”。固定替代金额的计算方法为申购、赎回清单中该证券的数量乘以其T-1日预估开盘价并按照T-2日估值汇率折算或基金管理人认为合理的其他方法。  </w:t>
      </w:r>
    </w:p>
    <w:p w14:paraId="0002DDC0">
      <w:pPr>
        <w:pStyle w:val="8"/>
        <w:spacing w:before="0" w:beforeAutospacing="0" w:after="0" w:afterAutospacing="0" w:line="360" w:lineRule="auto"/>
        <w:ind w:firstLine="420"/>
        <w:rPr>
          <w:sz w:val="21"/>
          <w:szCs w:val="21"/>
        </w:rPr>
      </w:pPr>
      <w:r>
        <w:rPr>
          <w:rFonts w:hint="eastAsia"/>
          <w:sz w:val="21"/>
          <w:szCs w:val="21"/>
        </w:rPr>
        <w:t xml:space="preserve">D. 预估现金相关内容 </w:t>
      </w:r>
    </w:p>
    <w:p w14:paraId="619294F8">
      <w:pPr>
        <w:pStyle w:val="8"/>
        <w:spacing w:before="0" w:beforeAutospacing="0" w:after="0" w:afterAutospacing="0" w:line="360" w:lineRule="auto"/>
        <w:ind w:firstLine="420"/>
        <w:rPr>
          <w:sz w:val="21"/>
          <w:szCs w:val="21"/>
        </w:rPr>
      </w:pPr>
      <w:r>
        <w:rPr>
          <w:rFonts w:hint="eastAsia"/>
          <w:sz w:val="21"/>
          <w:szCs w:val="21"/>
        </w:rPr>
        <w:t xml:space="preserve">预估现金是指，为便于申购赎回代理券商预先冻结申请申购、赎回的投资人的相应资金，由基金管理人计算的现金数额。 </w:t>
      </w:r>
    </w:p>
    <w:p w14:paraId="707FA3CE">
      <w:pPr>
        <w:pStyle w:val="8"/>
        <w:spacing w:before="0" w:beforeAutospacing="0" w:after="0" w:afterAutospacing="0" w:line="360" w:lineRule="auto"/>
        <w:ind w:firstLine="420"/>
        <w:rPr>
          <w:sz w:val="21"/>
          <w:szCs w:val="21"/>
        </w:rPr>
      </w:pPr>
      <w:r>
        <w:rPr>
          <w:rFonts w:hint="eastAsia"/>
          <w:sz w:val="21"/>
          <w:szCs w:val="21"/>
        </w:rPr>
        <w:t xml:space="preserve">T日申购、赎回清单中公告T日预估现金。其计算公式为： </w:t>
      </w:r>
    </w:p>
    <w:p w14:paraId="4AFF10B8">
      <w:pPr>
        <w:pStyle w:val="8"/>
        <w:spacing w:before="0" w:beforeAutospacing="0" w:after="0" w:afterAutospacing="0" w:line="360" w:lineRule="auto"/>
        <w:ind w:firstLine="420"/>
        <w:rPr>
          <w:sz w:val="21"/>
          <w:szCs w:val="21"/>
        </w:rPr>
      </w:pPr>
      <w:r>
        <w:rPr>
          <w:rFonts w:hint="eastAsia"/>
          <w:sz w:val="21"/>
          <w:szCs w:val="21"/>
        </w:rPr>
        <w:t xml:space="preserve">T日预估现金＝（T-2）日最小申购赎回单位的基金资产净值－（申购赎回清单中必须现金替代成份证券的替代金额＋申购赎回清单中可以现金替代的成份证券的数量与其美国T-1日预估开盘价（美元计价）乘积之和×（T-2）日估值汇率）  </w:t>
      </w:r>
    </w:p>
    <w:p w14:paraId="19A49541">
      <w:pPr>
        <w:pStyle w:val="8"/>
        <w:spacing w:before="0" w:beforeAutospacing="0" w:after="0" w:afterAutospacing="0" w:line="360" w:lineRule="auto"/>
        <w:ind w:firstLine="420"/>
        <w:rPr>
          <w:sz w:val="21"/>
          <w:szCs w:val="21"/>
        </w:rPr>
      </w:pPr>
      <w:r>
        <w:rPr>
          <w:rFonts w:hint="eastAsia"/>
          <w:sz w:val="21"/>
          <w:szCs w:val="21"/>
        </w:rPr>
        <w:t xml:space="preserve">其中，美国T-1日预估开盘价（美元计价）主要是基金管理人对标的指数成份证券预估的开盘价。另外，若（T-1）日为基金分红除息日，则计算公式中的“（T-2）日最小申购赎回单位的基金资产净值”需扣减相应的收益分配数额。如果T-2日至T日期间有美国证券交易所交易日非申赎开放日，则基金管理人可对公式中“（T-2）日最小申购赎回单位的基金资产净值”进行调整。预估现金部分的数值可能为正、为负或为零。 </w:t>
      </w:r>
    </w:p>
    <w:p w14:paraId="10307FC1">
      <w:pPr>
        <w:pStyle w:val="8"/>
        <w:spacing w:before="0" w:beforeAutospacing="0" w:after="0" w:afterAutospacing="0" w:line="360" w:lineRule="auto"/>
        <w:ind w:firstLine="420"/>
        <w:rPr>
          <w:sz w:val="21"/>
          <w:szCs w:val="21"/>
        </w:rPr>
      </w:pPr>
      <w:r>
        <w:rPr>
          <w:rFonts w:hint="eastAsia"/>
          <w:sz w:val="21"/>
          <w:szCs w:val="21"/>
        </w:rPr>
        <w:t xml:space="preserve">E. 现金差额相关内容 </w:t>
      </w:r>
    </w:p>
    <w:p w14:paraId="2BEAF72C">
      <w:pPr>
        <w:pStyle w:val="8"/>
        <w:spacing w:before="0" w:beforeAutospacing="0" w:after="0" w:afterAutospacing="0" w:line="360" w:lineRule="auto"/>
        <w:ind w:firstLine="420"/>
        <w:rPr>
          <w:sz w:val="21"/>
          <w:szCs w:val="21"/>
        </w:rPr>
      </w:pPr>
      <w:r>
        <w:rPr>
          <w:rFonts w:hint="eastAsia"/>
          <w:sz w:val="21"/>
          <w:szCs w:val="21"/>
        </w:rPr>
        <w:t xml:space="preserve">T日现金差额在（T+2）日的申购、赎回清单中公告，其计算公式为： </w:t>
      </w:r>
    </w:p>
    <w:p w14:paraId="0BD94D99">
      <w:pPr>
        <w:pStyle w:val="8"/>
        <w:spacing w:before="0" w:beforeAutospacing="0" w:after="0" w:afterAutospacing="0" w:line="360" w:lineRule="auto"/>
        <w:ind w:firstLine="420"/>
        <w:rPr>
          <w:sz w:val="21"/>
          <w:szCs w:val="21"/>
        </w:rPr>
      </w:pPr>
      <w:r>
        <w:rPr>
          <w:rFonts w:hint="eastAsia"/>
          <w:sz w:val="21"/>
          <w:szCs w:val="21"/>
        </w:rPr>
        <w:t xml:space="preserve">T日现金差额＝T日最小申购赎回单位的基金资产净值－（申购赎回清单中必须现金替代成分证券的替代金额+申购赎回清单中可以现金替代的成份证券的数量与T日收盘价（美元计价）乘积之和×T日估值汇率） </w:t>
      </w:r>
    </w:p>
    <w:p w14:paraId="799C96BF">
      <w:pPr>
        <w:pStyle w:val="8"/>
        <w:spacing w:before="0" w:beforeAutospacing="0" w:after="0" w:afterAutospacing="0" w:line="360" w:lineRule="auto"/>
        <w:ind w:firstLine="420"/>
        <w:rPr>
          <w:sz w:val="21"/>
          <w:szCs w:val="21"/>
        </w:rPr>
      </w:pPr>
      <w:r>
        <w:rPr>
          <w:rFonts w:hint="eastAsia"/>
          <w:sz w:val="21"/>
          <w:szCs w:val="21"/>
        </w:rPr>
        <w:t xml:space="preserve">T日投资人申购、赎回基金份额时，需按（T+2）日公告的T日现金差额进行资金的清算交收。 </w:t>
      </w:r>
    </w:p>
    <w:p w14:paraId="2568E8CB">
      <w:pPr>
        <w:pStyle w:val="8"/>
        <w:spacing w:before="0" w:beforeAutospacing="0" w:after="0" w:afterAutospacing="0" w:line="360" w:lineRule="auto"/>
        <w:ind w:firstLine="420"/>
        <w:rPr>
          <w:sz w:val="21"/>
          <w:szCs w:val="21"/>
        </w:rPr>
      </w:pPr>
      <w:r>
        <w:rPr>
          <w:rFonts w:hint="eastAsia"/>
          <w:sz w:val="21"/>
          <w:szCs w:val="21"/>
        </w:rPr>
        <w:t xml:space="preserve">现金差额的数值可能为正、为负或为零。在投资人申购时，如现金差额为正数，则投资人应根据其申购的基金份额支付相应的现金，如现金差额为负数，则投资人将根据其申购的基金份额获得相应的现金；在投资人赎回时，如现金差额为正数，则投资人将根据其赎回的基金份额获得相应的现金，如现金差额为负数，则投资人应根据其赎回的基金份额支付相应的现金。 </w:t>
      </w:r>
    </w:p>
    <w:p w14:paraId="353C4C5F">
      <w:pPr>
        <w:pStyle w:val="8"/>
        <w:spacing w:before="0" w:beforeAutospacing="0" w:after="0" w:afterAutospacing="0" w:line="360" w:lineRule="auto"/>
        <w:ind w:firstLine="420"/>
        <w:rPr>
          <w:sz w:val="21"/>
          <w:szCs w:val="21"/>
        </w:rPr>
      </w:pPr>
      <w:r>
        <w:rPr>
          <w:rFonts w:hint="eastAsia"/>
          <w:sz w:val="21"/>
          <w:szCs w:val="21"/>
        </w:rPr>
        <w:t xml:space="preserve">F. 申购对价中可以现金替代金额的处理程序 </w:t>
      </w:r>
    </w:p>
    <w:p w14:paraId="69D22CE1">
      <w:pPr>
        <w:pStyle w:val="8"/>
        <w:spacing w:before="0" w:beforeAutospacing="0" w:after="0" w:afterAutospacing="0" w:line="360" w:lineRule="auto"/>
        <w:ind w:firstLine="420"/>
        <w:rPr>
          <w:sz w:val="21"/>
          <w:szCs w:val="21"/>
        </w:rPr>
      </w:pPr>
      <w:r>
        <w:rPr>
          <w:rFonts w:hint="eastAsia"/>
          <w:sz w:val="21"/>
          <w:szCs w:val="21"/>
        </w:rPr>
        <w:t xml:space="preserve">T日，基金管理人在申购、赎回清单中公布申购现金替代溢价比例，并据此收取可以现金替代金额。 </w:t>
      </w:r>
    </w:p>
    <w:p w14:paraId="086F928F">
      <w:pPr>
        <w:pStyle w:val="8"/>
        <w:spacing w:before="0" w:beforeAutospacing="0" w:after="0" w:afterAutospacing="0" w:line="360" w:lineRule="auto"/>
        <w:ind w:firstLine="420"/>
        <w:rPr>
          <w:sz w:val="21"/>
          <w:szCs w:val="21"/>
        </w:rPr>
      </w:pPr>
      <w:r>
        <w:rPr>
          <w:rFonts w:hint="eastAsia"/>
          <w:sz w:val="21"/>
          <w:szCs w:val="21"/>
        </w:rPr>
        <w:t xml:space="preserve">对于确认成功的T日的申购申请，基金管理人将在T日，买入被替代的成份证券。T日日终，若基金管理人已买入全部被替代的证券，则以替代金额与被替代证券的实际买入成本（包括买入价格与交易费用）按照汇率折算后的差额，确定基金应退还投资人或投资人应补交的款项；若基金管理人未能买入全部被替代的证券，则以替代金额与所买入的部分被替代证券实际买入成本（包括买入价格与交易费用）加上按照T日收盘价（被替代证券T日在证券交易所无交易的，取最近交易日的收盘价）计算的未买入部分的被替代证券价值按照汇率折算后的差额，确定基金应退还投资人或投资人应补交的款项。 </w:t>
      </w:r>
    </w:p>
    <w:p w14:paraId="17539638">
      <w:pPr>
        <w:pStyle w:val="8"/>
        <w:spacing w:before="0" w:beforeAutospacing="0" w:after="0" w:afterAutospacing="0" w:line="360" w:lineRule="auto"/>
        <w:ind w:firstLine="420"/>
        <w:rPr>
          <w:sz w:val="21"/>
          <w:szCs w:val="21"/>
        </w:rPr>
      </w:pPr>
      <w:r>
        <w:rPr>
          <w:rFonts w:hint="eastAsia"/>
          <w:sz w:val="21"/>
          <w:szCs w:val="21"/>
        </w:rPr>
        <w:t xml:space="preserve">若T日被替代的证券发生除息、送股（转增）、配股重要权益变动，则进行相应调整。 </w:t>
      </w:r>
    </w:p>
    <w:p w14:paraId="49993B71">
      <w:pPr>
        <w:pStyle w:val="8"/>
        <w:spacing w:before="0" w:beforeAutospacing="0" w:after="0" w:afterAutospacing="0" w:line="360" w:lineRule="auto"/>
        <w:ind w:firstLine="420"/>
        <w:rPr>
          <w:sz w:val="21"/>
          <w:szCs w:val="21"/>
        </w:rPr>
      </w:pPr>
      <w:r>
        <w:rPr>
          <w:rFonts w:hint="eastAsia"/>
          <w:sz w:val="21"/>
          <w:szCs w:val="21"/>
        </w:rPr>
        <w:t xml:space="preserve">T日后的第4个上海证券交易所和美国主要证券交易所的共同交易日内，基金管理人与相关申购赎回代理券商办理现金替代退补款的交收。若发生特殊情况，基金管理人可以对交收日期进行相应调整。 </w:t>
      </w:r>
    </w:p>
    <w:p w14:paraId="28C6279B">
      <w:pPr>
        <w:pStyle w:val="8"/>
        <w:spacing w:before="0" w:beforeAutospacing="0" w:after="0" w:afterAutospacing="0" w:line="360" w:lineRule="auto"/>
        <w:ind w:firstLine="420"/>
        <w:rPr>
          <w:sz w:val="21"/>
          <w:szCs w:val="21"/>
        </w:rPr>
      </w:pPr>
      <w:r>
        <w:rPr>
          <w:rFonts w:hint="eastAsia"/>
          <w:sz w:val="21"/>
          <w:szCs w:val="21"/>
        </w:rPr>
        <w:t xml:space="preserve">上述汇率是指汇率公允价。汇率公允价包括但不限于中国人民银行或其授权机构最新公布的人民币汇率中间价、中国外汇交易中心参考汇率或交易汇率、与基金托管人商定的其他公允价格等。 </w:t>
      </w:r>
    </w:p>
    <w:p w14:paraId="6682DB32">
      <w:pPr>
        <w:pStyle w:val="8"/>
        <w:spacing w:before="0" w:beforeAutospacing="0" w:after="0" w:afterAutospacing="0" w:line="360" w:lineRule="auto"/>
        <w:ind w:firstLine="420"/>
        <w:rPr>
          <w:sz w:val="21"/>
          <w:szCs w:val="21"/>
        </w:rPr>
      </w:pPr>
      <w:r>
        <w:rPr>
          <w:rFonts w:hint="eastAsia"/>
          <w:sz w:val="21"/>
          <w:szCs w:val="21"/>
        </w:rPr>
        <w:t xml:space="preserve">G. 赎回对价中现金替代的处理程序  </w:t>
      </w:r>
    </w:p>
    <w:p w14:paraId="62480718">
      <w:pPr>
        <w:pStyle w:val="8"/>
        <w:spacing w:before="0" w:beforeAutospacing="0" w:after="0" w:afterAutospacing="0" w:line="360" w:lineRule="auto"/>
        <w:ind w:firstLine="420"/>
        <w:rPr>
          <w:sz w:val="21"/>
          <w:szCs w:val="21"/>
        </w:rPr>
      </w:pPr>
      <w:r>
        <w:rPr>
          <w:rFonts w:hint="eastAsia"/>
          <w:sz w:val="21"/>
          <w:szCs w:val="21"/>
        </w:rPr>
        <w:t xml:space="preserve">对于确认成功的T日的赎回申请，基金管理人将在T日卖出相应的成份证券。 </w:t>
      </w:r>
    </w:p>
    <w:p w14:paraId="119E6575">
      <w:pPr>
        <w:pStyle w:val="8"/>
        <w:spacing w:before="0" w:beforeAutospacing="0" w:after="0" w:afterAutospacing="0" w:line="360" w:lineRule="auto"/>
        <w:ind w:firstLine="420"/>
        <w:rPr>
          <w:sz w:val="21"/>
          <w:szCs w:val="21"/>
        </w:rPr>
      </w:pPr>
      <w:r>
        <w:rPr>
          <w:rFonts w:hint="eastAsia"/>
          <w:sz w:val="21"/>
          <w:szCs w:val="21"/>
        </w:rPr>
        <w:t xml:space="preserve">T日日终，若基金管理人已卖出全部被替代的成份证券，则以实际卖出所得（卖出价格扣减相应的交易费用）按照汇率折算后的差额，确定基金应交付给投资人的赎回现金替代金额；若基金管理人未能卖出全部被替代的成份证券，则以实际卖出所得（卖出价格扣减相应的交易费用）加上按照T日收盘价（被替代证券T日在证券交易所无交易的，取最近交易日的收盘价）计算的未卖出部分被替代成份证券价值，按照汇率折算后的金额，确定基金应交付给投资人的赎回现金替代金额。 </w:t>
      </w:r>
    </w:p>
    <w:p w14:paraId="5637BF58">
      <w:pPr>
        <w:pStyle w:val="8"/>
        <w:spacing w:before="0" w:beforeAutospacing="0" w:after="0" w:afterAutospacing="0" w:line="360" w:lineRule="auto"/>
        <w:ind w:firstLine="420"/>
        <w:rPr>
          <w:sz w:val="21"/>
          <w:szCs w:val="21"/>
        </w:rPr>
      </w:pPr>
      <w:r>
        <w:rPr>
          <w:rFonts w:hint="eastAsia"/>
          <w:sz w:val="21"/>
          <w:szCs w:val="21"/>
        </w:rPr>
        <w:t xml:space="preserve">若T日被替代的证券发生除息、送股（转增）、配股重要权益变动，则进行相应调整。 </w:t>
      </w:r>
    </w:p>
    <w:p w14:paraId="1803DB63">
      <w:pPr>
        <w:pStyle w:val="8"/>
        <w:spacing w:before="0" w:beforeAutospacing="0" w:after="0" w:afterAutospacing="0" w:line="360" w:lineRule="auto"/>
        <w:ind w:firstLine="420"/>
        <w:rPr>
          <w:sz w:val="21"/>
          <w:szCs w:val="21"/>
        </w:rPr>
      </w:pPr>
      <w:r>
        <w:rPr>
          <w:rFonts w:hint="eastAsia"/>
          <w:sz w:val="21"/>
          <w:szCs w:val="21"/>
        </w:rPr>
        <w:t xml:space="preserve">T日后的第6个上海证券交易所和美国主要证券交易所的共同交易日内，基金管理人与相关申购赎回代理券商办理赎回现金替代金额的交收。若发生特殊情况，基金管理人可以对交收日期进行相应调整。 </w:t>
      </w:r>
    </w:p>
    <w:p w14:paraId="17F5A07E">
      <w:pPr>
        <w:pStyle w:val="8"/>
        <w:spacing w:before="0" w:beforeAutospacing="0" w:after="0" w:afterAutospacing="0" w:line="360" w:lineRule="auto"/>
        <w:ind w:firstLine="420"/>
        <w:rPr>
          <w:sz w:val="21"/>
          <w:szCs w:val="21"/>
        </w:rPr>
      </w:pPr>
      <w:r>
        <w:rPr>
          <w:rFonts w:hint="eastAsia"/>
          <w:sz w:val="21"/>
          <w:szCs w:val="21"/>
        </w:rPr>
        <w:t xml:space="preserve">上述汇率是指汇率公允价。汇率公允价包括但不限于中国人民银行或其授权机构最新公布的人民币汇率中间价、中国外汇交易中心参考汇率或交易汇率、与基金托管人商定的其他公允价格等。 </w:t>
      </w:r>
    </w:p>
    <w:p w14:paraId="2F8C0178">
      <w:pPr>
        <w:pStyle w:val="8"/>
        <w:spacing w:before="0" w:beforeAutospacing="0" w:after="0" w:afterAutospacing="0" w:line="360" w:lineRule="auto"/>
        <w:ind w:firstLine="420"/>
        <w:rPr>
          <w:sz w:val="21"/>
          <w:szCs w:val="21"/>
        </w:rPr>
      </w:pPr>
      <w:r>
        <w:rPr>
          <w:rFonts w:hint="eastAsia"/>
          <w:sz w:val="21"/>
          <w:szCs w:val="21"/>
        </w:rPr>
        <w:t xml:space="preserve">H. 申购赎回清单的格式  </w:t>
      </w:r>
    </w:p>
    <w:p w14:paraId="3E8C9315">
      <w:pPr>
        <w:pStyle w:val="8"/>
        <w:spacing w:before="0" w:beforeAutospacing="0" w:after="0" w:afterAutospacing="0" w:line="360" w:lineRule="auto"/>
        <w:ind w:firstLine="420"/>
        <w:rPr>
          <w:sz w:val="21"/>
          <w:szCs w:val="21"/>
        </w:rPr>
      </w:pPr>
      <w:r>
        <w:rPr>
          <w:rFonts w:hint="eastAsia"/>
          <w:sz w:val="21"/>
          <w:szCs w:val="21"/>
        </w:rPr>
        <w:t xml:space="preserve">T日申购、赎回清单的格式举例如下： </w:t>
      </w:r>
    </w:p>
    <w:p w14:paraId="326CF5E1">
      <w:pPr>
        <w:pStyle w:val="8"/>
        <w:spacing w:before="0" w:beforeAutospacing="0" w:after="0" w:afterAutospacing="0" w:line="360" w:lineRule="auto"/>
        <w:ind w:firstLine="420"/>
        <w:rPr>
          <w:sz w:val="21"/>
          <w:szCs w:val="21"/>
        </w:rPr>
      </w:pPr>
      <w:r>
        <w:rPr>
          <w:rFonts w:hint="eastAsia"/>
          <w:sz w:val="21"/>
          <w:szCs w:val="21"/>
        </w:rPr>
        <w:t xml:space="preserve">图表：T日申购、赎回清单的格式举例 </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
        <w:gridCol w:w="1567"/>
        <w:gridCol w:w="1000"/>
        <w:gridCol w:w="801"/>
        <w:gridCol w:w="765"/>
        <w:gridCol w:w="1566"/>
        <w:gridCol w:w="856"/>
        <w:gridCol w:w="636"/>
        <w:gridCol w:w="468"/>
      </w:tblGrid>
      <w:tr w14:paraId="30144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516" w:type="dxa"/>
            <w:gridSpan w:val="9"/>
            <w:shd w:val="clear" w:color="auto" w:fill="auto"/>
          </w:tcPr>
          <w:p w14:paraId="19C113A5">
            <w:pPr>
              <w:rPr>
                <w:rFonts w:ascii="宋体" w:hAnsi="宋体" w:eastAsia="宋体" w:cs="宋体"/>
                <w:kern w:val="0"/>
                <w:sz w:val="24"/>
                <w:szCs w:val="24"/>
              </w:rPr>
            </w:pPr>
            <w:r>
              <w:rPr>
                <w:rFonts w:hint="eastAsia" w:ascii="宋体" w:hAnsi="宋体" w:eastAsia="宋体" w:cs="Times New Roman"/>
                <w:kern w:val="0"/>
                <w:sz w:val="20"/>
                <w:szCs w:val="20"/>
              </w:rPr>
              <w:t xml:space="preserve">基本信息 </w:t>
            </w:r>
          </w:p>
        </w:tc>
      </w:tr>
      <w:tr w14:paraId="3E860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60A2DAFB">
            <w:pPr>
              <w:rPr>
                <w:rFonts w:ascii="Times New Roman" w:hAnsi="Times New Roman" w:eastAsia="宋体" w:cs="Times New Roman"/>
                <w:kern w:val="0"/>
                <w:sz w:val="20"/>
                <w:szCs w:val="20"/>
              </w:rPr>
            </w:pPr>
            <w:r>
              <w:rPr>
                <w:rFonts w:hint="eastAsia" w:ascii="宋体" w:hAnsi="宋体" w:eastAsia="宋体" w:cs="Times New Roman"/>
                <w:kern w:val="0"/>
                <w:sz w:val="20"/>
                <w:szCs w:val="20"/>
              </w:rPr>
              <w:t xml:space="preserve">最新公告日期 </w:t>
            </w:r>
          </w:p>
        </w:tc>
        <w:tc>
          <w:tcPr>
            <w:tcW w:w="4291" w:type="dxa"/>
            <w:gridSpan w:val="5"/>
            <w:shd w:val="clear" w:color="auto" w:fill="auto"/>
          </w:tcPr>
          <w:p w14:paraId="732FE770">
            <w:pPr>
              <w:rPr>
                <w:rFonts w:ascii="Times New Roman" w:hAnsi="Times New Roman" w:eastAsia="宋体" w:cs="Times New Roman"/>
                <w:kern w:val="0"/>
                <w:sz w:val="20"/>
                <w:szCs w:val="20"/>
              </w:rPr>
            </w:pPr>
            <w:r>
              <w:rPr>
                <w:rFonts w:hint="eastAsia" w:ascii="宋体" w:hAnsi="宋体" w:eastAsia="宋体" w:cs="Times New Roman"/>
                <w:kern w:val="0"/>
                <w:sz w:val="20"/>
                <w:szCs w:val="20"/>
              </w:rPr>
              <w:t xml:space="preserve">20XX年 月 日 </w:t>
            </w:r>
          </w:p>
        </w:tc>
      </w:tr>
      <w:tr w14:paraId="046A4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2C483A5F">
            <w:pPr>
              <w:rPr>
                <w:rFonts w:ascii="Times New Roman" w:hAnsi="Times New Roman" w:eastAsia="宋体" w:cs="Times New Roman"/>
                <w:kern w:val="0"/>
                <w:sz w:val="20"/>
                <w:szCs w:val="20"/>
              </w:rPr>
            </w:pPr>
            <w:r>
              <w:rPr>
                <w:rFonts w:hint="eastAsia" w:ascii="宋体" w:hAnsi="宋体" w:eastAsia="宋体" w:cs="Times New Roman"/>
                <w:kern w:val="0"/>
                <w:sz w:val="20"/>
                <w:szCs w:val="20"/>
              </w:rPr>
              <w:t xml:space="preserve">基金名称 </w:t>
            </w:r>
          </w:p>
        </w:tc>
        <w:tc>
          <w:tcPr>
            <w:tcW w:w="4291" w:type="dxa"/>
            <w:gridSpan w:val="5"/>
            <w:shd w:val="clear" w:color="auto" w:fill="auto"/>
          </w:tcPr>
          <w:p w14:paraId="328202D8">
            <w:pPr>
              <w:rPr>
                <w:rFonts w:ascii="Times New Roman" w:hAnsi="Times New Roman" w:eastAsia="宋体" w:cs="Times New Roman"/>
                <w:kern w:val="0"/>
                <w:sz w:val="20"/>
                <w:szCs w:val="20"/>
              </w:rPr>
            </w:pPr>
            <w:r>
              <w:rPr>
                <w:rFonts w:hint="eastAsia" w:ascii="宋体" w:hAnsi="宋体" w:eastAsia="宋体" w:cs="Times New Roman"/>
                <w:kern w:val="0"/>
                <w:sz w:val="20"/>
                <w:szCs w:val="20"/>
              </w:rPr>
              <w:t>博时标普500交易型开放式指数证券投资基金</w:t>
            </w:r>
          </w:p>
        </w:tc>
      </w:tr>
      <w:tr w14:paraId="0E61E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1EB73612">
            <w:pPr>
              <w:rPr>
                <w:rFonts w:ascii="Times New Roman" w:hAnsi="Times New Roman" w:eastAsia="宋体" w:cs="Times New Roman"/>
                <w:kern w:val="0"/>
                <w:sz w:val="20"/>
                <w:szCs w:val="20"/>
              </w:rPr>
            </w:pPr>
            <w:r>
              <w:rPr>
                <w:rFonts w:hint="eastAsia" w:ascii="宋体" w:hAnsi="宋体" w:eastAsia="宋体" w:cs="Times New Roman"/>
                <w:kern w:val="0"/>
                <w:sz w:val="20"/>
                <w:szCs w:val="20"/>
              </w:rPr>
              <w:t xml:space="preserve">基金管理公司名称 </w:t>
            </w:r>
          </w:p>
        </w:tc>
        <w:tc>
          <w:tcPr>
            <w:tcW w:w="4291" w:type="dxa"/>
            <w:gridSpan w:val="5"/>
            <w:shd w:val="clear" w:color="auto" w:fill="auto"/>
          </w:tcPr>
          <w:p w14:paraId="749C5BA8">
            <w:pPr>
              <w:rPr>
                <w:rFonts w:ascii="Times New Roman" w:hAnsi="Times New Roman" w:eastAsia="宋体" w:cs="Times New Roman"/>
                <w:kern w:val="0"/>
                <w:sz w:val="20"/>
                <w:szCs w:val="20"/>
              </w:rPr>
            </w:pPr>
            <w:bookmarkStart w:id="96" w:name="field_0_managerorgfullname_3"/>
            <w:r>
              <w:rPr>
                <w:rFonts w:hint="eastAsia" w:ascii="宋体" w:hAnsi="宋体" w:eastAsia="宋体" w:cs="Times New Roman"/>
                <w:kern w:val="0"/>
                <w:sz w:val="20"/>
                <w:szCs w:val="20"/>
              </w:rPr>
              <w:t>博时基金管理有限公司</w:t>
            </w:r>
            <w:bookmarkEnd w:id="96"/>
            <w:r>
              <w:rPr>
                <w:rFonts w:hint="eastAsia" w:ascii="宋体" w:hAnsi="宋体" w:eastAsia="宋体" w:cs="Times New Roman"/>
                <w:kern w:val="0"/>
                <w:sz w:val="20"/>
                <w:szCs w:val="20"/>
              </w:rPr>
              <w:t xml:space="preserve">  </w:t>
            </w:r>
          </w:p>
        </w:tc>
      </w:tr>
      <w:tr w14:paraId="3B364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4FDBBC09">
            <w:pPr>
              <w:rPr>
                <w:rFonts w:ascii="Times New Roman" w:hAnsi="Times New Roman" w:eastAsia="宋体" w:cs="Times New Roman"/>
                <w:kern w:val="0"/>
                <w:sz w:val="20"/>
                <w:szCs w:val="20"/>
              </w:rPr>
            </w:pPr>
            <w:r>
              <w:rPr>
                <w:rFonts w:hint="eastAsia" w:ascii="宋体" w:hAnsi="宋体" w:eastAsia="宋体" w:cs="Times New Roman"/>
                <w:kern w:val="0"/>
                <w:sz w:val="20"/>
                <w:szCs w:val="20"/>
              </w:rPr>
              <w:t xml:space="preserve">基金代码 </w:t>
            </w:r>
          </w:p>
        </w:tc>
        <w:tc>
          <w:tcPr>
            <w:tcW w:w="4291" w:type="dxa"/>
            <w:gridSpan w:val="5"/>
            <w:shd w:val="clear" w:color="auto" w:fill="auto"/>
          </w:tcPr>
          <w:p w14:paraId="1A9EF8CD">
            <w:pPr>
              <w:pStyle w:val="8"/>
              <w:rPr>
                <w:rFonts w:cs="Times New Roman"/>
                <w:sz w:val="20"/>
                <w:szCs w:val="20"/>
              </w:rPr>
            </w:pPr>
            <w:r>
              <w:rPr>
                <w:rFonts w:cs="Times New Roman"/>
                <w:sz w:val="20"/>
                <w:szCs w:val="20"/>
              </w:rPr>
              <w:t>513500</w:t>
            </w:r>
            <w:r>
              <w:rPr>
                <w:rFonts w:hint="eastAsia" w:cs="Times New Roman"/>
                <w:sz w:val="20"/>
                <w:szCs w:val="20"/>
              </w:rPr>
              <w:t xml:space="preserve"> </w:t>
            </w:r>
          </w:p>
        </w:tc>
      </w:tr>
      <w:tr w14:paraId="785B9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516" w:type="dxa"/>
            <w:gridSpan w:val="9"/>
            <w:shd w:val="clear" w:color="auto" w:fill="auto"/>
          </w:tcPr>
          <w:p w14:paraId="067294E8">
            <w:pPr>
              <w:rPr>
                <w:rFonts w:ascii="宋体" w:hAnsi="宋体" w:eastAsia="宋体" w:cs="宋体"/>
                <w:kern w:val="0"/>
                <w:sz w:val="24"/>
                <w:szCs w:val="24"/>
              </w:rPr>
            </w:pPr>
            <w:r>
              <w:rPr>
                <w:rFonts w:hint="eastAsia" w:ascii="宋体" w:hAnsi="宋体" w:eastAsia="宋体" w:cs="Times New Roman"/>
                <w:kern w:val="0"/>
                <w:sz w:val="20"/>
                <w:szCs w:val="20"/>
              </w:rPr>
              <w:t>T－</w:t>
            </w:r>
            <w:r>
              <w:rPr>
                <w:rFonts w:ascii="宋体" w:hAnsi="宋体" w:eastAsia="宋体" w:cs="Times New Roman"/>
                <w:kern w:val="0"/>
                <w:sz w:val="20"/>
                <w:szCs w:val="20"/>
              </w:rPr>
              <w:t>2</w:t>
            </w:r>
            <w:r>
              <w:rPr>
                <w:rFonts w:hint="eastAsia" w:ascii="宋体" w:hAnsi="宋体" w:eastAsia="宋体" w:cs="Times New Roman"/>
                <w:kern w:val="0"/>
                <w:sz w:val="20"/>
                <w:szCs w:val="20"/>
              </w:rPr>
              <w:t xml:space="preserve">日信息内容 </w:t>
            </w:r>
          </w:p>
        </w:tc>
      </w:tr>
      <w:tr w14:paraId="09E2E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546B3D33">
            <w:pPr>
              <w:rPr>
                <w:rFonts w:ascii="宋体" w:hAnsi="宋体" w:eastAsia="宋体" w:cs="宋体"/>
                <w:kern w:val="0"/>
                <w:sz w:val="24"/>
                <w:szCs w:val="24"/>
              </w:rPr>
            </w:pPr>
            <w:r>
              <w:rPr>
                <w:rFonts w:hint="eastAsia" w:ascii="宋体" w:hAnsi="宋体" w:eastAsia="宋体" w:cs="Times New Roman"/>
                <w:kern w:val="0"/>
                <w:sz w:val="20"/>
                <w:szCs w:val="20"/>
              </w:rPr>
              <w:t xml:space="preserve">现金差额（单位：元） </w:t>
            </w:r>
          </w:p>
        </w:tc>
        <w:tc>
          <w:tcPr>
            <w:tcW w:w="4291" w:type="dxa"/>
            <w:gridSpan w:val="5"/>
            <w:shd w:val="clear" w:color="auto" w:fill="auto"/>
          </w:tcPr>
          <w:p w14:paraId="3F5974E5">
            <w:pPr>
              <w:rPr>
                <w:rFonts w:ascii="宋体" w:hAnsi="宋体" w:eastAsia="宋体" w:cs="宋体"/>
                <w:kern w:val="0"/>
                <w:sz w:val="24"/>
                <w:szCs w:val="24"/>
              </w:rPr>
            </w:pPr>
            <w:r>
              <w:rPr>
                <w:rFonts w:hint="eastAsia" w:ascii="宋体" w:hAnsi="宋体" w:eastAsia="宋体" w:cs="Times New Roman"/>
                <w:kern w:val="0"/>
                <w:sz w:val="20"/>
                <w:szCs w:val="20"/>
              </w:rPr>
              <w:t xml:space="preserve">XXXX.XX </w:t>
            </w:r>
          </w:p>
        </w:tc>
      </w:tr>
      <w:tr w14:paraId="428AC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51F3DDE0">
            <w:pPr>
              <w:rPr>
                <w:rFonts w:ascii="宋体" w:hAnsi="宋体" w:eastAsia="宋体" w:cs="宋体"/>
                <w:kern w:val="0"/>
                <w:sz w:val="24"/>
                <w:szCs w:val="24"/>
              </w:rPr>
            </w:pPr>
            <w:r>
              <w:rPr>
                <w:rFonts w:hint="eastAsia" w:ascii="宋体" w:hAnsi="宋体" w:eastAsia="宋体" w:cs="Times New Roman"/>
                <w:kern w:val="0"/>
                <w:sz w:val="20"/>
                <w:szCs w:val="20"/>
              </w:rPr>
              <w:t xml:space="preserve">最小申购赎回单位资产净值（单位：元） </w:t>
            </w:r>
          </w:p>
        </w:tc>
        <w:tc>
          <w:tcPr>
            <w:tcW w:w="4291" w:type="dxa"/>
            <w:gridSpan w:val="5"/>
            <w:shd w:val="clear" w:color="auto" w:fill="auto"/>
          </w:tcPr>
          <w:p w14:paraId="34EF4253">
            <w:pPr>
              <w:rPr>
                <w:rFonts w:ascii="宋体" w:hAnsi="宋体" w:eastAsia="宋体" w:cs="宋体"/>
                <w:kern w:val="0"/>
                <w:sz w:val="24"/>
                <w:szCs w:val="24"/>
              </w:rPr>
            </w:pPr>
            <w:r>
              <w:rPr>
                <w:rFonts w:hint="eastAsia" w:ascii="宋体" w:hAnsi="宋体" w:eastAsia="宋体" w:cs="Times New Roman"/>
                <w:kern w:val="0"/>
                <w:sz w:val="20"/>
                <w:szCs w:val="20"/>
              </w:rPr>
              <w:t xml:space="preserve">XXXX.XX </w:t>
            </w:r>
          </w:p>
        </w:tc>
      </w:tr>
      <w:tr w14:paraId="2C9BD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54E4A1A4">
            <w:pPr>
              <w:rPr>
                <w:rFonts w:ascii="宋体" w:hAnsi="宋体" w:eastAsia="宋体" w:cs="宋体"/>
                <w:kern w:val="0"/>
                <w:sz w:val="24"/>
                <w:szCs w:val="24"/>
              </w:rPr>
            </w:pPr>
            <w:r>
              <w:rPr>
                <w:rFonts w:hint="eastAsia" w:ascii="宋体" w:hAnsi="宋体" w:eastAsia="宋体" w:cs="Times New Roman"/>
                <w:kern w:val="0"/>
                <w:sz w:val="20"/>
                <w:szCs w:val="20"/>
              </w:rPr>
              <w:t xml:space="preserve">基金份额净值（单位：元） </w:t>
            </w:r>
          </w:p>
        </w:tc>
        <w:tc>
          <w:tcPr>
            <w:tcW w:w="4291" w:type="dxa"/>
            <w:gridSpan w:val="5"/>
            <w:shd w:val="clear" w:color="auto" w:fill="auto"/>
          </w:tcPr>
          <w:p w14:paraId="5679F018">
            <w:pPr>
              <w:rPr>
                <w:rFonts w:ascii="宋体" w:hAnsi="宋体" w:eastAsia="宋体" w:cs="宋体"/>
                <w:kern w:val="0"/>
                <w:sz w:val="24"/>
                <w:szCs w:val="24"/>
              </w:rPr>
            </w:pPr>
            <w:r>
              <w:rPr>
                <w:rFonts w:hint="eastAsia" w:ascii="宋体" w:hAnsi="宋体" w:eastAsia="宋体" w:cs="Times New Roman"/>
                <w:kern w:val="0"/>
                <w:sz w:val="20"/>
                <w:szCs w:val="20"/>
              </w:rPr>
              <w:t xml:space="preserve">X.XXXX </w:t>
            </w:r>
          </w:p>
        </w:tc>
      </w:tr>
      <w:tr w14:paraId="2F33C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516" w:type="dxa"/>
            <w:gridSpan w:val="9"/>
            <w:shd w:val="clear" w:color="auto" w:fill="auto"/>
          </w:tcPr>
          <w:p w14:paraId="1DA07CAE">
            <w:pPr>
              <w:rPr>
                <w:rFonts w:ascii="宋体" w:hAnsi="宋体" w:eastAsia="宋体" w:cs="宋体"/>
                <w:kern w:val="0"/>
                <w:sz w:val="24"/>
                <w:szCs w:val="24"/>
              </w:rPr>
            </w:pPr>
            <w:r>
              <w:rPr>
                <w:rFonts w:hint="eastAsia" w:ascii="宋体" w:hAnsi="宋体" w:eastAsia="宋体" w:cs="Times New Roman"/>
                <w:kern w:val="0"/>
                <w:sz w:val="20"/>
                <w:szCs w:val="20"/>
              </w:rPr>
              <w:t xml:space="preserve">T日信息内容 </w:t>
            </w:r>
          </w:p>
        </w:tc>
      </w:tr>
      <w:tr w14:paraId="0AFAF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523765CB">
            <w:pPr>
              <w:rPr>
                <w:rFonts w:ascii="宋体" w:hAnsi="宋体" w:eastAsia="宋体" w:cs="宋体"/>
                <w:kern w:val="0"/>
                <w:sz w:val="24"/>
                <w:szCs w:val="24"/>
              </w:rPr>
            </w:pPr>
            <w:r>
              <w:rPr>
                <w:rFonts w:hint="eastAsia" w:ascii="宋体" w:hAnsi="宋体" w:eastAsia="宋体" w:cs="Times New Roman"/>
                <w:kern w:val="0"/>
                <w:sz w:val="20"/>
                <w:szCs w:val="20"/>
              </w:rPr>
              <w:t xml:space="preserve">最小申购、赎回单位的预估现金部分（单位：元） </w:t>
            </w:r>
          </w:p>
        </w:tc>
        <w:tc>
          <w:tcPr>
            <w:tcW w:w="4291" w:type="dxa"/>
            <w:gridSpan w:val="5"/>
            <w:shd w:val="clear" w:color="auto" w:fill="auto"/>
          </w:tcPr>
          <w:p w14:paraId="48128F0E">
            <w:pPr>
              <w:rPr>
                <w:rFonts w:ascii="宋体" w:hAnsi="宋体" w:eastAsia="宋体" w:cs="宋体"/>
                <w:kern w:val="0"/>
                <w:sz w:val="24"/>
                <w:szCs w:val="24"/>
              </w:rPr>
            </w:pPr>
            <w:r>
              <w:rPr>
                <w:rFonts w:hint="eastAsia" w:ascii="宋体" w:hAnsi="宋体" w:eastAsia="宋体" w:cs="Times New Roman"/>
                <w:kern w:val="0"/>
                <w:sz w:val="20"/>
                <w:szCs w:val="20"/>
              </w:rPr>
              <w:t xml:space="preserve">XXXX.XX </w:t>
            </w:r>
          </w:p>
        </w:tc>
      </w:tr>
      <w:tr w14:paraId="2F5EB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3F8B5996">
            <w:pPr>
              <w:rPr>
                <w:rFonts w:ascii="宋体" w:hAnsi="宋体" w:eastAsia="宋体" w:cs="宋体"/>
                <w:kern w:val="0"/>
                <w:sz w:val="24"/>
                <w:szCs w:val="24"/>
              </w:rPr>
            </w:pPr>
            <w:r>
              <w:rPr>
                <w:rFonts w:hint="eastAsia" w:ascii="宋体" w:hAnsi="宋体" w:eastAsia="宋体" w:cs="Times New Roman"/>
                <w:kern w:val="0"/>
                <w:sz w:val="20"/>
                <w:szCs w:val="20"/>
              </w:rPr>
              <w:t xml:space="preserve">现金替代比例上限 </w:t>
            </w:r>
          </w:p>
        </w:tc>
        <w:tc>
          <w:tcPr>
            <w:tcW w:w="4291" w:type="dxa"/>
            <w:gridSpan w:val="5"/>
            <w:shd w:val="clear" w:color="auto" w:fill="auto"/>
          </w:tcPr>
          <w:p w14:paraId="5EAA8797">
            <w:pPr>
              <w:rPr>
                <w:rFonts w:ascii="宋体" w:hAnsi="宋体" w:eastAsia="宋体" w:cs="宋体"/>
                <w:kern w:val="0"/>
                <w:sz w:val="24"/>
                <w:szCs w:val="24"/>
              </w:rPr>
            </w:pPr>
            <w:r>
              <w:rPr>
                <w:rFonts w:hint="eastAsia" w:ascii="宋体" w:hAnsi="宋体" w:eastAsia="宋体" w:cs="Times New Roman"/>
                <w:kern w:val="0"/>
                <w:sz w:val="20"/>
                <w:szCs w:val="20"/>
              </w:rPr>
              <w:t xml:space="preserve">XXX </w:t>
            </w:r>
          </w:p>
        </w:tc>
      </w:tr>
      <w:tr w14:paraId="3D7C6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7C833645">
            <w:pPr>
              <w:rPr>
                <w:rFonts w:ascii="宋体" w:hAnsi="宋体" w:eastAsia="宋体" w:cs="宋体"/>
                <w:kern w:val="0"/>
                <w:sz w:val="24"/>
                <w:szCs w:val="24"/>
              </w:rPr>
            </w:pPr>
            <w:r>
              <w:rPr>
                <w:rFonts w:hint="eastAsia" w:ascii="宋体" w:hAnsi="宋体" w:eastAsia="宋体" w:cs="Times New Roman"/>
                <w:kern w:val="0"/>
                <w:sz w:val="20"/>
                <w:szCs w:val="20"/>
              </w:rPr>
              <w:t xml:space="preserve">当日累计可申购的基金份额上限 </w:t>
            </w:r>
          </w:p>
        </w:tc>
        <w:tc>
          <w:tcPr>
            <w:tcW w:w="4291" w:type="dxa"/>
            <w:gridSpan w:val="5"/>
            <w:shd w:val="clear" w:color="auto" w:fill="auto"/>
          </w:tcPr>
          <w:p w14:paraId="3A2DE759">
            <w:pPr>
              <w:rPr>
                <w:rFonts w:ascii="宋体" w:hAnsi="宋体" w:eastAsia="宋体" w:cs="宋体"/>
                <w:kern w:val="0"/>
                <w:sz w:val="24"/>
                <w:szCs w:val="24"/>
              </w:rPr>
            </w:pPr>
            <w:r>
              <w:rPr>
                <w:rFonts w:hint="eastAsia" w:ascii="宋体" w:hAnsi="宋体" w:eastAsia="宋体" w:cs="Times New Roman"/>
                <w:kern w:val="0"/>
                <w:sz w:val="20"/>
                <w:szCs w:val="20"/>
              </w:rPr>
              <w:t xml:space="preserve">XXX </w:t>
            </w:r>
          </w:p>
        </w:tc>
      </w:tr>
      <w:tr w14:paraId="01E70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0D9A022F">
            <w:pPr>
              <w:rPr>
                <w:rFonts w:ascii="宋体" w:hAnsi="宋体" w:eastAsia="宋体" w:cs="宋体"/>
                <w:kern w:val="0"/>
                <w:sz w:val="24"/>
                <w:szCs w:val="24"/>
              </w:rPr>
            </w:pPr>
            <w:r>
              <w:rPr>
                <w:rFonts w:hint="eastAsia" w:ascii="宋体" w:hAnsi="宋体" w:eastAsia="宋体" w:cs="Times New Roman"/>
                <w:kern w:val="0"/>
                <w:sz w:val="20"/>
                <w:szCs w:val="20"/>
              </w:rPr>
              <w:t xml:space="preserve">当日累计可赎回的基金份额上限 </w:t>
            </w:r>
          </w:p>
        </w:tc>
        <w:tc>
          <w:tcPr>
            <w:tcW w:w="4291" w:type="dxa"/>
            <w:gridSpan w:val="5"/>
            <w:shd w:val="clear" w:color="auto" w:fill="auto"/>
          </w:tcPr>
          <w:p w14:paraId="564F0454">
            <w:pPr>
              <w:rPr>
                <w:rFonts w:ascii="宋体" w:hAnsi="宋体" w:eastAsia="宋体" w:cs="宋体"/>
                <w:kern w:val="0"/>
                <w:sz w:val="24"/>
                <w:szCs w:val="24"/>
              </w:rPr>
            </w:pPr>
            <w:r>
              <w:rPr>
                <w:rFonts w:hint="eastAsia" w:ascii="宋体" w:hAnsi="宋体" w:eastAsia="宋体" w:cs="Times New Roman"/>
                <w:kern w:val="0"/>
                <w:sz w:val="20"/>
                <w:szCs w:val="20"/>
              </w:rPr>
              <w:t xml:space="preserve">XXX </w:t>
            </w:r>
          </w:p>
        </w:tc>
      </w:tr>
      <w:tr w14:paraId="4947E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2A7FE23F">
            <w:pPr>
              <w:rPr>
                <w:rFonts w:ascii="宋体" w:hAnsi="宋体" w:eastAsia="宋体" w:cs="宋体"/>
                <w:kern w:val="0"/>
                <w:sz w:val="24"/>
                <w:szCs w:val="24"/>
              </w:rPr>
            </w:pPr>
            <w:r>
              <w:rPr>
                <w:rFonts w:hint="eastAsia" w:ascii="宋体" w:hAnsi="宋体" w:eastAsia="宋体" w:cs="Times New Roman"/>
                <w:kern w:val="0"/>
                <w:sz w:val="20"/>
                <w:szCs w:val="20"/>
              </w:rPr>
              <w:t xml:space="preserve">当日净申购的基金份额上限 </w:t>
            </w:r>
          </w:p>
        </w:tc>
        <w:tc>
          <w:tcPr>
            <w:tcW w:w="4291" w:type="dxa"/>
            <w:gridSpan w:val="5"/>
            <w:shd w:val="clear" w:color="auto" w:fill="auto"/>
          </w:tcPr>
          <w:p w14:paraId="3A294B38">
            <w:pPr>
              <w:rPr>
                <w:rFonts w:ascii="宋体" w:hAnsi="宋体" w:eastAsia="宋体" w:cs="宋体"/>
                <w:kern w:val="0"/>
                <w:sz w:val="24"/>
                <w:szCs w:val="24"/>
              </w:rPr>
            </w:pPr>
            <w:r>
              <w:rPr>
                <w:rFonts w:hint="eastAsia" w:ascii="宋体" w:hAnsi="宋体" w:eastAsia="宋体" w:cs="Times New Roman"/>
                <w:kern w:val="0"/>
                <w:sz w:val="20"/>
                <w:szCs w:val="20"/>
              </w:rPr>
              <w:t xml:space="preserve">XXX </w:t>
            </w:r>
          </w:p>
        </w:tc>
      </w:tr>
      <w:tr w14:paraId="2248D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7CF78B86">
            <w:pPr>
              <w:rPr>
                <w:rFonts w:ascii="宋体" w:hAnsi="宋体" w:eastAsia="宋体" w:cs="宋体"/>
                <w:kern w:val="0"/>
                <w:sz w:val="24"/>
                <w:szCs w:val="24"/>
              </w:rPr>
            </w:pPr>
            <w:r>
              <w:rPr>
                <w:rFonts w:hint="eastAsia" w:ascii="宋体" w:hAnsi="宋体" w:eastAsia="宋体" w:cs="Times New Roman"/>
                <w:kern w:val="0"/>
                <w:sz w:val="20"/>
                <w:szCs w:val="20"/>
              </w:rPr>
              <w:t xml:space="preserve">当日净赎回的基金份额上限 </w:t>
            </w:r>
          </w:p>
        </w:tc>
        <w:tc>
          <w:tcPr>
            <w:tcW w:w="4291" w:type="dxa"/>
            <w:gridSpan w:val="5"/>
            <w:shd w:val="clear" w:color="auto" w:fill="auto"/>
          </w:tcPr>
          <w:p w14:paraId="6BAB1663">
            <w:pPr>
              <w:rPr>
                <w:rFonts w:ascii="宋体" w:hAnsi="宋体" w:eastAsia="宋体" w:cs="宋体"/>
                <w:kern w:val="0"/>
                <w:sz w:val="24"/>
                <w:szCs w:val="24"/>
              </w:rPr>
            </w:pPr>
            <w:r>
              <w:rPr>
                <w:rFonts w:hint="eastAsia" w:ascii="宋体" w:hAnsi="宋体" w:eastAsia="宋体" w:cs="Times New Roman"/>
                <w:kern w:val="0"/>
                <w:sz w:val="20"/>
                <w:szCs w:val="20"/>
              </w:rPr>
              <w:t xml:space="preserve">XXX </w:t>
            </w:r>
          </w:p>
        </w:tc>
      </w:tr>
      <w:tr w14:paraId="35FE1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25B84013">
            <w:pPr>
              <w:rPr>
                <w:rFonts w:ascii="宋体" w:hAnsi="宋体" w:eastAsia="宋体" w:cs="宋体"/>
                <w:kern w:val="0"/>
                <w:sz w:val="24"/>
                <w:szCs w:val="24"/>
              </w:rPr>
            </w:pPr>
            <w:r>
              <w:rPr>
                <w:rFonts w:hint="eastAsia" w:ascii="宋体" w:hAnsi="宋体" w:eastAsia="宋体" w:cs="Times New Roman"/>
                <w:kern w:val="0"/>
                <w:sz w:val="20"/>
                <w:szCs w:val="20"/>
              </w:rPr>
              <w:t xml:space="preserve">单个证券账户当日净申购的基金份额上限 </w:t>
            </w:r>
          </w:p>
        </w:tc>
        <w:tc>
          <w:tcPr>
            <w:tcW w:w="4291" w:type="dxa"/>
            <w:gridSpan w:val="5"/>
            <w:shd w:val="clear" w:color="auto" w:fill="auto"/>
          </w:tcPr>
          <w:p w14:paraId="64EBC6BB">
            <w:pPr>
              <w:rPr>
                <w:rFonts w:ascii="宋体" w:hAnsi="宋体" w:eastAsia="宋体" w:cs="宋体"/>
                <w:kern w:val="0"/>
                <w:sz w:val="24"/>
                <w:szCs w:val="24"/>
              </w:rPr>
            </w:pPr>
            <w:r>
              <w:rPr>
                <w:rFonts w:hint="eastAsia" w:ascii="宋体" w:hAnsi="宋体" w:eastAsia="宋体" w:cs="Times New Roman"/>
                <w:kern w:val="0"/>
                <w:sz w:val="20"/>
                <w:szCs w:val="20"/>
              </w:rPr>
              <w:t xml:space="preserve">XXX </w:t>
            </w:r>
          </w:p>
        </w:tc>
      </w:tr>
      <w:tr w14:paraId="3A34E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6F33A3BF">
            <w:pPr>
              <w:rPr>
                <w:rFonts w:ascii="宋体" w:hAnsi="宋体" w:eastAsia="宋体" w:cs="Times New Roman"/>
                <w:kern w:val="0"/>
                <w:sz w:val="20"/>
                <w:szCs w:val="20"/>
              </w:rPr>
            </w:pPr>
            <w:r>
              <w:rPr>
                <w:rFonts w:hint="eastAsia" w:ascii="宋体" w:hAnsi="宋体" w:eastAsia="宋体" w:cs="Times New Roman"/>
                <w:kern w:val="0"/>
                <w:sz w:val="20"/>
                <w:szCs w:val="20"/>
              </w:rPr>
              <w:t>单个证券账户当日净赎回的基金份额上限</w:t>
            </w:r>
          </w:p>
        </w:tc>
        <w:tc>
          <w:tcPr>
            <w:tcW w:w="4291" w:type="dxa"/>
            <w:gridSpan w:val="5"/>
            <w:shd w:val="clear" w:color="auto" w:fill="auto"/>
          </w:tcPr>
          <w:p w14:paraId="271D70E1">
            <w:pPr>
              <w:rPr>
                <w:rFonts w:ascii="宋体" w:hAnsi="宋体" w:eastAsia="宋体" w:cs="Times New Roman"/>
                <w:kern w:val="0"/>
                <w:sz w:val="20"/>
                <w:szCs w:val="20"/>
              </w:rPr>
            </w:pPr>
            <w:r>
              <w:rPr>
                <w:rFonts w:hint="eastAsia" w:ascii="宋体" w:hAnsi="宋体" w:eastAsia="宋体" w:cs="Times New Roman"/>
                <w:kern w:val="0"/>
                <w:sz w:val="20"/>
                <w:szCs w:val="20"/>
              </w:rPr>
              <w:t>XXX</w:t>
            </w:r>
          </w:p>
        </w:tc>
      </w:tr>
      <w:tr w14:paraId="336A5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2872A4A6">
            <w:pPr>
              <w:rPr>
                <w:rFonts w:ascii="宋体" w:hAnsi="宋体" w:eastAsia="宋体" w:cs="Times New Roman"/>
                <w:kern w:val="0"/>
                <w:sz w:val="20"/>
                <w:szCs w:val="20"/>
              </w:rPr>
            </w:pPr>
            <w:r>
              <w:rPr>
                <w:rFonts w:hint="eastAsia" w:ascii="宋体" w:hAnsi="宋体" w:eastAsia="宋体" w:cs="Times New Roman"/>
                <w:kern w:val="0"/>
                <w:sz w:val="20"/>
                <w:szCs w:val="20"/>
              </w:rPr>
              <w:t>单个证券账户当日累计可申购的基金份额上限</w:t>
            </w:r>
          </w:p>
        </w:tc>
        <w:tc>
          <w:tcPr>
            <w:tcW w:w="4291" w:type="dxa"/>
            <w:gridSpan w:val="5"/>
            <w:shd w:val="clear" w:color="auto" w:fill="auto"/>
          </w:tcPr>
          <w:p w14:paraId="108C5E46">
            <w:pPr>
              <w:rPr>
                <w:rFonts w:ascii="宋体" w:hAnsi="宋体" w:eastAsia="宋体" w:cs="Times New Roman"/>
                <w:kern w:val="0"/>
                <w:sz w:val="20"/>
                <w:szCs w:val="20"/>
              </w:rPr>
            </w:pPr>
            <w:r>
              <w:rPr>
                <w:rFonts w:hint="eastAsia" w:ascii="宋体" w:hAnsi="宋体" w:eastAsia="宋体" w:cs="Times New Roman"/>
                <w:kern w:val="0"/>
                <w:sz w:val="20"/>
                <w:szCs w:val="20"/>
              </w:rPr>
              <w:t>XXX</w:t>
            </w:r>
          </w:p>
        </w:tc>
      </w:tr>
      <w:tr w14:paraId="40887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4D514638">
            <w:pPr>
              <w:rPr>
                <w:rFonts w:ascii="宋体" w:hAnsi="宋体" w:eastAsia="宋体" w:cs="Times New Roman"/>
                <w:kern w:val="0"/>
                <w:sz w:val="20"/>
                <w:szCs w:val="20"/>
              </w:rPr>
            </w:pPr>
            <w:r>
              <w:rPr>
                <w:rFonts w:hint="eastAsia" w:ascii="宋体" w:hAnsi="宋体" w:eastAsia="宋体" w:cs="Times New Roman"/>
                <w:kern w:val="0"/>
                <w:sz w:val="20"/>
                <w:szCs w:val="20"/>
              </w:rPr>
              <w:t>单个证券账户当日累计可赎回的基金份额上限</w:t>
            </w:r>
          </w:p>
        </w:tc>
        <w:tc>
          <w:tcPr>
            <w:tcW w:w="4291" w:type="dxa"/>
            <w:gridSpan w:val="5"/>
            <w:shd w:val="clear" w:color="auto" w:fill="auto"/>
          </w:tcPr>
          <w:p w14:paraId="48A66F30">
            <w:pPr>
              <w:rPr>
                <w:rFonts w:ascii="宋体" w:hAnsi="宋体" w:eastAsia="宋体" w:cs="Times New Roman"/>
                <w:kern w:val="0"/>
                <w:sz w:val="20"/>
                <w:szCs w:val="20"/>
              </w:rPr>
            </w:pPr>
            <w:r>
              <w:rPr>
                <w:rFonts w:hint="eastAsia" w:ascii="宋体" w:hAnsi="宋体" w:eastAsia="宋体" w:cs="Times New Roman"/>
                <w:kern w:val="0"/>
                <w:sz w:val="20"/>
                <w:szCs w:val="20"/>
              </w:rPr>
              <w:t>XXX</w:t>
            </w:r>
          </w:p>
        </w:tc>
      </w:tr>
      <w:tr w14:paraId="720FA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0F18EFC3">
            <w:pPr>
              <w:rPr>
                <w:rFonts w:ascii="宋体" w:hAnsi="宋体" w:eastAsia="宋体" w:cs="Times New Roman"/>
                <w:kern w:val="0"/>
                <w:sz w:val="20"/>
                <w:szCs w:val="20"/>
              </w:rPr>
            </w:pPr>
            <w:r>
              <w:rPr>
                <w:rFonts w:hint="eastAsia" w:ascii="宋体" w:hAnsi="宋体" w:eastAsia="宋体" w:cs="Times New Roman"/>
                <w:kern w:val="0"/>
                <w:sz w:val="20"/>
                <w:szCs w:val="20"/>
              </w:rPr>
              <w:t>是否需要公布IOPV</w:t>
            </w:r>
          </w:p>
        </w:tc>
        <w:tc>
          <w:tcPr>
            <w:tcW w:w="4291" w:type="dxa"/>
            <w:gridSpan w:val="5"/>
            <w:shd w:val="clear" w:color="auto" w:fill="auto"/>
          </w:tcPr>
          <w:p w14:paraId="17CAB4F2">
            <w:pPr>
              <w:rPr>
                <w:rFonts w:ascii="宋体" w:hAnsi="宋体" w:eastAsia="宋体" w:cs="Times New Roman"/>
                <w:kern w:val="0"/>
                <w:sz w:val="20"/>
                <w:szCs w:val="20"/>
              </w:rPr>
            </w:pPr>
            <w:r>
              <w:rPr>
                <w:rFonts w:hint="eastAsia" w:ascii="宋体" w:hAnsi="宋体" w:eastAsia="宋体" w:cs="Times New Roman"/>
                <w:kern w:val="0"/>
                <w:sz w:val="20"/>
                <w:szCs w:val="20"/>
              </w:rPr>
              <w:t>XXX</w:t>
            </w:r>
          </w:p>
        </w:tc>
      </w:tr>
      <w:tr w14:paraId="50BAC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5CC4C3ED">
            <w:pPr>
              <w:rPr>
                <w:rFonts w:ascii="宋体" w:hAnsi="宋体" w:eastAsia="宋体" w:cs="Times New Roman"/>
                <w:kern w:val="0"/>
                <w:sz w:val="20"/>
                <w:szCs w:val="20"/>
              </w:rPr>
            </w:pPr>
            <w:r>
              <w:rPr>
                <w:rFonts w:hint="eastAsia" w:ascii="宋体" w:hAnsi="宋体" w:eastAsia="宋体" w:cs="Times New Roman"/>
                <w:kern w:val="0"/>
                <w:sz w:val="20"/>
                <w:szCs w:val="20"/>
              </w:rPr>
              <w:t>最小申购、赎回单位（单位：份）</w:t>
            </w:r>
          </w:p>
        </w:tc>
        <w:tc>
          <w:tcPr>
            <w:tcW w:w="4291" w:type="dxa"/>
            <w:gridSpan w:val="5"/>
            <w:shd w:val="clear" w:color="auto" w:fill="auto"/>
          </w:tcPr>
          <w:p w14:paraId="2FF02007">
            <w:pPr>
              <w:rPr>
                <w:rFonts w:ascii="宋体" w:hAnsi="宋体" w:eastAsia="宋体" w:cs="Times New Roman"/>
                <w:kern w:val="0"/>
                <w:sz w:val="20"/>
                <w:szCs w:val="20"/>
              </w:rPr>
            </w:pPr>
            <w:r>
              <w:rPr>
                <w:rFonts w:hint="eastAsia" w:ascii="宋体" w:hAnsi="宋体" w:eastAsia="宋体" w:cs="Times New Roman"/>
                <w:kern w:val="0"/>
                <w:sz w:val="20"/>
                <w:szCs w:val="20"/>
              </w:rPr>
              <w:t>XXX</w:t>
            </w:r>
          </w:p>
        </w:tc>
      </w:tr>
      <w:tr w14:paraId="233FB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3DBC317A">
            <w:pPr>
              <w:rPr>
                <w:rFonts w:ascii="宋体" w:hAnsi="宋体" w:eastAsia="宋体" w:cs="Times New Roman"/>
                <w:kern w:val="0"/>
                <w:sz w:val="20"/>
                <w:szCs w:val="20"/>
              </w:rPr>
            </w:pPr>
            <w:r>
              <w:rPr>
                <w:rFonts w:hint="eastAsia" w:ascii="宋体" w:hAnsi="宋体" w:eastAsia="宋体" w:cs="Times New Roman"/>
                <w:kern w:val="0"/>
                <w:sz w:val="20"/>
                <w:szCs w:val="20"/>
              </w:rPr>
              <w:t>申购赎回的允许情况</w:t>
            </w:r>
          </w:p>
        </w:tc>
        <w:tc>
          <w:tcPr>
            <w:tcW w:w="4291" w:type="dxa"/>
            <w:gridSpan w:val="5"/>
            <w:shd w:val="clear" w:color="auto" w:fill="auto"/>
          </w:tcPr>
          <w:p w14:paraId="0693A280">
            <w:pPr>
              <w:rPr>
                <w:rFonts w:ascii="宋体" w:hAnsi="宋体" w:eastAsia="宋体" w:cs="Times New Roman"/>
                <w:kern w:val="0"/>
                <w:sz w:val="20"/>
                <w:szCs w:val="20"/>
              </w:rPr>
            </w:pPr>
            <w:r>
              <w:rPr>
                <w:rFonts w:hint="eastAsia" w:ascii="宋体" w:hAnsi="宋体" w:eastAsia="宋体" w:cs="Times New Roman"/>
                <w:kern w:val="0"/>
                <w:sz w:val="20"/>
                <w:szCs w:val="20"/>
              </w:rPr>
              <w:t>XXX</w:t>
            </w:r>
          </w:p>
        </w:tc>
      </w:tr>
      <w:tr w14:paraId="70D69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225" w:type="dxa"/>
            <w:gridSpan w:val="4"/>
            <w:shd w:val="clear" w:color="auto" w:fill="auto"/>
          </w:tcPr>
          <w:p w14:paraId="7C152AB1">
            <w:pPr>
              <w:rPr>
                <w:rFonts w:ascii="宋体" w:hAnsi="宋体" w:eastAsia="宋体" w:cs="Times New Roman"/>
                <w:kern w:val="0"/>
                <w:sz w:val="20"/>
                <w:szCs w:val="20"/>
              </w:rPr>
            </w:pPr>
            <w:r>
              <w:rPr>
                <w:rFonts w:hint="eastAsia" w:ascii="宋体" w:hAnsi="宋体" w:eastAsia="宋体" w:cs="Times New Roman"/>
                <w:kern w:val="0"/>
                <w:sz w:val="20"/>
                <w:szCs w:val="20"/>
              </w:rPr>
              <w:t>申购赎回模式</w:t>
            </w:r>
          </w:p>
        </w:tc>
        <w:tc>
          <w:tcPr>
            <w:tcW w:w="4291" w:type="dxa"/>
            <w:gridSpan w:val="5"/>
            <w:shd w:val="clear" w:color="auto" w:fill="auto"/>
          </w:tcPr>
          <w:p w14:paraId="37874F85">
            <w:pPr>
              <w:rPr>
                <w:rFonts w:ascii="宋体" w:hAnsi="宋体" w:eastAsia="宋体" w:cs="Times New Roman"/>
                <w:kern w:val="0"/>
                <w:sz w:val="20"/>
                <w:szCs w:val="20"/>
              </w:rPr>
            </w:pPr>
            <w:r>
              <w:rPr>
                <w:rFonts w:hint="eastAsia" w:ascii="宋体" w:hAnsi="宋体" w:eastAsia="宋体" w:cs="Times New Roman"/>
                <w:kern w:val="0"/>
                <w:sz w:val="20"/>
                <w:szCs w:val="20"/>
              </w:rPr>
              <w:t>XXX</w:t>
            </w:r>
          </w:p>
        </w:tc>
      </w:tr>
      <w:tr w14:paraId="15CA4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516" w:type="dxa"/>
            <w:gridSpan w:val="9"/>
            <w:shd w:val="clear" w:color="auto" w:fill="auto"/>
          </w:tcPr>
          <w:p w14:paraId="2690B09D">
            <w:pPr>
              <w:rPr>
                <w:rFonts w:ascii="宋体" w:hAnsi="宋体" w:eastAsia="宋体" w:cs="宋体"/>
                <w:kern w:val="0"/>
                <w:sz w:val="24"/>
                <w:szCs w:val="24"/>
              </w:rPr>
            </w:pPr>
            <w:r>
              <w:rPr>
                <w:rFonts w:hint="eastAsia" w:ascii="宋体" w:hAnsi="宋体" w:eastAsia="宋体" w:cs="Times New Roman"/>
                <w:kern w:val="0"/>
                <w:sz w:val="20"/>
                <w:szCs w:val="20"/>
              </w:rPr>
              <w:t xml:space="preserve">成份股信息内容 </w:t>
            </w:r>
          </w:p>
        </w:tc>
      </w:tr>
      <w:tr w14:paraId="586C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857" w:type="dxa"/>
            <w:shd w:val="clear" w:color="auto" w:fill="auto"/>
          </w:tcPr>
          <w:p w14:paraId="0596A537">
            <w:pPr>
              <w:rPr>
                <w:rFonts w:ascii="宋体" w:hAnsi="宋体" w:eastAsia="宋体" w:cs="宋体"/>
                <w:kern w:val="0"/>
                <w:sz w:val="24"/>
                <w:szCs w:val="24"/>
              </w:rPr>
            </w:pPr>
            <w:r>
              <w:rPr>
                <w:rFonts w:hint="eastAsia" w:ascii="宋体" w:hAnsi="宋体" w:eastAsia="宋体" w:cs="Times New Roman"/>
                <w:kern w:val="0"/>
                <w:sz w:val="20"/>
                <w:szCs w:val="20"/>
                <w:lang w:val="en-US" w:eastAsia="zh-CN"/>
              </w:rPr>
              <w:t>证券</w:t>
            </w:r>
            <w:r>
              <w:rPr>
                <w:rFonts w:hint="eastAsia" w:ascii="宋体" w:hAnsi="宋体" w:eastAsia="宋体" w:cs="Times New Roman"/>
                <w:kern w:val="0"/>
                <w:sz w:val="20"/>
                <w:szCs w:val="20"/>
              </w:rPr>
              <w:t xml:space="preserve">代码 </w:t>
            </w:r>
          </w:p>
        </w:tc>
        <w:tc>
          <w:tcPr>
            <w:tcW w:w="1567" w:type="dxa"/>
            <w:shd w:val="clear" w:color="auto" w:fill="auto"/>
          </w:tcPr>
          <w:p w14:paraId="019BD105">
            <w:pPr>
              <w:rPr>
                <w:rFonts w:ascii="宋体" w:hAnsi="宋体" w:eastAsia="宋体" w:cs="宋体"/>
                <w:kern w:val="0"/>
                <w:sz w:val="24"/>
                <w:szCs w:val="24"/>
              </w:rPr>
            </w:pPr>
            <w:r>
              <w:rPr>
                <w:rFonts w:hint="eastAsia" w:ascii="宋体" w:hAnsi="宋体" w:eastAsia="宋体" w:cs="Times New Roman"/>
                <w:kern w:val="0"/>
                <w:sz w:val="20"/>
                <w:szCs w:val="20"/>
                <w:lang w:val="en-US" w:eastAsia="zh-CN"/>
              </w:rPr>
              <w:t>证券</w:t>
            </w:r>
            <w:r>
              <w:rPr>
                <w:rFonts w:hint="eastAsia" w:ascii="宋体" w:hAnsi="宋体" w:eastAsia="宋体" w:cs="Times New Roman"/>
                <w:kern w:val="0"/>
                <w:sz w:val="20"/>
                <w:szCs w:val="20"/>
              </w:rPr>
              <w:t xml:space="preserve">简称 </w:t>
            </w:r>
          </w:p>
        </w:tc>
        <w:tc>
          <w:tcPr>
            <w:tcW w:w="1000" w:type="dxa"/>
            <w:shd w:val="clear" w:color="auto" w:fill="auto"/>
          </w:tcPr>
          <w:p w14:paraId="0C90D7EC">
            <w:pPr>
              <w:rPr>
                <w:rFonts w:ascii="宋体" w:hAnsi="宋体" w:eastAsia="宋体" w:cs="Times New Roman"/>
                <w:kern w:val="0"/>
                <w:sz w:val="20"/>
                <w:szCs w:val="20"/>
              </w:rPr>
            </w:pPr>
            <w:r>
              <w:rPr>
                <w:rFonts w:hint="eastAsia" w:ascii="宋体" w:hAnsi="宋体" w:eastAsia="宋体" w:cs="Times New Roman"/>
                <w:kern w:val="0"/>
                <w:sz w:val="20"/>
                <w:szCs w:val="20"/>
              </w:rPr>
              <w:t>股票数量</w:t>
            </w:r>
          </w:p>
          <w:p w14:paraId="26B12A5D">
            <w:pPr>
              <w:rPr>
                <w:rFonts w:ascii="宋体" w:hAnsi="宋体" w:eastAsia="宋体" w:cs="宋体"/>
                <w:kern w:val="0"/>
                <w:sz w:val="24"/>
                <w:szCs w:val="24"/>
              </w:rPr>
            </w:pPr>
            <w:r>
              <w:rPr>
                <w:rFonts w:hint="eastAsia" w:ascii="宋体" w:hAnsi="宋体" w:eastAsia="宋体" w:cs="Times New Roman"/>
                <w:kern w:val="0"/>
                <w:sz w:val="20"/>
                <w:szCs w:val="20"/>
              </w:rPr>
              <w:t>（股）</w:t>
            </w:r>
          </w:p>
        </w:tc>
        <w:tc>
          <w:tcPr>
            <w:tcW w:w="1566" w:type="dxa"/>
            <w:gridSpan w:val="2"/>
            <w:shd w:val="clear" w:color="auto" w:fill="auto"/>
          </w:tcPr>
          <w:p w14:paraId="5D4BBFFF">
            <w:pPr>
              <w:rPr>
                <w:rFonts w:ascii="宋体" w:hAnsi="宋体" w:eastAsia="宋体" w:cs="宋体"/>
                <w:kern w:val="0"/>
                <w:sz w:val="24"/>
                <w:szCs w:val="24"/>
              </w:rPr>
            </w:pPr>
            <w:r>
              <w:rPr>
                <w:rFonts w:hint="eastAsia" w:ascii="宋体" w:hAnsi="宋体" w:eastAsia="宋体" w:cs="Times New Roman"/>
                <w:kern w:val="0"/>
                <w:sz w:val="20"/>
                <w:szCs w:val="20"/>
              </w:rPr>
              <w:t xml:space="preserve">现金替代标志 </w:t>
            </w:r>
          </w:p>
        </w:tc>
        <w:tc>
          <w:tcPr>
            <w:tcW w:w="1566" w:type="dxa"/>
            <w:shd w:val="clear" w:color="auto" w:fill="auto"/>
          </w:tcPr>
          <w:p w14:paraId="78215314">
            <w:pPr>
              <w:rPr>
                <w:rFonts w:ascii="宋体" w:hAnsi="宋体" w:eastAsia="宋体" w:cs="Times New Roman"/>
                <w:kern w:val="0"/>
                <w:sz w:val="20"/>
                <w:szCs w:val="20"/>
              </w:rPr>
            </w:pPr>
            <w:r>
              <w:rPr>
                <w:rFonts w:hint="eastAsia" w:ascii="宋体" w:hAnsi="宋体" w:eastAsia="宋体" w:cs="Times New Roman"/>
                <w:kern w:val="0"/>
                <w:sz w:val="20"/>
                <w:szCs w:val="20"/>
              </w:rPr>
              <w:t>申购现金替</w:t>
            </w:r>
          </w:p>
          <w:p w14:paraId="4CF2BDB3">
            <w:pPr>
              <w:rPr>
                <w:rFonts w:ascii="宋体" w:hAnsi="宋体" w:eastAsia="宋体" w:cs="宋体"/>
                <w:kern w:val="0"/>
                <w:sz w:val="24"/>
                <w:szCs w:val="24"/>
              </w:rPr>
            </w:pPr>
            <w:r>
              <w:rPr>
                <w:rFonts w:hint="eastAsia" w:ascii="宋体" w:hAnsi="宋体" w:eastAsia="宋体" w:cs="Times New Roman"/>
                <w:kern w:val="0"/>
                <w:sz w:val="20"/>
                <w:szCs w:val="20"/>
              </w:rPr>
              <w:t xml:space="preserve">代溢价比例 </w:t>
            </w:r>
          </w:p>
        </w:tc>
        <w:tc>
          <w:tcPr>
            <w:tcW w:w="856" w:type="dxa"/>
            <w:shd w:val="clear" w:color="auto" w:fill="auto"/>
          </w:tcPr>
          <w:p w14:paraId="2D4DA83A">
            <w:pPr>
              <w:rPr>
                <w:rFonts w:ascii="宋体" w:hAnsi="宋体" w:eastAsia="宋体" w:cs="Times New Roman"/>
                <w:kern w:val="0"/>
                <w:sz w:val="20"/>
                <w:szCs w:val="20"/>
              </w:rPr>
            </w:pPr>
            <w:r>
              <w:rPr>
                <w:rFonts w:hint="eastAsia" w:ascii="宋体" w:hAnsi="宋体" w:eastAsia="宋体" w:cs="Times New Roman"/>
                <w:kern w:val="0"/>
                <w:sz w:val="20"/>
                <w:szCs w:val="20"/>
              </w:rPr>
              <w:t>赎回现金替</w:t>
            </w:r>
          </w:p>
          <w:p w14:paraId="2B700EEA">
            <w:pPr>
              <w:rPr>
                <w:rFonts w:ascii="宋体" w:hAnsi="宋体" w:eastAsia="宋体" w:cs="宋体"/>
                <w:kern w:val="0"/>
                <w:sz w:val="24"/>
                <w:szCs w:val="24"/>
              </w:rPr>
            </w:pPr>
            <w:r>
              <w:rPr>
                <w:rFonts w:hint="eastAsia" w:ascii="宋体" w:hAnsi="宋体" w:eastAsia="宋体" w:cs="Times New Roman"/>
                <w:kern w:val="0"/>
                <w:sz w:val="20"/>
                <w:szCs w:val="20"/>
              </w:rPr>
              <w:t xml:space="preserve">代折价比例 </w:t>
            </w:r>
          </w:p>
        </w:tc>
        <w:tc>
          <w:tcPr>
            <w:tcW w:w="636" w:type="dxa"/>
            <w:shd w:val="clear" w:color="auto" w:fill="auto"/>
          </w:tcPr>
          <w:p w14:paraId="49A29161">
            <w:pPr>
              <w:rPr>
                <w:rFonts w:ascii="宋体" w:hAnsi="宋体" w:eastAsia="宋体" w:cs="Times New Roman"/>
                <w:kern w:val="0"/>
                <w:sz w:val="20"/>
                <w:szCs w:val="20"/>
              </w:rPr>
            </w:pPr>
            <w:r>
              <w:rPr>
                <w:rFonts w:hint="eastAsia" w:ascii="宋体" w:hAnsi="宋体" w:eastAsia="宋体" w:cs="Times New Roman"/>
                <w:kern w:val="0"/>
                <w:sz w:val="20"/>
                <w:szCs w:val="20"/>
              </w:rPr>
              <w:t>替代金额（单</w:t>
            </w:r>
          </w:p>
          <w:p w14:paraId="32B0B2BC">
            <w:pPr>
              <w:rPr>
                <w:rFonts w:ascii="宋体" w:hAnsi="宋体" w:eastAsia="宋体" w:cs="宋体"/>
                <w:kern w:val="0"/>
                <w:sz w:val="24"/>
                <w:szCs w:val="24"/>
              </w:rPr>
            </w:pPr>
            <w:r>
              <w:rPr>
                <w:rFonts w:hint="eastAsia" w:ascii="宋体" w:hAnsi="宋体" w:eastAsia="宋体" w:cs="Times New Roman"/>
                <w:kern w:val="0"/>
                <w:sz w:val="20"/>
                <w:szCs w:val="20"/>
              </w:rPr>
              <w:t xml:space="preserve">位：人民币元） </w:t>
            </w:r>
          </w:p>
        </w:tc>
        <w:tc>
          <w:tcPr>
            <w:tcW w:w="468" w:type="dxa"/>
            <w:shd w:val="clear" w:color="auto" w:fill="auto"/>
          </w:tcPr>
          <w:p w14:paraId="3EEED975">
            <w:pPr>
              <w:widowControl/>
              <w:jc w:val="left"/>
              <w:rPr>
                <w:rFonts w:ascii="Times New Roman" w:hAnsi="Times New Roman" w:eastAsia="宋体" w:cs="Times New Roman"/>
                <w:kern w:val="0"/>
                <w:sz w:val="20"/>
                <w:szCs w:val="20"/>
              </w:rPr>
            </w:pPr>
            <w:r>
              <w:rPr>
                <w:rFonts w:hint="eastAsia" w:ascii="宋体" w:hAnsi="宋体" w:eastAsia="宋体" w:cs="宋体"/>
                <w:color w:val="000000"/>
                <w:kern w:val="0"/>
                <w:sz w:val="21"/>
                <w:szCs w:val="21"/>
                <w:lang w:bidi="ar"/>
              </w:rPr>
              <w:t xml:space="preserve">挂牌 </w:t>
            </w:r>
          </w:p>
          <w:p w14:paraId="6F2A4FAA">
            <w:pPr>
              <w:widowControl/>
              <w:jc w:val="left"/>
              <w:rPr>
                <w:rFonts w:ascii="Times New Roman" w:hAnsi="Times New Roman" w:eastAsia="宋体" w:cs="Times New Roman"/>
                <w:kern w:val="0"/>
                <w:sz w:val="20"/>
                <w:szCs w:val="20"/>
              </w:rPr>
            </w:pPr>
            <w:r>
              <w:rPr>
                <w:rFonts w:hint="eastAsia" w:ascii="宋体" w:hAnsi="宋体" w:eastAsia="宋体" w:cs="宋体"/>
                <w:color w:val="000000"/>
                <w:kern w:val="0"/>
                <w:sz w:val="21"/>
                <w:szCs w:val="21"/>
                <w:lang w:bidi="ar"/>
              </w:rPr>
              <w:t>市场</w:t>
            </w:r>
          </w:p>
          <w:p w14:paraId="2BDDF362">
            <w:pPr>
              <w:rPr>
                <w:rFonts w:ascii="宋体" w:hAnsi="宋体" w:eastAsia="宋体" w:cs="Times New Roman"/>
                <w:kern w:val="0"/>
                <w:sz w:val="20"/>
                <w:szCs w:val="20"/>
              </w:rPr>
            </w:pPr>
          </w:p>
        </w:tc>
      </w:tr>
      <w:tr w14:paraId="6A51D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57" w:type="dxa"/>
            <w:shd w:val="clear" w:color="auto" w:fill="auto"/>
          </w:tcPr>
          <w:p w14:paraId="02BD6628">
            <w:pPr>
              <w:rPr>
                <w:rFonts w:ascii="宋体" w:hAnsi="宋体" w:eastAsia="宋体" w:cs="宋体"/>
                <w:kern w:val="0"/>
                <w:sz w:val="24"/>
                <w:szCs w:val="24"/>
              </w:rPr>
            </w:pPr>
          </w:p>
        </w:tc>
        <w:tc>
          <w:tcPr>
            <w:tcW w:w="1567" w:type="dxa"/>
            <w:shd w:val="clear" w:color="auto" w:fill="auto"/>
          </w:tcPr>
          <w:p w14:paraId="3F862BD1">
            <w:pPr>
              <w:rPr>
                <w:rFonts w:ascii="宋体" w:hAnsi="宋体" w:eastAsia="宋体" w:cs="宋体"/>
                <w:kern w:val="0"/>
                <w:sz w:val="24"/>
                <w:szCs w:val="24"/>
              </w:rPr>
            </w:pPr>
          </w:p>
        </w:tc>
        <w:tc>
          <w:tcPr>
            <w:tcW w:w="1000" w:type="dxa"/>
            <w:shd w:val="clear" w:color="auto" w:fill="auto"/>
          </w:tcPr>
          <w:p w14:paraId="664DCE80">
            <w:pPr>
              <w:rPr>
                <w:rFonts w:ascii="宋体" w:hAnsi="宋体" w:eastAsia="宋体" w:cs="宋体"/>
                <w:kern w:val="0"/>
                <w:sz w:val="24"/>
                <w:szCs w:val="24"/>
              </w:rPr>
            </w:pPr>
          </w:p>
        </w:tc>
        <w:tc>
          <w:tcPr>
            <w:tcW w:w="1566" w:type="dxa"/>
            <w:gridSpan w:val="2"/>
            <w:shd w:val="clear" w:color="auto" w:fill="auto"/>
          </w:tcPr>
          <w:p w14:paraId="78639596">
            <w:pPr>
              <w:rPr>
                <w:rFonts w:ascii="宋体" w:hAnsi="宋体" w:eastAsia="宋体" w:cs="宋体"/>
                <w:kern w:val="0"/>
                <w:sz w:val="24"/>
                <w:szCs w:val="24"/>
              </w:rPr>
            </w:pPr>
          </w:p>
        </w:tc>
        <w:tc>
          <w:tcPr>
            <w:tcW w:w="1566" w:type="dxa"/>
            <w:shd w:val="clear" w:color="auto" w:fill="auto"/>
          </w:tcPr>
          <w:p w14:paraId="0855F104">
            <w:pPr>
              <w:rPr>
                <w:rFonts w:ascii="宋体" w:hAnsi="宋体" w:eastAsia="宋体" w:cs="宋体"/>
                <w:kern w:val="0"/>
                <w:sz w:val="24"/>
                <w:szCs w:val="24"/>
              </w:rPr>
            </w:pPr>
          </w:p>
        </w:tc>
        <w:tc>
          <w:tcPr>
            <w:tcW w:w="856" w:type="dxa"/>
            <w:shd w:val="clear" w:color="auto" w:fill="auto"/>
          </w:tcPr>
          <w:p w14:paraId="28565D95">
            <w:pPr>
              <w:rPr>
                <w:rFonts w:ascii="宋体" w:hAnsi="宋体" w:eastAsia="宋体" w:cs="宋体"/>
                <w:kern w:val="0"/>
                <w:sz w:val="24"/>
                <w:szCs w:val="24"/>
              </w:rPr>
            </w:pPr>
          </w:p>
        </w:tc>
        <w:tc>
          <w:tcPr>
            <w:tcW w:w="636" w:type="dxa"/>
            <w:shd w:val="clear" w:color="auto" w:fill="auto"/>
          </w:tcPr>
          <w:p w14:paraId="4B3F5058">
            <w:pPr>
              <w:rPr>
                <w:rFonts w:ascii="宋体" w:hAnsi="宋体" w:eastAsia="宋体" w:cs="宋体"/>
                <w:kern w:val="0"/>
                <w:sz w:val="24"/>
                <w:szCs w:val="24"/>
              </w:rPr>
            </w:pPr>
          </w:p>
        </w:tc>
        <w:tc>
          <w:tcPr>
            <w:tcW w:w="468" w:type="dxa"/>
            <w:shd w:val="clear" w:color="auto" w:fill="auto"/>
          </w:tcPr>
          <w:p w14:paraId="5BB86872">
            <w:pPr>
              <w:rPr>
                <w:rFonts w:ascii="宋体" w:hAnsi="宋体" w:eastAsia="宋体" w:cs="宋体"/>
                <w:kern w:val="0"/>
                <w:sz w:val="24"/>
                <w:szCs w:val="24"/>
              </w:rPr>
            </w:pPr>
          </w:p>
        </w:tc>
      </w:tr>
    </w:tbl>
    <w:p w14:paraId="2257153E">
      <w:pPr>
        <w:pStyle w:val="8"/>
        <w:spacing w:before="0" w:beforeAutospacing="0" w:after="0" w:afterAutospacing="0" w:line="360" w:lineRule="auto"/>
        <w:ind w:firstLine="420"/>
        <w:rPr>
          <w:sz w:val="21"/>
          <w:szCs w:val="21"/>
        </w:rPr>
      </w:pPr>
      <w:r>
        <w:rPr>
          <w:rFonts w:hint="eastAsia"/>
          <w:sz w:val="21"/>
          <w:szCs w:val="21"/>
        </w:rPr>
        <w:t xml:space="preserve">来源：博时基金 </w:t>
      </w:r>
    </w:p>
    <w:p w14:paraId="1B6D3C46">
      <w:pPr>
        <w:pStyle w:val="8"/>
        <w:spacing w:before="0" w:beforeAutospacing="0" w:after="0" w:afterAutospacing="0" w:line="360" w:lineRule="auto"/>
        <w:ind w:firstLine="420"/>
        <w:rPr>
          <w:sz w:val="21"/>
          <w:szCs w:val="21"/>
        </w:rPr>
      </w:pPr>
      <w:r>
        <w:rPr>
          <w:rFonts w:hint="eastAsia"/>
          <w:sz w:val="21"/>
          <w:szCs w:val="21"/>
        </w:rPr>
        <w:t xml:space="preserve">注：基金及指数成份股分红、送配股时申购赎回清单的调整 </w:t>
      </w:r>
    </w:p>
    <w:p w14:paraId="735A26B3">
      <w:pPr>
        <w:pStyle w:val="8"/>
        <w:spacing w:before="0" w:beforeAutospacing="0" w:after="0" w:afterAutospacing="0" w:line="360" w:lineRule="auto"/>
        <w:ind w:firstLine="420"/>
        <w:rPr>
          <w:sz w:val="21"/>
          <w:szCs w:val="21"/>
        </w:rPr>
      </w:pPr>
      <w:r>
        <w:rPr>
          <w:rFonts w:hint="eastAsia"/>
          <w:sz w:val="21"/>
          <w:szCs w:val="21"/>
        </w:rPr>
        <w:t xml:space="preserve">a）基金分红 </w:t>
      </w:r>
    </w:p>
    <w:p w14:paraId="494FE6A0">
      <w:pPr>
        <w:pStyle w:val="8"/>
        <w:spacing w:before="0" w:beforeAutospacing="0" w:after="0" w:afterAutospacing="0" w:line="360" w:lineRule="auto"/>
        <w:ind w:firstLine="420"/>
        <w:rPr>
          <w:sz w:val="21"/>
          <w:szCs w:val="21"/>
        </w:rPr>
      </w:pPr>
      <w:r>
        <w:rPr>
          <w:rFonts w:hint="eastAsia"/>
          <w:sz w:val="21"/>
          <w:szCs w:val="21"/>
        </w:rPr>
        <w:t xml:space="preserve">当基金发生分红时，申购赎回清单中预估现金进行相应的调整。 </w:t>
      </w:r>
    </w:p>
    <w:p w14:paraId="51ACEDF0">
      <w:pPr>
        <w:pStyle w:val="8"/>
        <w:spacing w:before="0" w:beforeAutospacing="0" w:after="0" w:afterAutospacing="0" w:line="360" w:lineRule="auto"/>
        <w:ind w:firstLine="420"/>
        <w:rPr>
          <w:sz w:val="21"/>
          <w:szCs w:val="21"/>
        </w:rPr>
      </w:pPr>
      <w:r>
        <w:rPr>
          <w:rFonts w:hint="eastAsia"/>
          <w:sz w:val="21"/>
          <w:szCs w:val="21"/>
        </w:rPr>
        <w:t xml:space="preserve">b）指数成份股分红 </w:t>
      </w:r>
    </w:p>
    <w:p w14:paraId="149856F5">
      <w:pPr>
        <w:pStyle w:val="8"/>
        <w:spacing w:before="0" w:beforeAutospacing="0" w:after="0" w:afterAutospacing="0" w:line="360" w:lineRule="auto"/>
        <w:ind w:firstLine="420"/>
        <w:rPr>
          <w:sz w:val="21"/>
          <w:szCs w:val="21"/>
        </w:rPr>
      </w:pPr>
      <w:r>
        <w:rPr>
          <w:rFonts w:hint="eastAsia"/>
          <w:sz w:val="21"/>
          <w:szCs w:val="21"/>
        </w:rPr>
        <w:t>指数成份股发生现金分红或者送配股时：现金差额可能发生变化，成份股数量按照前一日的股票市值作为申赎篮子清单成份股市值，按照除权后各成份股占指数中的权重进行分摊。实际结果是申赎清单中，有分红或者送配股的成份股的数量可能会发生变化，其他成份股的</w:t>
      </w:r>
      <w:bookmarkStart w:id="97" w:name="chapter_level1_13_59_section_3_end"/>
      <w:bookmarkEnd w:id="97"/>
      <w:r>
        <w:rPr>
          <w:rFonts w:hint="eastAsia"/>
          <w:sz w:val="21"/>
          <w:szCs w:val="21"/>
        </w:rPr>
        <w:t xml:space="preserve">数量可能会发生变化。这也是目前我们系统采用的方式。  </w:t>
      </w:r>
    </w:p>
    <w:p w14:paraId="7C16CC26">
      <w:pPr>
        <w:pStyle w:val="8"/>
        <w:spacing w:before="0" w:beforeAutospacing="0" w:after="0" w:afterAutospacing="0" w:line="360" w:lineRule="auto"/>
        <w:ind w:firstLine="420"/>
        <w:rPr>
          <w:sz w:val="21"/>
          <w:szCs w:val="21"/>
        </w:rPr>
      </w:pPr>
      <w:bookmarkStart w:id="98" w:name="chapter_level1_13_59_section_4"/>
      <w:bookmarkEnd w:id="98"/>
      <w:r>
        <w:rPr>
          <w:rFonts w:hint="eastAsia"/>
          <w:b/>
          <w:bCs/>
          <w:sz w:val="21"/>
          <w:szCs w:val="21"/>
        </w:rPr>
        <w:t>九、暂停申购、赎回和延缓支付赎回款项的情形</w:t>
      </w:r>
    </w:p>
    <w:p w14:paraId="60F684CA">
      <w:pPr>
        <w:pStyle w:val="8"/>
        <w:spacing w:before="0" w:beforeAutospacing="0" w:after="0" w:afterAutospacing="0" w:line="360" w:lineRule="auto"/>
        <w:ind w:firstLine="420"/>
        <w:rPr>
          <w:sz w:val="21"/>
          <w:szCs w:val="21"/>
        </w:rPr>
      </w:pPr>
      <w:r>
        <w:rPr>
          <w:rFonts w:hint="eastAsia"/>
          <w:sz w:val="21"/>
          <w:szCs w:val="21"/>
        </w:rPr>
        <w:t xml:space="preserve">发生下列情形时，基金管理人可暂停或拒绝基金投资人的申购、赎回申请： </w:t>
      </w:r>
    </w:p>
    <w:p w14:paraId="423E4305">
      <w:pPr>
        <w:pStyle w:val="8"/>
        <w:spacing w:before="0" w:beforeAutospacing="0" w:after="0" w:afterAutospacing="0" w:line="360" w:lineRule="auto"/>
        <w:ind w:firstLine="420"/>
        <w:rPr>
          <w:sz w:val="21"/>
          <w:szCs w:val="21"/>
        </w:rPr>
      </w:pPr>
      <w:r>
        <w:rPr>
          <w:rFonts w:hint="eastAsia"/>
          <w:sz w:val="21"/>
          <w:szCs w:val="21"/>
        </w:rPr>
        <w:t xml:space="preserve">（1）因不可抗力导致基金无法正常运作或基金管理人无法接受投资人的申购、赎回申请；  </w:t>
      </w:r>
    </w:p>
    <w:p w14:paraId="46219C02">
      <w:pPr>
        <w:pStyle w:val="8"/>
        <w:spacing w:before="0" w:beforeAutospacing="0" w:after="0" w:afterAutospacing="0" w:line="360" w:lineRule="auto"/>
        <w:ind w:firstLine="420"/>
        <w:rPr>
          <w:sz w:val="21"/>
          <w:szCs w:val="21"/>
        </w:rPr>
      </w:pPr>
      <w:r>
        <w:rPr>
          <w:rFonts w:hint="eastAsia"/>
          <w:sz w:val="21"/>
          <w:szCs w:val="21"/>
        </w:rPr>
        <w:t xml:space="preserve">（2）上海证券交易所、本基金投资的主要证券交易市场或外汇市场非正常停市； </w:t>
      </w:r>
    </w:p>
    <w:p w14:paraId="4A7D4A3A">
      <w:pPr>
        <w:pStyle w:val="8"/>
        <w:spacing w:before="0" w:beforeAutospacing="0" w:after="0" w:afterAutospacing="0" w:line="360" w:lineRule="auto"/>
        <w:ind w:firstLine="420"/>
        <w:rPr>
          <w:sz w:val="21"/>
          <w:szCs w:val="21"/>
        </w:rPr>
      </w:pPr>
      <w:r>
        <w:rPr>
          <w:rFonts w:hint="eastAsia"/>
          <w:sz w:val="21"/>
          <w:szCs w:val="21"/>
        </w:rPr>
        <w:t xml:space="preserve">（3）上海证券交易所、本基金投资的主要证券交易市场或外汇市场的休市，并可能影响本基金正常估值或运作； </w:t>
      </w:r>
    </w:p>
    <w:p w14:paraId="5A6E62AF">
      <w:pPr>
        <w:pStyle w:val="8"/>
        <w:spacing w:before="0" w:beforeAutospacing="0" w:after="0" w:afterAutospacing="0" w:line="360" w:lineRule="auto"/>
        <w:ind w:firstLine="420"/>
        <w:rPr>
          <w:sz w:val="21"/>
          <w:szCs w:val="21"/>
        </w:rPr>
      </w:pPr>
      <w:r>
        <w:rPr>
          <w:rFonts w:hint="eastAsia"/>
          <w:sz w:val="21"/>
          <w:szCs w:val="21"/>
        </w:rPr>
        <w:t xml:space="preserve">（4）基金管理人开市前未能公布申购、赎回清单，或在开市后发现申购、赎回清单编制错误或IOPV计算错误； </w:t>
      </w:r>
    </w:p>
    <w:p w14:paraId="1D49C733">
      <w:pPr>
        <w:pStyle w:val="8"/>
        <w:spacing w:before="0" w:beforeAutospacing="0" w:after="0" w:afterAutospacing="0" w:line="360" w:lineRule="auto"/>
        <w:ind w:firstLine="420"/>
        <w:rPr>
          <w:sz w:val="21"/>
          <w:szCs w:val="21"/>
        </w:rPr>
      </w:pPr>
      <w:r>
        <w:rPr>
          <w:rFonts w:hint="eastAsia"/>
          <w:sz w:val="21"/>
          <w:szCs w:val="21"/>
        </w:rPr>
        <w:t xml:space="preserve">（5）发生基金合同规定的暂停基金资产估值情况； </w:t>
      </w:r>
    </w:p>
    <w:p w14:paraId="7721FBC2">
      <w:pPr>
        <w:pStyle w:val="8"/>
        <w:spacing w:before="0" w:beforeAutospacing="0" w:after="0" w:afterAutospacing="0" w:line="360" w:lineRule="auto"/>
        <w:ind w:firstLine="420"/>
        <w:rPr>
          <w:sz w:val="21"/>
          <w:szCs w:val="21"/>
        </w:rPr>
      </w:pPr>
      <w:r>
        <w:rPr>
          <w:rFonts w:hint="eastAsia"/>
          <w:sz w:val="21"/>
          <w:szCs w:val="21"/>
        </w:rPr>
        <w:t xml:space="preserve">（6）上海证券交易所、基金管理人、基金托管人、基金销售机构或登记结算机构因异常情况无法办理申购、赎回； </w:t>
      </w:r>
    </w:p>
    <w:p w14:paraId="0A39993B">
      <w:pPr>
        <w:pStyle w:val="8"/>
        <w:spacing w:before="0" w:beforeAutospacing="0" w:after="0" w:afterAutospacing="0" w:line="360" w:lineRule="auto"/>
        <w:ind w:firstLine="420"/>
        <w:rPr>
          <w:sz w:val="21"/>
          <w:szCs w:val="21"/>
        </w:rPr>
      </w:pPr>
      <w:r>
        <w:rPr>
          <w:rFonts w:hint="eastAsia"/>
          <w:sz w:val="21"/>
          <w:szCs w:val="21"/>
        </w:rPr>
        <w:t xml:space="preserve">（7）基金资产规模或者份额数量达到了基金管理人规定的上限（基金管理人可根据外管局的审批及市场情况进行调整）； </w:t>
      </w:r>
    </w:p>
    <w:p w14:paraId="7BF90CB2">
      <w:pPr>
        <w:pStyle w:val="8"/>
        <w:spacing w:before="0" w:beforeAutospacing="0" w:after="0" w:afterAutospacing="0" w:line="360" w:lineRule="auto"/>
        <w:ind w:firstLine="420"/>
        <w:rPr>
          <w:sz w:val="21"/>
          <w:szCs w:val="21"/>
        </w:rPr>
      </w:pPr>
      <w:r>
        <w:rPr>
          <w:rFonts w:hint="eastAsia"/>
          <w:sz w:val="21"/>
          <w:szCs w:val="21"/>
        </w:rPr>
        <w:t xml:space="preserve">（8）基金管理人有正当理由认为接受某笔或某些申购申请可能会影响或损害其他基金份额持有人利益时； </w:t>
      </w:r>
    </w:p>
    <w:p w14:paraId="5F6664E7">
      <w:pPr>
        <w:pStyle w:val="8"/>
        <w:spacing w:before="0" w:beforeAutospacing="0" w:after="0" w:afterAutospacing="0" w:line="360" w:lineRule="auto"/>
        <w:ind w:firstLine="420"/>
        <w:rPr>
          <w:sz w:val="21"/>
          <w:szCs w:val="21"/>
        </w:rPr>
      </w:pPr>
      <w:r>
        <w:rPr>
          <w:rFonts w:hint="eastAsia"/>
          <w:sz w:val="21"/>
          <w:szCs w:val="21"/>
        </w:rPr>
        <w:t xml:space="preserve">（9）连续两个或两个以上开放日发生巨额赎回。  </w:t>
      </w:r>
    </w:p>
    <w:p w14:paraId="2717BFAE">
      <w:pPr>
        <w:pStyle w:val="8"/>
        <w:spacing w:before="0" w:beforeAutospacing="0" w:after="0" w:afterAutospacing="0" w:line="360" w:lineRule="auto"/>
        <w:ind w:firstLine="420"/>
        <w:rPr>
          <w:sz w:val="21"/>
          <w:szCs w:val="21"/>
        </w:rPr>
      </w:pPr>
      <w:r>
        <w:rPr>
          <w:rFonts w:hint="eastAsia"/>
          <w:sz w:val="21"/>
          <w:szCs w:val="21"/>
        </w:rPr>
        <w:t xml:space="preserve">（10）当前一估值日基金资产净值50%以上的资产出现无可参考的活跃市场价格且采用估值技术仍导致公允价值存在重大不确定性时，经与基金托管人协商确认后，基金管理人应当暂停基金估值，并采取延缓支付赎回对价或暂停接受基金申购赎回申请的措施；  </w:t>
      </w:r>
    </w:p>
    <w:p w14:paraId="6825FFC0">
      <w:pPr>
        <w:pStyle w:val="8"/>
        <w:spacing w:before="0" w:beforeAutospacing="0" w:after="0" w:afterAutospacing="0" w:line="360" w:lineRule="auto"/>
        <w:ind w:firstLine="420"/>
        <w:rPr>
          <w:sz w:val="21"/>
          <w:szCs w:val="21"/>
        </w:rPr>
      </w:pPr>
      <w:r>
        <w:rPr>
          <w:rFonts w:hint="eastAsia"/>
          <w:sz w:val="21"/>
          <w:szCs w:val="21"/>
        </w:rPr>
        <w:t xml:space="preserve">（11）法律法规规定或中国证监会、上海证券交易所认定的其他可暂停申购、暂停赎回的情形。  </w:t>
      </w:r>
    </w:p>
    <w:p w14:paraId="65C5F57A">
      <w:pPr>
        <w:pStyle w:val="8"/>
        <w:spacing w:before="0" w:beforeAutospacing="0" w:after="0" w:afterAutospacing="0" w:line="360" w:lineRule="auto"/>
        <w:ind w:firstLine="420"/>
        <w:rPr>
          <w:sz w:val="21"/>
          <w:szCs w:val="21"/>
        </w:rPr>
      </w:pPr>
      <w:r>
        <w:rPr>
          <w:rFonts w:hint="eastAsia"/>
          <w:sz w:val="21"/>
          <w:szCs w:val="21"/>
        </w:rPr>
        <w:t xml:space="preserve">在发生暂停申购或赎回的情形之一时，本基金的申购和赎回可能同时暂停。 </w:t>
      </w:r>
    </w:p>
    <w:p w14:paraId="110DE0E6">
      <w:pPr>
        <w:pStyle w:val="8"/>
        <w:spacing w:before="0" w:beforeAutospacing="0" w:after="0" w:afterAutospacing="0" w:line="360" w:lineRule="auto"/>
        <w:ind w:firstLine="420"/>
        <w:rPr>
          <w:sz w:val="21"/>
          <w:szCs w:val="21"/>
        </w:rPr>
      </w:pPr>
      <w:r>
        <w:rPr>
          <w:rFonts w:hint="eastAsia"/>
          <w:sz w:val="21"/>
          <w:szCs w:val="21"/>
        </w:rPr>
        <w:t xml:space="preserve">发生上述情形之一的，申购对价将全额退还投资人。已接受的赎回申请，基金管理人应当足额支付赎回对价。 </w:t>
      </w:r>
    </w:p>
    <w:p w14:paraId="79E4DCDC">
      <w:pPr>
        <w:pStyle w:val="8"/>
        <w:spacing w:before="0" w:beforeAutospacing="0" w:after="0" w:afterAutospacing="0" w:line="360" w:lineRule="auto"/>
        <w:ind w:firstLine="420"/>
        <w:rPr>
          <w:sz w:val="21"/>
          <w:szCs w:val="21"/>
        </w:rPr>
      </w:pPr>
      <w:r>
        <w:rPr>
          <w:rFonts w:hint="eastAsia"/>
          <w:sz w:val="21"/>
          <w:szCs w:val="21"/>
        </w:rPr>
        <w:t>发生上述（1）到（7）项、第（9）项和（10）、（11）项情形之一且基金管理人决定暂停申购或赎回时，基金管理人应当按规定在指定媒介上刊登暂停申购或赎回公告。在暂停申购或赎回的情况消除时，基金管理人应及时恢复申购或赎回业务的办理，并依照有关规定在指定媒介公告。发生上述第（2）、（3）、（5）、（9）、（10）等项情形时，对于已经</w:t>
      </w:r>
      <w:bookmarkStart w:id="99" w:name="chapter_level1_13_59_section_4_end"/>
      <w:bookmarkEnd w:id="99"/>
      <w:r>
        <w:rPr>
          <w:rFonts w:hint="eastAsia"/>
          <w:sz w:val="21"/>
          <w:szCs w:val="21"/>
        </w:rPr>
        <w:t xml:space="preserve">确认的赎回申请，基金管理人可以根据该情形的实际影响延缓支付赎回款项。 </w:t>
      </w:r>
    </w:p>
    <w:p w14:paraId="32DF621B">
      <w:pPr>
        <w:pStyle w:val="8"/>
        <w:spacing w:before="0" w:beforeAutospacing="0" w:after="0" w:afterAutospacing="0" w:line="360" w:lineRule="auto"/>
        <w:ind w:firstLine="420"/>
        <w:rPr>
          <w:sz w:val="21"/>
          <w:szCs w:val="21"/>
        </w:rPr>
      </w:pPr>
      <w:bookmarkStart w:id="100" w:name="chapter_level1_13_59_section_5"/>
      <w:bookmarkEnd w:id="100"/>
      <w:r>
        <w:rPr>
          <w:rFonts w:hint="eastAsia"/>
          <w:b/>
          <w:bCs/>
          <w:sz w:val="21"/>
          <w:szCs w:val="21"/>
        </w:rPr>
        <w:t>十、基金的非交易过户、基金份额的冻结和解冻等其他业务</w:t>
      </w:r>
    </w:p>
    <w:p w14:paraId="24A42BC2">
      <w:pPr>
        <w:pStyle w:val="8"/>
        <w:spacing w:before="0" w:beforeAutospacing="0" w:after="0" w:afterAutospacing="0" w:line="360" w:lineRule="auto"/>
        <w:ind w:firstLine="420"/>
        <w:rPr>
          <w:sz w:val="21"/>
          <w:szCs w:val="21"/>
        </w:rPr>
      </w:pPr>
      <w:r>
        <w:rPr>
          <w:rFonts w:hint="eastAsia"/>
          <w:sz w:val="21"/>
          <w:szCs w:val="21"/>
        </w:rPr>
        <w:t>基金的登记结算机构可依据其业务规则，受理基金的非交易过户、基金份额的冻结与解</w:t>
      </w:r>
      <w:bookmarkStart w:id="101" w:name="chapter_level1_13_59_section_5_end"/>
      <w:bookmarkEnd w:id="101"/>
      <w:r>
        <w:rPr>
          <w:rFonts w:hint="eastAsia"/>
          <w:sz w:val="21"/>
          <w:szCs w:val="21"/>
        </w:rPr>
        <w:t xml:space="preserve">冻等业务，并收取一定的手续费用。 </w:t>
      </w:r>
    </w:p>
    <w:p w14:paraId="175E8918">
      <w:pPr>
        <w:pStyle w:val="8"/>
        <w:spacing w:before="0" w:beforeAutospacing="0" w:after="0" w:afterAutospacing="0" w:line="360" w:lineRule="auto"/>
        <w:ind w:firstLine="420"/>
        <w:rPr>
          <w:sz w:val="21"/>
          <w:szCs w:val="21"/>
        </w:rPr>
      </w:pPr>
      <w:bookmarkStart w:id="102" w:name="chapter_level1_13_59_section_6"/>
      <w:bookmarkEnd w:id="102"/>
      <w:r>
        <w:rPr>
          <w:rFonts w:hint="eastAsia"/>
          <w:b/>
          <w:bCs/>
          <w:sz w:val="21"/>
          <w:szCs w:val="21"/>
        </w:rPr>
        <w:t>十一、联接基金的投资</w:t>
      </w:r>
    </w:p>
    <w:p w14:paraId="094942C5">
      <w:pPr>
        <w:pStyle w:val="8"/>
        <w:spacing w:before="0" w:beforeAutospacing="0" w:after="0" w:afterAutospacing="0" w:line="360" w:lineRule="auto"/>
        <w:ind w:firstLine="420"/>
        <w:rPr>
          <w:sz w:val="21"/>
          <w:szCs w:val="21"/>
        </w:rPr>
      </w:pPr>
      <w:bookmarkStart w:id="103" w:name="chapter_level1_13_59_section_6_end"/>
      <w:bookmarkEnd w:id="103"/>
      <w:r>
        <w:rPr>
          <w:rFonts w:hint="eastAsia"/>
          <w:sz w:val="21"/>
          <w:szCs w:val="21"/>
        </w:rPr>
        <w:t xml:space="preserve">本基金的联接基金可投资于本基金，与本基金跟踪同一标的指数。 </w:t>
      </w:r>
    </w:p>
    <w:p w14:paraId="2A7F632C">
      <w:pPr>
        <w:pStyle w:val="8"/>
        <w:spacing w:before="0" w:beforeAutospacing="0" w:after="0" w:afterAutospacing="0" w:line="360" w:lineRule="auto"/>
        <w:ind w:firstLine="420"/>
        <w:rPr>
          <w:sz w:val="21"/>
          <w:szCs w:val="21"/>
        </w:rPr>
      </w:pPr>
      <w:bookmarkStart w:id="104" w:name="chapter_level1_13_59_section_7"/>
      <w:bookmarkEnd w:id="104"/>
      <w:r>
        <w:rPr>
          <w:rFonts w:hint="eastAsia"/>
          <w:b/>
          <w:bCs/>
          <w:sz w:val="21"/>
          <w:szCs w:val="21"/>
        </w:rPr>
        <w:t>十二、实物申购与赎回</w:t>
      </w:r>
    </w:p>
    <w:p w14:paraId="45A6E056">
      <w:pPr>
        <w:pStyle w:val="8"/>
        <w:spacing w:before="0" w:beforeAutospacing="0" w:after="0" w:afterAutospacing="0" w:line="360" w:lineRule="auto"/>
        <w:ind w:firstLine="420"/>
        <w:rPr>
          <w:sz w:val="21"/>
          <w:szCs w:val="21"/>
        </w:rPr>
      </w:pPr>
      <w:r>
        <w:rPr>
          <w:rFonts w:hint="eastAsia"/>
          <w:sz w:val="21"/>
          <w:szCs w:val="21"/>
        </w:rPr>
        <w:t>在条件允许时，无须召开持有人大会，基金管理人经与托管人协商一致后有权决定本基金可采取实物申购与赎回，即以组合证券、现金替代、现金差额及其他对价进行的申购与赎</w:t>
      </w:r>
      <w:bookmarkStart w:id="105" w:name="chapter_level1_13_59_section_7_end"/>
      <w:bookmarkEnd w:id="105"/>
      <w:r>
        <w:rPr>
          <w:rFonts w:hint="eastAsia"/>
          <w:sz w:val="21"/>
          <w:szCs w:val="21"/>
        </w:rPr>
        <w:t xml:space="preserve">回，本基金管理人将于新的申购与赎回方式开始执行前对有关规则和程序予以公告。 </w:t>
      </w:r>
    </w:p>
    <w:p w14:paraId="43ED0B22">
      <w:pPr>
        <w:widowControl/>
        <w:jc w:val="left"/>
        <w:rPr>
          <w:rFonts w:ascii="宋体" w:hAnsi="宋体" w:eastAsia="宋体"/>
        </w:rPr>
      </w:pPr>
      <w:r>
        <w:rPr>
          <w:rFonts w:ascii="宋体" w:hAnsi="宋体" w:eastAsia="宋体"/>
        </w:rPr>
        <w:br w:type="page"/>
      </w:r>
    </w:p>
    <w:p w14:paraId="05F9CD25">
      <w:pPr>
        <w:pStyle w:val="2"/>
        <w:jc w:val="center"/>
        <w:rPr>
          <w:rFonts w:ascii="宋体" w:hAnsi="宋体" w:eastAsia="宋体"/>
          <w:sz w:val="30"/>
        </w:rPr>
      </w:pPr>
      <w:bookmarkStart w:id="106" w:name="_Toc209441845"/>
      <w:bookmarkStart w:id="107" w:name="chapter_level1_14_60"/>
      <w:r>
        <w:rPr>
          <w:rFonts w:hint="eastAsia" w:ascii="宋体" w:hAnsi="宋体" w:eastAsia="宋体"/>
          <w:sz w:val="30"/>
        </w:rPr>
        <w:t>第十一部分  基金的投资</w:t>
      </w:r>
      <w:bookmarkEnd w:id="106"/>
      <w:bookmarkEnd w:id="107"/>
    </w:p>
    <w:p w14:paraId="6060E18C">
      <w:pPr>
        <w:pStyle w:val="8"/>
        <w:spacing w:before="0" w:beforeAutospacing="0" w:after="0" w:afterAutospacing="0" w:line="360" w:lineRule="auto"/>
        <w:ind w:firstLine="420"/>
        <w:rPr>
          <w:sz w:val="21"/>
          <w:szCs w:val="21"/>
        </w:rPr>
      </w:pPr>
      <w:bookmarkStart w:id="108" w:name="chapter_level1_14_60_section_1"/>
      <w:bookmarkEnd w:id="108"/>
      <w:r>
        <w:rPr>
          <w:rStyle w:val="12"/>
          <w:rFonts w:hint="eastAsia"/>
          <w:sz w:val="21"/>
          <w:szCs w:val="21"/>
        </w:rPr>
        <w:t>一、投资目标</w:t>
      </w:r>
    </w:p>
    <w:p w14:paraId="1D09E313">
      <w:pPr>
        <w:pStyle w:val="8"/>
        <w:spacing w:before="0" w:beforeAutospacing="0" w:after="0" w:afterAutospacing="0" w:line="360" w:lineRule="auto"/>
        <w:ind w:firstLine="420"/>
        <w:rPr>
          <w:sz w:val="21"/>
          <w:szCs w:val="21"/>
        </w:rPr>
      </w:pPr>
      <w:bookmarkStart w:id="109" w:name="field_60_investmenttarget_1_start"/>
      <w:bookmarkEnd w:id="109"/>
      <w:r>
        <w:rPr>
          <w:rFonts w:hint="eastAsia"/>
          <w:sz w:val="21"/>
          <w:szCs w:val="21"/>
        </w:rPr>
        <w:t xml:space="preserve">紧密跟踪标的指数，追求跟踪偏离度和跟踪误差的最小化。  </w:t>
      </w:r>
      <w:bookmarkStart w:id="110" w:name="field_60_investmenttarget_1_end"/>
      <w:bookmarkEnd w:id="110"/>
      <w:r>
        <w:rPr>
          <w:rFonts w:hint="eastAsia"/>
          <w:sz w:val="21"/>
          <w:szCs w:val="21"/>
        </w:rPr>
        <w:t xml:space="preserve">  </w:t>
      </w:r>
    </w:p>
    <w:p w14:paraId="30D19119">
      <w:pPr>
        <w:pStyle w:val="8"/>
        <w:spacing w:before="0" w:beforeAutospacing="0" w:after="0" w:afterAutospacing="0" w:line="360" w:lineRule="auto"/>
        <w:ind w:firstLine="420"/>
        <w:rPr>
          <w:sz w:val="21"/>
          <w:szCs w:val="21"/>
        </w:rPr>
      </w:pPr>
      <w:r>
        <w:rPr>
          <w:rStyle w:val="12"/>
          <w:rFonts w:hint="eastAsia"/>
          <w:sz w:val="21"/>
          <w:szCs w:val="21"/>
        </w:rPr>
        <w:t>二、投资范围</w:t>
      </w:r>
    </w:p>
    <w:p w14:paraId="6E0AE00D">
      <w:pPr>
        <w:pStyle w:val="8"/>
        <w:spacing w:before="0" w:beforeAutospacing="0" w:after="0" w:afterAutospacing="0" w:line="360" w:lineRule="auto"/>
        <w:ind w:firstLine="420"/>
        <w:rPr>
          <w:sz w:val="21"/>
          <w:szCs w:val="21"/>
        </w:rPr>
      </w:pPr>
      <w:bookmarkStart w:id="111" w:name="field_60_investmentrange_1_start"/>
      <w:bookmarkEnd w:id="111"/>
      <w:r>
        <w:rPr>
          <w:rFonts w:hint="eastAsia"/>
          <w:sz w:val="21"/>
          <w:szCs w:val="21"/>
        </w:rPr>
        <w:t xml:space="preserve">本基金主要投资于标的指数成份股、备选成份股、境外上市交易的跟踪同一标的指数的公募基金。 </w:t>
      </w:r>
    </w:p>
    <w:p w14:paraId="49726AA0">
      <w:pPr>
        <w:pStyle w:val="8"/>
        <w:spacing w:before="0" w:beforeAutospacing="0" w:after="0" w:afterAutospacing="0" w:line="360" w:lineRule="auto"/>
        <w:ind w:firstLine="420"/>
        <w:rPr>
          <w:sz w:val="21"/>
          <w:szCs w:val="21"/>
        </w:rPr>
      </w:pPr>
      <w:r>
        <w:rPr>
          <w:rFonts w:hint="eastAsia"/>
          <w:sz w:val="21"/>
          <w:szCs w:val="21"/>
        </w:rPr>
        <w:t xml:space="preserve">为了更好地实现投资目标，本基金还可投资于依法发行或上市的其他股票、固定收益类证券、银行存款、货币市场工具、跟踪同一标的指数的股指期货等金融衍生工具、法律法规或中国证监会允许基金投资的其他金融工具，但须符合中国证监会的相关规定。其中，本基金投资于标的指数成份股及备选成份股的比例不低于基金资产净值的90%。 </w:t>
      </w:r>
    </w:p>
    <w:p w14:paraId="075D202B">
      <w:pPr>
        <w:pStyle w:val="8"/>
        <w:spacing w:before="0" w:beforeAutospacing="0" w:after="0" w:afterAutospacing="0" w:line="360" w:lineRule="auto"/>
        <w:ind w:firstLine="420"/>
        <w:rPr>
          <w:sz w:val="21"/>
          <w:szCs w:val="21"/>
        </w:rPr>
      </w:pPr>
      <w:r>
        <w:rPr>
          <w:rFonts w:hint="eastAsia"/>
          <w:sz w:val="21"/>
          <w:szCs w:val="21"/>
        </w:rPr>
        <w:t xml:space="preserve">本基金根据相关法律法规或中国证监会要求履行相关手续后，还可以投资于法律法规或中国证监会未来允许基金投资的其他金融工具，但须符合中国证监会的相关规定。 </w:t>
      </w:r>
      <w:bookmarkStart w:id="112" w:name="field_60_investmentrange_1_end"/>
      <w:bookmarkEnd w:id="112"/>
      <w:r>
        <w:rPr>
          <w:rFonts w:hint="eastAsia"/>
          <w:sz w:val="21"/>
          <w:szCs w:val="21"/>
        </w:rPr>
        <w:t xml:space="preserve">  </w:t>
      </w:r>
    </w:p>
    <w:p w14:paraId="6086AF60">
      <w:pPr>
        <w:pStyle w:val="8"/>
        <w:spacing w:before="0" w:beforeAutospacing="0" w:after="0" w:afterAutospacing="0" w:line="360" w:lineRule="auto"/>
        <w:ind w:firstLine="420"/>
        <w:rPr>
          <w:sz w:val="21"/>
          <w:szCs w:val="21"/>
        </w:rPr>
      </w:pPr>
      <w:r>
        <w:rPr>
          <w:rStyle w:val="12"/>
          <w:rFonts w:hint="eastAsia"/>
          <w:sz w:val="21"/>
          <w:szCs w:val="21"/>
        </w:rPr>
        <w:t>三、投资理念</w:t>
      </w:r>
    </w:p>
    <w:p w14:paraId="666CD6CB">
      <w:pPr>
        <w:pStyle w:val="8"/>
        <w:spacing w:before="0" w:beforeAutospacing="0" w:after="0" w:afterAutospacing="0" w:line="360" w:lineRule="auto"/>
        <w:ind w:firstLine="420"/>
        <w:rPr>
          <w:sz w:val="21"/>
          <w:szCs w:val="21"/>
        </w:rPr>
      </w:pPr>
      <w:r>
        <w:rPr>
          <w:rFonts w:hint="eastAsia"/>
          <w:sz w:val="21"/>
          <w:szCs w:val="21"/>
        </w:rPr>
        <w:t xml:space="preserve">以较低成本投资于标的指数成份股，以期获得与标的指数相近的投资回报。 </w:t>
      </w:r>
    </w:p>
    <w:p w14:paraId="7B7F4AB5">
      <w:pPr>
        <w:pStyle w:val="8"/>
        <w:spacing w:before="0" w:beforeAutospacing="0" w:after="0" w:afterAutospacing="0" w:line="360" w:lineRule="auto"/>
        <w:ind w:firstLine="420"/>
        <w:rPr>
          <w:sz w:val="21"/>
          <w:szCs w:val="21"/>
        </w:rPr>
      </w:pPr>
      <w:r>
        <w:rPr>
          <w:rStyle w:val="12"/>
          <w:rFonts w:hint="eastAsia"/>
          <w:sz w:val="21"/>
          <w:szCs w:val="21"/>
        </w:rPr>
        <w:t>四、标的指数</w:t>
      </w:r>
    </w:p>
    <w:p w14:paraId="186BE726">
      <w:pPr>
        <w:pStyle w:val="8"/>
        <w:spacing w:before="0" w:beforeAutospacing="0" w:after="0" w:afterAutospacing="0" w:line="360" w:lineRule="auto"/>
        <w:ind w:firstLine="420"/>
        <w:rPr>
          <w:sz w:val="21"/>
          <w:szCs w:val="21"/>
        </w:rPr>
      </w:pPr>
      <w:r>
        <w:rPr>
          <w:rFonts w:hint="eastAsia"/>
          <w:sz w:val="21"/>
          <w:szCs w:val="21"/>
        </w:rPr>
        <w:t xml:space="preserve">本基金的标的指数为标普500净总收益指数（S&amp;P500 Index（Net TR））。 </w:t>
      </w:r>
    </w:p>
    <w:p w14:paraId="683D027E">
      <w:pPr>
        <w:pStyle w:val="8"/>
        <w:spacing w:before="0" w:beforeAutospacing="0" w:after="0" w:afterAutospacing="0" w:line="360" w:lineRule="auto"/>
        <w:ind w:firstLine="420"/>
        <w:rPr>
          <w:sz w:val="21"/>
          <w:szCs w:val="21"/>
        </w:rPr>
      </w:pPr>
      <w:r>
        <w:rPr>
          <w:rFonts w:hint="eastAsia"/>
          <w:sz w:val="21"/>
          <w:szCs w:val="21"/>
        </w:rPr>
        <w:t xml:space="preserve">如果指数编制机构变更或停止标普500指数的编制及发布、或标普500指数由其他指数替代、或由于指数编制方法发生重大变更等原因导致标普500指数不宜继续作为标的指数，或市场有其他代表性更强、更适合投资的指数推出时，基金管理人可以依据维护投资者合法权益的原则，变更基金的标的指数。 </w:t>
      </w:r>
    </w:p>
    <w:p w14:paraId="013BF0DC">
      <w:pPr>
        <w:pStyle w:val="8"/>
        <w:spacing w:before="0" w:beforeAutospacing="0" w:after="0" w:afterAutospacing="0" w:line="360" w:lineRule="auto"/>
        <w:ind w:firstLine="420"/>
        <w:rPr>
          <w:sz w:val="21"/>
          <w:szCs w:val="21"/>
        </w:rPr>
      </w:pPr>
      <w:r>
        <w:rPr>
          <w:rStyle w:val="12"/>
          <w:rFonts w:hint="eastAsia"/>
          <w:sz w:val="21"/>
          <w:szCs w:val="21"/>
        </w:rPr>
        <w:t>五、投资策略</w:t>
      </w:r>
    </w:p>
    <w:p w14:paraId="30BFF737">
      <w:pPr>
        <w:pStyle w:val="8"/>
        <w:spacing w:before="0" w:beforeAutospacing="0" w:after="0" w:afterAutospacing="0" w:line="360" w:lineRule="auto"/>
        <w:ind w:firstLine="420"/>
        <w:rPr>
          <w:sz w:val="21"/>
          <w:szCs w:val="21"/>
        </w:rPr>
      </w:pPr>
      <w:bookmarkStart w:id="113" w:name="field_60_investmentstrategy_1_start"/>
      <w:bookmarkEnd w:id="113"/>
      <w:r>
        <w:rPr>
          <w:rFonts w:hint="eastAsia"/>
          <w:sz w:val="21"/>
          <w:szCs w:val="21"/>
        </w:rPr>
        <w:t xml:space="preserve">本基金主要采取完全复制法实现对标的指数的紧密跟踪。 </w:t>
      </w:r>
    </w:p>
    <w:p w14:paraId="692B1292">
      <w:pPr>
        <w:pStyle w:val="8"/>
        <w:spacing w:before="0" w:beforeAutospacing="0" w:after="0" w:afterAutospacing="0" w:line="360" w:lineRule="auto"/>
        <w:ind w:firstLine="420"/>
        <w:rPr>
          <w:sz w:val="21"/>
          <w:szCs w:val="21"/>
        </w:rPr>
      </w:pPr>
      <w:r>
        <w:rPr>
          <w:rFonts w:hint="eastAsia"/>
          <w:sz w:val="21"/>
          <w:szCs w:val="21"/>
        </w:rPr>
        <w:t xml:space="preserve">同时，为了更好地实现本基金的投资目标，本基金可适当借出证券。 </w:t>
      </w:r>
    </w:p>
    <w:p w14:paraId="30DB97F9">
      <w:pPr>
        <w:pStyle w:val="8"/>
        <w:spacing w:before="0" w:beforeAutospacing="0" w:after="0" w:afterAutospacing="0" w:line="360" w:lineRule="auto"/>
        <w:ind w:firstLine="420"/>
        <w:rPr>
          <w:sz w:val="21"/>
          <w:szCs w:val="21"/>
        </w:rPr>
      </w:pPr>
      <w:r>
        <w:rPr>
          <w:rFonts w:hint="eastAsia"/>
          <w:sz w:val="21"/>
          <w:szCs w:val="21"/>
        </w:rPr>
        <w:t xml:space="preserve">为了减轻由于现金拖累产生的跟踪误差，本基金将用少量资产投资跟踪同一标的指数的股指期货，以达到最有效跟踪标的指数的投资目标。 </w:t>
      </w:r>
    </w:p>
    <w:p w14:paraId="21AC6620">
      <w:pPr>
        <w:pStyle w:val="8"/>
        <w:spacing w:before="0" w:beforeAutospacing="0" w:after="0" w:afterAutospacing="0" w:line="360" w:lineRule="auto"/>
        <w:ind w:firstLine="420"/>
        <w:rPr>
          <w:sz w:val="21"/>
          <w:szCs w:val="21"/>
        </w:rPr>
      </w:pPr>
      <w:r>
        <w:rPr>
          <w:rFonts w:hint="eastAsia"/>
          <w:sz w:val="21"/>
          <w:szCs w:val="21"/>
        </w:rPr>
        <w:t>在正常市场情况下，本基金的风险控制目标是追求日均跟踪偏离度的绝对值不超过0.2%，年跟踪误差不超过2%。如因标的指数编制规则调整或其他因素导致跟踪偏离度和跟踪误差超过上述范围，基金管理人应采取合理措施避免跟踪偏离度、跟踪误差进一步扩</w:t>
      </w:r>
      <w:bookmarkStart w:id="114" w:name="chapter_level1_14_60_section_1_end"/>
      <w:bookmarkEnd w:id="114"/>
      <w:r>
        <w:rPr>
          <w:rFonts w:hint="eastAsia"/>
          <w:sz w:val="21"/>
          <w:szCs w:val="21"/>
        </w:rPr>
        <w:t xml:space="preserve">大。 </w:t>
      </w:r>
      <w:bookmarkStart w:id="115" w:name="field_60_investmentstrategy_1_end"/>
      <w:bookmarkEnd w:id="115"/>
      <w:r>
        <w:rPr>
          <w:rFonts w:hint="eastAsia"/>
          <w:sz w:val="21"/>
          <w:szCs w:val="21"/>
        </w:rPr>
        <w:t xml:space="preserve">  </w:t>
      </w:r>
    </w:p>
    <w:p w14:paraId="3739499B">
      <w:pPr>
        <w:pStyle w:val="8"/>
        <w:spacing w:before="0" w:beforeAutospacing="0" w:after="0" w:afterAutospacing="0" w:line="360" w:lineRule="auto"/>
        <w:ind w:firstLine="420"/>
        <w:rPr>
          <w:sz w:val="21"/>
          <w:szCs w:val="21"/>
        </w:rPr>
      </w:pPr>
      <w:bookmarkStart w:id="116" w:name="chapter_level1_14_60_section_2"/>
      <w:bookmarkEnd w:id="116"/>
      <w:r>
        <w:rPr>
          <w:rFonts w:hint="eastAsia"/>
          <w:b/>
          <w:bCs/>
          <w:sz w:val="21"/>
          <w:szCs w:val="21"/>
        </w:rPr>
        <w:t>六、投资决策依据和决策程序</w:t>
      </w:r>
    </w:p>
    <w:p w14:paraId="2181DCF5">
      <w:pPr>
        <w:pStyle w:val="8"/>
        <w:spacing w:before="0" w:beforeAutospacing="0" w:after="0" w:afterAutospacing="0" w:line="360" w:lineRule="auto"/>
        <w:ind w:firstLine="420"/>
        <w:rPr>
          <w:sz w:val="21"/>
          <w:szCs w:val="21"/>
        </w:rPr>
      </w:pPr>
      <w:r>
        <w:rPr>
          <w:rFonts w:hint="eastAsia"/>
          <w:b/>
          <w:bCs/>
          <w:sz w:val="21"/>
          <w:szCs w:val="21"/>
        </w:rPr>
        <w:t>（一）决策依据</w:t>
      </w:r>
    </w:p>
    <w:p w14:paraId="1AD682F0">
      <w:pPr>
        <w:pStyle w:val="8"/>
        <w:spacing w:before="0" w:beforeAutospacing="0" w:after="0" w:afterAutospacing="0" w:line="360" w:lineRule="auto"/>
        <w:ind w:firstLine="420"/>
        <w:rPr>
          <w:sz w:val="21"/>
          <w:szCs w:val="21"/>
        </w:rPr>
      </w:pPr>
      <w:r>
        <w:rPr>
          <w:rFonts w:hint="eastAsia"/>
          <w:sz w:val="21"/>
          <w:szCs w:val="21"/>
        </w:rPr>
        <w:t xml:space="preserve">（1）、有关法律、法规和基金合同的规定； </w:t>
      </w:r>
    </w:p>
    <w:p w14:paraId="218E24C9">
      <w:pPr>
        <w:pStyle w:val="8"/>
        <w:spacing w:before="0" w:beforeAutospacing="0" w:after="0" w:afterAutospacing="0" w:line="360" w:lineRule="auto"/>
        <w:ind w:firstLine="420"/>
        <w:rPr>
          <w:sz w:val="21"/>
          <w:szCs w:val="21"/>
        </w:rPr>
      </w:pPr>
      <w:r>
        <w:rPr>
          <w:rFonts w:hint="eastAsia"/>
          <w:sz w:val="21"/>
          <w:szCs w:val="21"/>
        </w:rPr>
        <w:t xml:space="preserve">（2）、标的指数的编制方法及调整公告等； </w:t>
      </w:r>
    </w:p>
    <w:p w14:paraId="6CC493F3">
      <w:pPr>
        <w:pStyle w:val="8"/>
        <w:spacing w:before="0" w:beforeAutospacing="0" w:after="0" w:afterAutospacing="0" w:line="360" w:lineRule="auto"/>
        <w:ind w:firstLine="420"/>
        <w:rPr>
          <w:sz w:val="21"/>
          <w:szCs w:val="21"/>
        </w:rPr>
      </w:pPr>
      <w:r>
        <w:rPr>
          <w:rFonts w:hint="eastAsia"/>
          <w:sz w:val="21"/>
          <w:szCs w:val="21"/>
        </w:rPr>
        <w:t xml:space="preserve">（3）、基金管理人的研究与判断。 </w:t>
      </w:r>
    </w:p>
    <w:p w14:paraId="2A9FA774">
      <w:pPr>
        <w:pStyle w:val="8"/>
        <w:spacing w:before="0" w:beforeAutospacing="0" w:after="0" w:afterAutospacing="0" w:line="360" w:lineRule="auto"/>
        <w:ind w:firstLine="420"/>
        <w:rPr>
          <w:sz w:val="21"/>
          <w:szCs w:val="21"/>
        </w:rPr>
      </w:pPr>
      <w:r>
        <w:rPr>
          <w:rFonts w:hint="eastAsia"/>
          <w:b/>
          <w:bCs/>
          <w:sz w:val="21"/>
          <w:szCs w:val="21"/>
        </w:rPr>
        <w:t>（二）决策程序</w:t>
      </w:r>
    </w:p>
    <w:p w14:paraId="162980A6">
      <w:pPr>
        <w:pStyle w:val="8"/>
        <w:spacing w:before="0" w:beforeAutospacing="0" w:after="0" w:afterAutospacing="0" w:line="360" w:lineRule="auto"/>
        <w:ind w:firstLine="420"/>
        <w:rPr>
          <w:sz w:val="21"/>
          <w:szCs w:val="21"/>
        </w:rPr>
      </w:pPr>
      <w:r>
        <w:rPr>
          <w:rFonts w:hint="eastAsia"/>
          <w:sz w:val="21"/>
          <w:szCs w:val="21"/>
        </w:rPr>
        <w:t xml:space="preserve">研究、投资决策、组合构建、交易执行、投资绩效评估、组合监控与调整各环节的相互协调与配合，构成了本基金的投资管理程序。 </w:t>
      </w:r>
    </w:p>
    <w:p w14:paraId="53E7F147">
      <w:pPr>
        <w:pStyle w:val="8"/>
        <w:spacing w:before="0" w:beforeAutospacing="0" w:after="0" w:afterAutospacing="0" w:line="360" w:lineRule="auto"/>
        <w:ind w:firstLine="420"/>
        <w:rPr>
          <w:sz w:val="21"/>
          <w:szCs w:val="21"/>
        </w:rPr>
      </w:pPr>
      <w:r>
        <w:rPr>
          <w:rFonts w:hint="eastAsia"/>
          <w:sz w:val="21"/>
          <w:szCs w:val="21"/>
        </w:rPr>
        <w:t xml:space="preserve">1）研究。基金管理人的研究部依托公司整体研究平台，整合外部信息包括券商等外部研究力量的研究成果，开展标的指数跟踪、成份股公司行为等相关信息的搜集与分析、流动性分析、误差及其归因分析等工作，并撰写相关的研究报告，作为本基金投资决策的重要依据。 </w:t>
      </w:r>
    </w:p>
    <w:p w14:paraId="2152ACBD">
      <w:pPr>
        <w:pStyle w:val="8"/>
        <w:spacing w:before="0" w:beforeAutospacing="0" w:after="0" w:afterAutospacing="0" w:line="360" w:lineRule="auto"/>
        <w:ind w:firstLine="420"/>
        <w:rPr>
          <w:sz w:val="21"/>
          <w:szCs w:val="21"/>
        </w:rPr>
      </w:pPr>
      <w:r>
        <w:rPr>
          <w:rFonts w:hint="eastAsia"/>
          <w:sz w:val="21"/>
          <w:szCs w:val="21"/>
        </w:rPr>
        <w:t xml:space="preserve">2）投资决策。基金管理人的投资决策委员会依据研究部提供的研究报告，定期或遇重大事件时临时召开投资决策委员会议，对相关事项做出决策。基金经理根据投资决策委员会的决议，做出基金投资管理的日常决策。 </w:t>
      </w:r>
    </w:p>
    <w:p w14:paraId="76D5A050">
      <w:pPr>
        <w:pStyle w:val="8"/>
        <w:spacing w:before="0" w:beforeAutospacing="0" w:after="0" w:afterAutospacing="0" w:line="360" w:lineRule="auto"/>
        <w:ind w:firstLine="420"/>
        <w:rPr>
          <w:sz w:val="21"/>
          <w:szCs w:val="21"/>
        </w:rPr>
      </w:pPr>
      <w:r>
        <w:rPr>
          <w:rFonts w:hint="eastAsia"/>
          <w:sz w:val="21"/>
          <w:szCs w:val="21"/>
        </w:rPr>
        <w:t xml:space="preserve">3）组合构建。结合研究报告，基金经理主要采取完全复制法，即完全按照标的指数的成份股组成及其权重构建基金股票投资组合，并根据标的指数成份股及其权重的变动而进行相应的调整。在追求跟踪误差和跟踪偏离度最小化的前提下，基金经理可采取适当的方法，提高投资效率，降低交易成本，控制投资风险。 </w:t>
      </w:r>
    </w:p>
    <w:p w14:paraId="38ECB229">
      <w:pPr>
        <w:pStyle w:val="8"/>
        <w:spacing w:before="0" w:beforeAutospacing="0" w:after="0" w:afterAutospacing="0" w:line="360" w:lineRule="auto"/>
        <w:ind w:firstLine="420"/>
        <w:rPr>
          <w:sz w:val="21"/>
          <w:szCs w:val="21"/>
        </w:rPr>
      </w:pPr>
      <w:r>
        <w:rPr>
          <w:rFonts w:hint="eastAsia"/>
          <w:sz w:val="21"/>
          <w:szCs w:val="21"/>
        </w:rPr>
        <w:t xml:space="preserve">4）交易执行。交易部负责本基金的具体交易执行，交易部同时履行一线监控的职责。 </w:t>
      </w:r>
    </w:p>
    <w:p w14:paraId="304C3108">
      <w:pPr>
        <w:pStyle w:val="8"/>
        <w:spacing w:before="0" w:beforeAutospacing="0" w:after="0" w:afterAutospacing="0" w:line="360" w:lineRule="auto"/>
        <w:ind w:firstLine="420"/>
        <w:rPr>
          <w:sz w:val="21"/>
          <w:szCs w:val="21"/>
        </w:rPr>
      </w:pPr>
      <w:r>
        <w:rPr>
          <w:rFonts w:hint="eastAsia"/>
          <w:sz w:val="21"/>
          <w:szCs w:val="21"/>
        </w:rPr>
        <w:t xml:space="preserve">5）投资绩效评估。本基金管理人定期和不定期对本基金的投资绩效进行评估，并撰写相关的绩效评估报告，确认基金组合是否实现了投资预期，投资策略是否成功，并对基金组合误差的来源进行归因分析等。基金经理依据绩效评估报告总结或检讨以往的投资策略，如果需要，亦对投资组合进行相应的调整。 </w:t>
      </w:r>
    </w:p>
    <w:p w14:paraId="54B44F9C">
      <w:pPr>
        <w:pStyle w:val="8"/>
        <w:spacing w:before="0" w:beforeAutospacing="0" w:after="0" w:afterAutospacing="0" w:line="360" w:lineRule="auto"/>
        <w:ind w:firstLine="420"/>
        <w:rPr>
          <w:sz w:val="21"/>
          <w:szCs w:val="21"/>
        </w:rPr>
      </w:pPr>
      <w:r>
        <w:rPr>
          <w:rFonts w:hint="eastAsia"/>
          <w:sz w:val="21"/>
          <w:szCs w:val="21"/>
        </w:rPr>
        <w:t xml:space="preserve">6）组合监控与调整。基金经理根据标的指数的每日变动情况，结合成份股等的基本面情况、流动性状况、基金申购赎回的现金流量情况，以及基金投资绩效评估结果等，对基金投资组合进行动态监控和调整，密切跟踪标的指数。 </w:t>
      </w:r>
    </w:p>
    <w:p w14:paraId="57751B05">
      <w:pPr>
        <w:pStyle w:val="8"/>
        <w:spacing w:before="0" w:beforeAutospacing="0" w:after="0" w:afterAutospacing="0" w:line="360" w:lineRule="auto"/>
        <w:ind w:firstLine="420"/>
        <w:rPr>
          <w:sz w:val="21"/>
          <w:szCs w:val="21"/>
        </w:rPr>
      </w:pPr>
      <w:r>
        <w:rPr>
          <w:rFonts w:hint="eastAsia"/>
          <w:sz w:val="21"/>
          <w:szCs w:val="21"/>
        </w:rPr>
        <w:t xml:space="preserve">（7）当标的指数成份股发生明显负面事件面临退市风险，且指数编制机构暂未作出调整的，基金管理人应当按照持有人利益优先的原则，综合考虑成份股的退市风险、其在指数中的权重以及对跟踪误差的影响，据此制定成份股替代策略，并对投资组合进行调整。  </w:t>
      </w:r>
    </w:p>
    <w:p w14:paraId="7F24AD3A">
      <w:pPr>
        <w:pStyle w:val="8"/>
        <w:spacing w:before="0" w:beforeAutospacing="0" w:after="0" w:afterAutospacing="0" w:line="360" w:lineRule="auto"/>
        <w:ind w:firstLine="420"/>
        <w:rPr>
          <w:sz w:val="21"/>
          <w:szCs w:val="21"/>
        </w:rPr>
      </w:pPr>
      <w:r>
        <w:rPr>
          <w:rFonts w:hint="eastAsia"/>
          <w:sz w:val="21"/>
          <w:szCs w:val="21"/>
        </w:rPr>
        <w:t xml:space="preserve">基金管理人在确保基金份额持有人利益的前提下，根据环境的变化和基金实际投资的需要，有权对上述投资程序做出调整，并将调整内容在基金招募说明书及招募说明书更新中予以公告。 </w:t>
      </w:r>
    </w:p>
    <w:p w14:paraId="7764EDE4">
      <w:pPr>
        <w:pStyle w:val="8"/>
        <w:spacing w:before="0" w:beforeAutospacing="0" w:after="0" w:afterAutospacing="0" w:line="360" w:lineRule="auto"/>
        <w:ind w:firstLine="420"/>
        <w:rPr>
          <w:sz w:val="21"/>
          <w:szCs w:val="21"/>
        </w:rPr>
      </w:pPr>
      <w:r>
        <w:rPr>
          <w:rFonts w:hint="eastAsia"/>
          <w:b/>
          <w:bCs/>
          <w:sz w:val="21"/>
          <w:szCs w:val="21"/>
        </w:rPr>
        <w:t>七、投资组合管理</w:t>
      </w:r>
    </w:p>
    <w:p w14:paraId="0EE36459">
      <w:pPr>
        <w:pStyle w:val="8"/>
        <w:spacing w:before="0" w:beforeAutospacing="0" w:after="0" w:afterAutospacing="0" w:line="360" w:lineRule="auto"/>
        <w:ind w:firstLine="420"/>
        <w:rPr>
          <w:sz w:val="21"/>
          <w:szCs w:val="21"/>
        </w:rPr>
      </w:pPr>
      <w:r>
        <w:rPr>
          <w:rFonts w:hint="eastAsia"/>
          <w:sz w:val="21"/>
          <w:szCs w:val="21"/>
        </w:rPr>
        <w:t xml:space="preserve">1、投资组合的构建 </w:t>
      </w:r>
    </w:p>
    <w:p w14:paraId="47E559E3">
      <w:pPr>
        <w:pStyle w:val="8"/>
        <w:spacing w:before="0" w:beforeAutospacing="0" w:after="0" w:afterAutospacing="0" w:line="360" w:lineRule="auto"/>
        <w:ind w:firstLine="420"/>
        <w:rPr>
          <w:sz w:val="21"/>
          <w:szCs w:val="21"/>
        </w:rPr>
      </w:pPr>
      <w:r>
        <w:rPr>
          <w:rFonts w:hint="eastAsia"/>
          <w:sz w:val="21"/>
          <w:szCs w:val="21"/>
        </w:rPr>
        <w:t xml:space="preserve">基金管理人构建基金投资组合的过程主要分为三个步骤：确定目标组合、制定建仓策略，以及逐步调整组合。 </w:t>
      </w:r>
    </w:p>
    <w:p w14:paraId="718496ED">
      <w:pPr>
        <w:pStyle w:val="8"/>
        <w:spacing w:before="0" w:beforeAutospacing="0" w:after="0" w:afterAutospacing="0" w:line="360" w:lineRule="auto"/>
        <w:ind w:firstLine="420"/>
        <w:rPr>
          <w:sz w:val="21"/>
          <w:szCs w:val="21"/>
        </w:rPr>
      </w:pPr>
      <w:r>
        <w:rPr>
          <w:rFonts w:hint="eastAsia"/>
          <w:sz w:val="21"/>
          <w:szCs w:val="21"/>
        </w:rPr>
        <w:t xml:space="preserve">（1）确定目标组合。基金管理人主要采取完全复制法，即完全按照标的指数的成份股组成及其权重构建基金股票投资组合。  </w:t>
      </w:r>
    </w:p>
    <w:p w14:paraId="3BBE1619">
      <w:pPr>
        <w:pStyle w:val="8"/>
        <w:spacing w:before="0" w:beforeAutospacing="0" w:after="0" w:afterAutospacing="0" w:line="360" w:lineRule="auto"/>
        <w:ind w:firstLine="420"/>
        <w:rPr>
          <w:sz w:val="21"/>
          <w:szCs w:val="21"/>
        </w:rPr>
      </w:pPr>
      <w:r>
        <w:rPr>
          <w:rFonts w:hint="eastAsia"/>
          <w:sz w:val="21"/>
          <w:szCs w:val="21"/>
        </w:rPr>
        <w:t xml:space="preserve">（2）制定建仓策略。基金经理依据对标的指数成份股的流动性和交易成本等因素所做的分析，制定合理的建仓策略。  </w:t>
      </w:r>
    </w:p>
    <w:p w14:paraId="62F79EBC">
      <w:pPr>
        <w:pStyle w:val="8"/>
        <w:spacing w:before="0" w:beforeAutospacing="0" w:after="0" w:afterAutospacing="0" w:line="360" w:lineRule="auto"/>
        <w:ind w:firstLine="420"/>
        <w:rPr>
          <w:sz w:val="21"/>
          <w:szCs w:val="21"/>
        </w:rPr>
      </w:pPr>
      <w:r>
        <w:rPr>
          <w:rFonts w:hint="eastAsia"/>
          <w:sz w:val="21"/>
          <w:szCs w:val="21"/>
        </w:rPr>
        <w:t xml:space="preserve">（3）逐步调整组合。基金经理在规定时间内，采取适当的手段和措施，对实际投资组合进行动态调整，直至达到紧密跟踪标的指数的目标。  </w:t>
      </w:r>
    </w:p>
    <w:p w14:paraId="41CD4140">
      <w:pPr>
        <w:pStyle w:val="8"/>
        <w:spacing w:before="0" w:beforeAutospacing="0" w:after="0" w:afterAutospacing="0" w:line="360" w:lineRule="auto"/>
        <w:ind w:firstLine="420"/>
        <w:rPr>
          <w:sz w:val="21"/>
          <w:szCs w:val="21"/>
        </w:rPr>
      </w:pPr>
      <w:r>
        <w:rPr>
          <w:rFonts w:hint="eastAsia"/>
          <w:sz w:val="21"/>
          <w:szCs w:val="21"/>
        </w:rPr>
        <w:t xml:space="preserve">本基金跟踪标的指数成份股和备选成份股的资产比例不低于基金资产净值的90%。本基金将在基金合同生效之日起3个月内达到这一投资比例。此后，如因标的指数成份股调整、基金申购赎回带来现金等因素导致基金不符合这一投资比例的，基金管理人将在30个交易日内进行调整。  </w:t>
      </w:r>
    </w:p>
    <w:p w14:paraId="2D88EDB9">
      <w:pPr>
        <w:pStyle w:val="8"/>
        <w:spacing w:before="0" w:beforeAutospacing="0" w:after="0" w:afterAutospacing="0" w:line="360" w:lineRule="auto"/>
        <w:ind w:firstLine="420"/>
        <w:rPr>
          <w:sz w:val="21"/>
          <w:szCs w:val="21"/>
        </w:rPr>
      </w:pPr>
      <w:r>
        <w:rPr>
          <w:rFonts w:hint="eastAsia"/>
          <w:sz w:val="21"/>
          <w:szCs w:val="21"/>
        </w:rPr>
        <w:t xml:space="preserve">2、投资组合的日常管理  </w:t>
      </w:r>
    </w:p>
    <w:p w14:paraId="02AAC31D">
      <w:pPr>
        <w:pStyle w:val="8"/>
        <w:spacing w:before="0" w:beforeAutospacing="0" w:after="0" w:afterAutospacing="0" w:line="360" w:lineRule="auto"/>
        <w:ind w:firstLine="420"/>
        <w:rPr>
          <w:sz w:val="21"/>
          <w:szCs w:val="21"/>
        </w:rPr>
      </w:pPr>
      <w:r>
        <w:rPr>
          <w:rFonts w:hint="eastAsia"/>
          <w:sz w:val="21"/>
          <w:szCs w:val="21"/>
        </w:rPr>
        <w:t xml:space="preserve">本基金投资组合的日常管理内容主要包括以下几个方面： </w:t>
      </w:r>
    </w:p>
    <w:p w14:paraId="125B71C9">
      <w:pPr>
        <w:pStyle w:val="8"/>
        <w:spacing w:before="0" w:beforeAutospacing="0" w:after="0" w:afterAutospacing="0" w:line="360" w:lineRule="auto"/>
        <w:ind w:firstLine="420"/>
        <w:rPr>
          <w:sz w:val="21"/>
          <w:szCs w:val="21"/>
        </w:rPr>
      </w:pPr>
      <w:r>
        <w:rPr>
          <w:rFonts w:hint="eastAsia"/>
          <w:sz w:val="21"/>
          <w:szCs w:val="21"/>
        </w:rPr>
        <w:t xml:space="preserve">（1）标的指数成份股公司行为信息的跟踪与分析。跟踪分析标的指数成份股公司行为等信息，如股本变化、分红、停牌、复牌，以及成份股公司其他重大信息，分析这些信息对指数的影响，进而分析是否需要对投资组合进行调整，为投资决策提供依据。  </w:t>
      </w:r>
    </w:p>
    <w:p w14:paraId="51DE69F4">
      <w:pPr>
        <w:pStyle w:val="8"/>
        <w:spacing w:before="0" w:beforeAutospacing="0" w:after="0" w:afterAutospacing="0" w:line="360" w:lineRule="auto"/>
        <w:ind w:firstLine="420"/>
        <w:rPr>
          <w:sz w:val="21"/>
          <w:szCs w:val="21"/>
        </w:rPr>
      </w:pPr>
      <w:r>
        <w:rPr>
          <w:rFonts w:hint="eastAsia"/>
          <w:sz w:val="21"/>
          <w:szCs w:val="21"/>
        </w:rPr>
        <w:t xml:space="preserve">（2）标的指数的跟踪与分析。跟踪分析标的指数的调整等变化，确定标的指数的变化是否与预期相一致，分析是否存在差异及差异产生的原因，为投资决策提供依据。  </w:t>
      </w:r>
    </w:p>
    <w:p w14:paraId="6B588146">
      <w:pPr>
        <w:pStyle w:val="8"/>
        <w:spacing w:before="0" w:beforeAutospacing="0" w:after="0" w:afterAutospacing="0" w:line="360" w:lineRule="auto"/>
        <w:ind w:firstLine="420"/>
        <w:rPr>
          <w:sz w:val="21"/>
          <w:szCs w:val="21"/>
        </w:rPr>
      </w:pPr>
      <w:r>
        <w:rPr>
          <w:rFonts w:hint="eastAsia"/>
          <w:sz w:val="21"/>
          <w:szCs w:val="21"/>
        </w:rPr>
        <w:t xml:space="preserve">（3）每日申购赎回情况的跟踪与分析。跟踪分析每日基金申购赎回信息，分析这些信息对投资组合的影响。  </w:t>
      </w:r>
    </w:p>
    <w:p w14:paraId="00EA962C">
      <w:pPr>
        <w:pStyle w:val="8"/>
        <w:spacing w:before="0" w:beforeAutospacing="0" w:after="0" w:afterAutospacing="0" w:line="360" w:lineRule="auto"/>
        <w:ind w:firstLine="420"/>
        <w:rPr>
          <w:sz w:val="21"/>
          <w:szCs w:val="21"/>
        </w:rPr>
      </w:pPr>
      <w:r>
        <w:rPr>
          <w:rFonts w:hint="eastAsia"/>
          <w:sz w:val="21"/>
          <w:szCs w:val="21"/>
        </w:rPr>
        <w:t xml:space="preserve">（4）投资组合持有证券、现金头寸及流动性分析。基金经理跟踪分析每日基金实际投资组合与目标组合的差异及差异产生的原因，并对拟调整的成份股的流动性进行分析。  </w:t>
      </w:r>
    </w:p>
    <w:p w14:paraId="432EE303">
      <w:pPr>
        <w:pStyle w:val="8"/>
        <w:spacing w:before="0" w:beforeAutospacing="0" w:after="0" w:afterAutospacing="0" w:line="360" w:lineRule="auto"/>
        <w:ind w:firstLine="420"/>
        <w:rPr>
          <w:sz w:val="21"/>
          <w:szCs w:val="21"/>
        </w:rPr>
      </w:pPr>
      <w:r>
        <w:rPr>
          <w:rFonts w:hint="eastAsia"/>
          <w:sz w:val="21"/>
          <w:szCs w:val="21"/>
        </w:rPr>
        <w:t xml:space="preserve">（5）投资组合调整。使用数量化投资分析模型，寻找出将实际投资组合调整为所追求的目标组合的最优方案，确定组合交易计划；如标的指数成份股调整、成份股公司发生兼并、收购和重组等重大事件，由基金经理召集会议，决定基金的操作策略；进一步调整投资组合，达到所追求的目标组合的持仓结构。  </w:t>
      </w:r>
    </w:p>
    <w:p w14:paraId="0239E068">
      <w:pPr>
        <w:pStyle w:val="8"/>
        <w:spacing w:before="0" w:beforeAutospacing="0" w:after="0" w:afterAutospacing="0" w:line="360" w:lineRule="auto"/>
        <w:ind w:firstLine="420"/>
        <w:rPr>
          <w:sz w:val="21"/>
          <w:szCs w:val="21"/>
        </w:rPr>
      </w:pPr>
      <w:r>
        <w:rPr>
          <w:rFonts w:hint="eastAsia"/>
          <w:sz w:val="21"/>
          <w:szCs w:val="21"/>
        </w:rPr>
        <w:t xml:space="preserve">（6）基金每日申购赎回清单的制作。基金经理以T－1日标的指数成份股的构成及其权重为基础，并考虑T日将发生的上市公司变动等情况，制作T日基金申购赎回清单并予以公告。  </w:t>
      </w:r>
    </w:p>
    <w:p w14:paraId="5E8BFE33">
      <w:pPr>
        <w:pStyle w:val="8"/>
        <w:spacing w:before="0" w:beforeAutospacing="0" w:after="0" w:afterAutospacing="0" w:line="360" w:lineRule="auto"/>
        <w:ind w:firstLine="420"/>
        <w:rPr>
          <w:sz w:val="21"/>
          <w:szCs w:val="21"/>
        </w:rPr>
      </w:pPr>
      <w:r>
        <w:rPr>
          <w:rFonts w:hint="eastAsia"/>
          <w:b/>
          <w:bCs/>
          <w:sz w:val="21"/>
          <w:szCs w:val="21"/>
        </w:rPr>
        <w:t>八、投资绩效评估</w:t>
      </w:r>
    </w:p>
    <w:p w14:paraId="131AC57D">
      <w:pPr>
        <w:pStyle w:val="8"/>
        <w:spacing w:before="0" w:beforeAutospacing="0" w:after="0" w:afterAutospacing="0" w:line="360" w:lineRule="auto"/>
        <w:ind w:firstLine="420"/>
        <w:rPr>
          <w:sz w:val="21"/>
          <w:szCs w:val="21"/>
        </w:rPr>
      </w:pPr>
      <w:r>
        <w:rPr>
          <w:rFonts w:hint="eastAsia"/>
          <w:sz w:val="21"/>
          <w:szCs w:val="21"/>
        </w:rPr>
        <w:t xml:space="preserve">本基金的投资绩效评估内容包括以下几个方面： </w:t>
      </w:r>
    </w:p>
    <w:p w14:paraId="48233546">
      <w:pPr>
        <w:pStyle w:val="8"/>
        <w:spacing w:before="0" w:beforeAutospacing="0" w:after="0" w:afterAutospacing="0" w:line="360" w:lineRule="auto"/>
        <w:ind w:firstLine="420"/>
        <w:rPr>
          <w:sz w:val="21"/>
          <w:szCs w:val="21"/>
        </w:rPr>
      </w:pPr>
      <w:r>
        <w:rPr>
          <w:rFonts w:hint="eastAsia"/>
          <w:sz w:val="21"/>
          <w:szCs w:val="21"/>
        </w:rPr>
        <w:t xml:space="preserve">每日，基金经理分析基金的跟踪偏离度。 </w:t>
      </w:r>
    </w:p>
    <w:p w14:paraId="7129E35E">
      <w:pPr>
        <w:pStyle w:val="8"/>
        <w:spacing w:before="0" w:beforeAutospacing="0" w:after="0" w:afterAutospacing="0" w:line="360" w:lineRule="auto"/>
        <w:ind w:firstLine="420"/>
        <w:rPr>
          <w:sz w:val="21"/>
          <w:szCs w:val="21"/>
        </w:rPr>
      </w:pPr>
      <w:r>
        <w:rPr>
          <w:rFonts w:hint="eastAsia"/>
          <w:sz w:val="21"/>
          <w:szCs w:val="21"/>
        </w:rPr>
        <w:t xml:space="preserve">本基金管理人定期对基金的运行情况进行量化评估。 </w:t>
      </w:r>
    </w:p>
    <w:p w14:paraId="1D419CC4">
      <w:pPr>
        <w:pStyle w:val="8"/>
        <w:spacing w:before="0" w:beforeAutospacing="0" w:after="0" w:afterAutospacing="0" w:line="360" w:lineRule="auto"/>
        <w:ind w:firstLine="420"/>
        <w:rPr>
          <w:sz w:val="21"/>
          <w:szCs w:val="21"/>
        </w:rPr>
      </w:pPr>
      <w:r>
        <w:rPr>
          <w:rFonts w:hint="eastAsia"/>
          <w:sz w:val="21"/>
          <w:szCs w:val="21"/>
        </w:rPr>
        <w:t>基金经理定期根据绩效评估报告分析当月的投资操作、投资组合状况及跟踪误差等情况，重点分析基金的跟踪偏离度和跟踪误差产生的原因、现金管理情况、标的指数成份股调整前</w:t>
      </w:r>
      <w:bookmarkStart w:id="117" w:name="chapter_level1_14_60_section_2_end"/>
      <w:bookmarkEnd w:id="117"/>
      <w:r>
        <w:rPr>
          <w:rFonts w:hint="eastAsia"/>
          <w:sz w:val="21"/>
          <w:szCs w:val="21"/>
        </w:rPr>
        <w:t xml:space="preserve">后的操作，以及成份股未来可能发生的变动等。 </w:t>
      </w:r>
    </w:p>
    <w:p w14:paraId="62621880">
      <w:pPr>
        <w:pStyle w:val="8"/>
        <w:spacing w:before="0" w:beforeAutospacing="0" w:after="0" w:afterAutospacing="0" w:line="360" w:lineRule="auto"/>
        <w:ind w:firstLine="420"/>
        <w:rPr>
          <w:sz w:val="21"/>
          <w:szCs w:val="21"/>
        </w:rPr>
      </w:pPr>
      <w:bookmarkStart w:id="118" w:name="chapter_level1_14_60_section_3"/>
      <w:bookmarkEnd w:id="118"/>
      <w:r>
        <w:rPr>
          <w:rStyle w:val="12"/>
          <w:rFonts w:hint="eastAsia"/>
          <w:sz w:val="21"/>
          <w:szCs w:val="21"/>
        </w:rPr>
        <w:t>九、业绩比较基准</w:t>
      </w:r>
    </w:p>
    <w:p w14:paraId="2044B441">
      <w:pPr>
        <w:pStyle w:val="8"/>
        <w:spacing w:before="0" w:beforeAutospacing="0" w:after="0" w:afterAutospacing="0" w:line="360" w:lineRule="auto"/>
        <w:ind w:firstLine="420"/>
        <w:rPr>
          <w:sz w:val="21"/>
          <w:szCs w:val="21"/>
        </w:rPr>
      </w:pPr>
      <w:r>
        <w:rPr>
          <w:rFonts w:hint="eastAsia"/>
          <w:sz w:val="21"/>
          <w:szCs w:val="21"/>
        </w:rPr>
        <w:t xml:space="preserve">本基金的业绩比较基准为标普500净总收益指数（S&amp;P500 Index（Net TR））（经估值汇率调整，以人民币计价）。 </w:t>
      </w:r>
    </w:p>
    <w:p w14:paraId="7927DD58">
      <w:pPr>
        <w:pStyle w:val="8"/>
        <w:spacing w:before="0" w:beforeAutospacing="0" w:after="0" w:afterAutospacing="0" w:line="360" w:lineRule="auto"/>
        <w:ind w:firstLine="420"/>
        <w:rPr>
          <w:sz w:val="21"/>
          <w:szCs w:val="21"/>
        </w:rPr>
      </w:pPr>
      <w:r>
        <w:rPr>
          <w:rFonts w:hint="eastAsia"/>
          <w:sz w:val="21"/>
          <w:szCs w:val="21"/>
        </w:rPr>
        <w:t xml:space="preserve">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 </w:t>
      </w:r>
    </w:p>
    <w:p w14:paraId="0C921EE3">
      <w:pPr>
        <w:pStyle w:val="8"/>
        <w:spacing w:before="0" w:beforeAutospacing="0" w:after="0" w:afterAutospacing="0" w:line="360" w:lineRule="auto"/>
        <w:ind w:firstLine="420"/>
        <w:rPr>
          <w:sz w:val="21"/>
          <w:szCs w:val="21"/>
        </w:rPr>
      </w:pPr>
      <w:r>
        <w:rPr>
          <w:rFonts w:hint="eastAsia"/>
          <w:sz w:val="21"/>
          <w:szCs w:val="21"/>
        </w:rPr>
        <w:t>自指数编制机构停止标的指数的编制及发布至解决方案确定期间，基金管理人应按照指数编制机构提供的最近一个交易日的指数信息遵循基金份额持有人利益优先原则维持基金</w:t>
      </w:r>
      <w:bookmarkStart w:id="119" w:name="chapter_level1_14_60_section_3_end"/>
      <w:bookmarkEnd w:id="119"/>
      <w:r>
        <w:rPr>
          <w:rFonts w:hint="eastAsia"/>
          <w:sz w:val="21"/>
          <w:szCs w:val="21"/>
        </w:rPr>
        <w:t xml:space="preserve">投资运作。 </w:t>
      </w:r>
    </w:p>
    <w:p w14:paraId="49A3F4F0">
      <w:pPr>
        <w:pStyle w:val="8"/>
        <w:spacing w:before="0" w:beforeAutospacing="0" w:after="0" w:afterAutospacing="0" w:line="360" w:lineRule="auto"/>
        <w:ind w:firstLine="420"/>
        <w:rPr>
          <w:sz w:val="21"/>
          <w:szCs w:val="21"/>
        </w:rPr>
      </w:pPr>
      <w:bookmarkStart w:id="120" w:name="chapter_level1_14_60_section_4"/>
      <w:bookmarkEnd w:id="120"/>
      <w:r>
        <w:rPr>
          <w:rFonts w:hint="eastAsia"/>
          <w:b/>
          <w:bCs/>
          <w:sz w:val="21"/>
          <w:szCs w:val="21"/>
        </w:rPr>
        <w:t>十、风险收益特征</w:t>
      </w:r>
    </w:p>
    <w:p w14:paraId="48116D75">
      <w:pPr>
        <w:pStyle w:val="8"/>
        <w:spacing w:before="0" w:beforeAutospacing="0" w:after="0" w:afterAutospacing="0" w:line="360" w:lineRule="auto"/>
        <w:ind w:firstLine="420"/>
        <w:rPr>
          <w:sz w:val="21"/>
          <w:szCs w:val="21"/>
        </w:rPr>
      </w:pPr>
      <w:bookmarkStart w:id="121" w:name="field_60_riskyield_1_start"/>
      <w:bookmarkEnd w:id="121"/>
      <w:r>
        <w:rPr>
          <w:rFonts w:hint="eastAsia"/>
          <w:sz w:val="21"/>
          <w:szCs w:val="21"/>
        </w:rPr>
        <w:t xml:space="preserve">本基金属于股票型基金，其预期收益及预期风险水平高于混合型基金、债券型基金与货币市场基金，属于高预期风险和高预期收益的基金品种。  </w:t>
      </w:r>
    </w:p>
    <w:p w14:paraId="7B398EE4">
      <w:pPr>
        <w:pStyle w:val="8"/>
        <w:spacing w:before="0" w:beforeAutospacing="0" w:after="0" w:afterAutospacing="0" w:line="360" w:lineRule="auto"/>
        <w:ind w:firstLine="420"/>
        <w:rPr>
          <w:sz w:val="21"/>
          <w:szCs w:val="21"/>
        </w:rPr>
      </w:pPr>
      <w:r>
        <w:rPr>
          <w:rFonts w:hint="eastAsia"/>
          <w:sz w:val="21"/>
          <w:szCs w:val="21"/>
        </w:rPr>
        <w:t xml:space="preserve">本基金主要采用完全复制策略跟踪标的指数的表现，其风险收益特征与标的指数相似。本基金主要投资于美国证券市场的股票，投资者需承担汇率风险。 </w:t>
      </w:r>
      <w:bookmarkStart w:id="122" w:name="field_60_riskyield_1_end"/>
      <w:bookmarkEnd w:id="122"/>
      <w:r>
        <w:rPr>
          <w:rFonts w:hint="eastAsia"/>
          <w:sz w:val="21"/>
          <w:szCs w:val="21"/>
        </w:rPr>
        <w:t xml:space="preserve">  </w:t>
      </w:r>
    </w:p>
    <w:p w14:paraId="4BC87F11">
      <w:pPr>
        <w:pStyle w:val="8"/>
        <w:spacing w:before="0" w:beforeAutospacing="0" w:after="0" w:afterAutospacing="0" w:line="360" w:lineRule="auto"/>
        <w:ind w:firstLine="420"/>
        <w:rPr>
          <w:sz w:val="21"/>
          <w:szCs w:val="21"/>
        </w:rPr>
      </w:pPr>
      <w:r>
        <w:rPr>
          <w:rFonts w:hint="eastAsia"/>
          <w:b/>
          <w:bCs/>
          <w:sz w:val="21"/>
          <w:szCs w:val="21"/>
        </w:rPr>
        <w:t>十一、投资限制</w:t>
      </w:r>
    </w:p>
    <w:p w14:paraId="1C286324">
      <w:pPr>
        <w:pStyle w:val="8"/>
        <w:spacing w:before="0" w:beforeAutospacing="0" w:after="0" w:afterAutospacing="0" w:line="360" w:lineRule="auto"/>
        <w:ind w:firstLine="420"/>
        <w:rPr>
          <w:sz w:val="21"/>
          <w:szCs w:val="21"/>
        </w:rPr>
      </w:pPr>
      <w:r>
        <w:rPr>
          <w:rFonts w:hint="eastAsia"/>
          <w:sz w:val="21"/>
          <w:szCs w:val="21"/>
        </w:rPr>
        <w:t xml:space="preserve">（一）禁止行为 </w:t>
      </w:r>
    </w:p>
    <w:p w14:paraId="30970D66">
      <w:pPr>
        <w:pStyle w:val="8"/>
        <w:spacing w:before="0" w:beforeAutospacing="0" w:after="0" w:afterAutospacing="0" w:line="360" w:lineRule="auto"/>
        <w:ind w:firstLine="420"/>
        <w:rPr>
          <w:sz w:val="21"/>
          <w:szCs w:val="21"/>
        </w:rPr>
      </w:pPr>
      <w:r>
        <w:rPr>
          <w:rFonts w:hint="eastAsia"/>
          <w:sz w:val="21"/>
          <w:szCs w:val="21"/>
        </w:rPr>
        <w:t xml:space="preserve">为维护基金份额持有人的合法权益，除中国证监会另有规定外，本基金禁止从事下列行为： </w:t>
      </w:r>
    </w:p>
    <w:p w14:paraId="5D702157">
      <w:pPr>
        <w:pStyle w:val="8"/>
        <w:spacing w:before="0" w:beforeAutospacing="0" w:after="0" w:afterAutospacing="0" w:line="360" w:lineRule="auto"/>
        <w:ind w:firstLine="420"/>
        <w:rPr>
          <w:sz w:val="21"/>
          <w:szCs w:val="21"/>
        </w:rPr>
      </w:pPr>
      <w:r>
        <w:rPr>
          <w:rFonts w:hint="eastAsia"/>
          <w:sz w:val="21"/>
          <w:szCs w:val="21"/>
        </w:rPr>
        <w:t xml:space="preserve">1、承销证券； </w:t>
      </w:r>
    </w:p>
    <w:p w14:paraId="54E9A851">
      <w:pPr>
        <w:pStyle w:val="8"/>
        <w:spacing w:before="0" w:beforeAutospacing="0" w:after="0" w:afterAutospacing="0" w:line="360" w:lineRule="auto"/>
        <w:ind w:firstLine="420"/>
        <w:rPr>
          <w:sz w:val="21"/>
          <w:szCs w:val="21"/>
        </w:rPr>
      </w:pPr>
      <w:r>
        <w:rPr>
          <w:rFonts w:hint="eastAsia"/>
          <w:sz w:val="21"/>
          <w:szCs w:val="21"/>
        </w:rPr>
        <w:t xml:space="preserve">2、向他人贷款或提供担保； </w:t>
      </w:r>
    </w:p>
    <w:p w14:paraId="43C38D01">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6941D192">
      <w:pPr>
        <w:pStyle w:val="8"/>
        <w:spacing w:before="0" w:beforeAutospacing="0" w:after="0" w:afterAutospacing="0" w:line="360" w:lineRule="auto"/>
        <w:ind w:firstLine="420"/>
        <w:rPr>
          <w:sz w:val="21"/>
          <w:szCs w:val="21"/>
        </w:rPr>
      </w:pPr>
      <w:r>
        <w:rPr>
          <w:rFonts w:hint="eastAsia"/>
          <w:sz w:val="21"/>
          <w:szCs w:val="21"/>
        </w:rPr>
        <w:t xml:space="preserve">4、购买不动产； </w:t>
      </w:r>
    </w:p>
    <w:p w14:paraId="56CA7800">
      <w:pPr>
        <w:pStyle w:val="8"/>
        <w:spacing w:before="0" w:beforeAutospacing="0" w:after="0" w:afterAutospacing="0" w:line="360" w:lineRule="auto"/>
        <w:ind w:firstLine="420"/>
        <w:rPr>
          <w:sz w:val="21"/>
          <w:szCs w:val="21"/>
        </w:rPr>
      </w:pPr>
      <w:r>
        <w:rPr>
          <w:rFonts w:hint="eastAsia"/>
          <w:sz w:val="21"/>
          <w:szCs w:val="21"/>
        </w:rPr>
        <w:t xml:space="preserve">5、购买房地产抵押按揭； </w:t>
      </w:r>
    </w:p>
    <w:p w14:paraId="4D506A33">
      <w:pPr>
        <w:pStyle w:val="8"/>
        <w:spacing w:before="0" w:beforeAutospacing="0" w:after="0" w:afterAutospacing="0" w:line="360" w:lineRule="auto"/>
        <w:ind w:firstLine="420"/>
        <w:rPr>
          <w:sz w:val="21"/>
          <w:szCs w:val="21"/>
        </w:rPr>
      </w:pPr>
      <w:r>
        <w:rPr>
          <w:rFonts w:hint="eastAsia"/>
          <w:sz w:val="21"/>
          <w:szCs w:val="21"/>
        </w:rPr>
        <w:t xml:space="preserve">6、购买贵重金属或代表贵重金属的凭证； </w:t>
      </w:r>
    </w:p>
    <w:p w14:paraId="1872C171">
      <w:pPr>
        <w:pStyle w:val="8"/>
        <w:spacing w:before="0" w:beforeAutospacing="0" w:after="0" w:afterAutospacing="0" w:line="360" w:lineRule="auto"/>
        <w:ind w:firstLine="420"/>
        <w:rPr>
          <w:sz w:val="21"/>
          <w:szCs w:val="21"/>
        </w:rPr>
      </w:pPr>
      <w:r>
        <w:rPr>
          <w:rFonts w:hint="eastAsia"/>
          <w:sz w:val="21"/>
          <w:szCs w:val="21"/>
        </w:rPr>
        <w:t xml:space="preserve">7、购买实物商品； </w:t>
      </w:r>
    </w:p>
    <w:p w14:paraId="656B383B">
      <w:pPr>
        <w:pStyle w:val="8"/>
        <w:spacing w:before="0" w:beforeAutospacing="0" w:after="0" w:afterAutospacing="0" w:line="360" w:lineRule="auto"/>
        <w:ind w:firstLine="420"/>
        <w:rPr>
          <w:sz w:val="21"/>
          <w:szCs w:val="21"/>
        </w:rPr>
      </w:pPr>
      <w:r>
        <w:rPr>
          <w:rFonts w:hint="eastAsia"/>
          <w:sz w:val="21"/>
          <w:szCs w:val="21"/>
        </w:rPr>
        <w:t xml:space="preserve">8、除应付赎回、交易清算等临时用途以外，借入现金； </w:t>
      </w:r>
    </w:p>
    <w:p w14:paraId="423B7E68">
      <w:pPr>
        <w:pStyle w:val="8"/>
        <w:spacing w:before="0" w:beforeAutospacing="0" w:after="0" w:afterAutospacing="0" w:line="360" w:lineRule="auto"/>
        <w:ind w:firstLine="420"/>
        <w:rPr>
          <w:sz w:val="21"/>
          <w:szCs w:val="21"/>
        </w:rPr>
      </w:pPr>
      <w:r>
        <w:rPr>
          <w:rFonts w:hint="eastAsia"/>
          <w:sz w:val="21"/>
          <w:szCs w:val="21"/>
        </w:rPr>
        <w:t xml:space="preserve">9、利用融资购买证券，但投资金融衍生品除外； </w:t>
      </w:r>
    </w:p>
    <w:p w14:paraId="0DBF097D">
      <w:pPr>
        <w:pStyle w:val="8"/>
        <w:spacing w:before="0" w:beforeAutospacing="0" w:after="0" w:afterAutospacing="0" w:line="360" w:lineRule="auto"/>
        <w:ind w:firstLine="420"/>
        <w:rPr>
          <w:sz w:val="21"/>
          <w:szCs w:val="21"/>
        </w:rPr>
      </w:pPr>
      <w:r>
        <w:rPr>
          <w:rFonts w:hint="eastAsia"/>
          <w:sz w:val="21"/>
          <w:szCs w:val="21"/>
        </w:rPr>
        <w:t xml:space="preserve">10、参与未持有基础资产的卖空交易； </w:t>
      </w:r>
    </w:p>
    <w:p w14:paraId="7E7517A9">
      <w:pPr>
        <w:pStyle w:val="8"/>
        <w:spacing w:before="0" w:beforeAutospacing="0" w:after="0" w:afterAutospacing="0" w:line="360" w:lineRule="auto"/>
        <w:ind w:firstLine="420"/>
        <w:rPr>
          <w:sz w:val="21"/>
          <w:szCs w:val="21"/>
        </w:rPr>
      </w:pPr>
      <w:r>
        <w:rPr>
          <w:rFonts w:hint="eastAsia"/>
          <w:sz w:val="21"/>
          <w:szCs w:val="21"/>
        </w:rPr>
        <w:t xml:space="preserve">11、购买证券用于控制或影响发行该证券的机构或其管理层； </w:t>
      </w:r>
    </w:p>
    <w:p w14:paraId="56798B13">
      <w:pPr>
        <w:pStyle w:val="8"/>
        <w:spacing w:before="0" w:beforeAutospacing="0" w:after="0" w:afterAutospacing="0" w:line="360" w:lineRule="auto"/>
        <w:ind w:firstLine="420"/>
        <w:rPr>
          <w:sz w:val="21"/>
          <w:szCs w:val="21"/>
        </w:rPr>
      </w:pPr>
      <w:r>
        <w:rPr>
          <w:rFonts w:hint="eastAsia"/>
          <w:sz w:val="21"/>
          <w:szCs w:val="21"/>
        </w:rPr>
        <w:t xml:space="preserve">12、直接投资与实物商品相关的衍生品； </w:t>
      </w:r>
    </w:p>
    <w:p w14:paraId="0F37F224">
      <w:pPr>
        <w:pStyle w:val="8"/>
        <w:spacing w:before="0" w:beforeAutospacing="0" w:after="0" w:afterAutospacing="0" w:line="360" w:lineRule="auto"/>
        <w:ind w:firstLine="420"/>
        <w:rPr>
          <w:sz w:val="21"/>
          <w:szCs w:val="21"/>
        </w:rPr>
      </w:pPr>
      <w:r>
        <w:rPr>
          <w:rFonts w:hint="eastAsia"/>
          <w:sz w:val="21"/>
          <w:szCs w:val="21"/>
        </w:rPr>
        <w:t xml:space="preserve">13、向基金管理人、基金托管人出资从事内幕交易、操纵证券价格及其他不正当的证券交易活动； </w:t>
      </w:r>
    </w:p>
    <w:p w14:paraId="7F678D03">
      <w:pPr>
        <w:pStyle w:val="8"/>
        <w:spacing w:before="0" w:beforeAutospacing="0" w:after="0" w:afterAutospacing="0" w:line="360" w:lineRule="auto"/>
        <w:ind w:firstLine="420"/>
        <w:rPr>
          <w:sz w:val="21"/>
          <w:szCs w:val="21"/>
        </w:rPr>
      </w:pPr>
      <w:r>
        <w:rPr>
          <w:rFonts w:hint="eastAsia"/>
          <w:sz w:val="21"/>
          <w:szCs w:val="21"/>
        </w:rPr>
        <w:t xml:space="preserve">14、当时有效的法律法规、中国证监会及基金合同规定禁止从事的其他行为。  </w:t>
      </w:r>
    </w:p>
    <w:p w14:paraId="0E422127">
      <w:pPr>
        <w:pStyle w:val="8"/>
        <w:spacing w:before="0" w:beforeAutospacing="0" w:after="0" w:afterAutospacing="0" w:line="360" w:lineRule="auto"/>
        <w:ind w:firstLine="420"/>
        <w:rPr>
          <w:sz w:val="21"/>
          <w:szCs w:val="21"/>
        </w:rPr>
      </w:pPr>
      <w:r>
        <w:rPr>
          <w:rFonts w:hint="eastAsia"/>
          <w:sz w:val="21"/>
          <w:szCs w:val="21"/>
        </w:rPr>
        <w:t xml:space="preserve">如法律法规或监管部门取消上述禁止性规定，本基金管理人在履行适当程序后可不受上述规定的限制。 </w:t>
      </w:r>
    </w:p>
    <w:p w14:paraId="0915D382">
      <w:pPr>
        <w:pStyle w:val="8"/>
        <w:spacing w:before="0" w:beforeAutospacing="0" w:after="0" w:afterAutospacing="0" w:line="360" w:lineRule="auto"/>
        <w:ind w:firstLine="420"/>
        <w:rPr>
          <w:sz w:val="21"/>
          <w:szCs w:val="21"/>
        </w:rPr>
      </w:pPr>
      <w:r>
        <w:rPr>
          <w:rFonts w:hint="eastAsia"/>
          <w:b/>
          <w:bCs/>
          <w:sz w:val="21"/>
          <w:szCs w:val="21"/>
        </w:rPr>
        <w:t>（二）投资组合限制</w:t>
      </w:r>
    </w:p>
    <w:p w14:paraId="54376E8C">
      <w:pPr>
        <w:pStyle w:val="8"/>
        <w:spacing w:before="0" w:beforeAutospacing="0" w:after="0" w:afterAutospacing="0" w:line="360" w:lineRule="auto"/>
        <w:ind w:firstLine="420"/>
        <w:rPr>
          <w:sz w:val="21"/>
          <w:szCs w:val="21"/>
        </w:rPr>
      </w:pPr>
      <w:r>
        <w:rPr>
          <w:rFonts w:hint="eastAsia"/>
          <w:sz w:val="21"/>
          <w:szCs w:val="21"/>
        </w:rPr>
        <w:t xml:space="preserve">1、投资组合 </w:t>
      </w:r>
    </w:p>
    <w:p w14:paraId="72716E0D">
      <w:pPr>
        <w:pStyle w:val="8"/>
        <w:spacing w:before="0" w:beforeAutospacing="0" w:after="0" w:afterAutospacing="0" w:line="360" w:lineRule="auto"/>
        <w:ind w:firstLine="420"/>
        <w:rPr>
          <w:sz w:val="21"/>
          <w:szCs w:val="21"/>
        </w:rPr>
      </w:pPr>
      <w:r>
        <w:rPr>
          <w:rFonts w:hint="eastAsia"/>
          <w:sz w:val="21"/>
          <w:szCs w:val="21"/>
        </w:rPr>
        <w:t xml:space="preserve">本基金的投资组合将遵循以下限制：  </w:t>
      </w:r>
    </w:p>
    <w:p w14:paraId="18EC19CB">
      <w:pPr>
        <w:pStyle w:val="8"/>
        <w:spacing w:before="0" w:beforeAutospacing="0" w:after="0" w:afterAutospacing="0" w:line="360" w:lineRule="auto"/>
        <w:ind w:firstLine="420"/>
        <w:rPr>
          <w:sz w:val="21"/>
          <w:szCs w:val="21"/>
        </w:rPr>
      </w:pPr>
      <w:r>
        <w:rPr>
          <w:rFonts w:hint="eastAsia"/>
          <w:sz w:val="21"/>
          <w:szCs w:val="21"/>
        </w:rPr>
        <w:t xml:space="preserve">（1）、基金持有同一家银行的存款不得超过基金净值的20%，其中银行应当是中资商业银行在境外设立的分行或在最近一个会计年度达到中国证监会认可的信用评级机构评级的境外银行。在基金托管账户的存款可以不受上述限制。 </w:t>
      </w:r>
    </w:p>
    <w:p w14:paraId="4AD6E8A5">
      <w:pPr>
        <w:pStyle w:val="8"/>
        <w:spacing w:before="0" w:beforeAutospacing="0" w:after="0" w:afterAutospacing="0" w:line="360" w:lineRule="auto"/>
        <w:ind w:firstLine="420"/>
        <w:rPr>
          <w:sz w:val="21"/>
          <w:szCs w:val="21"/>
        </w:rPr>
      </w:pPr>
      <w:r>
        <w:rPr>
          <w:rFonts w:hint="eastAsia"/>
          <w:sz w:val="21"/>
          <w:szCs w:val="21"/>
        </w:rPr>
        <w:t xml:space="preserve">（2）、基金持有同一机构（政府、国际金融组织除外）发行的证券市值不得超过基金净值的10%。但标的指数成份股不受此限。 </w:t>
      </w:r>
    </w:p>
    <w:p w14:paraId="67604815">
      <w:pPr>
        <w:pStyle w:val="8"/>
        <w:spacing w:before="0" w:beforeAutospacing="0" w:after="0" w:afterAutospacing="0" w:line="360" w:lineRule="auto"/>
        <w:ind w:firstLine="420"/>
        <w:rPr>
          <w:sz w:val="21"/>
          <w:szCs w:val="21"/>
        </w:rPr>
      </w:pPr>
      <w:r>
        <w:rPr>
          <w:rFonts w:hint="eastAsia"/>
          <w:sz w:val="21"/>
          <w:szCs w:val="21"/>
        </w:rPr>
        <w:t xml:space="preserve">（3）、基金持有与中国证监会签署双边监管合作谅解备忘录国家或地区以外的其他国家或地区证券市场挂牌交易的证券资产不得超过基金资产净值的10%，其中持有任一国家或地区市场的证券资产不得超过基金资产净值的3%。 </w:t>
      </w:r>
    </w:p>
    <w:p w14:paraId="364F2A95">
      <w:pPr>
        <w:pStyle w:val="8"/>
        <w:spacing w:before="0" w:beforeAutospacing="0" w:after="0" w:afterAutospacing="0" w:line="360" w:lineRule="auto"/>
        <w:ind w:firstLine="420"/>
        <w:rPr>
          <w:sz w:val="21"/>
          <w:szCs w:val="21"/>
        </w:rPr>
      </w:pPr>
      <w:r>
        <w:rPr>
          <w:rFonts w:hint="eastAsia"/>
          <w:sz w:val="21"/>
          <w:szCs w:val="21"/>
        </w:rPr>
        <w:t xml:space="preserve">（4）、基金不得购买证券用于控制或影响发行该证券的机构或其管理层。同一基金管理人管理的全部基金不得持有同一机构10%以上具有投票权的证券发行总量，但标的指数成份股不受此限。 </w:t>
      </w:r>
    </w:p>
    <w:p w14:paraId="7DB6559A">
      <w:pPr>
        <w:pStyle w:val="8"/>
        <w:spacing w:before="0" w:beforeAutospacing="0" w:after="0" w:afterAutospacing="0" w:line="360" w:lineRule="auto"/>
        <w:ind w:firstLine="420"/>
        <w:rPr>
          <w:sz w:val="21"/>
          <w:szCs w:val="21"/>
        </w:rPr>
      </w:pPr>
      <w:r>
        <w:rPr>
          <w:rFonts w:hint="eastAsia"/>
          <w:sz w:val="21"/>
          <w:szCs w:val="21"/>
        </w:rPr>
        <w:t xml:space="preserve">前项投资比例限制应当合并计算同一机构境内外上市的总股本，同时应当一并计算全球存托凭证和美国存托凭证所代表的基础证券，并假设对持有的股本权证行使转换。 </w:t>
      </w:r>
    </w:p>
    <w:p w14:paraId="1FE1965D">
      <w:pPr>
        <w:pStyle w:val="8"/>
        <w:spacing w:before="0" w:beforeAutospacing="0" w:after="0" w:afterAutospacing="0" w:line="360" w:lineRule="auto"/>
        <w:ind w:firstLine="420"/>
        <w:rPr>
          <w:sz w:val="21"/>
          <w:szCs w:val="21"/>
        </w:rPr>
      </w:pPr>
      <w:r>
        <w:rPr>
          <w:rFonts w:hint="eastAsia"/>
          <w:sz w:val="21"/>
          <w:szCs w:val="21"/>
        </w:rPr>
        <w:t xml:space="preserve">（5）、基金持有非流动性资产市值不得超过基金净值的10%。 </w:t>
      </w:r>
    </w:p>
    <w:p w14:paraId="5D22A360">
      <w:pPr>
        <w:pStyle w:val="8"/>
        <w:spacing w:before="0" w:beforeAutospacing="0" w:after="0" w:afterAutospacing="0" w:line="360" w:lineRule="auto"/>
        <w:ind w:firstLine="420"/>
        <w:rPr>
          <w:sz w:val="21"/>
          <w:szCs w:val="21"/>
        </w:rPr>
      </w:pPr>
      <w:r>
        <w:rPr>
          <w:rFonts w:hint="eastAsia"/>
          <w:sz w:val="21"/>
          <w:szCs w:val="21"/>
        </w:rPr>
        <w:t xml:space="preserve">前项非流动性资产是指法律或基金合同规定的流通受限证券以及中国证监会认定的其他资产。 </w:t>
      </w:r>
    </w:p>
    <w:p w14:paraId="732D661E">
      <w:pPr>
        <w:pStyle w:val="8"/>
        <w:spacing w:before="0" w:beforeAutospacing="0" w:after="0" w:afterAutospacing="0" w:line="360" w:lineRule="auto"/>
        <w:ind w:firstLine="420"/>
        <w:rPr>
          <w:sz w:val="21"/>
          <w:szCs w:val="21"/>
        </w:rPr>
      </w:pPr>
      <w:r>
        <w:rPr>
          <w:rFonts w:hint="eastAsia"/>
          <w:sz w:val="21"/>
          <w:szCs w:val="21"/>
        </w:rPr>
        <w:t xml:space="preserve">（6）、本基金持有境外基金的市值合计不得超过基金资产净值的10%，但持有货币市场基金不受此限制 </w:t>
      </w:r>
    </w:p>
    <w:p w14:paraId="5EE52281">
      <w:pPr>
        <w:pStyle w:val="8"/>
        <w:spacing w:before="0" w:beforeAutospacing="0" w:after="0" w:afterAutospacing="0" w:line="360" w:lineRule="auto"/>
        <w:ind w:firstLine="420"/>
        <w:rPr>
          <w:sz w:val="21"/>
          <w:szCs w:val="21"/>
        </w:rPr>
      </w:pPr>
      <w:r>
        <w:rPr>
          <w:rFonts w:hint="eastAsia"/>
          <w:sz w:val="21"/>
          <w:szCs w:val="21"/>
        </w:rPr>
        <w:t xml:space="preserve">（7）、同一基金管理人管理的全部基金持有任何一只境外基金，不得超过该境外基金总份额的20％。 </w:t>
      </w:r>
    </w:p>
    <w:p w14:paraId="456F24A0">
      <w:pPr>
        <w:pStyle w:val="8"/>
        <w:spacing w:before="0" w:beforeAutospacing="0" w:after="0" w:afterAutospacing="0" w:line="360" w:lineRule="auto"/>
        <w:ind w:firstLine="420"/>
        <w:rPr>
          <w:sz w:val="21"/>
          <w:szCs w:val="21"/>
        </w:rPr>
      </w:pPr>
      <w:r>
        <w:rPr>
          <w:rFonts w:hint="eastAsia"/>
          <w:sz w:val="21"/>
          <w:szCs w:val="21"/>
        </w:rPr>
        <w:t xml:space="preserve">(8)、为应付赎回、交易清算等临时用途借入现金的比例不得超过基金资产净值的10%。 </w:t>
      </w:r>
    </w:p>
    <w:p w14:paraId="19EEC375">
      <w:pPr>
        <w:pStyle w:val="8"/>
        <w:spacing w:before="0" w:beforeAutospacing="0" w:after="0" w:afterAutospacing="0" w:line="360" w:lineRule="auto"/>
        <w:ind w:firstLine="420"/>
        <w:rPr>
          <w:sz w:val="21"/>
          <w:szCs w:val="21"/>
        </w:rPr>
      </w:pPr>
      <w:r>
        <w:rPr>
          <w:rFonts w:hint="eastAsia"/>
          <w:sz w:val="21"/>
          <w:szCs w:val="21"/>
        </w:rPr>
        <w:t xml:space="preserve">（9）、本基金如果参与境内投资，还应当遵守以下限制：  </w:t>
      </w:r>
    </w:p>
    <w:p w14:paraId="0DC4FBEC">
      <w:pPr>
        <w:pStyle w:val="8"/>
        <w:spacing w:before="0" w:beforeAutospacing="0" w:after="0" w:afterAutospacing="0" w:line="360" w:lineRule="auto"/>
        <w:ind w:firstLine="420"/>
        <w:rPr>
          <w:sz w:val="21"/>
          <w:szCs w:val="21"/>
        </w:rPr>
      </w:pPr>
      <w:r>
        <w:rPr>
          <w:rFonts w:hint="eastAsia"/>
          <w:sz w:val="21"/>
          <w:szCs w:val="21"/>
        </w:rPr>
        <w:t xml:space="preserve">1）、本基金主动投资于流动性受限资产的市值合计不得超过本基金资产净值的15%；  </w:t>
      </w:r>
    </w:p>
    <w:p w14:paraId="095DDDD8">
      <w:pPr>
        <w:pStyle w:val="8"/>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4DF605C7">
      <w:pPr>
        <w:pStyle w:val="8"/>
        <w:spacing w:before="0" w:beforeAutospacing="0" w:after="0" w:afterAutospacing="0" w:line="360" w:lineRule="auto"/>
        <w:ind w:firstLine="420"/>
        <w:rPr>
          <w:sz w:val="21"/>
          <w:szCs w:val="21"/>
        </w:rPr>
      </w:pPr>
      <w:r>
        <w:rPr>
          <w:rFonts w:hint="eastAsia"/>
          <w:sz w:val="21"/>
          <w:szCs w:val="21"/>
        </w:rPr>
        <w:t xml:space="preserve">2）、本基金与私募类证券资管产品及中国证监会认定的其他主体为交易对手开展逆回购交易的，可接受质押品的资质要求应当与基金合同约定的投资范围保持一致；  </w:t>
      </w:r>
    </w:p>
    <w:p w14:paraId="3F3638AA">
      <w:pPr>
        <w:pStyle w:val="8"/>
        <w:spacing w:before="0" w:beforeAutospacing="0" w:after="0" w:afterAutospacing="0" w:line="360" w:lineRule="auto"/>
        <w:ind w:firstLine="420"/>
        <w:rPr>
          <w:sz w:val="21"/>
          <w:szCs w:val="21"/>
        </w:rPr>
      </w:pPr>
      <w:r>
        <w:rPr>
          <w:rFonts w:hint="eastAsia"/>
          <w:sz w:val="21"/>
          <w:szCs w:val="21"/>
        </w:rPr>
        <w:t xml:space="preserve">除上述第（9）条外， </w:t>
      </w:r>
    </w:p>
    <w:p w14:paraId="1FFDC22F">
      <w:pPr>
        <w:pStyle w:val="8"/>
        <w:spacing w:before="0" w:beforeAutospacing="0" w:after="0" w:afterAutospacing="0" w:line="360" w:lineRule="auto"/>
        <w:ind w:firstLine="420"/>
        <w:rPr>
          <w:sz w:val="21"/>
          <w:szCs w:val="21"/>
        </w:rPr>
      </w:pPr>
      <w:r>
        <w:rPr>
          <w:rFonts w:hint="eastAsia"/>
          <w:sz w:val="21"/>
          <w:szCs w:val="21"/>
        </w:rPr>
        <w:t xml:space="preserve">若基金超过上述项投资比例限制，应当在超过比例后30个工作日内采用合理的商业措施减仓以符合投资比例限制要求。法律法规另有规定的，从其规定。 </w:t>
      </w:r>
    </w:p>
    <w:p w14:paraId="17F8FB4E">
      <w:pPr>
        <w:pStyle w:val="8"/>
        <w:spacing w:before="0" w:beforeAutospacing="0" w:after="0" w:afterAutospacing="0" w:line="360" w:lineRule="auto"/>
        <w:ind w:firstLine="420"/>
        <w:rPr>
          <w:sz w:val="21"/>
          <w:szCs w:val="21"/>
        </w:rPr>
      </w:pPr>
      <w:r>
        <w:rPr>
          <w:rFonts w:hint="eastAsia"/>
          <w:sz w:val="21"/>
          <w:szCs w:val="21"/>
        </w:rPr>
        <w:t xml:space="preserve">2、金融衍生品  </w:t>
      </w:r>
    </w:p>
    <w:p w14:paraId="66EC7F0B">
      <w:pPr>
        <w:pStyle w:val="8"/>
        <w:spacing w:before="0" w:beforeAutospacing="0" w:after="0" w:afterAutospacing="0" w:line="360" w:lineRule="auto"/>
        <w:ind w:firstLine="420"/>
        <w:rPr>
          <w:sz w:val="21"/>
          <w:szCs w:val="21"/>
        </w:rPr>
      </w:pPr>
      <w:r>
        <w:rPr>
          <w:rFonts w:hint="eastAsia"/>
          <w:sz w:val="21"/>
          <w:szCs w:val="21"/>
        </w:rPr>
        <w:t xml:space="preserve">本基金投资衍生品应当仅限于投资组合避险或有效管理，不得用于投机或放大交易，同时应当严格遵守下列规定： </w:t>
      </w:r>
    </w:p>
    <w:p w14:paraId="21D3F5C4">
      <w:pPr>
        <w:pStyle w:val="8"/>
        <w:spacing w:before="0" w:beforeAutospacing="0" w:after="0" w:afterAutospacing="0" w:line="360" w:lineRule="auto"/>
        <w:ind w:firstLine="420"/>
        <w:rPr>
          <w:sz w:val="21"/>
          <w:szCs w:val="21"/>
        </w:rPr>
      </w:pPr>
      <w:r>
        <w:rPr>
          <w:rFonts w:hint="eastAsia"/>
          <w:sz w:val="21"/>
          <w:szCs w:val="21"/>
        </w:rPr>
        <w:t xml:space="preserve">（1）、本基金的金融衍生品全部敞口不得高于基金资产净值的100％。 </w:t>
      </w:r>
    </w:p>
    <w:p w14:paraId="73EB561E">
      <w:pPr>
        <w:pStyle w:val="8"/>
        <w:spacing w:before="0" w:beforeAutospacing="0" w:after="0" w:afterAutospacing="0" w:line="360" w:lineRule="auto"/>
        <w:ind w:firstLine="420"/>
        <w:rPr>
          <w:sz w:val="21"/>
          <w:szCs w:val="21"/>
        </w:rPr>
      </w:pPr>
      <w:r>
        <w:rPr>
          <w:rFonts w:hint="eastAsia"/>
          <w:sz w:val="21"/>
          <w:szCs w:val="21"/>
        </w:rPr>
        <w:t xml:space="preserve">（2）、本基金投资期货支付的初始保证金、投资期权支付或收取的期权费、投资柜台交易衍生品支付的初始费用的总额不得高于基金资产净值的10％。 </w:t>
      </w:r>
    </w:p>
    <w:p w14:paraId="28FCDDFE">
      <w:pPr>
        <w:pStyle w:val="8"/>
        <w:spacing w:before="0" w:beforeAutospacing="0" w:after="0" w:afterAutospacing="0" w:line="360" w:lineRule="auto"/>
        <w:ind w:firstLine="420"/>
        <w:rPr>
          <w:sz w:val="21"/>
          <w:szCs w:val="21"/>
        </w:rPr>
      </w:pPr>
      <w:r>
        <w:rPr>
          <w:rFonts w:hint="eastAsia"/>
          <w:sz w:val="21"/>
          <w:szCs w:val="21"/>
        </w:rPr>
        <w:t xml:space="preserve">（3）、本基金投资于远期合约、互换等柜台交易金融衍生品，应当符合以下要求： </w:t>
      </w:r>
    </w:p>
    <w:p w14:paraId="6355C88C">
      <w:pPr>
        <w:pStyle w:val="8"/>
        <w:spacing w:before="0" w:beforeAutospacing="0" w:after="0" w:afterAutospacing="0" w:line="360" w:lineRule="auto"/>
        <w:ind w:firstLine="420"/>
        <w:rPr>
          <w:sz w:val="21"/>
          <w:szCs w:val="21"/>
        </w:rPr>
      </w:pPr>
      <w:r>
        <w:rPr>
          <w:rFonts w:hint="eastAsia"/>
          <w:sz w:val="21"/>
          <w:szCs w:val="21"/>
        </w:rPr>
        <w:t xml:space="preserve">1）、所有参与交易的对手方（中资商业银行除外）应当具有不低于中国证监会认可的信用评级机构评级。 </w:t>
      </w:r>
    </w:p>
    <w:p w14:paraId="446DAEC9">
      <w:pPr>
        <w:pStyle w:val="8"/>
        <w:spacing w:before="0" w:beforeAutospacing="0" w:after="0" w:afterAutospacing="0" w:line="360" w:lineRule="auto"/>
        <w:ind w:firstLine="420"/>
        <w:rPr>
          <w:sz w:val="21"/>
          <w:szCs w:val="21"/>
        </w:rPr>
      </w:pPr>
      <w:r>
        <w:rPr>
          <w:rFonts w:hint="eastAsia"/>
          <w:sz w:val="21"/>
          <w:szCs w:val="21"/>
        </w:rPr>
        <w:t xml:space="preserve">2）、交易对手方应当至少每个工作日对交易进行估值，并且基金可在任何时候以公允价值终止交易。 </w:t>
      </w:r>
    </w:p>
    <w:p w14:paraId="33AB6D79">
      <w:pPr>
        <w:pStyle w:val="8"/>
        <w:spacing w:before="0" w:beforeAutospacing="0" w:after="0" w:afterAutospacing="0" w:line="360" w:lineRule="auto"/>
        <w:ind w:firstLine="420"/>
        <w:rPr>
          <w:sz w:val="21"/>
          <w:szCs w:val="21"/>
        </w:rPr>
      </w:pPr>
      <w:r>
        <w:rPr>
          <w:rFonts w:hint="eastAsia"/>
          <w:sz w:val="21"/>
          <w:szCs w:val="21"/>
        </w:rPr>
        <w:t xml:space="preserve">3）、任一交易对手方的市值计价敞口不得超过基金资产净值的20％。 </w:t>
      </w:r>
    </w:p>
    <w:p w14:paraId="3FC22F44">
      <w:pPr>
        <w:pStyle w:val="8"/>
        <w:spacing w:before="0" w:beforeAutospacing="0" w:after="0" w:afterAutospacing="0" w:line="360" w:lineRule="auto"/>
        <w:ind w:firstLine="420"/>
        <w:rPr>
          <w:sz w:val="21"/>
          <w:szCs w:val="21"/>
        </w:rPr>
      </w:pPr>
      <w:r>
        <w:rPr>
          <w:rFonts w:hint="eastAsia"/>
          <w:sz w:val="21"/>
          <w:szCs w:val="21"/>
        </w:rPr>
        <w:t xml:space="preserve">（4）、基金管理人应当在本基金会计年度结束后60个工作日内向中国证监会提交包括衍生品头寸及风险分析年度报告。 </w:t>
      </w:r>
    </w:p>
    <w:p w14:paraId="17368C71">
      <w:pPr>
        <w:pStyle w:val="8"/>
        <w:spacing w:before="0" w:beforeAutospacing="0" w:after="0" w:afterAutospacing="0" w:line="360" w:lineRule="auto"/>
        <w:ind w:firstLine="420"/>
        <w:rPr>
          <w:sz w:val="21"/>
          <w:szCs w:val="21"/>
        </w:rPr>
      </w:pPr>
      <w:r>
        <w:rPr>
          <w:rFonts w:hint="eastAsia"/>
          <w:sz w:val="21"/>
          <w:szCs w:val="21"/>
        </w:rPr>
        <w:t xml:space="preserve">（5）、本基金不得直接投资与实物商品相关的衍生品。  </w:t>
      </w:r>
    </w:p>
    <w:p w14:paraId="648CCE7A">
      <w:pPr>
        <w:pStyle w:val="8"/>
        <w:spacing w:before="0" w:beforeAutospacing="0" w:after="0" w:afterAutospacing="0" w:line="360" w:lineRule="auto"/>
        <w:ind w:firstLine="420"/>
        <w:rPr>
          <w:sz w:val="21"/>
          <w:szCs w:val="21"/>
        </w:rPr>
      </w:pPr>
      <w:r>
        <w:rPr>
          <w:rFonts w:hint="eastAsia"/>
          <w:sz w:val="21"/>
          <w:szCs w:val="21"/>
        </w:rPr>
        <w:t xml:space="preserve">3、证券借贷  </w:t>
      </w:r>
    </w:p>
    <w:p w14:paraId="3B66811F">
      <w:pPr>
        <w:pStyle w:val="8"/>
        <w:spacing w:before="0" w:beforeAutospacing="0" w:after="0" w:afterAutospacing="0" w:line="360" w:lineRule="auto"/>
        <w:ind w:firstLine="420"/>
        <w:rPr>
          <w:sz w:val="21"/>
          <w:szCs w:val="21"/>
        </w:rPr>
      </w:pPr>
      <w:r>
        <w:rPr>
          <w:rFonts w:hint="eastAsia"/>
          <w:sz w:val="21"/>
          <w:szCs w:val="21"/>
        </w:rPr>
        <w:t xml:space="preserve">本基金可以参与证券借贷交易，并且应当遵守下列规定： </w:t>
      </w:r>
    </w:p>
    <w:p w14:paraId="74FC3869">
      <w:pPr>
        <w:pStyle w:val="8"/>
        <w:spacing w:before="0" w:beforeAutospacing="0" w:after="0" w:afterAutospacing="0" w:line="360" w:lineRule="auto"/>
        <w:ind w:firstLine="420"/>
        <w:rPr>
          <w:sz w:val="21"/>
          <w:szCs w:val="21"/>
        </w:rPr>
      </w:pPr>
      <w:r>
        <w:rPr>
          <w:rFonts w:hint="eastAsia"/>
          <w:sz w:val="21"/>
          <w:szCs w:val="21"/>
        </w:rPr>
        <w:t xml:space="preserve">（1）、所有参与交易的对手方（中资商业银行除外）应当具有中国证监会认可的信用评级机构评级。 </w:t>
      </w:r>
    </w:p>
    <w:p w14:paraId="5A423DF9">
      <w:pPr>
        <w:pStyle w:val="8"/>
        <w:spacing w:before="0" w:beforeAutospacing="0" w:after="0" w:afterAutospacing="0" w:line="360" w:lineRule="auto"/>
        <w:ind w:firstLine="420"/>
        <w:rPr>
          <w:sz w:val="21"/>
          <w:szCs w:val="21"/>
        </w:rPr>
      </w:pPr>
      <w:r>
        <w:rPr>
          <w:rFonts w:hint="eastAsia"/>
          <w:sz w:val="21"/>
          <w:szCs w:val="21"/>
        </w:rPr>
        <w:t xml:space="preserve">（2）、应当采取市值计价制度进行调整以确保担保物市值不低于已借出证券市值的102％。 </w:t>
      </w:r>
    </w:p>
    <w:p w14:paraId="14D15608">
      <w:pPr>
        <w:pStyle w:val="8"/>
        <w:spacing w:before="0" w:beforeAutospacing="0" w:after="0" w:afterAutospacing="0" w:line="360" w:lineRule="auto"/>
        <w:ind w:firstLine="420"/>
        <w:rPr>
          <w:sz w:val="21"/>
          <w:szCs w:val="21"/>
        </w:rPr>
      </w:pPr>
      <w:r>
        <w:rPr>
          <w:rFonts w:hint="eastAsia"/>
          <w:sz w:val="21"/>
          <w:szCs w:val="21"/>
        </w:rPr>
        <w:t xml:space="preserve">（3）、借方应当在交易期内及时向本基金支付已借出证券产生的所有股息、利息和分红。一旦借方违约，本基金根据协议和有关法律有权保留和处置担保物以满足索赔需要。 </w:t>
      </w:r>
    </w:p>
    <w:p w14:paraId="1D2000F7">
      <w:pPr>
        <w:pStyle w:val="8"/>
        <w:spacing w:before="0" w:beforeAutospacing="0" w:after="0" w:afterAutospacing="0" w:line="360" w:lineRule="auto"/>
        <w:ind w:firstLine="420"/>
        <w:rPr>
          <w:sz w:val="21"/>
          <w:szCs w:val="21"/>
        </w:rPr>
      </w:pPr>
      <w:r>
        <w:rPr>
          <w:rFonts w:hint="eastAsia"/>
          <w:sz w:val="21"/>
          <w:szCs w:val="21"/>
        </w:rPr>
        <w:t xml:space="preserve">（4）、除中国证监会另有规定外，担保物可以是以下金融工具或品种： </w:t>
      </w:r>
    </w:p>
    <w:p w14:paraId="5234455B">
      <w:pPr>
        <w:pStyle w:val="8"/>
        <w:spacing w:before="0" w:beforeAutospacing="0" w:after="0" w:afterAutospacing="0" w:line="360" w:lineRule="auto"/>
        <w:ind w:firstLine="420"/>
        <w:rPr>
          <w:sz w:val="21"/>
          <w:szCs w:val="21"/>
        </w:rPr>
      </w:pPr>
      <w:r>
        <w:rPr>
          <w:rFonts w:hint="eastAsia"/>
          <w:sz w:val="21"/>
          <w:szCs w:val="21"/>
        </w:rPr>
        <w:t xml:space="preserve">1）、 现金； </w:t>
      </w:r>
    </w:p>
    <w:p w14:paraId="5B6B623D">
      <w:pPr>
        <w:pStyle w:val="8"/>
        <w:spacing w:before="0" w:beforeAutospacing="0" w:after="0" w:afterAutospacing="0" w:line="360" w:lineRule="auto"/>
        <w:ind w:firstLine="420"/>
        <w:rPr>
          <w:sz w:val="21"/>
          <w:szCs w:val="21"/>
        </w:rPr>
      </w:pPr>
      <w:r>
        <w:rPr>
          <w:rFonts w:hint="eastAsia"/>
          <w:sz w:val="21"/>
          <w:szCs w:val="21"/>
        </w:rPr>
        <w:t xml:space="preserve">2）、 存款证明； </w:t>
      </w:r>
    </w:p>
    <w:p w14:paraId="29EFA428">
      <w:pPr>
        <w:pStyle w:val="8"/>
        <w:spacing w:before="0" w:beforeAutospacing="0" w:after="0" w:afterAutospacing="0" w:line="360" w:lineRule="auto"/>
        <w:ind w:firstLine="420"/>
        <w:rPr>
          <w:sz w:val="21"/>
          <w:szCs w:val="21"/>
        </w:rPr>
      </w:pPr>
      <w:r>
        <w:rPr>
          <w:rFonts w:hint="eastAsia"/>
          <w:sz w:val="21"/>
          <w:szCs w:val="21"/>
        </w:rPr>
        <w:t xml:space="preserve">3）、商业票据； </w:t>
      </w:r>
    </w:p>
    <w:p w14:paraId="2ADE86A2">
      <w:pPr>
        <w:pStyle w:val="8"/>
        <w:spacing w:before="0" w:beforeAutospacing="0" w:after="0" w:afterAutospacing="0" w:line="360" w:lineRule="auto"/>
        <w:ind w:firstLine="420"/>
        <w:rPr>
          <w:sz w:val="21"/>
          <w:szCs w:val="21"/>
        </w:rPr>
      </w:pPr>
      <w:r>
        <w:rPr>
          <w:rFonts w:hint="eastAsia"/>
          <w:sz w:val="21"/>
          <w:szCs w:val="21"/>
        </w:rPr>
        <w:t xml:space="preserve">4）、政府债券； </w:t>
      </w:r>
    </w:p>
    <w:p w14:paraId="16B48A5F">
      <w:pPr>
        <w:pStyle w:val="8"/>
        <w:spacing w:before="0" w:beforeAutospacing="0" w:after="0" w:afterAutospacing="0" w:line="360" w:lineRule="auto"/>
        <w:ind w:firstLine="420"/>
        <w:rPr>
          <w:sz w:val="21"/>
          <w:szCs w:val="21"/>
        </w:rPr>
      </w:pPr>
      <w:r>
        <w:rPr>
          <w:rFonts w:hint="eastAsia"/>
          <w:sz w:val="21"/>
          <w:szCs w:val="21"/>
        </w:rPr>
        <w:t xml:space="preserve">5）、中资商业银行或由不低于中国证监会认可的信用评级机构评级的境外金融机构（作为交易对手方或其关联方的除外）出具的不可撤销信用证。 </w:t>
      </w:r>
    </w:p>
    <w:p w14:paraId="14B2AD5F">
      <w:pPr>
        <w:pStyle w:val="8"/>
        <w:spacing w:before="0" w:beforeAutospacing="0" w:after="0" w:afterAutospacing="0" w:line="360" w:lineRule="auto"/>
        <w:ind w:firstLine="420"/>
        <w:rPr>
          <w:sz w:val="21"/>
          <w:szCs w:val="21"/>
        </w:rPr>
      </w:pPr>
      <w:r>
        <w:rPr>
          <w:rFonts w:hint="eastAsia"/>
          <w:sz w:val="21"/>
          <w:szCs w:val="21"/>
        </w:rPr>
        <w:t xml:space="preserve">（5）、本基金有权在任何时候终止证券借贷交易并在正常市场惯例的合理期限内要求归还任一或所有已借出的证券。 </w:t>
      </w:r>
    </w:p>
    <w:p w14:paraId="3F9C4CA8">
      <w:pPr>
        <w:pStyle w:val="8"/>
        <w:spacing w:before="0" w:beforeAutospacing="0" w:after="0" w:afterAutospacing="0" w:line="360" w:lineRule="auto"/>
        <w:ind w:firstLine="420"/>
        <w:rPr>
          <w:sz w:val="21"/>
          <w:szCs w:val="21"/>
        </w:rPr>
      </w:pPr>
      <w:r>
        <w:rPr>
          <w:rFonts w:hint="eastAsia"/>
          <w:sz w:val="21"/>
          <w:szCs w:val="21"/>
        </w:rPr>
        <w:t xml:space="preserve">（6）、基金管理人应当对基金参与证券借贷交易中发生的任何损失负相应责任。 </w:t>
      </w:r>
    </w:p>
    <w:p w14:paraId="0A785669">
      <w:pPr>
        <w:pStyle w:val="8"/>
        <w:spacing w:before="0" w:beforeAutospacing="0" w:after="0" w:afterAutospacing="0" w:line="360" w:lineRule="auto"/>
        <w:ind w:firstLine="420"/>
        <w:rPr>
          <w:sz w:val="21"/>
          <w:szCs w:val="21"/>
        </w:rPr>
      </w:pPr>
      <w:r>
        <w:rPr>
          <w:rFonts w:hint="eastAsia"/>
          <w:sz w:val="21"/>
          <w:szCs w:val="21"/>
        </w:rPr>
        <w:t xml:space="preserve">4、证券回购交易  </w:t>
      </w:r>
    </w:p>
    <w:p w14:paraId="380E838A">
      <w:pPr>
        <w:pStyle w:val="8"/>
        <w:spacing w:before="0" w:beforeAutospacing="0" w:after="0" w:afterAutospacing="0" w:line="360" w:lineRule="auto"/>
        <w:ind w:firstLine="420"/>
        <w:rPr>
          <w:sz w:val="21"/>
          <w:szCs w:val="21"/>
        </w:rPr>
      </w:pPr>
      <w:r>
        <w:rPr>
          <w:rFonts w:hint="eastAsia"/>
          <w:sz w:val="21"/>
          <w:szCs w:val="21"/>
        </w:rPr>
        <w:t xml:space="preserve">基金可以根据正常市场惯例参与正回购交易、逆回购交易，并且应当遵守下列规定： </w:t>
      </w:r>
    </w:p>
    <w:p w14:paraId="5C71ABC0">
      <w:pPr>
        <w:pStyle w:val="8"/>
        <w:spacing w:before="0" w:beforeAutospacing="0" w:after="0" w:afterAutospacing="0" w:line="360" w:lineRule="auto"/>
        <w:ind w:firstLine="420"/>
        <w:rPr>
          <w:sz w:val="21"/>
          <w:szCs w:val="21"/>
        </w:rPr>
      </w:pPr>
      <w:r>
        <w:rPr>
          <w:rFonts w:hint="eastAsia"/>
          <w:sz w:val="21"/>
          <w:szCs w:val="21"/>
        </w:rPr>
        <w:t xml:space="preserve">（1）、所有参与正回购交易的对手方（中资商业银行除外）应当具有中国证监会认可的信用评级机构信用评级。 </w:t>
      </w:r>
    </w:p>
    <w:p w14:paraId="013F49F1">
      <w:pPr>
        <w:pStyle w:val="8"/>
        <w:spacing w:before="0" w:beforeAutospacing="0" w:after="0" w:afterAutospacing="0" w:line="360" w:lineRule="auto"/>
        <w:ind w:firstLine="420"/>
        <w:rPr>
          <w:sz w:val="21"/>
          <w:szCs w:val="21"/>
        </w:rPr>
      </w:pPr>
      <w:r>
        <w:rPr>
          <w:rFonts w:hint="eastAsia"/>
          <w:sz w:val="21"/>
          <w:szCs w:val="21"/>
        </w:rPr>
        <w:t xml:space="preserve">（2）、参与正回购交易，应当采取市值计价制度对卖出收益进行调整以确保现金不低于已售出证券市值的102％。一旦买方违约，本基金根据协议和有关法律有权保留或处置卖出收益以满足索赔需要。 </w:t>
      </w:r>
    </w:p>
    <w:p w14:paraId="2E6BDDBC">
      <w:pPr>
        <w:pStyle w:val="8"/>
        <w:spacing w:before="0" w:beforeAutospacing="0" w:after="0" w:afterAutospacing="0" w:line="360" w:lineRule="auto"/>
        <w:ind w:firstLine="420"/>
        <w:rPr>
          <w:sz w:val="21"/>
          <w:szCs w:val="21"/>
        </w:rPr>
      </w:pPr>
      <w:r>
        <w:rPr>
          <w:rFonts w:hint="eastAsia"/>
          <w:sz w:val="21"/>
          <w:szCs w:val="21"/>
        </w:rPr>
        <w:t xml:space="preserve">（3）、买方应当在正回购交易期内及时向本基金支付售出证券产生的所有股息、利息和分红。 </w:t>
      </w:r>
    </w:p>
    <w:p w14:paraId="50FBA7D9">
      <w:pPr>
        <w:pStyle w:val="8"/>
        <w:spacing w:before="0" w:beforeAutospacing="0" w:after="0" w:afterAutospacing="0" w:line="360" w:lineRule="auto"/>
        <w:ind w:firstLine="420"/>
        <w:rPr>
          <w:sz w:val="21"/>
          <w:szCs w:val="21"/>
        </w:rPr>
      </w:pPr>
      <w:r>
        <w:rPr>
          <w:rFonts w:hint="eastAsia"/>
          <w:sz w:val="21"/>
          <w:szCs w:val="21"/>
        </w:rPr>
        <w:t xml:space="preserve">（4）、参与逆回购交易，应当对购入证券采取市值计价制度进行调整以确保已购入证券市值不低于支付现金的102％。一旦卖方违约，本基金根据协议和有关法律有权保留或处置已购入证券以满足索赔需要。 </w:t>
      </w:r>
    </w:p>
    <w:p w14:paraId="630BA389">
      <w:pPr>
        <w:pStyle w:val="8"/>
        <w:spacing w:before="0" w:beforeAutospacing="0" w:after="0" w:afterAutospacing="0" w:line="360" w:lineRule="auto"/>
        <w:ind w:firstLine="420"/>
        <w:rPr>
          <w:sz w:val="21"/>
          <w:szCs w:val="21"/>
        </w:rPr>
      </w:pPr>
      <w:r>
        <w:rPr>
          <w:rFonts w:hint="eastAsia"/>
          <w:sz w:val="21"/>
          <w:szCs w:val="21"/>
        </w:rPr>
        <w:t xml:space="preserve">（5）、基金管理人应当对基金参与证券正回购交易、逆回购交易中发生的任何损失负相应责任。 </w:t>
      </w:r>
    </w:p>
    <w:p w14:paraId="5D8E6168">
      <w:pPr>
        <w:pStyle w:val="8"/>
        <w:spacing w:before="0" w:beforeAutospacing="0" w:after="0" w:afterAutospacing="0" w:line="360" w:lineRule="auto"/>
        <w:ind w:firstLine="420"/>
        <w:rPr>
          <w:sz w:val="21"/>
          <w:szCs w:val="21"/>
        </w:rPr>
      </w:pPr>
      <w:r>
        <w:rPr>
          <w:rFonts w:hint="eastAsia"/>
          <w:sz w:val="21"/>
          <w:szCs w:val="21"/>
        </w:rPr>
        <w:t xml:space="preserve">（6）、基金参与证券借贷交易、正回购交易，所有已借出而未归还证券总市值或所有已售出而未回购证券总市值均不得超过基金总资产的50％。前项比例限制计算，基金因参与证券借贷交易、正回购交易而持有的担保物、现金不得计入基金总资产。 </w:t>
      </w:r>
    </w:p>
    <w:p w14:paraId="52B1BCF3">
      <w:pPr>
        <w:pStyle w:val="8"/>
        <w:spacing w:before="0" w:beforeAutospacing="0" w:after="0" w:afterAutospacing="0" w:line="360" w:lineRule="auto"/>
        <w:ind w:firstLine="420"/>
        <w:rPr>
          <w:sz w:val="21"/>
          <w:szCs w:val="21"/>
        </w:rPr>
      </w:pPr>
      <w:r>
        <w:rPr>
          <w:rFonts w:hint="eastAsia"/>
          <w:b/>
          <w:bCs/>
          <w:sz w:val="21"/>
          <w:szCs w:val="21"/>
        </w:rPr>
        <w:t>（三）、投资组合限制条款的修改</w:t>
      </w:r>
    </w:p>
    <w:p w14:paraId="3E5926A9">
      <w:pPr>
        <w:pStyle w:val="8"/>
        <w:spacing w:before="0" w:beforeAutospacing="0" w:after="0" w:afterAutospacing="0" w:line="360" w:lineRule="auto"/>
        <w:ind w:firstLine="420"/>
        <w:rPr>
          <w:sz w:val="21"/>
          <w:szCs w:val="21"/>
        </w:rPr>
      </w:pPr>
      <w:r>
        <w:rPr>
          <w:rFonts w:hint="eastAsia"/>
          <w:sz w:val="21"/>
          <w:szCs w:val="21"/>
        </w:rPr>
        <w:t xml:space="preserve">若法律法规或中国证监会的相关规定发生修改或变更，致使现行法律法规的投资禁止行为和投资组合比例限制被修改或取消，基金管理人在履行适当程序后，本基金可相应调整禁止行为和投资限制规定。 </w:t>
      </w:r>
    </w:p>
    <w:p w14:paraId="1DF6E686">
      <w:pPr>
        <w:pStyle w:val="8"/>
        <w:spacing w:before="0" w:beforeAutospacing="0" w:after="0" w:afterAutospacing="0" w:line="360" w:lineRule="auto"/>
        <w:ind w:firstLine="420"/>
        <w:rPr>
          <w:sz w:val="21"/>
          <w:szCs w:val="21"/>
        </w:rPr>
      </w:pPr>
      <w:r>
        <w:rPr>
          <w:rFonts w:hint="eastAsia"/>
          <w:b/>
          <w:bCs/>
          <w:sz w:val="21"/>
          <w:szCs w:val="21"/>
        </w:rPr>
        <w:t>（四）、投资组合比例调整</w:t>
      </w:r>
    </w:p>
    <w:p w14:paraId="691DE093">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约定。若基金投资不符合基金合同约定的投资比例规定的，基金管理人应当在30个工作日内采用合理的商业措施进行调整。法律法规另有规定时，从其规定。 </w:t>
      </w:r>
    </w:p>
    <w:p w14:paraId="622FDDC7">
      <w:pPr>
        <w:pStyle w:val="8"/>
        <w:spacing w:before="0" w:beforeAutospacing="0" w:after="0" w:afterAutospacing="0" w:line="360" w:lineRule="auto"/>
        <w:ind w:firstLine="420"/>
        <w:rPr>
          <w:sz w:val="21"/>
          <w:szCs w:val="21"/>
        </w:rPr>
      </w:pPr>
      <w:r>
        <w:rPr>
          <w:rFonts w:hint="eastAsia"/>
          <w:b/>
          <w:bCs/>
          <w:sz w:val="21"/>
          <w:szCs w:val="21"/>
        </w:rPr>
        <w:t>十二、基金管理人代表基金行使股东权利及债权人权利的处理原则及方法</w:t>
      </w:r>
    </w:p>
    <w:p w14:paraId="66DE0789">
      <w:pPr>
        <w:pStyle w:val="8"/>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1、基金管理人按照国家有关规定代表基金独立行使股东权利及债权人权利，保护基金份额持有人的利益；  </w:t>
      </w:r>
    </w:p>
    <w:p w14:paraId="5C6ABC61">
      <w:pPr>
        <w:pStyle w:val="8"/>
        <w:spacing w:before="0" w:beforeAutospacing="0" w:after="0" w:afterAutospacing="0" w:line="360" w:lineRule="auto"/>
        <w:ind w:firstLine="420"/>
        <w:rPr>
          <w:sz w:val="21"/>
          <w:szCs w:val="21"/>
        </w:rPr>
      </w:pPr>
      <w:r>
        <w:rPr>
          <w:rFonts w:hint="eastAsia"/>
          <w:sz w:val="21"/>
          <w:szCs w:val="21"/>
        </w:rPr>
        <w:t xml:space="preserve">2、不谋求对上市公司的控股和直接管理；  </w:t>
      </w:r>
    </w:p>
    <w:p w14:paraId="5364E548">
      <w:pPr>
        <w:pStyle w:val="8"/>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6F6D3313">
      <w:pPr>
        <w:pStyle w:val="8"/>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14:paraId="07A9EDDE">
      <w:pPr>
        <w:pStyle w:val="8"/>
        <w:spacing w:before="0" w:beforeAutospacing="0" w:after="0" w:afterAutospacing="0" w:line="360" w:lineRule="auto"/>
        <w:ind w:firstLine="420"/>
        <w:rPr>
          <w:sz w:val="21"/>
          <w:szCs w:val="21"/>
        </w:rPr>
      </w:pPr>
      <w:r>
        <w:rPr>
          <w:rFonts w:hint="eastAsia"/>
          <w:b/>
          <w:bCs/>
          <w:sz w:val="21"/>
          <w:szCs w:val="21"/>
        </w:rPr>
        <w:t>十三、基金的融资、融券及转融通</w:t>
      </w:r>
    </w:p>
    <w:p w14:paraId="2EB1591E">
      <w:pPr>
        <w:pStyle w:val="8"/>
        <w:spacing w:before="0" w:beforeAutospacing="0" w:after="0" w:afterAutospacing="0" w:line="360" w:lineRule="auto"/>
        <w:ind w:firstLine="420"/>
        <w:rPr>
          <w:sz w:val="21"/>
          <w:szCs w:val="21"/>
        </w:rPr>
      </w:pPr>
      <w:r>
        <w:rPr>
          <w:rFonts w:hint="eastAsia"/>
          <w:sz w:val="21"/>
          <w:szCs w:val="21"/>
        </w:rPr>
        <w:t xml:space="preserve">基金管理人可以在不改变本基金既有投资策略和风险收益特征并在控制风险的前提下，参与融资融券业务以及通过证券金融公司办理转融通业务，以提高投资效率及进行风险管理。届时本基金参与融资融券、转融通等业务的风险控制原则、具体参与比例限制、费用收支、信息披露、估值方法及其他相关事项按照中国证监会的规定及其他相关法律法规的要求执行，无需召开基金份额持有人大会决定。 </w:t>
      </w:r>
    </w:p>
    <w:p w14:paraId="1C0F9A65">
      <w:pPr>
        <w:pStyle w:val="8"/>
        <w:spacing w:before="0" w:beforeAutospacing="0" w:after="0" w:afterAutospacing="0" w:line="360" w:lineRule="auto"/>
        <w:ind w:firstLine="420"/>
        <w:rPr>
          <w:sz w:val="21"/>
          <w:szCs w:val="21"/>
        </w:rPr>
      </w:pPr>
      <w:r>
        <w:rPr>
          <w:rFonts w:hint="eastAsia"/>
          <w:b/>
          <w:bCs/>
          <w:sz w:val="21"/>
          <w:szCs w:val="21"/>
        </w:rPr>
        <w:t>十四、未来条件许可情况下，本基金可增加分级基金份额类别</w:t>
      </w:r>
    </w:p>
    <w:p w14:paraId="015418C9">
      <w:pPr>
        <w:pStyle w:val="8"/>
        <w:spacing w:before="0" w:beforeAutospacing="0" w:after="0" w:afterAutospacing="0" w:line="360" w:lineRule="auto"/>
        <w:ind w:firstLine="420"/>
        <w:rPr>
          <w:sz w:val="21"/>
          <w:szCs w:val="21"/>
        </w:rPr>
      </w:pPr>
      <w:r>
        <w:rPr>
          <w:rFonts w:hint="eastAsia"/>
          <w:sz w:val="21"/>
          <w:szCs w:val="21"/>
        </w:rPr>
        <w:t>若未来条件许可，基金管理人可根据情况对本基金增加分级基金份额类别，使得本基金具有分级基金的功能，本基金原基金份额转换为分级基金的基础份额且保持交易型开放式指数基金份额的性质，上述增加分级基金份额类别及相应的基金合同修改无需经过基金份额持有人大会审议。基金管理人可与基金托管人协商一致后，对基金合同进行相应修改，并在实</w:t>
      </w:r>
      <w:bookmarkStart w:id="123" w:name="chapter_level1_14_60_section_4_end"/>
      <w:bookmarkEnd w:id="123"/>
      <w:r>
        <w:rPr>
          <w:rFonts w:hint="eastAsia"/>
          <w:sz w:val="21"/>
          <w:szCs w:val="21"/>
        </w:rPr>
        <w:t xml:space="preserve">施前进行公告。 </w:t>
      </w:r>
    </w:p>
    <w:p w14:paraId="3CBB6377">
      <w:pPr>
        <w:pStyle w:val="8"/>
        <w:spacing w:before="0" w:beforeAutospacing="0" w:after="0" w:afterAutospacing="0" w:line="360" w:lineRule="auto"/>
        <w:ind w:firstLine="420"/>
        <w:rPr>
          <w:sz w:val="21"/>
          <w:szCs w:val="21"/>
        </w:rPr>
      </w:pPr>
      <w:bookmarkStart w:id="124" w:name="chapter_level1_14_60_section_5"/>
      <w:bookmarkEnd w:id="124"/>
      <w:bookmarkStart w:id="125" w:name="chapter_level1_14_60_section_5_end"/>
      <w:bookmarkEnd w:id="125"/>
      <w:r>
        <w:rPr>
          <w:rStyle w:val="12"/>
          <w:rFonts w:hint="eastAsia"/>
          <w:sz w:val="21"/>
          <w:szCs w:val="21"/>
        </w:rPr>
        <w:t>十五、基金投资组合报告</w:t>
      </w:r>
    </w:p>
    <w:p w14:paraId="560019FA">
      <w:pPr>
        <w:pStyle w:val="8"/>
        <w:spacing w:before="0" w:beforeAutospacing="0" w:after="0" w:afterAutospacing="0" w:line="360" w:lineRule="auto"/>
        <w:ind w:firstLine="420"/>
        <w:rPr>
          <w:sz w:val="21"/>
          <w:szCs w:val="21"/>
        </w:rPr>
      </w:pPr>
      <w:bookmarkStart w:id="126" w:name="chapter_level1_14_60_section_6"/>
      <w:bookmarkEnd w:id="126"/>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3791C9A1">
      <w:pPr>
        <w:pStyle w:val="8"/>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基金托管人根据基金合同规定复核了本报告中的财务指标、净值表现和投资组合报告等内容，保证复核内容不存在虚假记载、误导性陈述或者重大遗漏。 </w:t>
      </w:r>
    </w:p>
    <w:p w14:paraId="24731439">
      <w:pPr>
        <w:pStyle w:val="8"/>
        <w:spacing w:before="0" w:beforeAutospacing="0" w:after="0" w:afterAutospacing="0" w:line="360" w:lineRule="auto"/>
        <w:ind w:firstLine="420"/>
        <w:rPr>
          <w:sz w:val="21"/>
          <w:szCs w:val="21"/>
        </w:rPr>
      </w:pPr>
      <w:r>
        <w:rPr>
          <w:rFonts w:hint="eastAsia"/>
          <w:sz w:val="21"/>
          <w:szCs w:val="21"/>
        </w:rPr>
        <w:t>本投资组合报告所载数据截至</w:t>
      </w:r>
      <w:bookmarkStart w:id="127" w:name="field_2343_financeendday_2"/>
      <w:r>
        <w:rPr>
          <w:sz w:val="21"/>
          <w:szCs w:val="21"/>
        </w:rPr>
        <w:t>2025年6月30日</w:t>
      </w:r>
      <w:bookmarkEnd w:id="127"/>
      <w:r>
        <w:rPr>
          <w:rFonts w:hint="eastAsia"/>
          <w:sz w:val="21"/>
          <w:szCs w:val="21"/>
        </w:rPr>
        <w:t xml:space="preserve">，本报告中所列财务数据未经审计。 </w:t>
      </w:r>
    </w:p>
    <w:p w14:paraId="4D4EB735">
      <w:pPr>
        <w:pStyle w:val="8"/>
        <w:spacing w:before="0" w:beforeAutospacing="0" w:after="0" w:afterAutospacing="0" w:line="360" w:lineRule="auto"/>
        <w:ind w:firstLine="420"/>
        <w:rPr>
          <w:sz w:val="21"/>
          <w:szCs w:val="21"/>
        </w:rPr>
      </w:pPr>
      <w:bookmarkStart w:id="128" w:name="field_0_fundportfolio_1_start"/>
      <w:bookmarkEnd w:id="128"/>
      <w:r>
        <w:rPr>
          <w:rStyle w:val="12"/>
          <w:rFonts w:hint="eastAsia"/>
          <w:sz w:val="21"/>
          <w:szCs w:val="21"/>
        </w:rPr>
        <w:t>1 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
        <w:gridCol w:w="3577"/>
        <w:gridCol w:w="2001"/>
        <w:gridCol w:w="2316"/>
      </w:tblGrid>
      <w:tr w14:paraId="3D8B2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DB3AE4">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115F332">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5F3A06FF">
            <w:pPr>
              <w:jc w:val="center"/>
              <w:rPr>
                <w:rFonts w:ascii="宋体" w:hAnsi="宋体" w:eastAsia="宋体" w:cs="宋体"/>
                <w:sz w:val="24"/>
                <w:szCs w:val="24"/>
              </w:rPr>
            </w:pPr>
            <w:r>
              <w:rPr>
                <w:rFonts w:hint="eastAsia" w:ascii="宋体" w:hAnsi="宋体" w:eastAsia="宋体"/>
              </w:rPr>
              <w:t>金额(人民币元)</w:t>
            </w:r>
          </w:p>
        </w:tc>
        <w:tc>
          <w:tcPr>
            <w:tcW w:w="0" w:type="auto"/>
            <w:shd w:val="clear" w:color="auto" w:fill="auto"/>
          </w:tcPr>
          <w:p w14:paraId="01BC7B54">
            <w:pPr>
              <w:jc w:val="center"/>
              <w:rPr>
                <w:rFonts w:ascii="宋体" w:hAnsi="宋体" w:eastAsia="宋体" w:cs="宋体"/>
                <w:sz w:val="24"/>
                <w:szCs w:val="24"/>
              </w:rPr>
            </w:pPr>
            <w:r>
              <w:rPr>
                <w:rFonts w:hint="eastAsia" w:ascii="宋体" w:hAnsi="宋体" w:eastAsia="宋体"/>
              </w:rPr>
              <w:t>占基金总资产的比例(%)</w:t>
            </w:r>
          </w:p>
        </w:tc>
      </w:tr>
      <w:tr w14:paraId="113BA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94AE49">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AF46AC1">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22E5C74D">
            <w:pPr>
              <w:jc w:val="right"/>
              <w:rPr>
                <w:rFonts w:ascii="宋体" w:hAnsi="宋体" w:eastAsia="宋体" w:cs="宋体"/>
                <w:sz w:val="24"/>
                <w:szCs w:val="24"/>
              </w:rPr>
            </w:pPr>
            <w:r>
              <w:rPr>
                <w:rFonts w:hint="eastAsia" w:ascii="宋体" w:hAnsi="宋体" w:eastAsia="宋体"/>
              </w:rPr>
              <w:t>19,596,400,600.64</w:t>
            </w:r>
          </w:p>
        </w:tc>
        <w:tc>
          <w:tcPr>
            <w:tcW w:w="0" w:type="auto"/>
            <w:shd w:val="clear" w:color="auto" w:fill="auto"/>
          </w:tcPr>
          <w:p w14:paraId="1129416E">
            <w:pPr>
              <w:jc w:val="right"/>
              <w:rPr>
                <w:rFonts w:ascii="宋体" w:hAnsi="宋体" w:eastAsia="宋体" w:cs="宋体"/>
                <w:sz w:val="24"/>
                <w:szCs w:val="24"/>
              </w:rPr>
            </w:pPr>
            <w:r>
              <w:rPr>
                <w:rFonts w:hint="eastAsia" w:ascii="宋体" w:hAnsi="宋体" w:eastAsia="宋体"/>
              </w:rPr>
              <w:t>97.34</w:t>
            </w:r>
          </w:p>
        </w:tc>
      </w:tr>
      <w:tr w14:paraId="3E3C8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D796BE">
            <w:pPr>
              <w:jc w:val="center"/>
              <w:rPr>
                <w:rFonts w:ascii="宋体" w:hAnsi="宋体" w:eastAsia="宋体" w:cs="宋体"/>
                <w:sz w:val="24"/>
                <w:szCs w:val="24"/>
              </w:rPr>
            </w:pPr>
          </w:p>
        </w:tc>
        <w:tc>
          <w:tcPr>
            <w:tcW w:w="0" w:type="auto"/>
            <w:shd w:val="clear" w:color="auto" w:fill="auto"/>
          </w:tcPr>
          <w:p w14:paraId="6CF072D5">
            <w:pPr>
              <w:rPr>
                <w:rFonts w:ascii="宋体" w:hAnsi="宋体" w:eastAsia="宋体" w:cs="宋体"/>
                <w:sz w:val="24"/>
                <w:szCs w:val="24"/>
              </w:rPr>
            </w:pPr>
            <w:r>
              <w:rPr>
                <w:rFonts w:hint="eastAsia" w:ascii="宋体" w:hAnsi="宋体" w:eastAsia="宋体"/>
              </w:rPr>
              <w:t>其中：普通股</w:t>
            </w:r>
          </w:p>
        </w:tc>
        <w:tc>
          <w:tcPr>
            <w:tcW w:w="0" w:type="auto"/>
            <w:shd w:val="clear" w:color="auto" w:fill="auto"/>
          </w:tcPr>
          <w:p w14:paraId="1A271767">
            <w:pPr>
              <w:jc w:val="right"/>
              <w:rPr>
                <w:rFonts w:ascii="宋体" w:hAnsi="宋体" w:eastAsia="宋体" w:cs="宋体"/>
                <w:sz w:val="24"/>
                <w:szCs w:val="24"/>
              </w:rPr>
            </w:pPr>
            <w:r>
              <w:rPr>
                <w:rFonts w:hint="eastAsia" w:ascii="宋体" w:hAnsi="宋体" w:eastAsia="宋体"/>
              </w:rPr>
              <w:t>19,221,231,304.42</w:t>
            </w:r>
          </w:p>
        </w:tc>
        <w:tc>
          <w:tcPr>
            <w:tcW w:w="0" w:type="auto"/>
            <w:shd w:val="clear" w:color="auto" w:fill="auto"/>
          </w:tcPr>
          <w:p w14:paraId="3683D79D">
            <w:pPr>
              <w:jc w:val="right"/>
              <w:rPr>
                <w:rFonts w:ascii="宋体" w:hAnsi="宋体" w:eastAsia="宋体" w:cs="宋体"/>
                <w:sz w:val="24"/>
                <w:szCs w:val="24"/>
              </w:rPr>
            </w:pPr>
            <w:r>
              <w:rPr>
                <w:rFonts w:hint="eastAsia" w:ascii="宋体" w:hAnsi="宋体" w:eastAsia="宋体"/>
              </w:rPr>
              <w:t>95.48</w:t>
            </w:r>
          </w:p>
        </w:tc>
      </w:tr>
      <w:tr w14:paraId="03A80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250409">
            <w:pPr>
              <w:jc w:val="center"/>
              <w:rPr>
                <w:rFonts w:ascii="宋体" w:hAnsi="宋体" w:eastAsia="宋体" w:cs="宋体"/>
                <w:sz w:val="24"/>
                <w:szCs w:val="24"/>
              </w:rPr>
            </w:pPr>
          </w:p>
        </w:tc>
        <w:tc>
          <w:tcPr>
            <w:tcW w:w="0" w:type="auto"/>
            <w:shd w:val="clear" w:color="auto" w:fill="auto"/>
          </w:tcPr>
          <w:p w14:paraId="0281B4A3">
            <w:pPr>
              <w:rPr>
                <w:rFonts w:ascii="宋体" w:hAnsi="宋体" w:eastAsia="宋体" w:cs="宋体"/>
                <w:sz w:val="24"/>
                <w:szCs w:val="24"/>
              </w:rPr>
            </w:pPr>
            <w:r>
              <w:rPr>
                <w:rFonts w:hint="eastAsia" w:ascii="宋体" w:hAnsi="宋体" w:eastAsia="宋体"/>
              </w:rPr>
              <w:t>存托凭证</w:t>
            </w:r>
          </w:p>
        </w:tc>
        <w:tc>
          <w:tcPr>
            <w:tcW w:w="0" w:type="auto"/>
            <w:shd w:val="clear" w:color="auto" w:fill="auto"/>
          </w:tcPr>
          <w:p w14:paraId="49910C1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3BCC79D">
            <w:pPr>
              <w:jc w:val="right"/>
              <w:rPr>
                <w:rFonts w:ascii="宋体" w:hAnsi="宋体" w:eastAsia="宋体" w:cs="宋体"/>
                <w:sz w:val="24"/>
                <w:szCs w:val="24"/>
              </w:rPr>
            </w:pPr>
            <w:r>
              <w:rPr>
                <w:rFonts w:hint="eastAsia" w:ascii="宋体" w:hAnsi="宋体" w:eastAsia="宋体"/>
              </w:rPr>
              <w:t>-</w:t>
            </w:r>
          </w:p>
        </w:tc>
      </w:tr>
      <w:tr w14:paraId="1580E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AE19D1">
            <w:pPr>
              <w:jc w:val="center"/>
              <w:rPr>
                <w:rFonts w:ascii="宋体" w:hAnsi="宋体" w:eastAsia="宋体" w:cs="宋体"/>
                <w:sz w:val="24"/>
                <w:szCs w:val="24"/>
              </w:rPr>
            </w:pPr>
          </w:p>
        </w:tc>
        <w:tc>
          <w:tcPr>
            <w:tcW w:w="0" w:type="auto"/>
            <w:shd w:val="clear" w:color="auto" w:fill="auto"/>
          </w:tcPr>
          <w:p w14:paraId="025A14ED">
            <w:pPr>
              <w:rPr>
                <w:rFonts w:ascii="宋体" w:hAnsi="宋体" w:eastAsia="宋体" w:cs="宋体"/>
                <w:sz w:val="24"/>
                <w:szCs w:val="24"/>
              </w:rPr>
            </w:pPr>
            <w:r>
              <w:rPr>
                <w:rFonts w:hint="eastAsia" w:ascii="宋体" w:hAnsi="宋体" w:eastAsia="宋体"/>
              </w:rPr>
              <w:t>优先股</w:t>
            </w:r>
          </w:p>
        </w:tc>
        <w:tc>
          <w:tcPr>
            <w:tcW w:w="0" w:type="auto"/>
            <w:shd w:val="clear" w:color="auto" w:fill="auto"/>
          </w:tcPr>
          <w:p w14:paraId="7F100FA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8977546">
            <w:pPr>
              <w:jc w:val="right"/>
              <w:rPr>
                <w:rFonts w:ascii="宋体" w:hAnsi="宋体" w:eastAsia="宋体" w:cs="宋体"/>
                <w:sz w:val="24"/>
                <w:szCs w:val="24"/>
              </w:rPr>
            </w:pPr>
            <w:r>
              <w:rPr>
                <w:rFonts w:hint="eastAsia" w:ascii="宋体" w:hAnsi="宋体" w:eastAsia="宋体"/>
              </w:rPr>
              <w:t>-</w:t>
            </w:r>
          </w:p>
        </w:tc>
      </w:tr>
      <w:tr w14:paraId="79243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469E00">
            <w:pPr>
              <w:jc w:val="center"/>
              <w:rPr>
                <w:rFonts w:ascii="宋体" w:hAnsi="宋体" w:eastAsia="宋体" w:cs="宋体"/>
                <w:sz w:val="24"/>
                <w:szCs w:val="24"/>
              </w:rPr>
            </w:pPr>
          </w:p>
        </w:tc>
        <w:tc>
          <w:tcPr>
            <w:tcW w:w="0" w:type="auto"/>
            <w:shd w:val="clear" w:color="auto" w:fill="auto"/>
          </w:tcPr>
          <w:p w14:paraId="5801DD92">
            <w:pPr>
              <w:rPr>
                <w:rFonts w:ascii="宋体" w:hAnsi="宋体" w:eastAsia="宋体" w:cs="宋体"/>
                <w:sz w:val="24"/>
                <w:szCs w:val="24"/>
              </w:rPr>
            </w:pPr>
            <w:r>
              <w:rPr>
                <w:rFonts w:hint="eastAsia" w:ascii="宋体" w:hAnsi="宋体" w:eastAsia="宋体"/>
              </w:rPr>
              <w:t>房地产信托</w:t>
            </w:r>
          </w:p>
        </w:tc>
        <w:tc>
          <w:tcPr>
            <w:tcW w:w="0" w:type="auto"/>
            <w:shd w:val="clear" w:color="auto" w:fill="auto"/>
          </w:tcPr>
          <w:p w14:paraId="35E2410D">
            <w:pPr>
              <w:jc w:val="right"/>
              <w:rPr>
                <w:rFonts w:ascii="宋体" w:hAnsi="宋体" w:eastAsia="宋体" w:cs="宋体"/>
                <w:sz w:val="24"/>
                <w:szCs w:val="24"/>
              </w:rPr>
            </w:pPr>
            <w:r>
              <w:rPr>
                <w:rFonts w:hint="eastAsia" w:ascii="宋体" w:hAnsi="宋体" w:eastAsia="宋体"/>
              </w:rPr>
              <w:t>375,169,296.22</w:t>
            </w:r>
          </w:p>
        </w:tc>
        <w:tc>
          <w:tcPr>
            <w:tcW w:w="0" w:type="auto"/>
            <w:shd w:val="clear" w:color="auto" w:fill="auto"/>
          </w:tcPr>
          <w:p w14:paraId="3554081B">
            <w:pPr>
              <w:jc w:val="right"/>
              <w:rPr>
                <w:rFonts w:ascii="宋体" w:hAnsi="宋体" w:eastAsia="宋体" w:cs="宋体"/>
                <w:sz w:val="24"/>
                <w:szCs w:val="24"/>
              </w:rPr>
            </w:pPr>
            <w:r>
              <w:rPr>
                <w:rFonts w:hint="eastAsia" w:ascii="宋体" w:hAnsi="宋体" w:eastAsia="宋体"/>
              </w:rPr>
              <w:t>1.86</w:t>
            </w:r>
          </w:p>
        </w:tc>
      </w:tr>
      <w:tr w14:paraId="775FF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8EAE12">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5EF4F1EC">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6433473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D9230FE">
            <w:pPr>
              <w:jc w:val="right"/>
              <w:rPr>
                <w:rFonts w:ascii="宋体" w:hAnsi="宋体" w:eastAsia="宋体" w:cs="宋体"/>
                <w:sz w:val="24"/>
                <w:szCs w:val="24"/>
              </w:rPr>
            </w:pPr>
            <w:r>
              <w:rPr>
                <w:rFonts w:hint="eastAsia" w:ascii="宋体" w:hAnsi="宋体" w:eastAsia="宋体"/>
              </w:rPr>
              <w:t>-</w:t>
            </w:r>
          </w:p>
        </w:tc>
      </w:tr>
      <w:tr w14:paraId="36925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210CF1">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260E879">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78B7A7E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47A9E7A">
            <w:pPr>
              <w:jc w:val="right"/>
              <w:rPr>
                <w:rFonts w:ascii="宋体" w:hAnsi="宋体" w:eastAsia="宋体" w:cs="宋体"/>
                <w:sz w:val="24"/>
                <w:szCs w:val="24"/>
              </w:rPr>
            </w:pPr>
            <w:r>
              <w:rPr>
                <w:rFonts w:hint="eastAsia" w:ascii="宋体" w:hAnsi="宋体" w:eastAsia="宋体"/>
              </w:rPr>
              <w:t>-</w:t>
            </w:r>
          </w:p>
        </w:tc>
      </w:tr>
      <w:tr w14:paraId="6BF8B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144C3C">
            <w:pPr>
              <w:jc w:val="center"/>
              <w:rPr>
                <w:rFonts w:ascii="宋体" w:hAnsi="宋体" w:eastAsia="宋体" w:cs="宋体"/>
                <w:sz w:val="24"/>
                <w:szCs w:val="24"/>
              </w:rPr>
            </w:pPr>
          </w:p>
        </w:tc>
        <w:tc>
          <w:tcPr>
            <w:tcW w:w="0" w:type="auto"/>
            <w:shd w:val="clear" w:color="auto" w:fill="auto"/>
          </w:tcPr>
          <w:p w14:paraId="7396F60E">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2E2FBB1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039C760">
            <w:pPr>
              <w:jc w:val="right"/>
              <w:rPr>
                <w:rFonts w:ascii="宋体" w:hAnsi="宋体" w:eastAsia="宋体" w:cs="宋体"/>
                <w:sz w:val="24"/>
                <w:szCs w:val="24"/>
              </w:rPr>
            </w:pPr>
            <w:r>
              <w:rPr>
                <w:rFonts w:hint="eastAsia" w:ascii="宋体" w:hAnsi="宋体" w:eastAsia="宋体"/>
              </w:rPr>
              <w:t>-</w:t>
            </w:r>
          </w:p>
        </w:tc>
      </w:tr>
      <w:tr w14:paraId="0347E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5B878D">
            <w:pPr>
              <w:jc w:val="center"/>
              <w:rPr>
                <w:rFonts w:ascii="宋体" w:hAnsi="宋体" w:eastAsia="宋体" w:cs="宋体"/>
                <w:sz w:val="24"/>
                <w:szCs w:val="24"/>
              </w:rPr>
            </w:pPr>
          </w:p>
        </w:tc>
        <w:tc>
          <w:tcPr>
            <w:tcW w:w="0" w:type="auto"/>
            <w:shd w:val="clear" w:color="auto" w:fill="auto"/>
          </w:tcPr>
          <w:p w14:paraId="69215DF1">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6E57B13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9B9D1D8">
            <w:pPr>
              <w:jc w:val="right"/>
              <w:rPr>
                <w:rFonts w:ascii="宋体" w:hAnsi="宋体" w:eastAsia="宋体" w:cs="宋体"/>
                <w:sz w:val="24"/>
                <w:szCs w:val="24"/>
              </w:rPr>
            </w:pPr>
            <w:r>
              <w:rPr>
                <w:rFonts w:hint="eastAsia" w:ascii="宋体" w:hAnsi="宋体" w:eastAsia="宋体"/>
              </w:rPr>
              <w:t>-</w:t>
            </w:r>
          </w:p>
        </w:tc>
      </w:tr>
      <w:tr w14:paraId="37829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67C09C">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7E79AF7">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1AD7175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4C96C91">
            <w:pPr>
              <w:jc w:val="right"/>
              <w:rPr>
                <w:rFonts w:ascii="宋体" w:hAnsi="宋体" w:eastAsia="宋体" w:cs="宋体"/>
                <w:sz w:val="24"/>
                <w:szCs w:val="24"/>
              </w:rPr>
            </w:pPr>
            <w:r>
              <w:rPr>
                <w:rFonts w:hint="eastAsia" w:ascii="宋体" w:hAnsi="宋体" w:eastAsia="宋体"/>
              </w:rPr>
              <w:t>-</w:t>
            </w:r>
          </w:p>
        </w:tc>
      </w:tr>
      <w:tr w14:paraId="7BB67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F8E3B8">
            <w:pPr>
              <w:jc w:val="center"/>
              <w:rPr>
                <w:rFonts w:ascii="宋体" w:hAnsi="宋体" w:eastAsia="宋体" w:cs="宋体"/>
                <w:sz w:val="24"/>
                <w:szCs w:val="24"/>
              </w:rPr>
            </w:pPr>
          </w:p>
        </w:tc>
        <w:tc>
          <w:tcPr>
            <w:tcW w:w="0" w:type="auto"/>
            <w:shd w:val="clear" w:color="auto" w:fill="auto"/>
          </w:tcPr>
          <w:p w14:paraId="2F03EE92">
            <w:pPr>
              <w:rPr>
                <w:rFonts w:ascii="宋体" w:hAnsi="宋体" w:eastAsia="宋体" w:cs="宋体"/>
                <w:sz w:val="24"/>
                <w:szCs w:val="24"/>
              </w:rPr>
            </w:pPr>
            <w:r>
              <w:rPr>
                <w:rFonts w:hint="eastAsia" w:ascii="宋体" w:hAnsi="宋体" w:eastAsia="宋体"/>
              </w:rPr>
              <w:t>其中：远期</w:t>
            </w:r>
          </w:p>
        </w:tc>
        <w:tc>
          <w:tcPr>
            <w:tcW w:w="0" w:type="auto"/>
            <w:shd w:val="clear" w:color="auto" w:fill="auto"/>
          </w:tcPr>
          <w:p w14:paraId="762F37A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B57A5B4">
            <w:pPr>
              <w:jc w:val="right"/>
              <w:rPr>
                <w:rFonts w:ascii="宋体" w:hAnsi="宋体" w:eastAsia="宋体" w:cs="宋体"/>
                <w:sz w:val="24"/>
                <w:szCs w:val="24"/>
              </w:rPr>
            </w:pPr>
            <w:r>
              <w:rPr>
                <w:rFonts w:hint="eastAsia" w:ascii="宋体" w:hAnsi="宋体" w:eastAsia="宋体"/>
              </w:rPr>
              <w:t>-</w:t>
            </w:r>
          </w:p>
        </w:tc>
      </w:tr>
      <w:tr w14:paraId="01A23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9737AA">
            <w:pPr>
              <w:jc w:val="center"/>
              <w:rPr>
                <w:rFonts w:ascii="宋体" w:hAnsi="宋体" w:eastAsia="宋体" w:cs="宋体"/>
                <w:sz w:val="24"/>
                <w:szCs w:val="24"/>
              </w:rPr>
            </w:pPr>
          </w:p>
        </w:tc>
        <w:tc>
          <w:tcPr>
            <w:tcW w:w="0" w:type="auto"/>
            <w:shd w:val="clear" w:color="auto" w:fill="auto"/>
          </w:tcPr>
          <w:p w14:paraId="7F1CF797">
            <w:pPr>
              <w:rPr>
                <w:rFonts w:ascii="宋体" w:hAnsi="宋体" w:eastAsia="宋体" w:cs="宋体"/>
                <w:sz w:val="24"/>
                <w:szCs w:val="24"/>
              </w:rPr>
            </w:pPr>
            <w:r>
              <w:rPr>
                <w:rFonts w:hint="eastAsia" w:ascii="宋体" w:hAnsi="宋体" w:eastAsia="宋体"/>
              </w:rPr>
              <w:t>期货</w:t>
            </w:r>
          </w:p>
        </w:tc>
        <w:tc>
          <w:tcPr>
            <w:tcW w:w="0" w:type="auto"/>
            <w:shd w:val="clear" w:color="auto" w:fill="auto"/>
          </w:tcPr>
          <w:p w14:paraId="49A9C50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663E2CA">
            <w:pPr>
              <w:jc w:val="right"/>
              <w:rPr>
                <w:rFonts w:ascii="宋体" w:hAnsi="宋体" w:eastAsia="宋体" w:cs="宋体"/>
                <w:sz w:val="24"/>
                <w:szCs w:val="24"/>
              </w:rPr>
            </w:pPr>
            <w:r>
              <w:rPr>
                <w:rFonts w:hint="eastAsia" w:ascii="宋体" w:hAnsi="宋体" w:eastAsia="宋体"/>
              </w:rPr>
              <w:t>-</w:t>
            </w:r>
          </w:p>
        </w:tc>
      </w:tr>
      <w:tr w14:paraId="0ABDF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DE08EA">
            <w:pPr>
              <w:jc w:val="center"/>
              <w:rPr>
                <w:rFonts w:ascii="宋体" w:hAnsi="宋体" w:eastAsia="宋体" w:cs="宋体"/>
                <w:sz w:val="24"/>
                <w:szCs w:val="24"/>
              </w:rPr>
            </w:pPr>
          </w:p>
        </w:tc>
        <w:tc>
          <w:tcPr>
            <w:tcW w:w="0" w:type="auto"/>
            <w:shd w:val="clear" w:color="auto" w:fill="auto"/>
          </w:tcPr>
          <w:p w14:paraId="72AC18AF">
            <w:pPr>
              <w:rPr>
                <w:rFonts w:ascii="宋体" w:hAnsi="宋体" w:eastAsia="宋体" w:cs="宋体"/>
                <w:sz w:val="24"/>
                <w:szCs w:val="24"/>
              </w:rPr>
            </w:pPr>
            <w:r>
              <w:rPr>
                <w:rFonts w:hint="eastAsia" w:ascii="宋体" w:hAnsi="宋体" w:eastAsia="宋体"/>
              </w:rPr>
              <w:t>期权</w:t>
            </w:r>
          </w:p>
        </w:tc>
        <w:tc>
          <w:tcPr>
            <w:tcW w:w="0" w:type="auto"/>
            <w:shd w:val="clear" w:color="auto" w:fill="auto"/>
          </w:tcPr>
          <w:p w14:paraId="39E0399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A5CDDE7">
            <w:pPr>
              <w:jc w:val="right"/>
              <w:rPr>
                <w:rFonts w:ascii="宋体" w:hAnsi="宋体" w:eastAsia="宋体" w:cs="宋体"/>
                <w:sz w:val="24"/>
                <w:szCs w:val="24"/>
              </w:rPr>
            </w:pPr>
            <w:r>
              <w:rPr>
                <w:rFonts w:hint="eastAsia" w:ascii="宋体" w:hAnsi="宋体" w:eastAsia="宋体"/>
              </w:rPr>
              <w:t>-</w:t>
            </w:r>
          </w:p>
        </w:tc>
      </w:tr>
      <w:tr w14:paraId="0D4F9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621360">
            <w:pPr>
              <w:jc w:val="center"/>
              <w:rPr>
                <w:rFonts w:ascii="宋体" w:hAnsi="宋体" w:eastAsia="宋体" w:cs="宋体"/>
                <w:sz w:val="24"/>
                <w:szCs w:val="24"/>
              </w:rPr>
            </w:pPr>
          </w:p>
        </w:tc>
        <w:tc>
          <w:tcPr>
            <w:tcW w:w="0" w:type="auto"/>
            <w:shd w:val="clear" w:color="auto" w:fill="auto"/>
          </w:tcPr>
          <w:p w14:paraId="0803D985">
            <w:pPr>
              <w:rPr>
                <w:rFonts w:ascii="宋体" w:hAnsi="宋体" w:eastAsia="宋体" w:cs="宋体"/>
                <w:sz w:val="24"/>
                <w:szCs w:val="24"/>
              </w:rPr>
            </w:pPr>
            <w:r>
              <w:rPr>
                <w:rFonts w:hint="eastAsia" w:ascii="宋体" w:hAnsi="宋体" w:eastAsia="宋体"/>
              </w:rPr>
              <w:t>权证</w:t>
            </w:r>
          </w:p>
        </w:tc>
        <w:tc>
          <w:tcPr>
            <w:tcW w:w="0" w:type="auto"/>
            <w:shd w:val="clear" w:color="auto" w:fill="auto"/>
          </w:tcPr>
          <w:p w14:paraId="68A8F68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B6F40E0">
            <w:pPr>
              <w:jc w:val="right"/>
              <w:rPr>
                <w:rFonts w:ascii="宋体" w:hAnsi="宋体" w:eastAsia="宋体" w:cs="宋体"/>
                <w:sz w:val="24"/>
                <w:szCs w:val="24"/>
              </w:rPr>
            </w:pPr>
            <w:r>
              <w:rPr>
                <w:rFonts w:hint="eastAsia" w:ascii="宋体" w:hAnsi="宋体" w:eastAsia="宋体"/>
              </w:rPr>
              <w:t>-</w:t>
            </w:r>
          </w:p>
        </w:tc>
      </w:tr>
      <w:tr w14:paraId="51665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FFDF86">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172A25AE">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0F00791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0324512">
            <w:pPr>
              <w:jc w:val="right"/>
              <w:rPr>
                <w:rFonts w:ascii="宋体" w:hAnsi="宋体" w:eastAsia="宋体" w:cs="宋体"/>
                <w:sz w:val="24"/>
                <w:szCs w:val="24"/>
              </w:rPr>
            </w:pPr>
            <w:r>
              <w:rPr>
                <w:rFonts w:hint="eastAsia" w:ascii="宋体" w:hAnsi="宋体" w:eastAsia="宋体"/>
              </w:rPr>
              <w:t>-</w:t>
            </w:r>
          </w:p>
        </w:tc>
      </w:tr>
      <w:tr w14:paraId="07A02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B6153C">
            <w:pPr>
              <w:jc w:val="center"/>
              <w:rPr>
                <w:rFonts w:ascii="宋体" w:hAnsi="宋体" w:eastAsia="宋体" w:cs="宋体"/>
                <w:sz w:val="24"/>
                <w:szCs w:val="24"/>
              </w:rPr>
            </w:pPr>
          </w:p>
        </w:tc>
        <w:tc>
          <w:tcPr>
            <w:tcW w:w="0" w:type="auto"/>
            <w:shd w:val="clear" w:color="auto" w:fill="auto"/>
          </w:tcPr>
          <w:p w14:paraId="6B1247D6">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1A4E26C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5D869E8">
            <w:pPr>
              <w:jc w:val="right"/>
              <w:rPr>
                <w:rFonts w:ascii="宋体" w:hAnsi="宋体" w:eastAsia="宋体" w:cs="宋体"/>
                <w:sz w:val="24"/>
                <w:szCs w:val="24"/>
              </w:rPr>
            </w:pPr>
            <w:r>
              <w:rPr>
                <w:rFonts w:hint="eastAsia" w:ascii="宋体" w:hAnsi="宋体" w:eastAsia="宋体"/>
              </w:rPr>
              <w:t>-</w:t>
            </w:r>
          </w:p>
        </w:tc>
      </w:tr>
      <w:tr w14:paraId="135B2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3E575D">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67ACF158">
            <w:pPr>
              <w:rPr>
                <w:rFonts w:ascii="宋体" w:hAnsi="宋体" w:eastAsia="宋体" w:cs="宋体"/>
                <w:sz w:val="24"/>
                <w:szCs w:val="24"/>
              </w:rPr>
            </w:pPr>
            <w:r>
              <w:rPr>
                <w:rFonts w:hint="eastAsia" w:ascii="宋体" w:hAnsi="宋体" w:eastAsia="宋体"/>
              </w:rPr>
              <w:t>货币市场工具</w:t>
            </w:r>
          </w:p>
        </w:tc>
        <w:tc>
          <w:tcPr>
            <w:tcW w:w="0" w:type="auto"/>
            <w:shd w:val="clear" w:color="auto" w:fill="auto"/>
          </w:tcPr>
          <w:p w14:paraId="4587021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3E83F75">
            <w:pPr>
              <w:jc w:val="right"/>
              <w:rPr>
                <w:rFonts w:ascii="宋体" w:hAnsi="宋体" w:eastAsia="宋体" w:cs="宋体"/>
                <w:sz w:val="24"/>
                <w:szCs w:val="24"/>
              </w:rPr>
            </w:pPr>
            <w:r>
              <w:rPr>
                <w:rFonts w:hint="eastAsia" w:ascii="宋体" w:hAnsi="宋体" w:eastAsia="宋体"/>
              </w:rPr>
              <w:t>-</w:t>
            </w:r>
          </w:p>
        </w:tc>
      </w:tr>
      <w:tr w14:paraId="1AB25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3046B9">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12A7D5BD">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3A2F1ADE">
            <w:pPr>
              <w:jc w:val="right"/>
              <w:rPr>
                <w:rFonts w:ascii="宋体" w:hAnsi="宋体" w:eastAsia="宋体" w:cs="宋体"/>
                <w:sz w:val="24"/>
                <w:szCs w:val="24"/>
              </w:rPr>
            </w:pPr>
            <w:r>
              <w:rPr>
                <w:rFonts w:hint="eastAsia" w:ascii="宋体" w:hAnsi="宋体" w:eastAsia="宋体"/>
              </w:rPr>
              <w:t>495,935,273.38</w:t>
            </w:r>
          </w:p>
        </w:tc>
        <w:tc>
          <w:tcPr>
            <w:tcW w:w="0" w:type="auto"/>
            <w:shd w:val="clear" w:color="auto" w:fill="auto"/>
          </w:tcPr>
          <w:p w14:paraId="4FDF87D0">
            <w:pPr>
              <w:jc w:val="right"/>
              <w:rPr>
                <w:rFonts w:ascii="宋体" w:hAnsi="宋体" w:eastAsia="宋体" w:cs="宋体"/>
                <w:sz w:val="24"/>
                <w:szCs w:val="24"/>
              </w:rPr>
            </w:pPr>
            <w:r>
              <w:rPr>
                <w:rFonts w:hint="eastAsia" w:ascii="宋体" w:hAnsi="宋体" w:eastAsia="宋体"/>
              </w:rPr>
              <w:t>2.46</w:t>
            </w:r>
          </w:p>
        </w:tc>
      </w:tr>
      <w:tr w14:paraId="0B67D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EF6B26">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54ADC5CE">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51EAFF16">
            <w:pPr>
              <w:jc w:val="right"/>
              <w:rPr>
                <w:rFonts w:ascii="宋体" w:hAnsi="宋体" w:eastAsia="宋体" w:cs="宋体"/>
                <w:sz w:val="24"/>
                <w:szCs w:val="24"/>
              </w:rPr>
            </w:pPr>
            <w:r>
              <w:rPr>
                <w:rFonts w:hint="eastAsia" w:ascii="宋体" w:hAnsi="宋体" w:eastAsia="宋体"/>
              </w:rPr>
              <w:t>39,666,350.12</w:t>
            </w:r>
          </w:p>
        </w:tc>
        <w:tc>
          <w:tcPr>
            <w:tcW w:w="0" w:type="auto"/>
            <w:shd w:val="clear" w:color="auto" w:fill="auto"/>
          </w:tcPr>
          <w:p w14:paraId="7206E32E">
            <w:pPr>
              <w:jc w:val="right"/>
              <w:rPr>
                <w:rFonts w:ascii="宋体" w:hAnsi="宋体" w:eastAsia="宋体" w:cs="宋体"/>
                <w:sz w:val="24"/>
                <w:szCs w:val="24"/>
              </w:rPr>
            </w:pPr>
            <w:r>
              <w:rPr>
                <w:rFonts w:hint="eastAsia" w:ascii="宋体" w:hAnsi="宋体" w:eastAsia="宋体"/>
              </w:rPr>
              <w:t>0.20</w:t>
            </w:r>
          </w:p>
        </w:tc>
      </w:tr>
      <w:tr w14:paraId="4063F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88C37A">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3CB6349F">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75DB5929">
            <w:pPr>
              <w:jc w:val="right"/>
              <w:rPr>
                <w:rFonts w:ascii="宋体" w:hAnsi="宋体" w:eastAsia="宋体" w:cs="宋体"/>
                <w:sz w:val="24"/>
                <w:szCs w:val="24"/>
              </w:rPr>
            </w:pPr>
            <w:r>
              <w:rPr>
                <w:rFonts w:hint="eastAsia" w:ascii="宋体" w:hAnsi="宋体" w:eastAsia="宋体"/>
              </w:rPr>
              <w:t>20,132,002,224.14</w:t>
            </w:r>
          </w:p>
        </w:tc>
        <w:tc>
          <w:tcPr>
            <w:tcW w:w="0" w:type="auto"/>
            <w:shd w:val="clear" w:color="auto" w:fill="auto"/>
          </w:tcPr>
          <w:p w14:paraId="6B7A6C52">
            <w:pPr>
              <w:jc w:val="right"/>
              <w:rPr>
                <w:rFonts w:ascii="宋体" w:hAnsi="宋体" w:eastAsia="宋体" w:cs="宋体"/>
                <w:sz w:val="24"/>
                <w:szCs w:val="24"/>
              </w:rPr>
            </w:pPr>
            <w:r>
              <w:rPr>
                <w:rFonts w:hint="eastAsia" w:ascii="宋体" w:hAnsi="宋体" w:eastAsia="宋体"/>
              </w:rPr>
              <w:t>100.00</w:t>
            </w:r>
          </w:p>
        </w:tc>
      </w:tr>
    </w:tbl>
    <w:p w14:paraId="5EB07E13">
      <w:pPr>
        <w:pStyle w:val="8"/>
        <w:spacing w:before="0" w:beforeAutospacing="0" w:after="0" w:afterAutospacing="0" w:line="360" w:lineRule="auto"/>
        <w:ind w:firstLine="420"/>
        <w:rPr>
          <w:sz w:val="21"/>
          <w:szCs w:val="21"/>
        </w:rPr>
      </w:pPr>
      <w:r>
        <w:rPr>
          <w:rStyle w:val="12"/>
          <w:rFonts w:hint="eastAsia"/>
          <w:sz w:val="21"/>
          <w:szCs w:val="21"/>
        </w:rPr>
        <w:t>2 报告期末在各个国家（地区）证券市场的股票及存托凭证投资分布</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9"/>
        <w:gridCol w:w="2839"/>
        <w:gridCol w:w="3688"/>
      </w:tblGrid>
      <w:tr w14:paraId="4B15A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182E7E">
            <w:pPr>
              <w:jc w:val="center"/>
              <w:rPr>
                <w:rFonts w:ascii="宋体" w:hAnsi="宋体" w:eastAsia="宋体" w:cs="宋体"/>
                <w:sz w:val="24"/>
                <w:szCs w:val="24"/>
              </w:rPr>
            </w:pPr>
            <w:r>
              <w:rPr>
                <w:rFonts w:hint="eastAsia" w:ascii="宋体" w:hAnsi="宋体" w:eastAsia="宋体"/>
              </w:rPr>
              <w:t>国家（地区）</w:t>
            </w:r>
          </w:p>
        </w:tc>
        <w:tc>
          <w:tcPr>
            <w:tcW w:w="0" w:type="auto"/>
            <w:shd w:val="clear" w:color="auto" w:fill="auto"/>
          </w:tcPr>
          <w:p w14:paraId="62DB2966">
            <w:pPr>
              <w:jc w:val="center"/>
              <w:rPr>
                <w:rFonts w:ascii="宋体" w:hAnsi="宋体" w:eastAsia="宋体" w:cs="宋体"/>
                <w:sz w:val="24"/>
                <w:szCs w:val="24"/>
              </w:rPr>
            </w:pPr>
            <w:r>
              <w:rPr>
                <w:rFonts w:hint="eastAsia" w:ascii="宋体" w:hAnsi="宋体" w:eastAsia="宋体"/>
              </w:rPr>
              <w:t>公允价值(人民币元)</w:t>
            </w:r>
          </w:p>
        </w:tc>
        <w:tc>
          <w:tcPr>
            <w:tcW w:w="0" w:type="auto"/>
            <w:shd w:val="clear" w:color="auto" w:fill="auto"/>
          </w:tcPr>
          <w:p w14:paraId="529B6BB0">
            <w:pPr>
              <w:jc w:val="center"/>
              <w:rPr>
                <w:rFonts w:ascii="宋体" w:hAnsi="宋体" w:eastAsia="宋体" w:cs="宋体"/>
                <w:sz w:val="24"/>
                <w:szCs w:val="24"/>
              </w:rPr>
            </w:pPr>
            <w:r>
              <w:rPr>
                <w:rFonts w:hint="eastAsia" w:ascii="宋体" w:hAnsi="宋体" w:eastAsia="宋体"/>
              </w:rPr>
              <w:t>占基金资产净值比例（％）</w:t>
            </w:r>
          </w:p>
        </w:tc>
      </w:tr>
      <w:tr w14:paraId="5ED3D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D0A0CA">
            <w:pPr>
              <w:rPr>
                <w:rFonts w:ascii="宋体" w:hAnsi="宋体" w:eastAsia="宋体" w:cs="宋体"/>
                <w:sz w:val="24"/>
                <w:szCs w:val="24"/>
              </w:rPr>
            </w:pPr>
            <w:r>
              <w:rPr>
                <w:rFonts w:hint="eastAsia" w:ascii="宋体" w:hAnsi="宋体" w:eastAsia="宋体"/>
              </w:rPr>
              <w:t>美国</w:t>
            </w:r>
          </w:p>
        </w:tc>
        <w:tc>
          <w:tcPr>
            <w:tcW w:w="0" w:type="auto"/>
            <w:shd w:val="clear" w:color="auto" w:fill="auto"/>
          </w:tcPr>
          <w:p w14:paraId="4D9CA9FC">
            <w:pPr>
              <w:jc w:val="right"/>
              <w:rPr>
                <w:rFonts w:ascii="宋体" w:hAnsi="宋体" w:eastAsia="宋体" w:cs="宋体"/>
                <w:sz w:val="24"/>
                <w:szCs w:val="24"/>
              </w:rPr>
            </w:pPr>
            <w:r>
              <w:rPr>
                <w:rFonts w:hint="eastAsia" w:ascii="宋体" w:hAnsi="宋体" w:eastAsia="宋体"/>
              </w:rPr>
              <w:t>19,596,400,600.64</w:t>
            </w:r>
          </w:p>
        </w:tc>
        <w:tc>
          <w:tcPr>
            <w:tcW w:w="0" w:type="auto"/>
            <w:shd w:val="clear" w:color="auto" w:fill="auto"/>
          </w:tcPr>
          <w:p w14:paraId="056D6545">
            <w:pPr>
              <w:jc w:val="right"/>
              <w:rPr>
                <w:rFonts w:ascii="宋体" w:hAnsi="宋体" w:eastAsia="宋体" w:cs="宋体"/>
                <w:sz w:val="24"/>
                <w:szCs w:val="24"/>
              </w:rPr>
            </w:pPr>
            <w:r>
              <w:rPr>
                <w:rFonts w:hint="eastAsia" w:ascii="宋体" w:hAnsi="宋体" w:eastAsia="宋体"/>
              </w:rPr>
              <w:t>97.97</w:t>
            </w:r>
          </w:p>
        </w:tc>
      </w:tr>
      <w:tr w14:paraId="6FD1A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407E64">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588F7E7B">
            <w:pPr>
              <w:jc w:val="right"/>
              <w:rPr>
                <w:rFonts w:ascii="宋体" w:hAnsi="宋体" w:eastAsia="宋体" w:cs="宋体"/>
                <w:sz w:val="24"/>
                <w:szCs w:val="24"/>
              </w:rPr>
            </w:pPr>
            <w:r>
              <w:rPr>
                <w:rFonts w:hint="eastAsia" w:ascii="宋体" w:hAnsi="宋体" w:eastAsia="宋体"/>
              </w:rPr>
              <w:t>19,596,400,600.64</w:t>
            </w:r>
          </w:p>
        </w:tc>
        <w:tc>
          <w:tcPr>
            <w:tcW w:w="0" w:type="auto"/>
            <w:shd w:val="clear" w:color="auto" w:fill="auto"/>
          </w:tcPr>
          <w:p w14:paraId="697590E8">
            <w:pPr>
              <w:jc w:val="right"/>
              <w:rPr>
                <w:rFonts w:ascii="宋体" w:hAnsi="宋体" w:eastAsia="宋体" w:cs="宋体"/>
                <w:sz w:val="24"/>
                <w:szCs w:val="24"/>
              </w:rPr>
            </w:pPr>
            <w:r>
              <w:rPr>
                <w:rFonts w:hint="eastAsia" w:ascii="宋体" w:hAnsi="宋体" w:eastAsia="宋体"/>
              </w:rPr>
              <w:t>97.97</w:t>
            </w:r>
          </w:p>
        </w:tc>
      </w:tr>
    </w:tbl>
    <w:p w14:paraId="3108D2D3">
      <w:pPr>
        <w:pStyle w:val="8"/>
        <w:spacing w:before="0" w:beforeAutospacing="0" w:after="0" w:afterAutospacing="0" w:line="360" w:lineRule="auto"/>
        <w:ind w:firstLine="420"/>
        <w:rPr>
          <w:sz w:val="21"/>
          <w:szCs w:val="21"/>
        </w:rPr>
      </w:pPr>
      <w:r>
        <w:rPr>
          <w:rStyle w:val="12"/>
          <w:rFonts w:hint="eastAsia"/>
          <w:sz w:val="21"/>
          <w:szCs w:val="21"/>
        </w:rPr>
        <w:t>3 报告期末按行业分类的股票及存托凭证投资组合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4"/>
        <w:gridCol w:w="2839"/>
        <w:gridCol w:w="3353"/>
      </w:tblGrid>
      <w:tr w14:paraId="40445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3DE3C65">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64BFC7D2">
            <w:pPr>
              <w:jc w:val="center"/>
              <w:rPr>
                <w:rFonts w:ascii="宋体" w:hAnsi="宋体" w:eastAsia="宋体" w:cs="宋体"/>
                <w:sz w:val="24"/>
                <w:szCs w:val="24"/>
              </w:rPr>
            </w:pPr>
            <w:r>
              <w:rPr>
                <w:rFonts w:hint="eastAsia" w:ascii="宋体" w:hAnsi="宋体" w:eastAsia="宋体"/>
              </w:rPr>
              <w:t>公允价值（人民币元）</w:t>
            </w:r>
          </w:p>
        </w:tc>
        <w:tc>
          <w:tcPr>
            <w:tcW w:w="0" w:type="auto"/>
            <w:shd w:val="clear" w:color="auto" w:fill="auto"/>
          </w:tcPr>
          <w:p w14:paraId="6A8ADD4B">
            <w:pPr>
              <w:jc w:val="center"/>
              <w:rPr>
                <w:rFonts w:ascii="宋体" w:hAnsi="宋体" w:eastAsia="宋体" w:cs="宋体"/>
                <w:sz w:val="24"/>
                <w:szCs w:val="24"/>
              </w:rPr>
            </w:pPr>
            <w:r>
              <w:rPr>
                <w:rFonts w:hint="eastAsia" w:ascii="宋体" w:hAnsi="宋体" w:eastAsia="宋体"/>
              </w:rPr>
              <w:t>占基金资产净值比例（％）</w:t>
            </w:r>
          </w:p>
        </w:tc>
      </w:tr>
      <w:tr w14:paraId="53B01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C803B5">
            <w:pPr>
              <w:rPr>
                <w:rFonts w:ascii="宋体" w:hAnsi="宋体" w:eastAsia="宋体" w:cs="宋体"/>
                <w:sz w:val="24"/>
                <w:szCs w:val="24"/>
              </w:rPr>
            </w:pPr>
            <w:r>
              <w:rPr>
                <w:rFonts w:hint="eastAsia" w:ascii="宋体" w:hAnsi="宋体" w:eastAsia="宋体"/>
              </w:rPr>
              <w:t>能源</w:t>
            </w:r>
          </w:p>
        </w:tc>
        <w:tc>
          <w:tcPr>
            <w:tcW w:w="0" w:type="auto"/>
            <w:shd w:val="clear" w:color="auto" w:fill="auto"/>
          </w:tcPr>
          <w:p w14:paraId="3D120AD9">
            <w:pPr>
              <w:jc w:val="right"/>
              <w:rPr>
                <w:rFonts w:ascii="宋体" w:hAnsi="宋体" w:eastAsia="宋体" w:cs="宋体"/>
                <w:sz w:val="24"/>
                <w:szCs w:val="24"/>
              </w:rPr>
            </w:pPr>
            <w:r>
              <w:rPr>
                <w:rFonts w:hint="eastAsia" w:ascii="宋体" w:hAnsi="宋体" w:eastAsia="宋体"/>
              </w:rPr>
              <w:t>587,056,348.57</w:t>
            </w:r>
          </w:p>
        </w:tc>
        <w:tc>
          <w:tcPr>
            <w:tcW w:w="0" w:type="auto"/>
            <w:shd w:val="clear" w:color="auto" w:fill="auto"/>
          </w:tcPr>
          <w:p w14:paraId="2316BFF9">
            <w:pPr>
              <w:jc w:val="right"/>
              <w:rPr>
                <w:rFonts w:ascii="宋体" w:hAnsi="宋体" w:eastAsia="宋体" w:cs="宋体"/>
                <w:sz w:val="24"/>
                <w:szCs w:val="24"/>
              </w:rPr>
            </w:pPr>
            <w:r>
              <w:rPr>
                <w:rFonts w:hint="eastAsia" w:ascii="宋体" w:hAnsi="宋体" w:eastAsia="宋体"/>
              </w:rPr>
              <w:t>2.94</w:t>
            </w:r>
          </w:p>
        </w:tc>
      </w:tr>
      <w:tr w14:paraId="055F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43951C">
            <w:pPr>
              <w:rPr>
                <w:rFonts w:ascii="宋体" w:hAnsi="宋体" w:eastAsia="宋体" w:cs="宋体"/>
                <w:sz w:val="24"/>
                <w:szCs w:val="24"/>
              </w:rPr>
            </w:pPr>
            <w:r>
              <w:rPr>
                <w:rFonts w:hint="eastAsia" w:ascii="宋体" w:hAnsi="宋体" w:eastAsia="宋体"/>
              </w:rPr>
              <w:t>公用事业</w:t>
            </w:r>
          </w:p>
        </w:tc>
        <w:tc>
          <w:tcPr>
            <w:tcW w:w="0" w:type="auto"/>
            <w:shd w:val="clear" w:color="auto" w:fill="auto"/>
          </w:tcPr>
          <w:p w14:paraId="035E223C">
            <w:pPr>
              <w:jc w:val="right"/>
              <w:rPr>
                <w:rFonts w:ascii="宋体" w:hAnsi="宋体" w:eastAsia="宋体" w:cs="宋体"/>
                <w:sz w:val="24"/>
                <w:szCs w:val="24"/>
              </w:rPr>
            </w:pPr>
            <w:r>
              <w:rPr>
                <w:rFonts w:hint="eastAsia" w:ascii="宋体" w:hAnsi="宋体" w:eastAsia="宋体"/>
              </w:rPr>
              <w:t>472,268,617.84</w:t>
            </w:r>
          </w:p>
        </w:tc>
        <w:tc>
          <w:tcPr>
            <w:tcW w:w="0" w:type="auto"/>
            <w:shd w:val="clear" w:color="auto" w:fill="auto"/>
          </w:tcPr>
          <w:p w14:paraId="6CB35971">
            <w:pPr>
              <w:jc w:val="right"/>
              <w:rPr>
                <w:rFonts w:ascii="宋体" w:hAnsi="宋体" w:eastAsia="宋体" w:cs="宋体"/>
                <w:sz w:val="24"/>
                <w:szCs w:val="24"/>
              </w:rPr>
            </w:pPr>
            <w:r>
              <w:rPr>
                <w:rFonts w:hint="eastAsia" w:ascii="宋体" w:hAnsi="宋体" w:eastAsia="宋体"/>
              </w:rPr>
              <w:t>2.36</w:t>
            </w:r>
          </w:p>
        </w:tc>
      </w:tr>
      <w:tr w14:paraId="38B66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6E2FDB">
            <w:pPr>
              <w:rPr>
                <w:rFonts w:ascii="宋体" w:hAnsi="宋体" w:eastAsia="宋体" w:cs="宋体"/>
                <w:sz w:val="24"/>
                <w:szCs w:val="24"/>
              </w:rPr>
            </w:pPr>
            <w:r>
              <w:rPr>
                <w:rFonts w:hint="eastAsia" w:ascii="宋体" w:hAnsi="宋体" w:eastAsia="宋体"/>
              </w:rPr>
              <w:t>房地产</w:t>
            </w:r>
          </w:p>
        </w:tc>
        <w:tc>
          <w:tcPr>
            <w:tcW w:w="0" w:type="auto"/>
            <w:shd w:val="clear" w:color="auto" w:fill="auto"/>
          </w:tcPr>
          <w:p w14:paraId="4B279FB6">
            <w:pPr>
              <w:jc w:val="right"/>
              <w:rPr>
                <w:rFonts w:ascii="宋体" w:hAnsi="宋体" w:eastAsia="宋体" w:cs="宋体"/>
                <w:sz w:val="24"/>
                <w:szCs w:val="24"/>
              </w:rPr>
            </w:pPr>
            <w:r>
              <w:rPr>
                <w:rFonts w:hint="eastAsia" w:ascii="宋体" w:hAnsi="宋体" w:eastAsia="宋体"/>
              </w:rPr>
              <w:t>403,391,323.63</w:t>
            </w:r>
          </w:p>
        </w:tc>
        <w:tc>
          <w:tcPr>
            <w:tcW w:w="0" w:type="auto"/>
            <w:shd w:val="clear" w:color="auto" w:fill="auto"/>
          </w:tcPr>
          <w:p w14:paraId="748ECEEE">
            <w:pPr>
              <w:jc w:val="right"/>
              <w:rPr>
                <w:rFonts w:ascii="宋体" w:hAnsi="宋体" w:eastAsia="宋体" w:cs="宋体"/>
                <w:sz w:val="24"/>
                <w:szCs w:val="24"/>
              </w:rPr>
            </w:pPr>
            <w:r>
              <w:rPr>
                <w:rFonts w:hint="eastAsia" w:ascii="宋体" w:hAnsi="宋体" w:eastAsia="宋体"/>
              </w:rPr>
              <w:t>2.02</w:t>
            </w:r>
          </w:p>
        </w:tc>
      </w:tr>
      <w:tr w14:paraId="55C2B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7F72B5">
            <w:pPr>
              <w:rPr>
                <w:rFonts w:ascii="宋体" w:hAnsi="宋体" w:eastAsia="宋体" w:cs="宋体"/>
                <w:sz w:val="24"/>
                <w:szCs w:val="24"/>
              </w:rPr>
            </w:pPr>
            <w:r>
              <w:rPr>
                <w:rFonts w:hint="eastAsia" w:ascii="宋体" w:hAnsi="宋体" w:eastAsia="宋体"/>
              </w:rPr>
              <w:t>原材料</w:t>
            </w:r>
          </w:p>
        </w:tc>
        <w:tc>
          <w:tcPr>
            <w:tcW w:w="0" w:type="auto"/>
            <w:shd w:val="clear" w:color="auto" w:fill="auto"/>
          </w:tcPr>
          <w:p w14:paraId="3AAD1C8E">
            <w:pPr>
              <w:jc w:val="right"/>
              <w:rPr>
                <w:rFonts w:ascii="宋体" w:hAnsi="宋体" w:eastAsia="宋体" w:cs="宋体"/>
                <w:sz w:val="24"/>
                <w:szCs w:val="24"/>
              </w:rPr>
            </w:pPr>
            <w:r>
              <w:rPr>
                <w:rFonts w:hint="eastAsia" w:ascii="宋体" w:hAnsi="宋体" w:eastAsia="宋体"/>
              </w:rPr>
              <w:t>370,823,747.74</w:t>
            </w:r>
          </w:p>
        </w:tc>
        <w:tc>
          <w:tcPr>
            <w:tcW w:w="0" w:type="auto"/>
            <w:shd w:val="clear" w:color="auto" w:fill="auto"/>
          </w:tcPr>
          <w:p w14:paraId="0AF4EC8A">
            <w:pPr>
              <w:jc w:val="right"/>
              <w:rPr>
                <w:rFonts w:ascii="宋体" w:hAnsi="宋体" w:eastAsia="宋体" w:cs="宋体"/>
                <w:sz w:val="24"/>
                <w:szCs w:val="24"/>
              </w:rPr>
            </w:pPr>
            <w:r>
              <w:rPr>
                <w:rFonts w:hint="eastAsia" w:ascii="宋体" w:hAnsi="宋体" w:eastAsia="宋体"/>
              </w:rPr>
              <w:t>1.85</w:t>
            </w:r>
          </w:p>
        </w:tc>
      </w:tr>
      <w:tr w14:paraId="766CD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375DF6">
            <w:pPr>
              <w:rPr>
                <w:rFonts w:ascii="宋体" w:hAnsi="宋体" w:eastAsia="宋体" w:cs="宋体"/>
                <w:sz w:val="24"/>
                <w:szCs w:val="24"/>
              </w:rPr>
            </w:pPr>
            <w:r>
              <w:rPr>
                <w:rFonts w:hint="eastAsia" w:ascii="宋体" w:hAnsi="宋体" w:eastAsia="宋体"/>
              </w:rPr>
              <w:t>工业</w:t>
            </w:r>
          </w:p>
        </w:tc>
        <w:tc>
          <w:tcPr>
            <w:tcW w:w="0" w:type="auto"/>
            <w:shd w:val="clear" w:color="auto" w:fill="auto"/>
          </w:tcPr>
          <w:p w14:paraId="030EA733">
            <w:pPr>
              <w:jc w:val="right"/>
              <w:rPr>
                <w:rFonts w:ascii="宋体" w:hAnsi="宋体" w:eastAsia="宋体" w:cs="宋体"/>
                <w:sz w:val="24"/>
                <w:szCs w:val="24"/>
              </w:rPr>
            </w:pPr>
            <w:r>
              <w:rPr>
                <w:rFonts w:hint="eastAsia" w:ascii="宋体" w:hAnsi="宋体" w:eastAsia="宋体"/>
              </w:rPr>
              <w:t>1,558,936,723.93</w:t>
            </w:r>
          </w:p>
        </w:tc>
        <w:tc>
          <w:tcPr>
            <w:tcW w:w="0" w:type="auto"/>
            <w:shd w:val="clear" w:color="auto" w:fill="auto"/>
          </w:tcPr>
          <w:p w14:paraId="068003ED">
            <w:pPr>
              <w:jc w:val="right"/>
              <w:rPr>
                <w:rFonts w:ascii="宋体" w:hAnsi="宋体" w:eastAsia="宋体" w:cs="宋体"/>
                <w:sz w:val="24"/>
                <w:szCs w:val="24"/>
              </w:rPr>
            </w:pPr>
            <w:r>
              <w:rPr>
                <w:rFonts w:hint="eastAsia" w:ascii="宋体" w:hAnsi="宋体" w:eastAsia="宋体"/>
              </w:rPr>
              <w:t>7.79</w:t>
            </w:r>
          </w:p>
        </w:tc>
      </w:tr>
      <w:tr w14:paraId="63A91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621E6A">
            <w:pPr>
              <w:rPr>
                <w:rFonts w:ascii="宋体" w:hAnsi="宋体" w:eastAsia="宋体" w:cs="宋体"/>
                <w:sz w:val="24"/>
                <w:szCs w:val="24"/>
              </w:rPr>
            </w:pPr>
            <w:r>
              <w:rPr>
                <w:rFonts w:hint="eastAsia" w:ascii="宋体" w:hAnsi="宋体" w:eastAsia="宋体"/>
              </w:rPr>
              <w:t>非日常生活消费品</w:t>
            </w:r>
          </w:p>
        </w:tc>
        <w:tc>
          <w:tcPr>
            <w:tcW w:w="0" w:type="auto"/>
            <w:shd w:val="clear" w:color="auto" w:fill="auto"/>
          </w:tcPr>
          <w:p w14:paraId="5072A250">
            <w:pPr>
              <w:jc w:val="right"/>
              <w:rPr>
                <w:rFonts w:ascii="宋体" w:hAnsi="宋体" w:eastAsia="宋体" w:cs="宋体"/>
                <w:sz w:val="24"/>
                <w:szCs w:val="24"/>
              </w:rPr>
            </w:pPr>
            <w:r>
              <w:rPr>
                <w:rFonts w:hint="eastAsia" w:ascii="宋体" w:hAnsi="宋体" w:eastAsia="宋体"/>
              </w:rPr>
              <w:t>2,047,175,688.06</w:t>
            </w:r>
          </w:p>
        </w:tc>
        <w:tc>
          <w:tcPr>
            <w:tcW w:w="0" w:type="auto"/>
            <w:shd w:val="clear" w:color="auto" w:fill="auto"/>
          </w:tcPr>
          <w:p w14:paraId="122B8E10">
            <w:pPr>
              <w:jc w:val="right"/>
              <w:rPr>
                <w:rFonts w:ascii="宋体" w:hAnsi="宋体" w:eastAsia="宋体" w:cs="宋体"/>
                <w:sz w:val="24"/>
                <w:szCs w:val="24"/>
              </w:rPr>
            </w:pPr>
            <w:r>
              <w:rPr>
                <w:rFonts w:hint="eastAsia" w:ascii="宋体" w:hAnsi="宋体" w:eastAsia="宋体"/>
              </w:rPr>
              <w:t>10.24</w:t>
            </w:r>
          </w:p>
        </w:tc>
      </w:tr>
      <w:tr w14:paraId="7E8B6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7E1CBF">
            <w:pPr>
              <w:rPr>
                <w:rFonts w:ascii="宋体" w:hAnsi="宋体" w:eastAsia="宋体" w:cs="宋体"/>
                <w:sz w:val="24"/>
                <w:szCs w:val="24"/>
              </w:rPr>
            </w:pPr>
            <w:r>
              <w:rPr>
                <w:rFonts w:hint="eastAsia" w:ascii="宋体" w:hAnsi="宋体" w:eastAsia="宋体"/>
              </w:rPr>
              <w:t>日常消费品</w:t>
            </w:r>
          </w:p>
        </w:tc>
        <w:tc>
          <w:tcPr>
            <w:tcW w:w="0" w:type="auto"/>
            <w:shd w:val="clear" w:color="auto" w:fill="auto"/>
          </w:tcPr>
          <w:p w14:paraId="372A61AD">
            <w:pPr>
              <w:jc w:val="right"/>
              <w:rPr>
                <w:rFonts w:ascii="宋体" w:hAnsi="宋体" w:eastAsia="宋体" w:cs="宋体"/>
                <w:sz w:val="24"/>
                <w:szCs w:val="24"/>
              </w:rPr>
            </w:pPr>
            <w:r>
              <w:rPr>
                <w:rFonts w:hint="eastAsia" w:ascii="宋体" w:hAnsi="宋体" w:eastAsia="宋体"/>
              </w:rPr>
              <w:t>1,086,289,696.01</w:t>
            </w:r>
          </w:p>
        </w:tc>
        <w:tc>
          <w:tcPr>
            <w:tcW w:w="0" w:type="auto"/>
            <w:shd w:val="clear" w:color="auto" w:fill="auto"/>
          </w:tcPr>
          <w:p w14:paraId="50EB491E">
            <w:pPr>
              <w:jc w:val="right"/>
              <w:rPr>
                <w:rFonts w:ascii="宋体" w:hAnsi="宋体" w:eastAsia="宋体" w:cs="宋体"/>
                <w:sz w:val="24"/>
                <w:szCs w:val="24"/>
              </w:rPr>
            </w:pPr>
            <w:r>
              <w:rPr>
                <w:rFonts w:hint="eastAsia" w:ascii="宋体" w:hAnsi="宋体" w:eastAsia="宋体"/>
              </w:rPr>
              <w:t>5.43</w:t>
            </w:r>
          </w:p>
        </w:tc>
      </w:tr>
      <w:tr w14:paraId="21EDF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BCCDC1">
            <w:pPr>
              <w:rPr>
                <w:rFonts w:ascii="宋体" w:hAnsi="宋体" w:eastAsia="宋体" w:cs="宋体"/>
                <w:sz w:val="24"/>
                <w:szCs w:val="24"/>
              </w:rPr>
            </w:pPr>
            <w:r>
              <w:rPr>
                <w:rFonts w:hint="eastAsia" w:ascii="宋体" w:hAnsi="宋体" w:eastAsia="宋体"/>
              </w:rPr>
              <w:t>医疗保健</w:t>
            </w:r>
          </w:p>
        </w:tc>
        <w:tc>
          <w:tcPr>
            <w:tcW w:w="0" w:type="auto"/>
            <w:shd w:val="clear" w:color="auto" w:fill="auto"/>
          </w:tcPr>
          <w:p w14:paraId="072C0023">
            <w:pPr>
              <w:jc w:val="right"/>
              <w:rPr>
                <w:rFonts w:ascii="宋体" w:hAnsi="宋体" w:eastAsia="宋体" w:cs="宋体"/>
                <w:sz w:val="24"/>
                <w:szCs w:val="24"/>
              </w:rPr>
            </w:pPr>
            <w:r>
              <w:rPr>
                <w:rFonts w:hint="eastAsia" w:ascii="宋体" w:hAnsi="宋体" w:eastAsia="宋体"/>
              </w:rPr>
              <w:t>1,838,413,577.80</w:t>
            </w:r>
          </w:p>
        </w:tc>
        <w:tc>
          <w:tcPr>
            <w:tcW w:w="0" w:type="auto"/>
            <w:shd w:val="clear" w:color="auto" w:fill="auto"/>
          </w:tcPr>
          <w:p w14:paraId="44E62AEC">
            <w:pPr>
              <w:jc w:val="right"/>
              <w:rPr>
                <w:rFonts w:ascii="宋体" w:hAnsi="宋体" w:eastAsia="宋体" w:cs="宋体"/>
                <w:sz w:val="24"/>
                <w:szCs w:val="24"/>
              </w:rPr>
            </w:pPr>
            <w:r>
              <w:rPr>
                <w:rFonts w:hint="eastAsia" w:ascii="宋体" w:hAnsi="宋体" w:eastAsia="宋体"/>
              </w:rPr>
              <w:t>9.19</w:t>
            </w:r>
          </w:p>
        </w:tc>
      </w:tr>
      <w:tr w14:paraId="7DDB9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F1FFC8">
            <w:pPr>
              <w:rPr>
                <w:rFonts w:ascii="宋体" w:hAnsi="宋体" w:eastAsia="宋体" w:cs="宋体"/>
                <w:sz w:val="24"/>
                <w:szCs w:val="24"/>
              </w:rPr>
            </w:pPr>
            <w:r>
              <w:rPr>
                <w:rFonts w:hint="eastAsia" w:ascii="宋体" w:hAnsi="宋体" w:eastAsia="宋体"/>
              </w:rPr>
              <w:t>金融</w:t>
            </w:r>
          </w:p>
        </w:tc>
        <w:tc>
          <w:tcPr>
            <w:tcW w:w="0" w:type="auto"/>
            <w:shd w:val="clear" w:color="auto" w:fill="auto"/>
          </w:tcPr>
          <w:p w14:paraId="7CFBBF1F">
            <w:pPr>
              <w:jc w:val="right"/>
              <w:rPr>
                <w:rFonts w:ascii="宋体" w:hAnsi="宋体" w:eastAsia="宋体" w:cs="宋体"/>
                <w:sz w:val="24"/>
                <w:szCs w:val="24"/>
              </w:rPr>
            </w:pPr>
            <w:r>
              <w:rPr>
                <w:rFonts w:hint="eastAsia" w:ascii="宋体" w:hAnsi="宋体" w:eastAsia="宋体"/>
              </w:rPr>
              <w:t>2,768,985,497.95</w:t>
            </w:r>
          </w:p>
        </w:tc>
        <w:tc>
          <w:tcPr>
            <w:tcW w:w="0" w:type="auto"/>
            <w:shd w:val="clear" w:color="auto" w:fill="auto"/>
          </w:tcPr>
          <w:p w14:paraId="7F73C90C">
            <w:pPr>
              <w:jc w:val="right"/>
              <w:rPr>
                <w:rFonts w:ascii="宋体" w:hAnsi="宋体" w:eastAsia="宋体" w:cs="宋体"/>
                <w:sz w:val="24"/>
                <w:szCs w:val="24"/>
              </w:rPr>
            </w:pPr>
            <w:r>
              <w:rPr>
                <w:rFonts w:hint="eastAsia" w:ascii="宋体" w:hAnsi="宋体" w:eastAsia="宋体"/>
              </w:rPr>
              <w:t>13.84</w:t>
            </w:r>
          </w:p>
        </w:tc>
      </w:tr>
      <w:tr w14:paraId="77895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5971E7">
            <w:pPr>
              <w:rPr>
                <w:rFonts w:ascii="宋体" w:hAnsi="宋体" w:eastAsia="宋体" w:cs="宋体"/>
                <w:sz w:val="24"/>
                <w:szCs w:val="24"/>
              </w:rPr>
            </w:pPr>
            <w:r>
              <w:rPr>
                <w:rFonts w:hint="eastAsia" w:ascii="宋体" w:hAnsi="宋体" w:eastAsia="宋体"/>
              </w:rPr>
              <w:t>信息技术</w:t>
            </w:r>
          </w:p>
        </w:tc>
        <w:tc>
          <w:tcPr>
            <w:tcW w:w="0" w:type="auto"/>
            <w:shd w:val="clear" w:color="auto" w:fill="auto"/>
          </w:tcPr>
          <w:p w14:paraId="43CCC585">
            <w:pPr>
              <w:jc w:val="right"/>
              <w:rPr>
                <w:rFonts w:ascii="宋体" w:hAnsi="宋体" w:eastAsia="宋体" w:cs="宋体"/>
                <w:sz w:val="24"/>
                <w:szCs w:val="24"/>
              </w:rPr>
            </w:pPr>
            <w:r>
              <w:rPr>
                <w:rFonts w:hint="eastAsia" w:ascii="宋体" w:hAnsi="宋体" w:eastAsia="宋体"/>
              </w:rPr>
              <w:t>6,530,501,373.04</w:t>
            </w:r>
          </w:p>
        </w:tc>
        <w:tc>
          <w:tcPr>
            <w:tcW w:w="0" w:type="auto"/>
            <w:shd w:val="clear" w:color="auto" w:fill="auto"/>
          </w:tcPr>
          <w:p w14:paraId="4DC563C1">
            <w:pPr>
              <w:jc w:val="right"/>
              <w:rPr>
                <w:rFonts w:ascii="宋体" w:hAnsi="宋体" w:eastAsia="宋体" w:cs="宋体"/>
                <w:sz w:val="24"/>
                <w:szCs w:val="24"/>
              </w:rPr>
            </w:pPr>
            <w:r>
              <w:rPr>
                <w:rFonts w:hint="eastAsia" w:ascii="宋体" w:hAnsi="宋体" w:eastAsia="宋体"/>
              </w:rPr>
              <w:t>32.65</w:t>
            </w:r>
          </w:p>
        </w:tc>
      </w:tr>
      <w:tr w14:paraId="0C076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3E3767">
            <w:pPr>
              <w:rPr>
                <w:rFonts w:ascii="宋体" w:hAnsi="宋体" w:eastAsia="宋体" w:cs="宋体"/>
                <w:sz w:val="24"/>
                <w:szCs w:val="24"/>
              </w:rPr>
            </w:pPr>
            <w:r>
              <w:rPr>
                <w:rFonts w:hint="eastAsia" w:ascii="宋体" w:hAnsi="宋体" w:eastAsia="宋体"/>
              </w:rPr>
              <w:t>电信业务</w:t>
            </w:r>
          </w:p>
        </w:tc>
        <w:tc>
          <w:tcPr>
            <w:tcW w:w="0" w:type="auto"/>
            <w:shd w:val="clear" w:color="auto" w:fill="auto"/>
          </w:tcPr>
          <w:p w14:paraId="783C96C3">
            <w:pPr>
              <w:jc w:val="right"/>
              <w:rPr>
                <w:rFonts w:ascii="宋体" w:hAnsi="宋体" w:eastAsia="宋体" w:cs="宋体"/>
                <w:sz w:val="24"/>
                <w:szCs w:val="24"/>
              </w:rPr>
            </w:pPr>
            <w:r>
              <w:rPr>
                <w:rFonts w:hint="eastAsia" w:ascii="宋体" w:hAnsi="宋体" w:eastAsia="宋体"/>
              </w:rPr>
              <w:t>1,932,558,006.07</w:t>
            </w:r>
          </w:p>
        </w:tc>
        <w:tc>
          <w:tcPr>
            <w:tcW w:w="0" w:type="auto"/>
            <w:shd w:val="clear" w:color="auto" w:fill="auto"/>
          </w:tcPr>
          <w:p w14:paraId="3302823E">
            <w:pPr>
              <w:jc w:val="right"/>
              <w:rPr>
                <w:rFonts w:ascii="宋体" w:hAnsi="宋体" w:eastAsia="宋体" w:cs="宋体"/>
                <w:sz w:val="24"/>
                <w:szCs w:val="24"/>
              </w:rPr>
            </w:pPr>
            <w:r>
              <w:rPr>
                <w:rFonts w:hint="eastAsia" w:ascii="宋体" w:hAnsi="宋体" w:eastAsia="宋体"/>
              </w:rPr>
              <w:t>9.66</w:t>
            </w:r>
          </w:p>
        </w:tc>
      </w:tr>
      <w:tr w14:paraId="180FB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B2BAE3">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40FCDB27">
            <w:pPr>
              <w:jc w:val="right"/>
              <w:rPr>
                <w:rFonts w:ascii="宋体" w:hAnsi="宋体" w:eastAsia="宋体" w:cs="宋体"/>
                <w:sz w:val="24"/>
                <w:szCs w:val="24"/>
              </w:rPr>
            </w:pPr>
            <w:r>
              <w:rPr>
                <w:rFonts w:hint="eastAsia" w:ascii="宋体" w:hAnsi="宋体" w:eastAsia="宋体"/>
              </w:rPr>
              <w:t>19,596,400,600.64</w:t>
            </w:r>
          </w:p>
        </w:tc>
        <w:tc>
          <w:tcPr>
            <w:tcW w:w="0" w:type="auto"/>
            <w:shd w:val="clear" w:color="auto" w:fill="auto"/>
          </w:tcPr>
          <w:p w14:paraId="608673C1">
            <w:pPr>
              <w:jc w:val="right"/>
              <w:rPr>
                <w:rFonts w:ascii="宋体" w:hAnsi="宋体" w:eastAsia="宋体" w:cs="宋体"/>
                <w:sz w:val="24"/>
                <w:szCs w:val="24"/>
              </w:rPr>
            </w:pPr>
            <w:r>
              <w:rPr>
                <w:rFonts w:hint="eastAsia" w:ascii="宋体" w:hAnsi="宋体" w:eastAsia="宋体"/>
              </w:rPr>
              <w:t>97.97</w:t>
            </w:r>
          </w:p>
        </w:tc>
      </w:tr>
    </w:tbl>
    <w:p w14:paraId="72C16228">
      <w:pPr>
        <w:pStyle w:val="8"/>
        <w:spacing w:before="0" w:beforeAutospacing="0" w:after="0" w:afterAutospacing="0" w:line="360" w:lineRule="auto"/>
        <w:ind w:firstLine="420"/>
        <w:rPr>
          <w:sz w:val="21"/>
          <w:szCs w:val="21"/>
        </w:rPr>
      </w:pPr>
      <w:r>
        <w:rPr>
          <w:rFonts w:hint="eastAsia"/>
          <w:sz w:val="21"/>
          <w:szCs w:val="21"/>
        </w:rPr>
        <w:t>注：以上分类采用彭博提供的国际通用行业分类标准。</w:t>
      </w:r>
    </w:p>
    <w:p w14:paraId="3D1C19A8">
      <w:pPr>
        <w:pStyle w:val="8"/>
        <w:spacing w:before="0" w:beforeAutospacing="0" w:after="0" w:afterAutospacing="0" w:line="360" w:lineRule="auto"/>
        <w:ind w:firstLine="420"/>
        <w:rPr>
          <w:sz w:val="21"/>
          <w:szCs w:val="21"/>
        </w:rPr>
      </w:pPr>
      <w:r>
        <w:rPr>
          <w:rStyle w:val="12"/>
          <w:rFonts w:hint="eastAsia"/>
          <w:sz w:val="21"/>
          <w:szCs w:val="21"/>
        </w:rPr>
        <w:t>4 报告期末按公允价值占基金资产净值比例大小排序的前十名股票及存托凭证投资明细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4"/>
        <w:gridCol w:w="1992"/>
        <w:gridCol w:w="1992"/>
        <w:gridCol w:w="749"/>
        <w:gridCol w:w="334"/>
        <w:gridCol w:w="453"/>
        <w:gridCol w:w="926"/>
        <w:gridCol w:w="1164"/>
        <w:gridCol w:w="572"/>
      </w:tblGrid>
      <w:tr w14:paraId="7A3BF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4CE716">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FD666A1">
            <w:pPr>
              <w:jc w:val="center"/>
              <w:rPr>
                <w:rFonts w:ascii="宋体" w:hAnsi="宋体" w:eastAsia="宋体" w:cs="宋体"/>
                <w:sz w:val="24"/>
                <w:szCs w:val="24"/>
              </w:rPr>
            </w:pPr>
            <w:r>
              <w:rPr>
                <w:rFonts w:hint="eastAsia" w:ascii="宋体" w:hAnsi="宋体" w:eastAsia="宋体"/>
              </w:rPr>
              <w:t>公司名称（英文）</w:t>
            </w:r>
          </w:p>
        </w:tc>
        <w:tc>
          <w:tcPr>
            <w:tcW w:w="0" w:type="auto"/>
            <w:shd w:val="clear" w:color="auto" w:fill="auto"/>
          </w:tcPr>
          <w:p w14:paraId="3FCEA3BE">
            <w:pPr>
              <w:jc w:val="center"/>
              <w:rPr>
                <w:rFonts w:ascii="宋体" w:hAnsi="宋体" w:eastAsia="宋体" w:cs="宋体"/>
                <w:sz w:val="24"/>
                <w:szCs w:val="24"/>
              </w:rPr>
            </w:pPr>
            <w:r>
              <w:rPr>
                <w:rFonts w:hint="eastAsia" w:ascii="宋体" w:hAnsi="宋体" w:eastAsia="宋体"/>
              </w:rPr>
              <w:t>公司名称（中文）</w:t>
            </w:r>
          </w:p>
        </w:tc>
        <w:tc>
          <w:tcPr>
            <w:tcW w:w="0" w:type="auto"/>
            <w:shd w:val="clear" w:color="auto" w:fill="auto"/>
          </w:tcPr>
          <w:p w14:paraId="3E7A4DDF">
            <w:pPr>
              <w:jc w:val="center"/>
              <w:rPr>
                <w:rFonts w:ascii="宋体" w:hAnsi="宋体" w:eastAsia="宋体" w:cs="宋体"/>
                <w:sz w:val="24"/>
                <w:szCs w:val="24"/>
              </w:rPr>
            </w:pPr>
            <w:r>
              <w:rPr>
                <w:rFonts w:hint="eastAsia" w:ascii="宋体" w:hAnsi="宋体" w:eastAsia="宋体"/>
              </w:rPr>
              <w:t>证券代码</w:t>
            </w:r>
          </w:p>
        </w:tc>
        <w:tc>
          <w:tcPr>
            <w:tcW w:w="0" w:type="auto"/>
            <w:shd w:val="clear" w:color="auto" w:fill="auto"/>
          </w:tcPr>
          <w:p w14:paraId="03CFF71B">
            <w:pPr>
              <w:jc w:val="center"/>
              <w:rPr>
                <w:rFonts w:ascii="宋体" w:hAnsi="宋体" w:eastAsia="宋体" w:cs="宋体"/>
                <w:sz w:val="24"/>
                <w:szCs w:val="24"/>
              </w:rPr>
            </w:pPr>
            <w:r>
              <w:rPr>
                <w:rFonts w:hint="eastAsia" w:ascii="宋体" w:hAnsi="宋体" w:eastAsia="宋体"/>
              </w:rPr>
              <w:t>所在证券市场</w:t>
            </w:r>
          </w:p>
        </w:tc>
        <w:tc>
          <w:tcPr>
            <w:tcW w:w="0" w:type="auto"/>
            <w:shd w:val="clear" w:color="auto" w:fill="auto"/>
          </w:tcPr>
          <w:p w14:paraId="2AAFFE55">
            <w:pPr>
              <w:jc w:val="center"/>
              <w:rPr>
                <w:rFonts w:ascii="宋体" w:hAnsi="宋体" w:eastAsia="宋体" w:cs="宋体"/>
                <w:sz w:val="24"/>
                <w:szCs w:val="24"/>
              </w:rPr>
            </w:pPr>
            <w:r>
              <w:rPr>
                <w:rFonts w:hint="eastAsia" w:ascii="宋体" w:hAnsi="宋体" w:eastAsia="宋体"/>
              </w:rPr>
              <w:t>所属国家（地区)</w:t>
            </w:r>
          </w:p>
        </w:tc>
        <w:tc>
          <w:tcPr>
            <w:tcW w:w="0" w:type="auto"/>
            <w:shd w:val="clear" w:color="auto" w:fill="auto"/>
          </w:tcPr>
          <w:p w14:paraId="10770D12">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7BC6B985">
            <w:pPr>
              <w:jc w:val="center"/>
              <w:rPr>
                <w:rFonts w:ascii="宋体" w:hAnsi="宋体" w:eastAsia="宋体" w:cs="宋体"/>
                <w:sz w:val="24"/>
                <w:szCs w:val="24"/>
              </w:rPr>
            </w:pPr>
            <w:r>
              <w:rPr>
                <w:rFonts w:hint="eastAsia" w:ascii="宋体" w:hAnsi="宋体" w:eastAsia="宋体"/>
              </w:rPr>
              <w:t>公允价值（人民币元）</w:t>
            </w:r>
          </w:p>
        </w:tc>
        <w:tc>
          <w:tcPr>
            <w:tcW w:w="0" w:type="auto"/>
            <w:shd w:val="clear" w:color="auto" w:fill="auto"/>
          </w:tcPr>
          <w:p w14:paraId="1B10DBC4">
            <w:pPr>
              <w:jc w:val="center"/>
              <w:rPr>
                <w:rFonts w:ascii="宋体" w:hAnsi="宋体" w:eastAsia="宋体" w:cs="宋体"/>
                <w:sz w:val="24"/>
                <w:szCs w:val="24"/>
              </w:rPr>
            </w:pPr>
            <w:r>
              <w:rPr>
                <w:rFonts w:hint="eastAsia" w:ascii="宋体" w:hAnsi="宋体" w:eastAsia="宋体"/>
              </w:rPr>
              <w:t>占基金资产净值比例（％）</w:t>
            </w:r>
          </w:p>
        </w:tc>
      </w:tr>
      <w:tr w14:paraId="39F6E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402421">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BB648CD">
            <w:pPr>
              <w:jc w:val="center"/>
              <w:rPr>
                <w:rFonts w:ascii="宋体" w:hAnsi="宋体" w:eastAsia="宋体" w:cs="宋体"/>
                <w:sz w:val="24"/>
                <w:szCs w:val="24"/>
              </w:rPr>
            </w:pPr>
            <w:r>
              <w:rPr>
                <w:rFonts w:hint="eastAsia" w:ascii="宋体" w:hAnsi="宋体" w:eastAsia="宋体"/>
              </w:rPr>
              <w:t>NVIDIA CORP</w:t>
            </w:r>
          </w:p>
        </w:tc>
        <w:tc>
          <w:tcPr>
            <w:tcW w:w="0" w:type="auto"/>
            <w:shd w:val="clear" w:color="auto" w:fill="auto"/>
          </w:tcPr>
          <w:p w14:paraId="61A732FD">
            <w:pPr>
              <w:jc w:val="center"/>
              <w:rPr>
                <w:rFonts w:ascii="宋体" w:hAnsi="宋体" w:eastAsia="宋体" w:cs="宋体"/>
                <w:sz w:val="24"/>
                <w:szCs w:val="24"/>
              </w:rPr>
            </w:pPr>
            <w:r>
              <w:rPr>
                <w:rFonts w:hint="eastAsia" w:ascii="宋体" w:hAnsi="宋体" w:eastAsia="宋体"/>
              </w:rPr>
              <w:t>NVIDIA CORP</w:t>
            </w:r>
          </w:p>
        </w:tc>
        <w:tc>
          <w:tcPr>
            <w:tcW w:w="0" w:type="auto"/>
            <w:shd w:val="clear" w:color="auto" w:fill="auto"/>
          </w:tcPr>
          <w:p w14:paraId="4A899298">
            <w:pPr>
              <w:jc w:val="center"/>
              <w:rPr>
                <w:rFonts w:ascii="宋体" w:hAnsi="宋体" w:eastAsia="宋体" w:cs="宋体"/>
                <w:sz w:val="24"/>
                <w:szCs w:val="24"/>
              </w:rPr>
            </w:pPr>
            <w:r>
              <w:rPr>
                <w:rFonts w:hint="eastAsia" w:ascii="宋体" w:hAnsi="宋体" w:eastAsia="宋体"/>
              </w:rPr>
              <w:t>NVDA US</w:t>
            </w:r>
          </w:p>
        </w:tc>
        <w:tc>
          <w:tcPr>
            <w:tcW w:w="0" w:type="auto"/>
            <w:shd w:val="clear" w:color="auto" w:fill="auto"/>
          </w:tcPr>
          <w:p w14:paraId="2AAB6DC3">
            <w:pPr>
              <w:jc w:val="center"/>
              <w:rPr>
                <w:rFonts w:ascii="宋体" w:hAnsi="宋体" w:eastAsia="宋体" w:cs="宋体"/>
                <w:sz w:val="24"/>
                <w:szCs w:val="24"/>
              </w:rPr>
            </w:pPr>
            <w:r>
              <w:rPr>
                <w:rFonts w:hint="eastAsia" w:ascii="宋体" w:hAnsi="宋体" w:eastAsia="宋体"/>
              </w:rPr>
              <w:t>纳斯达克交易所</w:t>
            </w:r>
          </w:p>
        </w:tc>
        <w:tc>
          <w:tcPr>
            <w:tcW w:w="0" w:type="auto"/>
            <w:shd w:val="clear" w:color="auto" w:fill="auto"/>
          </w:tcPr>
          <w:p w14:paraId="151040FD">
            <w:pPr>
              <w:jc w:val="center"/>
              <w:rPr>
                <w:rFonts w:ascii="宋体" w:hAnsi="宋体" w:eastAsia="宋体" w:cs="宋体"/>
                <w:sz w:val="24"/>
                <w:szCs w:val="24"/>
              </w:rPr>
            </w:pPr>
            <w:r>
              <w:rPr>
                <w:rFonts w:hint="eastAsia" w:ascii="宋体" w:hAnsi="宋体" w:eastAsia="宋体"/>
              </w:rPr>
              <w:t>美国</w:t>
            </w:r>
          </w:p>
        </w:tc>
        <w:tc>
          <w:tcPr>
            <w:tcW w:w="0" w:type="auto"/>
            <w:shd w:val="clear" w:color="auto" w:fill="auto"/>
          </w:tcPr>
          <w:p w14:paraId="3089850B">
            <w:pPr>
              <w:jc w:val="right"/>
              <w:rPr>
                <w:rFonts w:ascii="宋体" w:hAnsi="宋体" w:eastAsia="宋体" w:cs="宋体"/>
                <w:sz w:val="24"/>
                <w:szCs w:val="24"/>
              </w:rPr>
            </w:pPr>
            <w:r>
              <w:rPr>
                <w:rFonts w:hint="eastAsia" w:ascii="宋体" w:hAnsi="宋体" w:eastAsia="宋体"/>
              </w:rPr>
              <w:t>1,280,338.00</w:t>
            </w:r>
          </w:p>
        </w:tc>
        <w:tc>
          <w:tcPr>
            <w:tcW w:w="0" w:type="auto"/>
            <w:shd w:val="clear" w:color="auto" w:fill="auto"/>
          </w:tcPr>
          <w:p w14:paraId="12441683">
            <w:pPr>
              <w:jc w:val="right"/>
              <w:rPr>
                <w:rFonts w:ascii="宋体" w:hAnsi="宋体" w:eastAsia="宋体" w:cs="宋体"/>
                <w:sz w:val="24"/>
                <w:szCs w:val="24"/>
              </w:rPr>
            </w:pPr>
            <w:r>
              <w:rPr>
                <w:rFonts w:hint="eastAsia" w:ascii="宋体" w:hAnsi="宋体" w:eastAsia="宋体"/>
              </w:rPr>
              <w:t>1,448,045,907.60</w:t>
            </w:r>
          </w:p>
        </w:tc>
        <w:tc>
          <w:tcPr>
            <w:tcW w:w="0" w:type="auto"/>
            <w:shd w:val="clear" w:color="auto" w:fill="auto"/>
          </w:tcPr>
          <w:p w14:paraId="5D77671C">
            <w:pPr>
              <w:jc w:val="right"/>
              <w:rPr>
                <w:rFonts w:ascii="宋体" w:hAnsi="宋体" w:eastAsia="宋体" w:cs="宋体"/>
                <w:sz w:val="24"/>
                <w:szCs w:val="24"/>
              </w:rPr>
            </w:pPr>
            <w:r>
              <w:rPr>
                <w:rFonts w:hint="eastAsia" w:ascii="宋体" w:hAnsi="宋体" w:eastAsia="宋体"/>
              </w:rPr>
              <w:t>7.24</w:t>
            </w:r>
          </w:p>
        </w:tc>
      </w:tr>
      <w:tr w14:paraId="2CEC1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A53695">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1699019">
            <w:pPr>
              <w:jc w:val="center"/>
              <w:rPr>
                <w:rFonts w:ascii="宋体" w:hAnsi="宋体" w:eastAsia="宋体" w:cs="宋体"/>
                <w:sz w:val="24"/>
                <w:szCs w:val="24"/>
              </w:rPr>
            </w:pPr>
            <w:r>
              <w:rPr>
                <w:rFonts w:hint="eastAsia" w:ascii="宋体" w:hAnsi="宋体" w:eastAsia="宋体"/>
              </w:rPr>
              <w:t>MICROSOFT CORP</w:t>
            </w:r>
          </w:p>
        </w:tc>
        <w:tc>
          <w:tcPr>
            <w:tcW w:w="0" w:type="auto"/>
            <w:shd w:val="clear" w:color="auto" w:fill="auto"/>
          </w:tcPr>
          <w:p w14:paraId="243CE863">
            <w:pPr>
              <w:jc w:val="center"/>
              <w:rPr>
                <w:rFonts w:ascii="宋体" w:hAnsi="宋体" w:eastAsia="宋体" w:cs="宋体"/>
                <w:sz w:val="24"/>
                <w:szCs w:val="24"/>
              </w:rPr>
            </w:pPr>
            <w:r>
              <w:rPr>
                <w:rFonts w:hint="eastAsia" w:ascii="宋体" w:hAnsi="宋体" w:eastAsia="宋体"/>
              </w:rPr>
              <w:t>MICROSOFT CORP</w:t>
            </w:r>
          </w:p>
        </w:tc>
        <w:tc>
          <w:tcPr>
            <w:tcW w:w="0" w:type="auto"/>
            <w:shd w:val="clear" w:color="auto" w:fill="auto"/>
          </w:tcPr>
          <w:p w14:paraId="165A1D1D">
            <w:pPr>
              <w:jc w:val="center"/>
              <w:rPr>
                <w:rFonts w:ascii="宋体" w:hAnsi="宋体" w:eastAsia="宋体" w:cs="宋体"/>
                <w:sz w:val="24"/>
                <w:szCs w:val="24"/>
              </w:rPr>
            </w:pPr>
            <w:r>
              <w:rPr>
                <w:rFonts w:hint="eastAsia" w:ascii="宋体" w:hAnsi="宋体" w:eastAsia="宋体"/>
              </w:rPr>
              <w:t>MSFT US</w:t>
            </w:r>
          </w:p>
        </w:tc>
        <w:tc>
          <w:tcPr>
            <w:tcW w:w="0" w:type="auto"/>
            <w:shd w:val="clear" w:color="auto" w:fill="auto"/>
          </w:tcPr>
          <w:p w14:paraId="1CA3F95C">
            <w:pPr>
              <w:jc w:val="center"/>
              <w:rPr>
                <w:rFonts w:ascii="宋体" w:hAnsi="宋体" w:eastAsia="宋体" w:cs="宋体"/>
                <w:sz w:val="24"/>
                <w:szCs w:val="24"/>
              </w:rPr>
            </w:pPr>
            <w:r>
              <w:rPr>
                <w:rFonts w:hint="eastAsia" w:ascii="宋体" w:hAnsi="宋体" w:eastAsia="宋体"/>
              </w:rPr>
              <w:t>纳斯达克交易所</w:t>
            </w:r>
          </w:p>
        </w:tc>
        <w:tc>
          <w:tcPr>
            <w:tcW w:w="0" w:type="auto"/>
            <w:shd w:val="clear" w:color="auto" w:fill="auto"/>
          </w:tcPr>
          <w:p w14:paraId="7F147F5E">
            <w:pPr>
              <w:jc w:val="center"/>
              <w:rPr>
                <w:rFonts w:ascii="宋体" w:hAnsi="宋体" w:eastAsia="宋体" w:cs="宋体"/>
                <w:sz w:val="24"/>
                <w:szCs w:val="24"/>
              </w:rPr>
            </w:pPr>
            <w:r>
              <w:rPr>
                <w:rFonts w:hint="eastAsia" w:ascii="宋体" w:hAnsi="宋体" w:eastAsia="宋体"/>
              </w:rPr>
              <w:t>美国</w:t>
            </w:r>
          </w:p>
        </w:tc>
        <w:tc>
          <w:tcPr>
            <w:tcW w:w="0" w:type="auto"/>
            <w:shd w:val="clear" w:color="auto" w:fill="auto"/>
          </w:tcPr>
          <w:p w14:paraId="0283F465">
            <w:pPr>
              <w:jc w:val="right"/>
              <w:rPr>
                <w:rFonts w:ascii="宋体" w:hAnsi="宋体" w:eastAsia="宋体" w:cs="宋体"/>
                <w:sz w:val="24"/>
                <w:szCs w:val="24"/>
              </w:rPr>
            </w:pPr>
            <w:r>
              <w:rPr>
                <w:rFonts w:hint="eastAsia" w:ascii="宋体" w:hAnsi="宋体" w:eastAsia="宋体"/>
              </w:rPr>
              <w:t>390,236.00</w:t>
            </w:r>
          </w:p>
        </w:tc>
        <w:tc>
          <w:tcPr>
            <w:tcW w:w="0" w:type="auto"/>
            <w:shd w:val="clear" w:color="auto" w:fill="auto"/>
          </w:tcPr>
          <w:p w14:paraId="465474FA">
            <w:pPr>
              <w:jc w:val="right"/>
              <w:rPr>
                <w:rFonts w:ascii="宋体" w:hAnsi="宋体" w:eastAsia="宋体" w:cs="宋体"/>
                <w:sz w:val="24"/>
                <w:szCs w:val="24"/>
              </w:rPr>
            </w:pPr>
            <w:r>
              <w:rPr>
                <w:rFonts w:hint="eastAsia" w:ascii="宋体" w:hAnsi="宋体" w:eastAsia="宋体"/>
              </w:rPr>
              <w:t>1,389,536,437.32</w:t>
            </w:r>
          </w:p>
        </w:tc>
        <w:tc>
          <w:tcPr>
            <w:tcW w:w="0" w:type="auto"/>
            <w:shd w:val="clear" w:color="auto" w:fill="auto"/>
          </w:tcPr>
          <w:p w14:paraId="05926BCC">
            <w:pPr>
              <w:jc w:val="right"/>
              <w:rPr>
                <w:rFonts w:ascii="宋体" w:hAnsi="宋体" w:eastAsia="宋体" w:cs="宋体"/>
                <w:sz w:val="24"/>
                <w:szCs w:val="24"/>
              </w:rPr>
            </w:pPr>
            <w:r>
              <w:rPr>
                <w:rFonts w:hint="eastAsia" w:ascii="宋体" w:hAnsi="宋体" w:eastAsia="宋体"/>
              </w:rPr>
              <w:t>6.95</w:t>
            </w:r>
          </w:p>
        </w:tc>
      </w:tr>
      <w:tr w14:paraId="2F538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0B9B92">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9831F6B">
            <w:pPr>
              <w:jc w:val="center"/>
              <w:rPr>
                <w:rFonts w:ascii="宋体" w:hAnsi="宋体" w:eastAsia="宋体" w:cs="宋体"/>
                <w:sz w:val="24"/>
                <w:szCs w:val="24"/>
              </w:rPr>
            </w:pPr>
            <w:r>
              <w:rPr>
                <w:rFonts w:hint="eastAsia" w:ascii="宋体" w:hAnsi="宋体" w:eastAsia="宋体"/>
              </w:rPr>
              <w:t>APPLE INC</w:t>
            </w:r>
          </w:p>
        </w:tc>
        <w:tc>
          <w:tcPr>
            <w:tcW w:w="0" w:type="auto"/>
            <w:shd w:val="clear" w:color="auto" w:fill="auto"/>
          </w:tcPr>
          <w:p w14:paraId="5C166B41">
            <w:pPr>
              <w:jc w:val="center"/>
              <w:rPr>
                <w:rFonts w:ascii="宋体" w:hAnsi="宋体" w:eastAsia="宋体" w:cs="宋体"/>
                <w:sz w:val="24"/>
                <w:szCs w:val="24"/>
              </w:rPr>
            </w:pPr>
            <w:r>
              <w:rPr>
                <w:rFonts w:hint="eastAsia" w:ascii="宋体" w:hAnsi="宋体" w:eastAsia="宋体"/>
              </w:rPr>
              <w:t>APPLE INC</w:t>
            </w:r>
          </w:p>
        </w:tc>
        <w:tc>
          <w:tcPr>
            <w:tcW w:w="0" w:type="auto"/>
            <w:shd w:val="clear" w:color="auto" w:fill="auto"/>
          </w:tcPr>
          <w:p w14:paraId="03FB5395">
            <w:pPr>
              <w:jc w:val="center"/>
              <w:rPr>
                <w:rFonts w:ascii="宋体" w:hAnsi="宋体" w:eastAsia="宋体" w:cs="宋体"/>
                <w:sz w:val="24"/>
                <w:szCs w:val="24"/>
              </w:rPr>
            </w:pPr>
            <w:r>
              <w:rPr>
                <w:rFonts w:hint="eastAsia" w:ascii="宋体" w:hAnsi="宋体" w:eastAsia="宋体"/>
              </w:rPr>
              <w:t>AAPL US</w:t>
            </w:r>
          </w:p>
        </w:tc>
        <w:tc>
          <w:tcPr>
            <w:tcW w:w="0" w:type="auto"/>
            <w:shd w:val="clear" w:color="auto" w:fill="auto"/>
          </w:tcPr>
          <w:p w14:paraId="6C741D76">
            <w:pPr>
              <w:jc w:val="center"/>
              <w:rPr>
                <w:rFonts w:ascii="宋体" w:hAnsi="宋体" w:eastAsia="宋体" w:cs="宋体"/>
                <w:sz w:val="24"/>
                <w:szCs w:val="24"/>
              </w:rPr>
            </w:pPr>
            <w:r>
              <w:rPr>
                <w:rFonts w:hint="eastAsia" w:ascii="宋体" w:hAnsi="宋体" w:eastAsia="宋体"/>
              </w:rPr>
              <w:t>纳斯达克交易所</w:t>
            </w:r>
          </w:p>
        </w:tc>
        <w:tc>
          <w:tcPr>
            <w:tcW w:w="0" w:type="auto"/>
            <w:shd w:val="clear" w:color="auto" w:fill="auto"/>
          </w:tcPr>
          <w:p w14:paraId="26FACFF5">
            <w:pPr>
              <w:jc w:val="center"/>
              <w:rPr>
                <w:rFonts w:ascii="宋体" w:hAnsi="宋体" w:eastAsia="宋体" w:cs="宋体"/>
                <w:sz w:val="24"/>
                <w:szCs w:val="24"/>
              </w:rPr>
            </w:pPr>
            <w:r>
              <w:rPr>
                <w:rFonts w:hint="eastAsia" w:ascii="宋体" w:hAnsi="宋体" w:eastAsia="宋体"/>
              </w:rPr>
              <w:t>美国</w:t>
            </w:r>
          </w:p>
        </w:tc>
        <w:tc>
          <w:tcPr>
            <w:tcW w:w="0" w:type="auto"/>
            <w:shd w:val="clear" w:color="auto" w:fill="auto"/>
          </w:tcPr>
          <w:p w14:paraId="576A046D">
            <w:pPr>
              <w:jc w:val="right"/>
              <w:rPr>
                <w:rFonts w:ascii="宋体" w:hAnsi="宋体" w:eastAsia="宋体" w:cs="宋体"/>
                <w:sz w:val="24"/>
                <w:szCs w:val="24"/>
              </w:rPr>
            </w:pPr>
            <w:r>
              <w:rPr>
                <w:rFonts w:hint="eastAsia" w:ascii="宋体" w:hAnsi="宋体" w:eastAsia="宋体"/>
              </w:rPr>
              <w:t>784,154.00</w:t>
            </w:r>
          </w:p>
        </w:tc>
        <w:tc>
          <w:tcPr>
            <w:tcW w:w="0" w:type="auto"/>
            <w:shd w:val="clear" w:color="auto" w:fill="auto"/>
          </w:tcPr>
          <w:p w14:paraId="74735EA1">
            <w:pPr>
              <w:jc w:val="right"/>
              <w:rPr>
                <w:rFonts w:ascii="宋体" w:hAnsi="宋体" w:eastAsia="宋体" w:cs="宋体"/>
                <w:sz w:val="24"/>
                <w:szCs w:val="24"/>
              </w:rPr>
            </w:pPr>
            <w:r>
              <w:rPr>
                <w:rFonts w:hint="eastAsia" w:ascii="宋体" w:hAnsi="宋体" w:eastAsia="宋体"/>
              </w:rPr>
              <w:t>1,151,710,474.62</w:t>
            </w:r>
          </w:p>
        </w:tc>
        <w:tc>
          <w:tcPr>
            <w:tcW w:w="0" w:type="auto"/>
            <w:shd w:val="clear" w:color="auto" w:fill="auto"/>
          </w:tcPr>
          <w:p w14:paraId="2CD32008">
            <w:pPr>
              <w:jc w:val="right"/>
              <w:rPr>
                <w:rFonts w:ascii="宋体" w:hAnsi="宋体" w:eastAsia="宋体" w:cs="宋体"/>
                <w:sz w:val="24"/>
                <w:szCs w:val="24"/>
              </w:rPr>
            </w:pPr>
            <w:r>
              <w:rPr>
                <w:rFonts w:hint="eastAsia" w:ascii="宋体" w:hAnsi="宋体" w:eastAsia="宋体"/>
              </w:rPr>
              <w:t>5.76</w:t>
            </w:r>
          </w:p>
        </w:tc>
      </w:tr>
      <w:tr w14:paraId="550B0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478D7B">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F3812A0">
            <w:pPr>
              <w:jc w:val="center"/>
              <w:rPr>
                <w:rFonts w:ascii="宋体" w:hAnsi="宋体" w:eastAsia="宋体" w:cs="宋体"/>
                <w:sz w:val="24"/>
                <w:szCs w:val="24"/>
              </w:rPr>
            </w:pPr>
            <w:r>
              <w:rPr>
                <w:rFonts w:hint="eastAsia" w:ascii="宋体" w:hAnsi="宋体" w:eastAsia="宋体"/>
              </w:rPr>
              <w:t>AMAZON.COM INC</w:t>
            </w:r>
          </w:p>
        </w:tc>
        <w:tc>
          <w:tcPr>
            <w:tcW w:w="0" w:type="auto"/>
            <w:shd w:val="clear" w:color="auto" w:fill="auto"/>
          </w:tcPr>
          <w:p w14:paraId="22B96E70">
            <w:pPr>
              <w:jc w:val="center"/>
              <w:rPr>
                <w:rFonts w:ascii="宋体" w:hAnsi="宋体" w:eastAsia="宋体" w:cs="宋体"/>
                <w:sz w:val="24"/>
                <w:szCs w:val="24"/>
              </w:rPr>
            </w:pPr>
            <w:r>
              <w:rPr>
                <w:rFonts w:hint="eastAsia" w:ascii="宋体" w:hAnsi="宋体" w:eastAsia="宋体"/>
              </w:rPr>
              <w:t>AMAZON.COM INC</w:t>
            </w:r>
          </w:p>
        </w:tc>
        <w:tc>
          <w:tcPr>
            <w:tcW w:w="0" w:type="auto"/>
            <w:shd w:val="clear" w:color="auto" w:fill="auto"/>
          </w:tcPr>
          <w:p w14:paraId="0F5A0AD9">
            <w:pPr>
              <w:jc w:val="center"/>
              <w:rPr>
                <w:rFonts w:ascii="宋体" w:hAnsi="宋体" w:eastAsia="宋体" w:cs="宋体"/>
                <w:sz w:val="24"/>
                <w:szCs w:val="24"/>
              </w:rPr>
            </w:pPr>
            <w:r>
              <w:rPr>
                <w:rFonts w:hint="eastAsia" w:ascii="宋体" w:hAnsi="宋体" w:eastAsia="宋体"/>
              </w:rPr>
              <w:t>AMZN US</w:t>
            </w:r>
          </w:p>
        </w:tc>
        <w:tc>
          <w:tcPr>
            <w:tcW w:w="0" w:type="auto"/>
            <w:shd w:val="clear" w:color="auto" w:fill="auto"/>
          </w:tcPr>
          <w:p w14:paraId="385990B6">
            <w:pPr>
              <w:jc w:val="center"/>
              <w:rPr>
                <w:rFonts w:ascii="宋体" w:hAnsi="宋体" w:eastAsia="宋体" w:cs="宋体"/>
                <w:sz w:val="24"/>
                <w:szCs w:val="24"/>
              </w:rPr>
            </w:pPr>
            <w:r>
              <w:rPr>
                <w:rFonts w:hint="eastAsia" w:ascii="宋体" w:hAnsi="宋体" w:eastAsia="宋体"/>
              </w:rPr>
              <w:t>纳斯达克交易所</w:t>
            </w:r>
          </w:p>
        </w:tc>
        <w:tc>
          <w:tcPr>
            <w:tcW w:w="0" w:type="auto"/>
            <w:shd w:val="clear" w:color="auto" w:fill="auto"/>
          </w:tcPr>
          <w:p w14:paraId="40DBD6D6">
            <w:pPr>
              <w:jc w:val="center"/>
              <w:rPr>
                <w:rFonts w:ascii="宋体" w:hAnsi="宋体" w:eastAsia="宋体" w:cs="宋体"/>
                <w:sz w:val="24"/>
                <w:szCs w:val="24"/>
              </w:rPr>
            </w:pPr>
            <w:r>
              <w:rPr>
                <w:rFonts w:hint="eastAsia" w:ascii="宋体" w:hAnsi="宋体" w:eastAsia="宋体"/>
              </w:rPr>
              <w:t>美国</w:t>
            </w:r>
          </w:p>
        </w:tc>
        <w:tc>
          <w:tcPr>
            <w:tcW w:w="0" w:type="auto"/>
            <w:shd w:val="clear" w:color="auto" w:fill="auto"/>
          </w:tcPr>
          <w:p w14:paraId="257D784D">
            <w:pPr>
              <w:jc w:val="right"/>
              <w:rPr>
                <w:rFonts w:ascii="宋体" w:hAnsi="宋体" w:eastAsia="宋体" w:cs="宋体"/>
                <w:sz w:val="24"/>
                <w:szCs w:val="24"/>
              </w:rPr>
            </w:pPr>
            <w:r>
              <w:rPr>
                <w:rFonts w:hint="eastAsia" w:ascii="宋体" w:hAnsi="宋体" w:eastAsia="宋体"/>
              </w:rPr>
              <w:t>496,414.00</w:t>
            </w:r>
          </w:p>
        </w:tc>
        <w:tc>
          <w:tcPr>
            <w:tcW w:w="0" w:type="auto"/>
            <w:shd w:val="clear" w:color="auto" w:fill="auto"/>
          </w:tcPr>
          <w:p w14:paraId="5BEDCC89">
            <w:pPr>
              <w:jc w:val="right"/>
              <w:rPr>
                <w:rFonts w:ascii="宋体" w:hAnsi="宋体" w:eastAsia="宋体" w:cs="宋体"/>
                <w:sz w:val="24"/>
                <w:szCs w:val="24"/>
              </w:rPr>
            </w:pPr>
            <w:r>
              <w:rPr>
                <w:rFonts w:hint="eastAsia" w:ascii="宋体" w:hAnsi="宋体" w:eastAsia="宋体"/>
              </w:rPr>
              <w:t>779,630,723.44</w:t>
            </w:r>
          </w:p>
        </w:tc>
        <w:tc>
          <w:tcPr>
            <w:tcW w:w="0" w:type="auto"/>
            <w:shd w:val="clear" w:color="auto" w:fill="auto"/>
          </w:tcPr>
          <w:p w14:paraId="57B9BCFE">
            <w:pPr>
              <w:jc w:val="right"/>
              <w:rPr>
                <w:rFonts w:ascii="宋体" w:hAnsi="宋体" w:eastAsia="宋体" w:cs="宋体"/>
                <w:sz w:val="24"/>
                <w:szCs w:val="24"/>
              </w:rPr>
            </w:pPr>
            <w:r>
              <w:rPr>
                <w:rFonts w:hint="eastAsia" w:ascii="宋体" w:hAnsi="宋体" w:eastAsia="宋体"/>
              </w:rPr>
              <w:t>3.90</w:t>
            </w:r>
          </w:p>
        </w:tc>
      </w:tr>
      <w:tr w14:paraId="0CFC8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E2F1EC">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3AFB90B9">
            <w:pPr>
              <w:jc w:val="center"/>
              <w:rPr>
                <w:rFonts w:ascii="宋体" w:hAnsi="宋体" w:eastAsia="宋体" w:cs="宋体"/>
                <w:sz w:val="24"/>
                <w:szCs w:val="24"/>
              </w:rPr>
            </w:pPr>
            <w:r>
              <w:rPr>
                <w:rFonts w:hint="eastAsia" w:ascii="宋体" w:hAnsi="宋体" w:eastAsia="宋体"/>
              </w:rPr>
              <w:t>ALPHABET INC</w:t>
            </w:r>
          </w:p>
        </w:tc>
        <w:tc>
          <w:tcPr>
            <w:tcW w:w="0" w:type="auto"/>
            <w:shd w:val="clear" w:color="auto" w:fill="auto"/>
          </w:tcPr>
          <w:p w14:paraId="6136D32D">
            <w:pPr>
              <w:jc w:val="center"/>
              <w:rPr>
                <w:rFonts w:ascii="宋体" w:hAnsi="宋体" w:eastAsia="宋体" w:cs="宋体"/>
                <w:sz w:val="24"/>
                <w:szCs w:val="24"/>
              </w:rPr>
            </w:pPr>
            <w:r>
              <w:rPr>
                <w:rFonts w:hint="eastAsia" w:ascii="宋体" w:hAnsi="宋体" w:eastAsia="宋体"/>
              </w:rPr>
              <w:t>ALPHABET INC-CL A</w:t>
            </w:r>
          </w:p>
        </w:tc>
        <w:tc>
          <w:tcPr>
            <w:tcW w:w="0" w:type="auto"/>
            <w:shd w:val="clear" w:color="auto" w:fill="auto"/>
          </w:tcPr>
          <w:p w14:paraId="0797C0FA">
            <w:pPr>
              <w:jc w:val="center"/>
              <w:rPr>
                <w:rFonts w:ascii="宋体" w:hAnsi="宋体" w:eastAsia="宋体" w:cs="宋体"/>
                <w:sz w:val="24"/>
                <w:szCs w:val="24"/>
              </w:rPr>
            </w:pPr>
            <w:r>
              <w:rPr>
                <w:rFonts w:hint="eastAsia" w:ascii="宋体" w:hAnsi="宋体" w:eastAsia="宋体"/>
              </w:rPr>
              <w:t>GOOGL US</w:t>
            </w:r>
          </w:p>
        </w:tc>
        <w:tc>
          <w:tcPr>
            <w:tcW w:w="0" w:type="auto"/>
            <w:shd w:val="clear" w:color="auto" w:fill="auto"/>
          </w:tcPr>
          <w:p w14:paraId="0BEEAC08">
            <w:pPr>
              <w:jc w:val="center"/>
              <w:rPr>
                <w:rFonts w:ascii="宋体" w:hAnsi="宋体" w:eastAsia="宋体" w:cs="宋体"/>
                <w:sz w:val="24"/>
                <w:szCs w:val="24"/>
              </w:rPr>
            </w:pPr>
            <w:r>
              <w:rPr>
                <w:rFonts w:hint="eastAsia" w:ascii="宋体" w:hAnsi="宋体" w:eastAsia="宋体"/>
              </w:rPr>
              <w:t>纳斯达克交易所</w:t>
            </w:r>
          </w:p>
        </w:tc>
        <w:tc>
          <w:tcPr>
            <w:tcW w:w="0" w:type="auto"/>
            <w:shd w:val="clear" w:color="auto" w:fill="auto"/>
          </w:tcPr>
          <w:p w14:paraId="10217718">
            <w:pPr>
              <w:jc w:val="center"/>
              <w:rPr>
                <w:rFonts w:ascii="宋体" w:hAnsi="宋体" w:eastAsia="宋体" w:cs="宋体"/>
                <w:sz w:val="24"/>
                <w:szCs w:val="24"/>
              </w:rPr>
            </w:pPr>
            <w:r>
              <w:rPr>
                <w:rFonts w:hint="eastAsia" w:ascii="宋体" w:hAnsi="宋体" w:eastAsia="宋体"/>
              </w:rPr>
              <w:t>美国</w:t>
            </w:r>
          </w:p>
        </w:tc>
        <w:tc>
          <w:tcPr>
            <w:tcW w:w="0" w:type="auto"/>
            <w:shd w:val="clear" w:color="auto" w:fill="auto"/>
          </w:tcPr>
          <w:p w14:paraId="7AF58148">
            <w:pPr>
              <w:jc w:val="right"/>
              <w:rPr>
                <w:rFonts w:ascii="宋体" w:hAnsi="宋体" w:eastAsia="宋体" w:cs="宋体"/>
                <w:sz w:val="24"/>
                <w:szCs w:val="24"/>
              </w:rPr>
            </w:pPr>
            <w:r>
              <w:rPr>
                <w:rFonts w:hint="eastAsia" w:ascii="宋体" w:hAnsi="宋体" w:eastAsia="宋体"/>
              </w:rPr>
              <w:t>305,597.00</w:t>
            </w:r>
          </w:p>
        </w:tc>
        <w:tc>
          <w:tcPr>
            <w:tcW w:w="0" w:type="auto"/>
            <w:shd w:val="clear" w:color="auto" w:fill="auto"/>
          </w:tcPr>
          <w:p w14:paraId="10749EAD">
            <w:pPr>
              <w:jc w:val="right"/>
              <w:rPr>
                <w:rFonts w:ascii="宋体" w:hAnsi="宋体" w:eastAsia="宋体" w:cs="宋体"/>
                <w:sz w:val="24"/>
                <w:szCs w:val="24"/>
              </w:rPr>
            </w:pPr>
            <w:r>
              <w:rPr>
                <w:rFonts w:hint="eastAsia" w:ascii="宋体" w:hAnsi="宋体" w:eastAsia="宋体"/>
              </w:rPr>
              <w:t>385,528,975.16</w:t>
            </w:r>
          </w:p>
        </w:tc>
        <w:tc>
          <w:tcPr>
            <w:tcW w:w="0" w:type="auto"/>
            <w:shd w:val="clear" w:color="auto" w:fill="auto"/>
          </w:tcPr>
          <w:p w14:paraId="0BC51240">
            <w:pPr>
              <w:jc w:val="right"/>
              <w:rPr>
                <w:rFonts w:ascii="宋体" w:hAnsi="宋体" w:eastAsia="宋体" w:cs="宋体"/>
                <w:sz w:val="24"/>
                <w:szCs w:val="24"/>
              </w:rPr>
            </w:pPr>
            <w:r>
              <w:rPr>
                <w:rFonts w:hint="eastAsia" w:ascii="宋体" w:hAnsi="宋体" w:eastAsia="宋体"/>
              </w:rPr>
              <w:t>1.93</w:t>
            </w:r>
          </w:p>
        </w:tc>
      </w:tr>
      <w:tr w14:paraId="55622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DEE2F6">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18A6D34">
            <w:pPr>
              <w:jc w:val="center"/>
              <w:rPr>
                <w:rFonts w:ascii="宋体" w:hAnsi="宋体" w:eastAsia="宋体" w:cs="宋体"/>
                <w:sz w:val="24"/>
                <w:szCs w:val="24"/>
              </w:rPr>
            </w:pPr>
            <w:r>
              <w:rPr>
                <w:rFonts w:hint="eastAsia" w:ascii="宋体" w:hAnsi="宋体" w:eastAsia="宋体"/>
              </w:rPr>
              <w:t>ALPHABET INC</w:t>
            </w:r>
          </w:p>
        </w:tc>
        <w:tc>
          <w:tcPr>
            <w:tcW w:w="0" w:type="auto"/>
            <w:shd w:val="clear" w:color="auto" w:fill="auto"/>
          </w:tcPr>
          <w:p w14:paraId="16777436">
            <w:pPr>
              <w:jc w:val="center"/>
              <w:rPr>
                <w:rFonts w:ascii="宋体" w:hAnsi="宋体" w:eastAsia="宋体" w:cs="宋体"/>
                <w:sz w:val="24"/>
                <w:szCs w:val="24"/>
              </w:rPr>
            </w:pPr>
            <w:r>
              <w:rPr>
                <w:rFonts w:hint="eastAsia" w:ascii="宋体" w:hAnsi="宋体" w:eastAsia="宋体"/>
              </w:rPr>
              <w:t>ALPHABET INC-CL C</w:t>
            </w:r>
          </w:p>
        </w:tc>
        <w:tc>
          <w:tcPr>
            <w:tcW w:w="0" w:type="auto"/>
            <w:shd w:val="clear" w:color="auto" w:fill="auto"/>
          </w:tcPr>
          <w:p w14:paraId="3B2749DC">
            <w:pPr>
              <w:jc w:val="center"/>
              <w:rPr>
                <w:rFonts w:ascii="宋体" w:hAnsi="宋体" w:eastAsia="宋体" w:cs="宋体"/>
                <w:sz w:val="24"/>
                <w:szCs w:val="24"/>
              </w:rPr>
            </w:pPr>
            <w:r>
              <w:rPr>
                <w:rFonts w:hint="eastAsia" w:ascii="宋体" w:hAnsi="宋体" w:eastAsia="宋体"/>
              </w:rPr>
              <w:t>GOOG US</w:t>
            </w:r>
          </w:p>
        </w:tc>
        <w:tc>
          <w:tcPr>
            <w:tcW w:w="0" w:type="auto"/>
            <w:shd w:val="clear" w:color="auto" w:fill="auto"/>
          </w:tcPr>
          <w:p w14:paraId="11365FDD">
            <w:pPr>
              <w:jc w:val="center"/>
              <w:rPr>
                <w:rFonts w:ascii="宋体" w:hAnsi="宋体" w:eastAsia="宋体" w:cs="宋体"/>
                <w:sz w:val="24"/>
                <w:szCs w:val="24"/>
              </w:rPr>
            </w:pPr>
            <w:r>
              <w:rPr>
                <w:rFonts w:hint="eastAsia" w:ascii="宋体" w:hAnsi="宋体" w:eastAsia="宋体"/>
              </w:rPr>
              <w:t>纳斯达克交易所</w:t>
            </w:r>
          </w:p>
        </w:tc>
        <w:tc>
          <w:tcPr>
            <w:tcW w:w="0" w:type="auto"/>
            <w:shd w:val="clear" w:color="auto" w:fill="auto"/>
          </w:tcPr>
          <w:p w14:paraId="32BB59A1">
            <w:pPr>
              <w:jc w:val="center"/>
              <w:rPr>
                <w:rFonts w:ascii="宋体" w:hAnsi="宋体" w:eastAsia="宋体" w:cs="宋体"/>
                <w:sz w:val="24"/>
                <w:szCs w:val="24"/>
              </w:rPr>
            </w:pPr>
            <w:r>
              <w:rPr>
                <w:rFonts w:hint="eastAsia" w:ascii="宋体" w:hAnsi="宋体" w:eastAsia="宋体"/>
              </w:rPr>
              <w:t>美国</w:t>
            </w:r>
          </w:p>
        </w:tc>
        <w:tc>
          <w:tcPr>
            <w:tcW w:w="0" w:type="auto"/>
            <w:shd w:val="clear" w:color="auto" w:fill="auto"/>
          </w:tcPr>
          <w:p w14:paraId="5F91B545">
            <w:pPr>
              <w:jc w:val="right"/>
              <w:rPr>
                <w:rFonts w:ascii="宋体" w:hAnsi="宋体" w:eastAsia="宋体" w:cs="宋体"/>
                <w:sz w:val="24"/>
                <w:szCs w:val="24"/>
              </w:rPr>
            </w:pPr>
            <w:r>
              <w:rPr>
                <w:rFonts w:hint="eastAsia" w:ascii="宋体" w:hAnsi="宋体" w:eastAsia="宋体"/>
              </w:rPr>
              <w:t>246,346.00</w:t>
            </w:r>
          </w:p>
        </w:tc>
        <w:tc>
          <w:tcPr>
            <w:tcW w:w="0" w:type="auto"/>
            <w:shd w:val="clear" w:color="auto" w:fill="auto"/>
          </w:tcPr>
          <w:p w14:paraId="0D2C5B12">
            <w:pPr>
              <w:jc w:val="right"/>
              <w:rPr>
                <w:rFonts w:ascii="宋体" w:hAnsi="宋体" w:eastAsia="宋体" w:cs="宋体"/>
                <w:sz w:val="24"/>
                <w:szCs w:val="24"/>
              </w:rPr>
            </w:pPr>
            <w:r>
              <w:rPr>
                <w:rFonts w:hint="eastAsia" w:ascii="宋体" w:hAnsi="宋体" w:eastAsia="宋体"/>
              </w:rPr>
              <w:t>312,825,930.25</w:t>
            </w:r>
          </w:p>
        </w:tc>
        <w:tc>
          <w:tcPr>
            <w:tcW w:w="0" w:type="auto"/>
            <w:shd w:val="clear" w:color="auto" w:fill="auto"/>
          </w:tcPr>
          <w:p w14:paraId="3C0AD2BB">
            <w:pPr>
              <w:jc w:val="right"/>
              <w:rPr>
                <w:rFonts w:ascii="宋体" w:hAnsi="宋体" w:eastAsia="宋体" w:cs="宋体"/>
                <w:sz w:val="24"/>
                <w:szCs w:val="24"/>
              </w:rPr>
            </w:pPr>
            <w:r>
              <w:rPr>
                <w:rFonts w:hint="eastAsia" w:ascii="宋体" w:hAnsi="宋体" w:eastAsia="宋体"/>
              </w:rPr>
              <w:t>1.56</w:t>
            </w:r>
          </w:p>
        </w:tc>
      </w:tr>
      <w:tr w14:paraId="1EA77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6F9C6D">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2700BC87">
            <w:pPr>
              <w:jc w:val="center"/>
              <w:rPr>
                <w:rFonts w:ascii="宋体" w:hAnsi="宋体" w:eastAsia="宋体" w:cs="宋体"/>
                <w:sz w:val="24"/>
                <w:szCs w:val="24"/>
              </w:rPr>
            </w:pPr>
            <w:r>
              <w:rPr>
                <w:rFonts w:hint="eastAsia" w:ascii="宋体" w:hAnsi="宋体" w:eastAsia="宋体"/>
              </w:rPr>
              <w:t>META PLATFORMS INC-CLASS A</w:t>
            </w:r>
          </w:p>
        </w:tc>
        <w:tc>
          <w:tcPr>
            <w:tcW w:w="0" w:type="auto"/>
            <w:shd w:val="clear" w:color="auto" w:fill="auto"/>
          </w:tcPr>
          <w:p w14:paraId="791030B5">
            <w:pPr>
              <w:jc w:val="center"/>
              <w:rPr>
                <w:rFonts w:ascii="宋体" w:hAnsi="宋体" w:eastAsia="宋体" w:cs="宋体"/>
                <w:sz w:val="24"/>
                <w:szCs w:val="24"/>
              </w:rPr>
            </w:pPr>
            <w:r>
              <w:rPr>
                <w:rFonts w:hint="eastAsia" w:ascii="宋体" w:hAnsi="宋体" w:eastAsia="宋体"/>
              </w:rPr>
              <w:t>META PLATFORMS INC-CLASS A</w:t>
            </w:r>
          </w:p>
        </w:tc>
        <w:tc>
          <w:tcPr>
            <w:tcW w:w="0" w:type="auto"/>
            <w:shd w:val="clear" w:color="auto" w:fill="auto"/>
          </w:tcPr>
          <w:p w14:paraId="5C73DD3D">
            <w:pPr>
              <w:jc w:val="center"/>
              <w:rPr>
                <w:rFonts w:ascii="宋体" w:hAnsi="宋体" w:eastAsia="宋体" w:cs="宋体"/>
                <w:sz w:val="24"/>
                <w:szCs w:val="24"/>
              </w:rPr>
            </w:pPr>
            <w:r>
              <w:rPr>
                <w:rFonts w:hint="eastAsia" w:ascii="宋体" w:hAnsi="宋体" w:eastAsia="宋体"/>
              </w:rPr>
              <w:t>META US</w:t>
            </w:r>
          </w:p>
        </w:tc>
        <w:tc>
          <w:tcPr>
            <w:tcW w:w="0" w:type="auto"/>
            <w:shd w:val="clear" w:color="auto" w:fill="auto"/>
          </w:tcPr>
          <w:p w14:paraId="72E59B8F">
            <w:pPr>
              <w:jc w:val="center"/>
              <w:rPr>
                <w:rFonts w:ascii="宋体" w:hAnsi="宋体" w:eastAsia="宋体" w:cs="宋体"/>
                <w:sz w:val="24"/>
                <w:szCs w:val="24"/>
              </w:rPr>
            </w:pPr>
            <w:r>
              <w:rPr>
                <w:rFonts w:hint="eastAsia" w:ascii="宋体" w:hAnsi="宋体" w:eastAsia="宋体"/>
              </w:rPr>
              <w:t>纳斯达克交易所</w:t>
            </w:r>
          </w:p>
        </w:tc>
        <w:tc>
          <w:tcPr>
            <w:tcW w:w="0" w:type="auto"/>
            <w:shd w:val="clear" w:color="auto" w:fill="auto"/>
          </w:tcPr>
          <w:p w14:paraId="47980D15">
            <w:pPr>
              <w:jc w:val="center"/>
              <w:rPr>
                <w:rFonts w:ascii="宋体" w:hAnsi="宋体" w:eastAsia="宋体" w:cs="宋体"/>
                <w:sz w:val="24"/>
                <w:szCs w:val="24"/>
              </w:rPr>
            </w:pPr>
            <w:r>
              <w:rPr>
                <w:rFonts w:hint="eastAsia" w:ascii="宋体" w:hAnsi="宋体" w:eastAsia="宋体"/>
              </w:rPr>
              <w:t>美国</w:t>
            </w:r>
          </w:p>
        </w:tc>
        <w:tc>
          <w:tcPr>
            <w:tcW w:w="0" w:type="auto"/>
            <w:shd w:val="clear" w:color="auto" w:fill="auto"/>
          </w:tcPr>
          <w:p w14:paraId="65A3309C">
            <w:pPr>
              <w:jc w:val="right"/>
              <w:rPr>
                <w:rFonts w:ascii="宋体" w:hAnsi="宋体" w:eastAsia="宋体" w:cs="宋体"/>
                <w:sz w:val="24"/>
                <w:szCs w:val="24"/>
              </w:rPr>
            </w:pPr>
            <w:r>
              <w:rPr>
                <w:rFonts w:hint="eastAsia" w:ascii="宋体" w:hAnsi="宋体" w:eastAsia="宋体"/>
              </w:rPr>
              <w:t>114,003.00</w:t>
            </w:r>
          </w:p>
        </w:tc>
        <w:tc>
          <w:tcPr>
            <w:tcW w:w="0" w:type="auto"/>
            <w:shd w:val="clear" w:color="auto" w:fill="auto"/>
          </w:tcPr>
          <w:p w14:paraId="7715329E">
            <w:pPr>
              <w:jc w:val="right"/>
              <w:rPr>
                <w:rFonts w:ascii="宋体" w:hAnsi="宋体" w:eastAsia="宋体" w:cs="宋体"/>
                <w:sz w:val="24"/>
                <w:szCs w:val="24"/>
              </w:rPr>
            </w:pPr>
            <w:r>
              <w:rPr>
                <w:rFonts w:hint="eastAsia" w:ascii="宋体" w:hAnsi="宋体" w:eastAsia="宋体"/>
              </w:rPr>
              <w:t>602,356,633.51</w:t>
            </w:r>
          </w:p>
        </w:tc>
        <w:tc>
          <w:tcPr>
            <w:tcW w:w="0" w:type="auto"/>
            <w:shd w:val="clear" w:color="auto" w:fill="auto"/>
          </w:tcPr>
          <w:p w14:paraId="115ADC50">
            <w:pPr>
              <w:jc w:val="right"/>
              <w:rPr>
                <w:rFonts w:ascii="宋体" w:hAnsi="宋体" w:eastAsia="宋体" w:cs="宋体"/>
                <w:sz w:val="24"/>
                <w:szCs w:val="24"/>
              </w:rPr>
            </w:pPr>
            <w:r>
              <w:rPr>
                <w:rFonts w:hint="eastAsia" w:ascii="宋体" w:hAnsi="宋体" w:eastAsia="宋体"/>
              </w:rPr>
              <w:t>3.01</w:t>
            </w:r>
          </w:p>
        </w:tc>
      </w:tr>
      <w:tr w14:paraId="3041A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04A231">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29BD7785">
            <w:pPr>
              <w:jc w:val="center"/>
              <w:rPr>
                <w:rFonts w:ascii="宋体" w:hAnsi="宋体" w:eastAsia="宋体" w:cs="宋体"/>
                <w:sz w:val="24"/>
                <w:szCs w:val="24"/>
              </w:rPr>
            </w:pPr>
            <w:r>
              <w:rPr>
                <w:rFonts w:hint="eastAsia" w:ascii="宋体" w:hAnsi="宋体" w:eastAsia="宋体"/>
              </w:rPr>
              <w:t>BROADCOM INC</w:t>
            </w:r>
          </w:p>
        </w:tc>
        <w:tc>
          <w:tcPr>
            <w:tcW w:w="0" w:type="auto"/>
            <w:shd w:val="clear" w:color="auto" w:fill="auto"/>
          </w:tcPr>
          <w:p w14:paraId="0E32EFFA">
            <w:pPr>
              <w:jc w:val="center"/>
              <w:rPr>
                <w:rFonts w:ascii="宋体" w:hAnsi="宋体" w:eastAsia="宋体" w:cs="宋体"/>
                <w:sz w:val="24"/>
                <w:szCs w:val="24"/>
              </w:rPr>
            </w:pPr>
            <w:r>
              <w:rPr>
                <w:rFonts w:hint="eastAsia" w:ascii="宋体" w:hAnsi="宋体" w:eastAsia="宋体"/>
              </w:rPr>
              <w:t>BROADCOM INC</w:t>
            </w:r>
          </w:p>
        </w:tc>
        <w:tc>
          <w:tcPr>
            <w:tcW w:w="0" w:type="auto"/>
            <w:shd w:val="clear" w:color="auto" w:fill="auto"/>
          </w:tcPr>
          <w:p w14:paraId="3801A191">
            <w:pPr>
              <w:jc w:val="center"/>
              <w:rPr>
                <w:rFonts w:ascii="宋体" w:hAnsi="宋体" w:eastAsia="宋体" w:cs="宋体"/>
                <w:sz w:val="24"/>
                <w:szCs w:val="24"/>
              </w:rPr>
            </w:pPr>
            <w:r>
              <w:rPr>
                <w:rFonts w:hint="eastAsia" w:ascii="宋体" w:hAnsi="宋体" w:eastAsia="宋体"/>
              </w:rPr>
              <w:t>AVGO US</w:t>
            </w:r>
          </w:p>
        </w:tc>
        <w:tc>
          <w:tcPr>
            <w:tcW w:w="0" w:type="auto"/>
            <w:shd w:val="clear" w:color="auto" w:fill="auto"/>
          </w:tcPr>
          <w:p w14:paraId="6768ED10">
            <w:pPr>
              <w:jc w:val="center"/>
              <w:rPr>
                <w:rFonts w:ascii="宋体" w:hAnsi="宋体" w:eastAsia="宋体" w:cs="宋体"/>
                <w:sz w:val="24"/>
                <w:szCs w:val="24"/>
              </w:rPr>
            </w:pPr>
            <w:r>
              <w:rPr>
                <w:rFonts w:hint="eastAsia" w:ascii="宋体" w:hAnsi="宋体" w:eastAsia="宋体"/>
              </w:rPr>
              <w:t>纳斯达克交易所</w:t>
            </w:r>
          </w:p>
        </w:tc>
        <w:tc>
          <w:tcPr>
            <w:tcW w:w="0" w:type="auto"/>
            <w:shd w:val="clear" w:color="auto" w:fill="auto"/>
          </w:tcPr>
          <w:p w14:paraId="1D013577">
            <w:pPr>
              <w:jc w:val="center"/>
              <w:rPr>
                <w:rFonts w:ascii="宋体" w:hAnsi="宋体" w:eastAsia="宋体" w:cs="宋体"/>
                <w:sz w:val="24"/>
                <w:szCs w:val="24"/>
              </w:rPr>
            </w:pPr>
            <w:r>
              <w:rPr>
                <w:rFonts w:hint="eastAsia" w:ascii="宋体" w:hAnsi="宋体" w:eastAsia="宋体"/>
              </w:rPr>
              <w:t>美国</w:t>
            </w:r>
          </w:p>
        </w:tc>
        <w:tc>
          <w:tcPr>
            <w:tcW w:w="0" w:type="auto"/>
            <w:shd w:val="clear" w:color="auto" w:fill="auto"/>
          </w:tcPr>
          <w:p w14:paraId="3A29B3BE">
            <w:pPr>
              <w:jc w:val="right"/>
              <w:rPr>
                <w:rFonts w:ascii="宋体" w:hAnsi="宋体" w:eastAsia="宋体" w:cs="宋体"/>
                <w:sz w:val="24"/>
                <w:szCs w:val="24"/>
              </w:rPr>
            </w:pPr>
            <w:r>
              <w:rPr>
                <w:rFonts w:hint="eastAsia" w:ascii="宋体" w:hAnsi="宋体" w:eastAsia="宋体"/>
              </w:rPr>
              <w:t>246,871.00</w:t>
            </w:r>
          </w:p>
        </w:tc>
        <w:tc>
          <w:tcPr>
            <w:tcW w:w="0" w:type="auto"/>
            <w:shd w:val="clear" w:color="auto" w:fill="auto"/>
          </w:tcPr>
          <w:p w14:paraId="40A87C70">
            <w:pPr>
              <w:jc w:val="right"/>
              <w:rPr>
                <w:rFonts w:ascii="宋体" w:hAnsi="宋体" w:eastAsia="宋体" w:cs="宋体"/>
                <w:sz w:val="24"/>
                <w:szCs w:val="24"/>
              </w:rPr>
            </w:pPr>
            <w:r>
              <w:rPr>
                <w:rFonts w:hint="eastAsia" w:ascii="宋体" w:hAnsi="宋体" w:eastAsia="宋体"/>
              </w:rPr>
              <w:t>487,142,666.65</w:t>
            </w:r>
          </w:p>
        </w:tc>
        <w:tc>
          <w:tcPr>
            <w:tcW w:w="0" w:type="auto"/>
            <w:shd w:val="clear" w:color="auto" w:fill="auto"/>
          </w:tcPr>
          <w:p w14:paraId="1E1A1A91">
            <w:pPr>
              <w:jc w:val="right"/>
              <w:rPr>
                <w:rFonts w:ascii="宋体" w:hAnsi="宋体" w:eastAsia="宋体" w:cs="宋体"/>
                <w:sz w:val="24"/>
                <w:szCs w:val="24"/>
              </w:rPr>
            </w:pPr>
            <w:r>
              <w:rPr>
                <w:rFonts w:hint="eastAsia" w:ascii="宋体" w:hAnsi="宋体" w:eastAsia="宋体"/>
              </w:rPr>
              <w:t>2.44</w:t>
            </w:r>
          </w:p>
        </w:tc>
      </w:tr>
      <w:tr w14:paraId="48443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8920B6">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295111AF">
            <w:pPr>
              <w:jc w:val="center"/>
              <w:rPr>
                <w:rFonts w:ascii="宋体" w:hAnsi="宋体" w:eastAsia="宋体" w:cs="宋体"/>
                <w:sz w:val="24"/>
                <w:szCs w:val="24"/>
              </w:rPr>
            </w:pPr>
            <w:r>
              <w:rPr>
                <w:rFonts w:hint="eastAsia" w:ascii="宋体" w:hAnsi="宋体" w:eastAsia="宋体"/>
              </w:rPr>
              <w:t>BERKSHIRE HATHAWAY INC-CL B</w:t>
            </w:r>
          </w:p>
        </w:tc>
        <w:tc>
          <w:tcPr>
            <w:tcW w:w="0" w:type="auto"/>
            <w:shd w:val="clear" w:color="auto" w:fill="auto"/>
          </w:tcPr>
          <w:p w14:paraId="27BCADB2">
            <w:pPr>
              <w:jc w:val="center"/>
              <w:rPr>
                <w:rFonts w:ascii="宋体" w:hAnsi="宋体" w:eastAsia="宋体" w:cs="宋体"/>
                <w:sz w:val="24"/>
                <w:szCs w:val="24"/>
              </w:rPr>
            </w:pPr>
            <w:r>
              <w:rPr>
                <w:rFonts w:hint="eastAsia" w:ascii="宋体" w:hAnsi="宋体" w:eastAsia="宋体"/>
              </w:rPr>
              <w:t>BERKSHIRE HATHAWAY INC-CL B</w:t>
            </w:r>
          </w:p>
        </w:tc>
        <w:tc>
          <w:tcPr>
            <w:tcW w:w="0" w:type="auto"/>
            <w:shd w:val="clear" w:color="auto" w:fill="auto"/>
          </w:tcPr>
          <w:p w14:paraId="7D94A853">
            <w:pPr>
              <w:jc w:val="center"/>
              <w:rPr>
                <w:rFonts w:ascii="宋体" w:hAnsi="宋体" w:eastAsia="宋体" w:cs="宋体"/>
                <w:sz w:val="24"/>
                <w:szCs w:val="24"/>
              </w:rPr>
            </w:pPr>
            <w:r>
              <w:rPr>
                <w:rFonts w:hint="eastAsia" w:ascii="宋体" w:hAnsi="宋体" w:eastAsia="宋体"/>
              </w:rPr>
              <w:t>BRK/B US</w:t>
            </w:r>
          </w:p>
        </w:tc>
        <w:tc>
          <w:tcPr>
            <w:tcW w:w="0" w:type="auto"/>
            <w:shd w:val="clear" w:color="auto" w:fill="auto"/>
          </w:tcPr>
          <w:p w14:paraId="6EF762AB">
            <w:pPr>
              <w:jc w:val="center"/>
              <w:rPr>
                <w:rFonts w:ascii="宋体" w:hAnsi="宋体" w:eastAsia="宋体" w:cs="宋体"/>
                <w:sz w:val="24"/>
                <w:szCs w:val="24"/>
              </w:rPr>
            </w:pPr>
            <w:r>
              <w:rPr>
                <w:rFonts w:hint="eastAsia" w:ascii="宋体" w:hAnsi="宋体" w:eastAsia="宋体"/>
              </w:rPr>
              <w:t>纽约证券交易所</w:t>
            </w:r>
          </w:p>
        </w:tc>
        <w:tc>
          <w:tcPr>
            <w:tcW w:w="0" w:type="auto"/>
            <w:shd w:val="clear" w:color="auto" w:fill="auto"/>
          </w:tcPr>
          <w:p w14:paraId="067FAC5B">
            <w:pPr>
              <w:jc w:val="center"/>
              <w:rPr>
                <w:rFonts w:ascii="宋体" w:hAnsi="宋体" w:eastAsia="宋体" w:cs="宋体"/>
                <w:sz w:val="24"/>
                <w:szCs w:val="24"/>
              </w:rPr>
            </w:pPr>
            <w:r>
              <w:rPr>
                <w:rFonts w:hint="eastAsia" w:ascii="宋体" w:hAnsi="宋体" w:eastAsia="宋体"/>
              </w:rPr>
              <w:t>美国</w:t>
            </w:r>
          </w:p>
        </w:tc>
        <w:tc>
          <w:tcPr>
            <w:tcW w:w="0" w:type="auto"/>
            <w:shd w:val="clear" w:color="auto" w:fill="auto"/>
          </w:tcPr>
          <w:p w14:paraId="25D2E9DE">
            <w:pPr>
              <w:jc w:val="right"/>
              <w:rPr>
                <w:rFonts w:ascii="宋体" w:hAnsi="宋体" w:eastAsia="宋体" w:cs="宋体"/>
                <w:sz w:val="24"/>
                <w:szCs w:val="24"/>
              </w:rPr>
            </w:pPr>
            <w:r>
              <w:rPr>
                <w:rFonts w:hint="eastAsia" w:ascii="宋体" w:hAnsi="宋体" w:eastAsia="宋体"/>
              </w:rPr>
              <w:t>96,313.00</w:t>
            </w:r>
          </w:p>
        </w:tc>
        <w:tc>
          <w:tcPr>
            <w:tcW w:w="0" w:type="auto"/>
            <w:shd w:val="clear" w:color="auto" w:fill="auto"/>
          </w:tcPr>
          <w:p w14:paraId="1FC562AE">
            <w:pPr>
              <w:jc w:val="right"/>
              <w:rPr>
                <w:rFonts w:ascii="宋体" w:hAnsi="宋体" w:eastAsia="宋体" w:cs="宋体"/>
                <w:sz w:val="24"/>
                <w:szCs w:val="24"/>
              </w:rPr>
            </w:pPr>
            <w:r>
              <w:rPr>
                <w:rFonts w:hint="eastAsia" w:ascii="宋体" w:hAnsi="宋体" w:eastAsia="宋体"/>
              </w:rPr>
              <w:t>334,922,016.28</w:t>
            </w:r>
          </w:p>
        </w:tc>
        <w:tc>
          <w:tcPr>
            <w:tcW w:w="0" w:type="auto"/>
            <w:shd w:val="clear" w:color="auto" w:fill="auto"/>
          </w:tcPr>
          <w:p w14:paraId="62EB3E9C">
            <w:pPr>
              <w:jc w:val="right"/>
              <w:rPr>
                <w:rFonts w:ascii="宋体" w:hAnsi="宋体" w:eastAsia="宋体" w:cs="宋体"/>
                <w:sz w:val="24"/>
                <w:szCs w:val="24"/>
              </w:rPr>
            </w:pPr>
            <w:r>
              <w:rPr>
                <w:rFonts w:hint="eastAsia" w:ascii="宋体" w:hAnsi="宋体" w:eastAsia="宋体"/>
              </w:rPr>
              <w:t>1.67</w:t>
            </w:r>
          </w:p>
        </w:tc>
      </w:tr>
      <w:tr w14:paraId="69EDB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F1DAFC">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432D9AA4">
            <w:pPr>
              <w:jc w:val="center"/>
              <w:rPr>
                <w:rFonts w:ascii="宋体" w:hAnsi="宋体" w:eastAsia="宋体" w:cs="宋体"/>
                <w:sz w:val="24"/>
                <w:szCs w:val="24"/>
              </w:rPr>
            </w:pPr>
            <w:r>
              <w:rPr>
                <w:rFonts w:hint="eastAsia" w:ascii="宋体" w:hAnsi="宋体" w:eastAsia="宋体"/>
              </w:rPr>
              <w:t>TESLA INC</w:t>
            </w:r>
          </w:p>
        </w:tc>
        <w:tc>
          <w:tcPr>
            <w:tcW w:w="0" w:type="auto"/>
            <w:shd w:val="clear" w:color="auto" w:fill="auto"/>
          </w:tcPr>
          <w:p w14:paraId="2C7070B5">
            <w:pPr>
              <w:jc w:val="center"/>
              <w:rPr>
                <w:rFonts w:ascii="宋体" w:hAnsi="宋体" w:eastAsia="宋体" w:cs="宋体"/>
                <w:sz w:val="24"/>
                <w:szCs w:val="24"/>
              </w:rPr>
            </w:pPr>
            <w:r>
              <w:rPr>
                <w:rFonts w:hint="eastAsia" w:ascii="宋体" w:hAnsi="宋体" w:eastAsia="宋体"/>
              </w:rPr>
              <w:t>TESLA INC</w:t>
            </w:r>
          </w:p>
        </w:tc>
        <w:tc>
          <w:tcPr>
            <w:tcW w:w="0" w:type="auto"/>
            <w:shd w:val="clear" w:color="auto" w:fill="auto"/>
          </w:tcPr>
          <w:p w14:paraId="50E1086D">
            <w:pPr>
              <w:jc w:val="center"/>
              <w:rPr>
                <w:rFonts w:ascii="宋体" w:hAnsi="宋体" w:eastAsia="宋体" w:cs="宋体"/>
                <w:sz w:val="24"/>
                <w:szCs w:val="24"/>
              </w:rPr>
            </w:pPr>
            <w:r>
              <w:rPr>
                <w:rFonts w:hint="eastAsia" w:ascii="宋体" w:hAnsi="宋体" w:eastAsia="宋体"/>
              </w:rPr>
              <w:t>TSLA US</w:t>
            </w:r>
          </w:p>
        </w:tc>
        <w:tc>
          <w:tcPr>
            <w:tcW w:w="0" w:type="auto"/>
            <w:shd w:val="clear" w:color="auto" w:fill="auto"/>
          </w:tcPr>
          <w:p w14:paraId="078CFBC7">
            <w:pPr>
              <w:jc w:val="center"/>
              <w:rPr>
                <w:rFonts w:ascii="宋体" w:hAnsi="宋体" w:eastAsia="宋体" w:cs="宋体"/>
                <w:sz w:val="24"/>
                <w:szCs w:val="24"/>
              </w:rPr>
            </w:pPr>
            <w:r>
              <w:rPr>
                <w:rFonts w:hint="eastAsia" w:ascii="宋体" w:hAnsi="宋体" w:eastAsia="宋体"/>
              </w:rPr>
              <w:t>纳斯达克交易所</w:t>
            </w:r>
          </w:p>
        </w:tc>
        <w:tc>
          <w:tcPr>
            <w:tcW w:w="0" w:type="auto"/>
            <w:shd w:val="clear" w:color="auto" w:fill="auto"/>
          </w:tcPr>
          <w:p w14:paraId="3F68F63B">
            <w:pPr>
              <w:jc w:val="center"/>
              <w:rPr>
                <w:rFonts w:ascii="宋体" w:hAnsi="宋体" w:eastAsia="宋体" w:cs="宋体"/>
                <w:sz w:val="24"/>
                <w:szCs w:val="24"/>
              </w:rPr>
            </w:pPr>
            <w:r>
              <w:rPr>
                <w:rFonts w:hint="eastAsia" w:ascii="宋体" w:hAnsi="宋体" w:eastAsia="宋体"/>
              </w:rPr>
              <w:t>美国</w:t>
            </w:r>
          </w:p>
        </w:tc>
        <w:tc>
          <w:tcPr>
            <w:tcW w:w="0" w:type="auto"/>
            <w:shd w:val="clear" w:color="auto" w:fill="auto"/>
          </w:tcPr>
          <w:p w14:paraId="3EC7A193">
            <w:pPr>
              <w:jc w:val="right"/>
              <w:rPr>
                <w:rFonts w:ascii="宋体" w:hAnsi="宋体" w:eastAsia="宋体" w:cs="宋体"/>
                <w:sz w:val="24"/>
                <w:szCs w:val="24"/>
              </w:rPr>
            </w:pPr>
            <w:r>
              <w:rPr>
                <w:rFonts w:hint="eastAsia" w:ascii="宋体" w:hAnsi="宋体" w:eastAsia="宋体"/>
              </w:rPr>
              <w:t>147,034.00</w:t>
            </w:r>
          </w:p>
        </w:tc>
        <w:tc>
          <w:tcPr>
            <w:tcW w:w="0" w:type="auto"/>
            <w:shd w:val="clear" w:color="auto" w:fill="auto"/>
          </w:tcPr>
          <w:p w14:paraId="6180C8B8">
            <w:pPr>
              <w:jc w:val="right"/>
              <w:rPr>
                <w:rFonts w:ascii="宋体" w:hAnsi="宋体" w:eastAsia="宋体" w:cs="宋体"/>
                <w:sz w:val="24"/>
                <w:szCs w:val="24"/>
              </w:rPr>
            </w:pPr>
            <w:r>
              <w:rPr>
                <w:rFonts w:hint="eastAsia" w:ascii="宋体" w:hAnsi="宋体" w:eastAsia="宋体"/>
              </w:rPr>
              <w:t>334,355,444.80</w:t>
            </w:r>
          </w:p>
        </w:tc>
        <w:tc>
          <w:tcPr>
            <w:tcW w:w="0" w:type="auto"/>
            <w:shd w:val="clear" w:color="auto" w:fill="auto"/>
          </w:tcPr>
          <w:p w14:paraId="218DF96A">
            <w:pPr>
              <w:jc w:val="right"/>
              <w:rPr>
                <w:rFonts w:ascii="宋体" w:hAnsi="宋体" w:eastAsia="宋体" w:cs="宋体"/>
                <w:sz w:val="24"/>
                <w:szCs w:val="24"/>
              </w:rPr>
            </w:pPr>
            <w:r>
              <w:rPr>
                <w:rFonts w:hint="eastAsia" w:ascii="宋体" w:hAnsi="宋体" w:eastAsia="宋体"/>
              </w:rPr>
              <w:t>1.67</w:t>
            </w:r>
          </w:p>
        </w:tc>
      </w:tr>
      <w:tr w14:paraId="03A5D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56CF0F">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233C66B3">
            <w:pPr>
              <w:jc w:val="center"/>
              <w:rPr>
                <w:rFonts w:ascii="宋体" w:hAnsi="宋体" w:eastAsia="宋体" w:cs="宋体"/>
                <w:sz w:val="24"/>
                <w:szCs w:val="24"/>
              </w:rPr>
            </w:pPr>
            <w:r>
              <w:rPr>
                <w:rFonts w:hint="eastAsia" w:ascii="宋体" w:hAnsi="宋体" w:eastAsia="宋体"/>
              </w:rPr>
              <w:t>JPMORGAN CHASE &amp; CO</w:t>
            </w:r>
          </w:p>
        </w:tc>
        <w:tc>
          <w:tcPr>
            <w:tcW w:w="0" w:type="auto"/>
            <w:shd w:val="clear" w:color="auto" w:fill="auto"/>
          </w:tcPr>
          <w:p w14:paraId="65031166">
            <w:pPr>
              <w:jc w:val="center"/>
              <w:rPr>
                <w:rFonts w:ascii="宋体" w:hAnsi="宋体" w:eastAsia="宋体" w:cs="宋体"/>
                <w:sz w:val="24"/>
                <w:szCs w:val="24"/>
              </w:rPr>
            </w:pPr>
            <w:r>
              <w:rPr>
                <w:rFonts w:hint="eastAsia" w:ascii="宋体" w:hAnsi="宋体" w:eastAsia="宋体"/>
              </w:rPr>
              <w:t>JPMORGAN CHASE &amp; CO</w:t>
            </w:r>
          </w:p>
        </w:tc>
        <w:tc>
          <w:tcPr>
            <w:tcW w:w="0" w:type="auto"/>
            <w:shd w:val="clear" w:color="auto" w:fill="auto"/>
          </w:tcPr>
          <w:p w14:paraId="4360B258">
            <w:pPr>
              <w:jc w:val="center"/>
              <w:rPr>
                <w:rFonts w:ascii="宋体" w:hAnsi="宋体" w:eastAsia="宋体" w:cs="宋体"/>
                <w:sz w:val="24"/>
                <w:szCs w:val="24"/>
              </w:rPr>
            </w:pPr>
            <w:r>
              <w:rPr>
                <w:rFonts w:hint="eastAsia" w:ascii="宋体" w:hAnsi="宋体" w:eastAsia="宋体"/>
              </w:rPr>
              <w:t>JPM US</w:t>
            </w:r>
          </w:p>
        </w:tc>
        <w:tc>
          <w:tcPr>
            <w:tcW w:w="0" w:type="auto"/>
            <w:shd w:val="clear" w:color="auto" w:fill="auto"/>
          </w:tcPr>
          <w:p w14:paraId="509405CC">
            <w:pPr>
              <w:jc w:val="center"/>
              <w:rPr>
                <w:rFonts w:ascii="宋体" w:hAnsi="宋体" w:eastAsia="宋体" w:cs="宋体"/>
                <w:sz w:val="24"/>
                <w:szCs w:val="24"/>
              </w:rPr>
            </w:pPr>
            <w:r>
              <w:rPr>
                <w:rFonts w:hint="eastAsia" w:ascii="宋体" w:hAnsi="宋体" w:eastAsia="宋体"/>
              </w:rPr>
              <w:t>纽约证券交易所</w:t>
            </w:r>
          </w:p>
        </w:tc>
        <w:tc>
          <w:tcPr>
            <w:tcW w:w="0" w:type="auto"/>
            <w:shd w:val="clear" w:color="auto" w:fill="auto"/>
          </w:tcPr>
          <w:p w14:paraId="69987BAB">
            <w:pPr>
              <w:jc w:val="center"/>
              <w:rPr>
                <w:rFonts w:ascii="宋体" w:hAnsi="宋体" w:eastAsia="宋体" w:cs="宋体"/>
                <w:sz w:val="24"/>
                <w:szCs w:val="24"/>
              </w:rPr>
            </w:pPr>
            <w:r>
              <w:rPr>
                <w:rFonts w:hint="eastAsia" w:ascii="宋体" w:hAnsi="宋体" w:eastAsia="宋体"/>
              </w:rPr>
              <w:t>美国</w:t>
            </w:r>
          </w:p>
        </w:tc>
        <w:tc>
          <w:tcPr>
            <w:tcW w:w="0" w:type="auto"/>
            <w:shd w:val="clear" w:color="auto" w:fill="auto"/>
          </w:tcPr>
          <w:p w14:paraId="598A8D9D">
            <w:pPr>
              <w:jc w:val="right"/>
              <w:rPr>
                <w:rFonts w:ascii="宋体" w:hAnsi="宋体" w:eastAsia="宋体" w:cs="宋体"/>
                <w:sz w:val="24"/>
                <w:szCs w:val="24"/>
              </w:rPr>
            </w:pPr>
            <w:r>
              <w:rPr>
                <w:rFonts w:hint="eastAsia" w:ascii="宋体" w:hAnsi="宋体" w:eastAsia="宋体"/>
              </w:rPr>
              <w:t>145,963.00</w:t>
            </w:r>
          </w:p>
        </w:tc>
        <w:tc>
          <w:tcPr>
            <w:tcW w:w="0" w:type="auto"/>
            <w:shd w:val="clear" w:color="auto" w:fill="auto"/>
          </w:tcPr>
          <w:p w14:paraId="26BACB9E">
            <w:pPr>
              <w:jc w:val="right"/>
              <w:rPr>
                <w:rFonts w:ascii="宋体" w:hAnsi="宋体" w:eastAsia="宋体" w:cs="宋体"/>
                <w:sz w:val="24"/>
                <w:szCs w:val="24"/>
              </w:rPr>
            </w:pPr>
            <w:r>
              <w:rPr>
                <w:rFonts w:hint="eastAsia" w:ascii="宋体" w:hAnsi="宋体" w:eastAsia="宋体"/>
              </w:rPr>
              <w:t>302,924,272.06</w:t>
            </w:r>
          </w:p>
        </w:tc>
        <w:tc>
          <w:tcPr>
            <w:tcW w:w="0" w:type="auto"/>
            <w:shd w:val="clear" w:color="auto" w:fill="auto"/>
          </w:tcPr>
          <w:p w14:paraId="7972F287">
            <w:pPr>
              <w:jc w:val="right"/>
              <w:rPr>
                <w:rFonts w:ascii="宋体" w:hAnsi="宋体" w:eastAsia="宋体" w:cs="宋体"/>
                <w:sz w:val="24"/>
                <w:szCs w:val="24"/>
              </w:rPr>
            </w:pPr>
            <w:r>
              <w:rPr>
                <w:rFonts w:hint="eastAsia" w:ascii="宋体" w:hAnsi="宋体" w:eastAsia="宋体"/>
              </w:rPr>
              <w:t>1.51</w:t>
            </w:r>
          </w:p>
        </w:tc>
      </w:tr>
    </w:tbl>
    <w:p w14:paraId="28A1D1CD">
      <w:pPr>
        <w:pStyle w:val="8"/>
        <w:spacing w:before="0" w:beforeAutospacing="0" w:after="0" w:afterAutospacing="0" w:line="360" w:lineRule="auto"/>
        <w:ind w:firstLine="420"/>
        <w:rPr>
          <w:sz w:val="21"/>
          <w:szCs w:val="21"/>
        </w:rPr>
      </w:pPr>
      <w:r>
        <w:rPr>
          <w:rFonts w:hint="eastAsia"/>
          <w:sz w:val="21"/>
          <w:szCs w:val="21"/>
        </w:rPr>
        <w:t>注：所用证券代码采用当地市场代码。</w:t>
      </w:r>
    </w:p>
    <w:p w14:paraId="323FAF47">
      <w:pPr>
        <w:pStyle w:val="8"/>
        <w:spacing w:before="0" w:beforeAutospacing="0" w:after="0" w:afterAutospacing="0" w:line="360" w:lineRule="auto"/>
        <w:ind w:firstLine="420"/>
        <w:rPr>
          <w:sz w:val="21"/>
          <w:szCs w:val="21"/>
        </w:rPr>
      </w:pPr>
      <w:r>
        <w:rPr>
          <w:rStyle w:val="12"/>
          <w:rFonts w:hint="eastAsia"/>
          <w:sz w:val="21"/>
          <w:szCs w:val="21"/>
        </w:rPr>
        <w:t>5 报告期末按债券信用等级分类的债券投资组合</w:t>
      </w:r>
    </w:p>
    <w:p w14:paraId="23928F42">
      <w:pPr>
        <w:pStyle w:val="8"/>
        <w:spacing w:before="0" w:beforeAutospacing="0" w:after="0" w:afterAutospacing="0" w:line="360" w:lineRule="auto"/>
        <w:ind w:firstLine="420"/>
        <w:rPr>
          <w:sz w:val="21"/>
          <w:szCs w:val="21"/>
        </w:rPr>
      </w:pPr>
      <w:r>
        <w:rPr>
          <w:rFonts w:hint="eastAsia"/>
          <w:sz w:val="21"/>
          <w:szCs w:val="21"/>
        </w:rPr>
        <w:t>本基金本报告期末未持有债券。</w:t>
      </w:r>
    </w:p>
    <w:p w14:paraId="138C2AA6">
      <w:pPr>
        <w:pStyle w:val="8"/>
        <w:spacing w:before="0" w:beforeAutospacing="0" w:after="0" w:afterAutospacing="0" w:line="360" w:lineRule="auto"/>
        <w:ind w:firstLine="420"/>
        <w:rPr>
          <w:sz w:val="21"/>
          <w:szCs w:val="21"/>
        </w:rPr>
      </w:pPr>
      <w:r>
        <w:rPr>
          <w:rStyle w:val="12"/>
          <w:rFonts w:hint="eastAsia"/>
          <w:sz w:val="21"/>
          <w:szCs w:val="21"/>
        </w:rPr>
        <w:t>6 报告期末按公允价值占基金资产净值比例大小排名的前五名债券投资明细</w:t>
      </w:r>
    </w:p>
    <w:p w14:paraId="6F7122DB">
      <w:pPr>
        <w:pStyle w:val="8"/>
        <w:spacing w:before="0" w:beforeAutospacing="0" w:after="0" w:afterAutospacing="0" w:line="360" w:lineRule="auto"/>
        <w:ind w:firstLine="420"/>
        <w:rPr>
          <w:sz w:val="21"/>
          <w:szCs w:val="21"/>
        </w:rPr>
      </w:pPr>
      <w:r>
        <w:rPr>
          <w:rFonts w:hint="eastAsia"/>
          <w:sz w:val="21"/>
          <w:szCs w:val="21"/>
        </w:rPr>
        <w:t>本基金本报告期末未持有债券。</w:t>
      </w:r>
    </w:p>
    <w:p w14:paraId="01F20D77">
      <w:pPr>
        <w:pStyle w:val="8"/>
        <w:spacing w:before="0" w:beforeAutospacing="0" w:after="0" w:afterAutospacing="0" w:line="360" w:lineRule="auto"/>
        <w:ind w:firstLine="420"/>
        <w:rPr>
          <w:sz w:val="21"/>
          <w:szCs w:val="21"/>
        </w:rPr>
      </w:pPr>
      <w:r>
        <w:rPr>
          <w:rStyle w:val="12"/>
          <w:rFonts w:hint="eastAsia"/>
          <w:sz w:val="21"/>
          <w:szCs w:val="21"/>
        </w:rPr>
        <w:t>7 报告期末按公允价值占基金资产净值比例大小排名的前十名资产支持证券投资明细</w:t>
      </w:r>
    </w:p>
    <w:p w14:paraId="649E07FF">
      <w:pPr>
        <w:pStyle w:val="8"/>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7405BE22">
      <w:pPr>
        <w:pStyle w:val="8"/>
        <w:spacing w:before="0" w:beforeAutospacing="0" w:after="0" w:afterAutospacing="0" w:line="360" w:lineRule="auto"/>
        <w:ind w:firstLine="420"/>
        <w:rPr>
          <w:sz w:val="21"/>
          <w:szCs w:val="21"/>
        </w:rPr>
      </w:pPr>
      <w:r>
        <w:rPr>
          <w:rStyle w:val="12"/>
          <w:rFonts w:hint="eastAsia"/>
          <w:sz w:val="21"/>
          <w:szCs w:val="21"/>
        </w:rPr>
        <w:t>8 报告期末按公允价值占基金资产净值比例大小排名的前五名金融衍生品投资明细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5"/>
        <w:gridCol w:w="981"/>
        <w:gridCol w:w="3051"/>
        <w:gridCol w:w="1928"/>
        <w:gridCol w:w="1991"/>
      </w:tblGrid>
      <w:tr w14:paraId="43437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D42D88">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6FCFCF1">
            <w:pPr>
              <w:jc w:val="center"/>
              <w:rPr>
                <w:rFonts w:ascii="宋体" w:hAnsi="宋体" w:eastAsia="宋体" w:cs="宋体"/>
                <w:sz w:val="24"/>
                <w:szCs w:val="24"/>
              </w:rPr>
            </w:pPr>
            <w:r>
              <w:rPr>
                <w:rFonts w:hint="eastAsia" w:ascii="宋体" w:hAnsi="宋体" w:eastAsia="宋体"/>
              </w:rPr>
              <w:t>衍生品类别</w:t>
            </w:r>
          </w:p>
        </w:tc>
        <w:tc>
          <w:tcPr>
            <w:tcW w:w="0" w:type="auto"/>
            <w:shd w:val="clear" w:color="auto" w:fill="auto"/>
          </w:tcPr>
          <w:p w14:paraId="322B35BC">
            <w:pPr>
              <w:jc w:val="center"/>
              <w:rPr>
                <w:rFonts w:ascii="宋体" w:hAnsi="宋体" w:eastAsia="宋体" w:cs="宋体"/>
                <w:sz w:val="24"/>
                <w:szCs w:val="24"/>
              </w:rPr>
            </w:pPr>
            <w:r>
              <w:rPr>
                <w:rFonts w:hint="eastAsia" w:ascii="宋体" w:hAnsi="宋体" w:eastAsia="宋体"/>
              </w:rPr>
              <w:t>衍生品名称</w:t>
            </w:r>
          </w:p>
        </w:tc>
        <w:tc>
          <w:tcPr>
            <w:tcW w:w="0" w:type="auto"/>
            <w:shd w:val="clear" w:color="auto" w:fill="auto"/>
          </w:tcPr>
          <w:p w14:paraId="786489CA">
            <w:pPr>
              <w:jc w:val="center"/>
              <w:rPr>
                <w:rFonts w:ascii="宋体" w:hAnsi="宋体" w:eastAsia="宋体" w:cs="宋体"/>
                <w:sz w:val="24"/>
                <w:szCs w:val="24"/>
              </w:rPr>
            </w:pPr>
            <w:r>
              <w:rPr>
                <w:rFonts w:hint="eastAsia" w:ascii="宋体" w:hAnsi="宋体" w:eastAsia="宋体"/>
              </w:rPr>
              <w:t>公允价值(人民币元)</w:t>
            </w:r>
          </w:p>
        </w:tc>
        <w:tc>
          <w:tcPr>
            <w:tcW w:w="0" w:type="auto"/>
            <w:shd w:val="clear" w:color="auto" w:fill="auto"/>
          </w:tcPr>
          <w:p w14:paraId="0269551F">
            <w:pPr>
              <w:jc w:val="center"/>
              <w:rPr>
                <w:rFonts w:ascii="宋体" w:hAnsi="宋体" w:eastAsia="宋体" w:cs="宋体"/>
                <w:sz w:val="24"/>
                <w:szCs w:val="24"/>
              </w:rPr>
            </w:pPr>
            <w:r>
              <w:rPr>
                <w:rFonts w:hint="eastAsia" w:ascii="宋体" w:hAnsi="宋体" w:eastAsia="宋体"/>
              </w:rPr>
              <w:t>占基金资产净值比例（%）</w:t>
            </w:r>
          </w:p>
        </w:tc>
      </w:tr>
      <w:tr w14:paraId="4E909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54A473">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B445DF1">
            <w:pPr>
              <w:jc w:val="center"/>
              <w:rPr>
                <w:rFonts w:ascii="宋体" w:hAnsi="宋体" w:eastAsia="宋体" w:cs="宋体"/>
                <w:sz w:val="24"/>
                <w:szCs w:val="24"/>
              </w:rPr>
            </w:pPr>
            <w:r>
              <w:rPr>
                <w:rFonts w:hint="eastAsia" w:ascii="宋体" w:hAnsi="宋体" w:eastAsia="宋体"/>
              </w:rPr>
              <w:t>期货投资</w:t>
            </w:r>
          </w:p>
        </w:tc>
        <w:tc>
          <w:tcPr>
            <w:tcW w:w="0" w:type="auto"/>
            <w:shd w:val="clear" w:color="auto" w:fill="auto"/>
          </w:tcPr>
          <w:p w14:paraId="6510DF3B">
            <w:pPr>
              <w:jc w:val="center"/>
              <w:rPr>
                <w:rFonts w:ascii="宋体" w:hAnsi="宋体" w:eastAsia="宋体" w:cs="宋体"/>
                <w:sz w:val="24"/>
                <w:szCs w:val="24"/>
              </w:rPr>
            </w:pPr>
            <w:r>
              <w:rPr>
                <w:rFonts w:hint="eastAsia" w:ascii="宋体" w:hAnsi="宋体" w:eastAsia="宋体"/>
              </w:rPr>
              <w:t>S&amp;P500 EMINI FUT  Sep25</w:t>
            </w:r>
          </w:p>
        </w:tc>
        <w:tc>
          <w:tcPr>
            <w:tcW w:w="0" w:type="auto"/>
            <w:shd w:val="clear" w:color="auto" w:fill="auto"/>
          </w:tcPr>
          <w:p w14:paraId="15F6F925">
            <w:pPr>
              <w:jc w:val="right"/>
              <w:rPr>
                <w:rFonts w:ascii="宋体" w:hAnsi="宋体" w:eastAsia="宋体" w:cs="宋体"/>
                <w:sz w:val="24"/>
                <w:szCs w:val="24"/>
              </w:rPr>
            </w:pPr>
            <w:r>
              <w:rPr>
                <w:rFonts w:hint="eastAsia" w:ascii="宋体" w:hAnsi="宋体" w:eastAsia="宋体"/>
              </w:rPr>
              <w:t>13,255,150.10</w:t>
            </w:r>
          </w:p>
        </w:tc>
        <w:tc>
          <w:tcPr>
            <w:tcW w:w="0" w:type="auto"/>
            <w:shd w:val="clear" w:color="auto" w:fill="auto"/>
          </w:tcPr>
          <w:p w14:paraId="6D5234DE">
            <w:pPr>
              <w:jc w:val="right"/>
              <w:rPr>
                <w:rFonts w:ascii="宋体" w:hAnsi="宋体" w:eastAsia="宋体" w:cs="宋体"/>
                <w:sz w:val="24"/>
                <w:szCs w:val="24"/>
              </w:rPr>
            </w:pPr>
            <w:r>
              <w:rPr>
                <w:rFonts w:hint="eastAsia" w:ascii="宋体" w:hAnsi="宋体" w:eastAsia="宋体"/>
              </w:rPr>
              <w:t>0.07</w:t>
            </w:r>
          </w:p>
        </w:tc>
      </w:tr>
    </w:tbl>
    <w:p w14:paraId="663D5C9E">
      <w:pPr>
        <w:pStyle w:val="8"/>
        <w:spacing w:before="0" w:beforeAutospacing="0" w:after="0" w:afterAutospacing="0" w:line="360" w:lineRule="auto"/>
        <w:ind w:firstLine="420"/>
        <w:rPr>
          <w:sz w:val="21"/>
          <w:szCs w:val="21"/>
        </w:rPr>
      </w:pPr>
      <w:r>
        <w:rPr>
          <w:rFonts w:hint="eastAsia"/>
          <w:sz w:val="21"/>
          <w:szCs w:val="21"/>
        </w:rPr>
        <w:t>注：金融衍生品投资项下的期货投资,在当日无负债结算制度下，结算备付金已包括所持期货合约产生的持仓损益，则金融衍生品投资项下的期货投资与相关的期货结算暂收款（结算所得的持仓损益）相抵消后的净额为0，因此此处公允价值实为公允价值变动金。</w:t>
      </w:r>
    </w:p>
    <w:p w14:paraId="48D262DE">
      <w:pPr>
        <w:pStyle w:val="8"/>
        <w:spacing w:before="0" w:beforeAutospacing="0" w:after="0" w:afterAutospacing="0" w:line="360" w:lineRule="auto"/>
        <w:ind w:firstLine="420"/>
        <w:rPr>
          <w:sz w:val="21"/>
          <w:szCs w:val="21"/>
        </w:rPr>
      </w:pPr>
      <w:r>
        <w:rPr>
          <w:rStyle w:val="12"/>
          <w:rFonts w:hint="eastAsia"/>
          <w:sz w:val="21"/>
          <w:szCs w:val="21"/>
        </w:rPr>
        <w:t>9 报告期末按公允价值占基金资产净值比例大小排序的前十名基金投资明细</w:t>
      </w:r>
    </w:p>
    <w:p w14:paraId="65F2DD96">
      <w:pPr>
        <w:pStyle w:val="8"/>
        <w:spacing w:before="0" w:beforeAutospacing="0" w:after="0" w:afterAutospacing="0" w:line="360" w:lineRule="auto"/>
        <w:ind w:firstLine="420"/>
        <w:rPr>
          <w:sz w:val="21"/>
          <w:szCs w:val="21"/>
        </w:rPr>
      </w:pPr>
      <w:r>
        <w:rPr>
          <w:rFonts w:hint="eastAsia"/>
          <w:sz w:val="21"/>
          <w:szCs w:val="21"/>
        </w:rPr>
        <w:t>本基金本期末未持有基金投资。</w:t>
      </w:r>
    </w:p>
    <w:p w14:paraId="7CC76FE4">
      <w:pPr>
        <w:pStyle w:val="8"/>
        <w:spacing w:before="0" w:beforeAutospacing="0" w:after="0" w:afterAutospacing="0" w:line="360" w:lineRule="auto"/>
        <w:ind w:firstLine="420"/>
        <w:rPr>
          <w:sz w:val="21"/>
          <w:szCs w:val="21"/>
        </w:rPr>
      </w:pPr>
      <w:r>
        <w:rPr>
          <w:rStyle w:val="12"/>
          <w:rFonts w:hint="eastAsia"/>
          <w:sz w:val="21"/>
          <w:szCs w:val="21"/>
        </w:rPr>
        <w:t>10 投资组合报告附注</w:t>
      </w:r>
    </w:p>
    <w:p w14:paraId="50106F9B">
      <w:pPr>
        <w:pStyle w:val="8"/>
        <w:spacing w:before="0" w:beforeAutospacing="0" w:after="0" w:afterAutospacing="0" w:line="360" w:lineRule="auto"/>
        <w:ind w:firstLine="420"/>
        <w:rPr>
          <w:sz w:val="21"/>
          <w:szCs w:val="21"/>
        </w:rPr>
      </w:pPr>
      <w:r>
        <w:rPr>
          <w:rStyle w:val="12"/>
          <w:rFonts w:hint="eastAsia"/>
          <w:sz w:val="21"/>
          <w:szCs w:val="21"/>
        </w:rPr>
        <w:t>10.1基金投资前十名证券的发行主体被监管部门立案调查或编制日前一年内受到公开谴责、处罚的投资决策程序说明</w:t>
      </w:r>
    </w:p>
    <w:p w14:paraId="2B5301D4">
      <w:pPr>
        <w:pStyle w:val="8"/>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14:paraId="5AAF35D1">
      <w:pPr>
        <w:pStyle w:val="8"/>
        <w:spacing w:before="0" w:beforeAutospacing="0" w:after="0" w:afterAutospacing="0" w:line="360" w:lineRule="auto"/>
        <w:ind w:firstLine="420"/>
        <w:rPr>
          <w:sz w:val="21"/>
          <w:szCs w:val="21"/>
        </w:rPr>
      </w:pPr>
      <w:r>
        <w:rPr>
          <w:rStyle w:val="12"/>
          <w:rFonts w:hint="eastAsia"/>
          <w:sz w:val="21"/>
          <w:szCs w:val="21"/>
        </w:rPr>
        <w:t>10.2报告期内基金投资的前十名股票中，没有投资超出基金合同规定备选股票库之外的股票。本基金管理人从制度和流程上要求股票必须先入库再买入。</w:t>
      </w:r>
    </w:p>
    <w:p w14:paraId="0FBD86AE">
      <w:pPr>
        <w:pStyle w:val="8"/>
        <w:spacing w:before="0" w:beforeAutospacing="0" w:after="0" w:afterAutospacing="0" w:line="360" w:lineRule="auto"/>
        <w:ind w:firstLine="420"/>
        <w:rPr>
          <w:sz w:val="21"/>
          <w:szCs w:val="21"/>
        </w:rPr>
      </w:pPr>
      <w:r>
        <w:rPr>
          <w:rStyle w:val="12"/>
          <w:rFonts w:hint="eastAsia"/>
          <w:sz w:val="21"/>
          <w:szCs w:val="21"/>
        </w:rPr>
        <w:t>10.3其他资产构成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1"/>
        <w:gridCol w:w="3582"/>
        <w:gridCol w:w="3583"/>
      </w:tblGrid>
      <w:tr w14:paraId="4ACF4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6932C9">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C90BA8A">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387AC0FA">
            <w:pPr>
              <w:jc w:val="center"/>
              <w:rPr>
                <w:rFonts w:ascii="宋体" w:hAnsi="宋体" w:eastAsia="宋体" w:cs="宋体"/>
                <w:sz w:val="24"/>
                <w:szCs w:val="24"/>
              </w:rPr>
            </w:pPr>
            <w:r>
              <w:rPr>
                <w:rFonts w:hint="eastAsia" w:ascii="宋体" w:hAnsi="宋体" w:eastAsia="宋体"/>
              </w:rPr>
              <w:t>金额(人民币元)</w:t>
            </w:r>
          </w:p>
        </w:tc>
      </w:tr>
      <w:tr w14:paraId="5904C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9A14A4">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7ED63D7">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22CD6ECB">
            <w:pPr>
              <w:jc w:val="right"/>
              <w:rPr>
                <w:rFonts w:ascii="宋体" w:hAnsi="宋体" w:eastAsia="宋体" w:cs="宋体"/>
                <w:sz w:val="24"/>
                <w:szCs w:val="24"/>
              </w:rPr>
            </w:pPr>
            <w:r>
              <w:rPr>
                <w:rFonts w:hint="eastAsia" w:ascii="宋体" w:hAnsi="宋体" w:eastAsia="宋体"/>
              </w:rPr>
              <w:t>30,619,832.84</w:t>
            </w:r>
          </w:p>
        </w:tc>
      </w:tr>
      <w:tr w14:paraId="2883C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29A346">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C12E7BE">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7E7C7439">
            <w:pPr>
              <w:jc w:val="right"/>
              <w:rPr>
                <w:rFonts w:ascii="宋体" w:hAnsi="宋体" w:eastAsia="宋体" w:cs="宋体"/>
                <w:sz w:val="24"/>
                <w:szCs w:val="24"/>
              </w:rPr>
            </w:pPr>
            <w:r>
              <w:rPr>
                <w:rFonts w:hint="eastAsia" w:ascii="宋体" w:hAnsi="宋体" w:eastAsia="宋体"/>
              </w:rPr>
              <w:t>-</w:t>
            </w:r>
          </w:p>
        </w:tc>
      </w:tr>
      <w:tr w14:paraId="572AB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778421">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65EE9836">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440F6375">
            <w:pPr>
              <w:jc w:val="right"/>
              <w:rPr>
                <w:rFonts w:ascii="宋体" w:hAnsi="宋体" w:eastAsia="宋体" w:cs="宋体"/>
                <w:sz w:val="24"/>
                <w:szCs w:val="24"/>
              </w:rPr>
            </w:pPr>
            <w:r>
              <w:rPr>
                <w:rFonts w:hint="eastAsia" w:ascii="宋体" w:hAnsi="宋体" w:eastAsia="宋体"/>
              </w:rPr>
              <w:t>9,046,517.28</w:t>
            </w:r>
          </w:p>
        </w:tc>
      </w:tr>
      <w:tr w14:paraId="4B42A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09AD38">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33781E7">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22FCE385">
            <w:pPr>
              <w:jc w:val="right"/>
              <w:rPr>
                <w:rFonts w:ascii="宋体" w:hAnsi="宋体" w:eastAsia="宋体" w:cs="宋体"/>
                <w:sz w:val="24"/>
                <w:szCs w:val="24"/>
              </w:rPr>
            </w:pPr>
            <w:r>
              <w:rPr>
                <w:rFonts w:hint="eastAsia" w:ascii="宋体" w:hAnsi="宋体" w:eastAsia="宋体"/>
              </w:rPr>
              <w:t>-</w:t>
            </w:r>
          </w:p>
        </w:tc>
      </w:tr>
      <w:tr w14:paraId="75467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90F28B">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D116CE1">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79591B90">
            <w:pPr>
              <w:jc w:val="right"/>
              <w:rPr>
                <w:rFonts w:ascii="宋体" w:hAnsi="宋体" w:eastAsia="宋体" w:cs="宋体"/>
                <w:sz w:val="24"/>
                <w:szCs w:val="24"/>
              </w:rPr>
            </w:pPr>
            <w:r>
              <w:rPr>
                <w:rFonts w:hint="eastAsia" w:ascii="宋体" w:hAnsi="宋体" w:eastAsia="宋体"/>
              </w:rPr>
              <w:t>-</w:t>
            </w:r>
          </w:p>
        </w:tc>
      </w:tr>
      <w:tr w14:paraId="22602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AA0637">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001F5180">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62F7D434">
            <w:pPr>
              <w:jc w:val="right"/>
              <w:rPr>
                <w:rFonts w:ascii="宋体" w:hAnsi="宋体" w:eastAsia="宋体" w:cs="宋体"/>
                <w:sz w:val="24"/>
                <w:szCs w:val="24"/>
              </w:rPr>
            </w:pPr>
            <w:r>
              <w:rPr>
                <w:rFonts w:hint="eastAsia" w:ascii="宋体" w:hAnsi="宋体" w:eastAsia="宋体"/>
              </w:rPr>
              <w:t>-</w:t>
            </w:r>
          </w:p>
        </w:tc>
      </w:tr>
      <w:tr w14:paraId="36D11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31E3FC">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36AD378D">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22C24523">
            <w:pPr>
              <w:jc w:val="right"/>
              <w:rPr>
                <w:rFonts w:ascii="宋体" w:hAnsi="宋体" w:eastAsia="宋体" w:cs="宋体"/>
                <w:sz w:val="24"/>
                <w:szCs w:val="24"/>
              </w:rPr>
            </w:pPr>
            <w:r>
              <w:rPr>
                <w:rFonts w:hint="eastAsia" w:ascii="宋体" w:hAnsi="宋体" w:eastAsia="宋体"/>
              </w:rPr>
              <w:t>-</w:t>
            </w:r>
          </w:p>
        </w:tc>
      </w:tr>
      <w:tr w14:paraId="1334C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E484AB">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08F53001">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60FBD9F7">
            <w:pPr>
              <w:jc w:val="right"/>
              <w:rPr>
                <w:rFonts w:ascii="宋体" w:hAnsi="宋体" w:eastAsia="宋体" w:cs="宋体"/>
                <w:sz w:val="24"/>
                <w:szCs w:val="24"/>
              </w:rPr>
            </w:pPr>
            <w:r>
              <w:rPr>
                <w:rFonts w:hint="eastAsia" w:ascii="宋体" w:hAnsi="宋体" w:eastAsia="宋体"/>
              </w:rPr>
              <w:t>-</w:t>
            </w:r>
          </w:p>
        </w:tc>
      </w:tr>
      <w:tr w14:paraId="6F5B2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6F8298">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912EBFB">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0ED3A30">
            <w:pPr>
              <w:jc w:val="right"/>
              <w:rPr>
                <w:rFonts w:ascii="宋体" w:hAnsi="宋体" w:eastAsia="宋体" w:cs="宋体"/>
                <w:sz w:val="24"/>
                <w:szCs w:val="24"/>
              </w:rPr>
            </w:pPr>
            <w:r>
              <w:rPr>
                <w:rFonts w:hint="eastAsia" w:ascii="宋体" w:hAnsi="宋体" w:eastAsia="宋体"/>
              </w:rPr>
              <w:t>39,666,350.12</w:t>
            </w:r>
          </w:p>
        </w:tc>
      </w:tr>
    </w:tbl>
    <w:p w14:paraId="3162D86E">
      <w:pPr>
        <w:pStyle w:val="8"/>
        <w:spacing w:before="0" w:beforeAutospacing="0" w:after="0" w:afterAutospacing="0" w:line="360" w:lineRule="auto"/>
        <w:ind w:firstLine="420"/>
        <w:rPr>
          <w:sz w:val="21"/>
          <w:szCs w:val="21"/>
        </w:rPr>
      </w:pPr>
      <w:r>
        <w:rPr>
          <w:rStyle w:val="12"/>
          <w:rFonts w:hint="eastAsia"/>
          <w:sz w:val="21"/>
          <w:szCs w:val="21"/>
        </w:rPr>
        <w:t>10.4报告期末持有的处于转股期的可转换债券明细</w:t>
      </w:r>
    </w:p>
    <w:p w14:paraId="258EBCF8">
      <w:pPr>
        <w:pStyle w:val="8"/>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114100F5">
      <w:pPr>
        <w:pStyle w:val="8"/>
        <w:spacing w:before="0" w:beforeAutospacing="0" w:after="0" w:afterAutospacing="0" w:line="360" w:lineRule="auto"/>
        <w:ind w:firstLine="420"/>
        <w:rPr>
          <w:sz w:val="21"/>
          <w:szCs w:val="21"/>
        </w:rPr>
      </w:pPr>
      <w:r>
        <w:rPr>
          <w:rStyle w:val="12"/>
          <w:rFonts w:hint="eastAsia"/>
          <w:sz w:val="21"/>
          <w:szCs w:val="21"/>
        </w:rPr>
        <w:t>10.5 报告期末前十名股票中存在流通受限情况的说明</w:t>
      </w:r>
    </w:p>
    <w:p w14:paraId="5AA00472">
      <w:pPr>
        <w:pStyle w:val="8"/>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182B33C3">
      <w:pPr>
        <w:pStyle w:val="8"/>
        <w:spacing w:before="0" w:beforeAutospacing="0" w:after="0" w:afterAutospacing="0" w:line="360" w:lineRule="auto"/>
        <w:ind w:firstLine="420"/>
        <w:rPr>
          <w:sz w:val="21"/>
          <w:szCs w:val="21"/>
        </w:rPr>
      </w:pPr>
      <w:r>
        <w:rPr>
          <w:rStyle w:val="12"/>
          <w:rFonts w:hint="eastAsia"/>
          <w:sz w:val="21"/>
          <w:szCs w:val="21"/>
        </w:rPr>
        <w:t>10.6 投资组合报告附注的其他文字描述部分</w:t>
      </w:r>
    </w:p>
    <w:p w14:paraId="4798BCCD">
      <w:pPr>
        <w:pStyle w:val="8"/>
        <w:spacing w:before="0" w:beforeAutospacing="0" w:after="0" w:afterAutospacing="0" w:line="360" w:lineRule="auto"/>
        <w:ind w:firstLine="420"/>
        <w:rPr>
          <w:sz w:val="21"/>
          <w:szCs w:val="21"/>
        </w:rPr>
      </w:pPr>
      <w:bookmarkStart w:id="129" w:name="chapter_level1_14_60_section_6_end"/>
      <w:bookmarkEnd w:id="129"/>
      <w:r>
        <w:rPr>
          <w:rFonts w:hint="eastAsia"/>
          <w:sz w:val="21"/>
          <w:szCs w:val="21"/>
        </w:rPr>
        <w:t>由于四舍五入的原因，分项之和与合计项之间可能存在尾差。</w:t>
      </w:r>
      <w:bookmarkStart w:id="130" w:name="field_0_fundportfolio_1_end"/>
      <w:bookmarkEnd w:id="130"/>
      <w:r>
        <w:rPr>
          <w:rFonts w:hint="eastAsia"/>
          <w:sz w:val="21"/>
          <w:szCs w:val="21"/>
        </w:rPr>
        <w:t xml:space="preserve">  </w:t>
      </w:r>
    </w:p>
    <w:p w14:paraId="39363025">
      <w:pPr>
        <w:widowControl/>
        <w:jc w:val="left"/>
        <w:rPr>
          <w:rFonts w:ascii="宋体" w:hAnsi="宋体" w:eastAsia="宋体"/>
        </w:rPr>
      </w:pPr>
      <w:r>
        <w:rPr>
          <w:rFonts w:ascii="宋体" w:hAnsi="宋体" w:eastAsia="宋体"/>
        </w:rPr>
        <w:br w:type="page"/>
      </w:r>
    </w:p>
    <w:p w14:paraId="47A01A93">
      <w:pPr>
        <w:pStyle w:val="2"/>
        <w:jc w:val="center"/>
        <w:rPr>
          <w:rFonts w:ascii="宋体" w:hAnsi="宋体" w:eastAsia="宋体"/>
          <w:sz w:val="30"/>
        </w:rPr>
      </w:pPr>
      <w:bookmarkStart w:id="131" w:name="chapter_level1_15_3500"/>
      <w:bookmarkStart w:id="132" w:name="_Toc209441846"/>
      <w:r>
        <w:rPr>
          <w:rFonts w:hint="eastAsia" w:ascii="宋体" w:hAnsi="宋体" w:eastAsia="宋体"/>
          <w:sz w:val="30"/>
        </w:rPr>
        <w:t>第十二部分 基金的业绩</w:t>
      </w:r>
      <w:bookmarkEnd w:id="131"/>
      <w:bookmarkEnd w:id="132"/>
    </w:p>
    <w:p w14:paraId="5C57C57A">
      <w:pPr>
        <w:pStyle w:val="8"/>
        <w:spacing w:before="0" w:beforeAutospacing="0" w:after="0" w:afterAutospacing="0" w:line="360" w:lineRule="auto"/>
        <w:ind w:firstLine="420"/>
        <w:rPr>
          <w:sz w:val="21"/>
          <w:szCs w:val="21"/>
        </w:rPr>
      </w:pPr>
      <w:bookmarkStart w:id="133" w:name="chapter_level1_15_3500_section_1"/>
      <w:bookmarkEnd w:id="133"/>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4D2B6EA6">
      <w:pPr>
        <w:pStyle w:val="8"/>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74670317">
      <w:pPr>
        <w:pStyle w:val="8"/>
        <w:spacing w:before="0" w:beforeAutospacing="0" w:after="0" w:afterAutospacing="0" w:line="360" w:lineRule="auto"/>
        <w:ind w:firstLine="420"/>
        <w:rPr>
          <w:sz w:val="21"/>
          <w:szCs w:val="21"/>
        </w:rPr>
      </w:pPr>
      <w:bookmarkStart w:id="134" w:name="field_0_indatatable_1_start"/>
      <w:bookmarkEnd w:id="134"/>
      <w:r>
        <w:rPr>
          <w:rFonts w:hint="eastAsia"/>
          <w:sz w:val="21"/>
          <w:szCs w:val="21"/>
        </w:rPr>
        <w:t xml:space="preserve">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38"/>
        <w:gridCol w:w="970"/>
        <w:gridCol w:w="1180"/>
        <w:gridCol w:w="1110"/>
        <w:gridCol w:w="951"/>
        <w:gridCol w:w="846"/>
      </w:tblGrid>
      <w:tr w14:paraId="0AB5F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694E2D71">
            <w:pPr>
              <w:jc w:val="center"/>
              <w:rPr>
                <w:rFonts w:ascii="宋体" w:hAnsi="宋体" w:eastAsia="宋体" w:cs="宋体"/>
                <w:sz w:val="24"/>
                <w:szCs w:val="24"/>
              </w:rPr>
            </w:pPr>
            <w:r>
              <w:rPr>
                <w:rFonts w:hint="eastAsia" w:ascii="宋体" w:hAnsi="宋体" w:eastAsia="宋体"/>
              </w:rPr>
              <w:t xml:space="preserve">期间 </w:t>
            </w:r>
          </w:p>
        </w:tc>
        <w:tc>
          <w:tcPr>
            <w:tcW w:w="0" w:type="auto"/>
            <w:shd w:val="clear" w:color="auto" w:fill="auto"/>
          </w:tcPr>
          <w:p w14:paraId="77D77686">
            <w:pPr>
              <w:jc w:val="center"/>
              <w:rPr>
                <w:rFonts w:ascii="宋体" w:hAnsi="宋体" w:eastAsia="宋体" w:cs="宋体"/>
                <w:sz w:val="24"/>
                <w:szCs w:val="24"/>
              </w:rPr>
            </w:pPr>
            <w:r>
              <w:rPr>
                <w:rFonts w:hint="eastAsia" w:ascii="宋体" w:hAnsi="宋体" w:eastAsia="宋体"/>
              </w:rPr>
              <w:t xml:space="preserve">①净值增长率 </w:t>
            </w:r>
          </w:p>
        </w:tc>
        <w:tc>
          <w:tcPr>
            <w:tcW w:w="0" w:type="auto"/>
            <w:shd w:val="clear" w:color="auto" w:fill="auto"/>
          </w:tcPr>
          <w:p w14:paraId="644FE90F">
            <w:pPr>
              <w:jc w:val="center"/>
              <w:rPr>
                <w:rFonts w:ascii="宋体" w:hAnsi="宋体" w:eastAsia="宋体" w:cs="宋体"/>
                <w:sz w:val="24"/>
                <w:szCs w:val="24"/>
              </w:rPr>
            </w:pPr>
            <w:r>
              <w:rPr>
                <w:rFonts w:hint="eastAsia" w:ascii="宋体" w:hAnsi="宋体" w:eastAsia="宋体"/>
              </w:rPr>
              <w:t xml:space="preserve">②净值增长率标准差 </w:t>
            </w:r>
          </w:p>
        </w:tc>
        <w:tc>
          <w:tcPr>
            <w:tcW w:w="0" w:type="auto"/>
            <w:shd w:val="clear" w:color="auto" w:fill="auto"/>
          </w:tcPr>
          <w:p w14:paraId="2F65C1BB">
            <w:pPr>
              <w:jc w:val="center"/>
              <w:rPr>
                <w:rFonts w:ascii="宋体" w:hAnsi="宋体" w:eastAsia="宋体" w:cs="宋体"/>
                <w:sz w:val="24"/>
                <w:szCs w:val="24"/>
              </w:rPr>
            </w:pPr>
            <w:r>
              <w:rPr>
                <w:rFonts w:hint="eastAsia" w:ascii="宋体" w:hAnsi="宋体" w:eastAsia="宋体"/>
              </w:rPr>
              <w:t xml:space="preserve">③业绩比较基准收益率 </w:t>
            </w:r>
          </w:p>
        </w:tc>
        <w:tc>
          <w:tcPr>
            <w:tcW w:w="0" w:type="auto"/>
            <w:shd w:val="clear" w:color="auto" w:fill="auto"/>
          </w:tcPr>
          <w:p w14:paraId="4C7E09F9">
            <w:pPr>
              <w:jc w:val="center"/>
              <w:rPr>
                <w:rFonts w:ascii="宋体" w:hAnsi="宋体" w:eastAsia="宋体" w:cs="宋体"/>
                <w:sz w:val="24"/>
                <w:szCs w:val="24"/>
              </w:rPr>
            </w:pPr>
            <w:r>
              <w:rPr>
                <w:rFonts w:hint="eastAsia" w:ascii="宋体" w:hAnsi="宋体" w:eastAsia="宋体"/>
              </w:rPr>
              <w:t xml:space="preserve">④业绩比较基准收益率标准差 </w:t>
            </w:r>
          </w:p>
        </w:tc>
        <w:tc>
          <w:tcPr>
            <w:tcW w:w="0" w:type="auto"/>
            <w:shd w:val="clear" w:color="auto" w:fill="auto"/>
          </w:tcPr>
          <w:p w14:paraId="52187C10">
            <w:pPr>
              <w:jc w:val="center"/>
              <w:rPr>
                <w:rFonts w:ascii="宋体" w:hAnsi="宋体" w:eastAsia="宋体" w:cs="宋体"/>
                <w:sz w:val="24"/>
                <w:szCs w:val="24"/>
              </w:rPr>
            </w:pPr>
            <w:r>
              <w:rPr>
                <w:rFonts w:hint="eastAsia" w:ascii="宋体" w:hAnsi="宋体" w:eastAsia="宋体"/>
              </w:rPr>
              <w:t xml:space="preserve">①-③ </w:t>
            </w:r>
          </w:p>
        </w:tc>
        <w:tc>
          <w:tcPr>
            <w:tcW w:w="0" w:type="auto"/>
            <w:shd w:val="clear" w:color="auto" w:fill="auto"/>
          </w:tcPr>
          <w:p w14:paraId="4036E8D5">
            <w:pPr>
              <w:jc w:val="center"/>
              <w:rPr>
                <w:rFonts w:ascii="宋体" w:hAnsi="宋体" w:eastAsia="宋体" w:cs="宋体"/>
                <w:sz w:val="24"/>
                <w:szCs w:val="24"/>
              </w:rPr>
            </w:pPr>
            <w:r>
              <w:rPr>
                <w:rFonts w:hint="eastAsia" w:ascii="宋体" w:hAnsi="宋体" w:eastAsia="宋体"/>
              </w:rPr>
              <w:t xml:space="preserve">②-④ </w:t>
            </w:r>
          </w:p>
        </w:tc>
      </w:tr>
      <w:tr w14:paraId="1507F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798805">
            <w:pPr>
              <w:jc w:val="center"/>
              <w:rPr>
                <w:rFonts w:ascii="宋体" w:hAnsi="宋体" w:eastAsia="宋体" w:cs="宋体"/>
                <w:sz w:val="24"/>
                <w:szCs w:val="24"/>
              </w:rPr>
            </w:pPr>
            <w:r>
              <w:rPr>
                <w:rFonts w:hint="eastAsia" w:ascii="宋体" w:hAnsi="宋体" w:eastAsia="宋体"/>
              </w:rPr>
              <w:t xml:space="preserve">2013.12.05-2013.12.31 </w:t>
            </w:r>
          </w:p>
        </w:tc>
        <w:tc>
          <w:tcPr>
            <w:tcW w:w="0" w:type="auto"/>
            <w:shd w:val="clear" w:color="auto" w:fill="auto"/>
          </w:tcPr>
          <w:p w14:paraId="3A98C347">
            <w:pPr>
              <w:jc w:val="center"/>
              <w:rPr>
                <w:rFonts w:ascii="宋体" w:hAnsi="宋体" w:eastAsia="宋体" w:cs="宋体"/>
                <w:sz w:val="24"/>
                <w:szCs w:val="24"/>
              </w:rPr>
            </w:pPr>
            <w:r>
              <w:rPr>
                <w:rFonts w:hint="eastAsia" w:ascii="宋体" w:hAnsi="宋体" w:eastAsia="宋体"/>
              </w:rPr>
              <w:t xml:space="preserve">0.60% </w:t>
            </w:r>
          </w:p>
        </w:tc>
        <w:tc>
          <w:tcPr>
            <w:tcW w:w="0" w:type="auto"/>
            <w:shd w:val="clear" w:color="auto" w:fill="auto"/>
          </w:tcPr>
          <w:p w14:paraId="09E9B779">
            <w:pPr>
              <w:jc w:val="center"/>
              <w:rPr>
                <w:rFonts w:ascii="宋体" w:hAnsi="宋体" w:eastAsia="宋体" w:cs="宋体"/>
                <w:sz w:val="24"/>
                <w:szCs w:val="24"/>
              </w:rPr>
            </w:pPr>
            <w:r>
              <w:rPr>
                <w:rFonts w:hint="eastAsia" w:ascii="宋体" w:hAnsi="宋体" w:eastAsia="宋体"/>
              </w:rPr>
              <w:t xml:space="preserve">0.03% </w:t>
            </w:r>
          </w:p>
        </w:tc>
        <w:tc>
          <w:tcPr>
            <w:tcW w:w="0" w:type="auto"/>
            <w:shd w:val="clear" w:color="auto" w:fill="auto"/>
          </w:tcPr>
          <w:p w14:paraId="1EC32CD9">
            <w:pPr>
              <w:jc w:val="center"/>
              <w:rPr>
                <w:rFonts w:ascii="宋体" w:hAnsi="宋体" w:eastAsia="宋体" w:cs="宋体"/>
                <w:sz w:val="24"/>
                <w:szCs w:val="24"/>
              </w:rPr>
            </w:pPr>
            <w:r>
              <w:rPr>
                <w:rFonts w:hint="eastAsia" w:ascii="宋体" w:hAnsi="宋体" w:eastAsia="宋体"/>
              </w:rPr>
              <w:t xml:space="preserve">2.64% </w:t>
            </w:r>
          </w:p>
        </w:tc>
        <w:tc>
          <w:tcPr>
            <w:tcW w:w="0" w:type="auto"/>
            <w:shd w:val="clear" w:color="auto" w:fill="auto"/>
          </w:tcPr>
          <w:p w14:paraId="5F0B2748">
            <w:pPr>
              <w:jc w:val="center"/>
              <w:rPr>
                <w:rFonts w:ascii="宋体" w:hAnsi="宋体" w:eastAsia="宋体" w:cs="宋体"/>
                <w:sz w:val="24"/>
                <w:szCs w:val="24"/>
              </w:rPr>
            </w:pPr>
            <w:r>
              <w:rPr>
                <w:rFonts w:hint="eastAsia" w:ascii="宋体" w:hAnsi="宋体" w:eastAsia="宋体"/>
              </w:rPr>
              <w:t xml:space="preserve">0.62% </w:t>
            </w:r>
          </w:p>
        </w:tc>
        <w:tc>
          <w:tcPr>
            <w:tcW w:w="0" w:type="auto"/>
            <w:shd w:val="clear" w:color="auto" w:fill="auto"/>
          </w:tcPr>
          <w:p w14:paraId="79B7641A">
            <w:pPr>
              <w:jc w:val="center"/>
              <w:rPr>
                <w:rFonts w:ascii="宋体" w:hAnsi="宋体" w:eastAsia="宋体" w:cs="宋体"/>
                <w:sz w:val="24"/>
                <w:szCs w:val="24"/>
              </w:rPr>
            </w:pPr>
            <w:r>
              <w:rPr>
                <w:rFonts w:hint="eastAsia" w:ascii="宋体" w:hAnsi="宋体" w:eastAsia="宋体"/>
              </w:rPr>
              <w:t xml:space="preserve">-2.04% </w:t>
            </w:r>
          </w:p>
        </w:tc>
        <w:tc>
          <w:tcPr>
            <w:tcW w:w="0" w:type="auto"/>
            <w:shd w:val="clear" w:color="auto" w:fill="auto"/>
          </w:tcPr>
          <w:p w14:paraId="32A7C4CC">
            <w:pPr>
              <w:jc w:val="center"/>
              <w:rPr>
                <w:rFonts w:ascii="宋体" w:hAnsi="宋体" w:eastAsia="宋体" w:cs="宋体"/>
                <w:sz w:val="24"/>
                <w:szCs w:val="24"/>
              </w:rPr>
            </w:pPr>
            <w:r>
              <w:rPr>
                <w:rFonts w:hint="eastAsia" w:ascii="宋体" w:hAnsi="宋体" w:eastAsia="宋体"/>
              </w:rPr>
              <w:t xml:space="preserve">-0.59% </w:t>
            </w:r>
          </w:p>
        </w:tc>
      </w:tr>
      <w:tr w14:paraId="11678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23C348">
            <w:pPr>
              <w:jc w:val="center"/>
              <w:rPr>
                <w:rFonts w:ascii="宋体" w:hAnsi="宋体" w:eastAsia="宋体" w:cs="宋体"/>
                <w:sz w:val="24"/>
                <w:szCs w:val="24"/>
              </w:rPr>
            </w:pPr>
            <w:r>
              <w:rPr>
                <w:rFonts w:hint="eastAsia" w:ascii="宋体" w:hAnsi="宋体" w:eastAsia="宋体"/>
              </w:rPr>
              <w:t xml:space="preserve">2014.01.01-2014.12.31 </w:t>
            </w:r>
          </w:p>
        </w:tc>
        <w:tc>
          <w:tcPr>
            <w:tcW w:w="0" w:type="auto"/>
            <w:shd w:val="clear" w:color="auto" w:fill="auto"/>
          </w:tcPr>
          <w:p w14:paraId="0BAEDEC2">
            <w:pPr>
              <w:jc w:val="center"/>
              <w:rPr>
                <w:rFonts w:ascii="宋体" w:hAnsi="宋体" w:eastAsia="宋体" w:cs="宋体"/>
                <w:sz w:val="24"/>
                <w:szCs w:val="24"/>
              </w:rPr>
            </w:pPr>
            <w:r>
              <w:rPr>
                <w:rFonts w:hint="eastAsia" w:ascii="宋体" w:hAnsi="宋体" w:eastAsia="宋体"/>
              </w:rPr>
              <w:t xml:space="preserve">13.38% </w:t>
            </w:r>
          </w:p>
        </w:tc>
        <w:tc>
          <w:tcPr>
            <w:tcW w:w="0" w:type="auto"/>
            <w:shd w:val="clear" w:color="auto" w:fill="auto"/>
          </w:tcPr>
          <w:p w14:paraId="2702AA82">
            <w:pPr>
              <w:jc w:val="center"/>
              <w:rPr>
                <w:rFonts w:ascii="宋体" w:hAnsi="宋体" w:eastAsia="宋体" w:cs="宋体"/>
                <w:sz w:val="24"/>
                <w:szCs w:val="24"/>
              </w:rPr>
            </w:pPr>
            <w:r>
              <w:rPr>
                <w:rFonts w:hint="eastAsia" w:ascii="宋体" w:hAnsi="宋体" w:eastAsia="宋体"/>
              </w:rPr>
              <w:t xml:space="preserve">0.67% </w:t>
            </w:r>
          </w:p>
        </w:tc>
        <w:tc>
          <w:tcPr>
            <w:tcW w:w="0" w:type="auto"/>
            <w:shd w:val="clear" w:color="auto" w:fill="auto"/>
          </w:tcPr>
          <w:p w14:paraId="78A54B60">
            <w:pPr>
              <w:jc w:val="center"/>
              <w:rPr>
                <w:rFonts w:ascii="宋体" w:hAnsi="宋体" w:eastAsia="宋体" w:cs="宋体"/>
                <w:sz w:val="24"/>
                <w:szCs w:val="24"/>
              </w:rPr>
            </w:pPr>
            <w:r>
              <w:rPr>
                <w:rFonts w:hint="eastAsia" w:ascii="宋体" w:hAnsi="宋体" w:eastAsia="宋体"/>
              </w:rPr>
              <w:t xml:space="preserve">13.40% </w:t>
            </w:r>
          </w:p>
        </w:tc>
        <w:tc>
          <w:tcPr>
            <w:tcW w:w="0" w:type="auto"/>
            <w:shd w:val="clear" w:color="auto" w:fill="auto"/>
          </w:tcPr>
          <w:p w14:paraId="53949EFF">
            <w:pPr>
              <w:jc w:val="center"/>
              <w:rPr>
                <w:rFonts w:ascii="宋体" w:hAnsi="宋体" w:eastAsia="宋体" w:cs="宋体"/>
                <w:sz w:val="24"/>
                <w:szCs w:val="24"/>
              </w:rPr>
            </w:pPr>
            <w:r>
              <w:rPr>
                <w:rFonts w:hint="eastAsia" w:ascii="宋体" w:hAnsi="宋体" w:eastAsia="宋体"/>
              </w:rPr>
              <w:t xml:space="preserve">0.69% </w:t>
            </w:r>
          </w:p>
        </w:tc>
        <w:tc>
          <w:tcPr>
            <w:tcW w:w="0" w:type="auto"/>
            <w:shd w:val="clear" w:color="auto" w:fill="auto"/>
          </w:tcPr>
          <w:p w14:paraId="1535A0BE">
            <w:pPr>
              <w:jc w:val="center"/>
              <w:rPr>
                <w:rFonts w:ascii="宋体" w:hAnsi="宋体" w:eastAsia="宋体" w:cs="宋体"/>
                <w:sz w:val="24"/>
                <w:szCs w:val="24"/>
              </w:rPr>
            </w:pPr>
            <w:r>
              <w:rPr>
                <w:rFonts w:hint="eastAsia" w:ascii="宋体" w:hAnsi="宋体" w:eastAsia="宋体"/>
              </w:rPr>
              <w:t xml:space="preserve">-0.02% </w:t>
            </w:r>
          </w:p>
        </w:tc>
        <w:tc>
          <w:tcPr>
            <w:tcW w:w="0" w:type="auto"/>
            <w:shd w:val="clear" w:color="auto" w:fill="auto"/>
          </w:tcPr>
          <w:p w14:paraId="57CC0D94">
            <w:pPr>
              <w:jc w:val="center"/>
              <w:rPr>
                <w:rFonts w:ascii="宋体" w:hAnsi="宋体" w:eastAsia="宋体" w:cs="宋体"/>
                <w:sz w:val="24"/>
                <w:szCs w:val="24"/>
              </w:rPr>
            </w:pPr>
            <w:r>
              <w:rPr>
                <w:rFonts w:hint="eastAsia" w:ascii="宋体" w:hAnsi="宋体" w:eastAsia="宋体"/>
              </w:rPr>
              <w:t xml:space="preserve">-0.02% </w:t>
            </w:r>
          </w:p>
        </w:tc>
      </w:tr>
      <w:tr w14:paraId="516EB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48EFA3">
            <w:pPr>
              <w:jc w:val="center"/>
              <w:rPr>
                <w:rFonts w:ascii="宋体" w:hAnsi="宋体" w:eastAsia="宋体" w:cs="宋体"/>
                <w:sz w:val="24"/>
                <w:szCs w:val="24"/>
              </w:rPr>
            </w:pPr>
            <w:r>
              <w:rPr>
                <w:rFonts w:hint="eastAsia" w:ascii="宋体" w:hAnsi="宋体" w:eastAsia="宋体"/>
              </w:rPr>
              <w:t xml:space="preserve">2015.01.01-2015.12.31 </w:t>
            </w:r>
          </w:p>
        </w:tc>
        <w:tc>
          <w:tcPr>
            <w:tcW w:w="0" w:type="auto"/>
            <w:shd w:val="clear" w:color="auto" w:fill="auto"/>
          </w:tcPr>
          <w:p w14:paraId="1441432D">
            <w:pPr>
              <w:jc w:val="center"/>
              <w:rPr>
                <w:rFonts w:ascii="宋体" w:hAnsi="宋体" w:eastAsia="宋体" w:cs="宋体"/>
                <w:sz w:val="24"/>
                <w:szCs w:val="24"/>
              </w:rPr>
            </w:pPr>
            <w:r>
              <w:rPr>
                <w:rFonts w:hint="eastAsia" w:ascii="宋体" w:hAnsi="宋体" w:eastAsia="宋体"/>
              </w:rPr>
              <w:t xml:space="preserve">6.95% </w:t>
            </w:r>
          </w:p>
        </w:tc>
        <w:tc>
          <w:tcPr>
            <w:tcW w:w="0" w:type="auto"/>
            <w:shd w:val="clear" w:color="auto" w:fill="auto"/>
          </w:tcPr>
          <w:p w14:paraId="4BCE4704">
            <w:pPr>
              <w:jc w:val="center"/>
              <w:rPr>
                <w:rFonts w:ascii="宋体" w:hAnsi="宋体" w:eastAsia="宋体" w:cs="宋体"/>
                <w:sz w:val="24"/>
                <w:szCs w:val="24"/>
              </w:rPr>
            </w:pPr>
            <w:r>
              <w:rPr>
                <w:rFonts w:hint="eastAsia" w:ascii="宋体" w:hAnsi="宋体" w:eastAsia="宋体"/>
              </w:rPr>
              <w:t xml:space="preserve">1.04% </w:t>
            </w:r>
          </w:p>
        </w:tc>
        <w:tc>
          <w:tcPr>
            <w:tcW w:w="0" w:type="auto"/>
            <w:shd w:val="clear" w:color="auto" w:fill="auto"/>
          </w:tcPr>
          <w:p w14:paraId="06003FCA">
            <w:pPr>
              <w:jc w:val="center"/>
              <w:rPr>
                <w:rFonts w:ascii="宋体" w:hAnsi="宋体" w:eastAsia="宋体" w:cs="宋体"/>
                <w:sz w:val="24"/>
                <w:szCs w:val="24"/>
              </w:rPr>
            </w:pPr>
            <w:r>
              <w:rPr>
                <w:rFonts w:hint="eastAsia" w:ascii="宋体" w:hAnsi="宋体" w:eastAsia="宋体"/>
              </w:rPr>
              <w:t xml:space="preserve">6.91% </w:t>
            </w:r>
          </w:p>
        </w:tc>
        <w:tc>
          <w:tcPr>
            <w:tcW w:w="0" w:type="auto"/>
            <w:shd w:val="clear" w:color="auto" w:fill="auto"/>
          </w:tcPr>
          <w:p w14:paraId="0788C295">
            <w:pPr>
              <w:jc w:val="center"/>
              <w:rPr>
                <w:rFonts w:ascii="宋体" w:hAnsi="宋体" w:eastAsia="宋体" w:cs="宋体"/>
                <w:sz w:val="24"/>
                <w:szCs w:val="24"/>
              </w:rPr>
            </w:pPr>
            <w:r>
              <w:rPr>
                <w:rFonts w:hint="eastAsia" w:ascii="宋体" w:hAnsi="宋体" w:eastAsia="宋体"/>
              </w:rPr>
              <w:t xml:space="preserve">1.04% </w:t>
            </w:r>
          </w:p>
        </w:tc>
        <w:tc>
          <w:tcPr>
            <w:tcW w:w="0" w:type="auto"/>
            <w:shd w:val="clear" w:color="auto" w:fill="auto"/>
          </w:tcPr>
          <w:p w14:paraId="72CE5C9F">
            <w:pPr>
              <w:jc w:val="center"/>
              <w:rPr>
                <w:rFonts w:ascii="宋体" w:hAnsi="宋体" w:eastAsia="宋体" w:cs="宋体"/>
                <w:sz w:val="24"/>
                <w:szCs w:val="24"/>
              </w:rPr>
            </w:pPr>
            <w:r>
              <w:rPr>
                <w:rFonts w:hint="eastAsia" w:ascii="宋体" w:hAnsi="宋体" w:eastAsia="宋体"/>
              </w:rPr>
              <w:t xml:space="preserve">0.04% </w:t>
            </w:r>
          </w:p>
        </w:tc>
        <w:tc>
          <w:tcPr>
            <w:tcW w:w="0" w:type="auto"/>
            <w:shd w:val="clear" w:color="auto" w:fill="auto"/>
          </w:tcPr>
          <w:p w14:paraId="70EF303F">
            <w:pPr>
              <w:jc w:val="center"/>
              <w:rPr>
                <w:rFonts w:ascii="宋体" w:hAnsi="宋体" w:eastAsia="宋体" w:cs="宋体"/>
                <w:sz w:val="24"/>
                <w:szCs w:val="24"/>
              </w:rPr>
            </w:pPr>
            <w:r>
              <w:rPr>
                <w:rFonts w:hint="eastAsia" w:ascii="宋体" w:hAnsi="宋体" w:eastAsia="宋体"/>
              </w:rPr>
              <w:t xml:space="preserve">0.00% </w:t>
            </w:r>
          </w:p>
        </w:tc>
      </w:tr>
      <w:tr w14:paraId="009D5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7798B8">
            <w:pPr>
              <w:jc w:val="center"/>
              <w:rPr>
                <w:rFonts w:ascii="宋体" w:hAnsi="宋体" w:eastAsia="宋体" w:cs="宋体"/>
                <w:sz w:val="24"/>
                <w:szCs w:val="24"/>
              </w:rPr>
            </w:pPr>
            <w:r>
              <w:rPr>
                <w:rFonts w:hint="eastAsia" w:ascii="宋体" w:hAnsi="宋体" w:eastAsia="宋体"/>
              </w:rPr>
              <w:t xml:space="preserve">2016.01.01-2016.12.31 </w:t>
            </w:r>
          </w:p>
        </w:tc>
        <w:tc>
          <w:tcPr>
            <w:tcW w:w="0" w:type="auto"/>
            <w:shd w:val="clear" w:color="auto" w:fill="auto"/>
          </w:tcPr>
          <w:p w14:paraId="2CBE6E8B">
            <w:pPr>
              <w:jc w:val="center"/>
              <w:rPr>
                <w:rFonts w:ascii="宋体" w:hAnsi="宋体" w:eastAsia="宋体" w:cs="宋体"/>
                <w:sz w:val="24"/>
                <w:szCs w:val="24"/>
              </w:rPr>
            </w:pPr>
            <w:r>
              <w:rPr>
                <w:rFonts w:hint="eastAsia" w:ascii="宋体" w:hAnsi="宋体" w:eastAsia="宋体"/>
              </w:rPr>
              <w:t xml:space="preserve">17.58% </w:t>
            </w:r>
          </w:p>
        </w:tc>
        <w:tc>
          <w:tcPr>
            <w:tcW w:w="0" w:type="auto"/>
            <w:shd w:val="clear" w:color="auto" w:fill="auto"/>
          </w:tcPr>
          <w:p w14:paraId="42C1FBAA">
            <w:pPr>
              <w:jc w:val="center"/>
              <w:rPr>
                <w:rFonts w:ascii="宋体" w:hAnsi="宋体" w:eastAsia="宋体" w:cs="宋体"/>
                <w:sz w:val="24"/>
                <w:szCs w:val="24"/>
              </w:rPr>
            </w:pPr>
            <w:r>
              <w:rPr>
                <w:rFonts w:hint="eastAsia" w:ascii="宋体" w:hAnsi="宋体" w:eastAsia="宋体"/>
              </w:rPr>
              <w:t xml:space="preserve">0.82% </w:t>
            </w:r>
          </w:p>
        </w:tc>
        <w:tc>
          <w:tcPr>
            <w:tcW w:w="0" w:type="auto"/>
            <w:shd w:val="clear" w:color="auto" w:fill="auto"/>
          </w:tcPr>
          <w:p w14:paraId="40CA5DF6">
            <w:pPr>
              <w:jc w:val="center"/>
              <w:rPr>
                <w:rFonts w:ascii="宋体" w:hAnsi="宋体" w:eastAsia="宋体" w:cs="宋体"/>
                <w:sz w:val="24"/>
                <w:szCs w:val="24"/>
              </w:rPr>
            </w:pPr>
            <w:r>
              <w:rPr>
                <w:rFonts w:hint="eastAsia" w:ascii="宋体" w:hAnsi="宋体" w:eastAsia="宋体"/>
              </w:rPr>
              <w:t xml:space="preserve">18.82% </w:t>
            </w:r>
          </w:p>
        </w:tc>
        <w:tc>
          <w:tcPr>
            <w:tcW w:w="0" w:type="auto"/>
            <w:shd w:val="clear" w:color="auto" w:fill="auto"/>
          </w:tcPr>
          <w:p w14:paraId="75FF25E5">
            <w:pPr>
              <w:jc w:val="center"/>
              <w:rPr>
                <w:rFonts w:ascii="宋体" w:hAnsi="宋体" w:eastAsia="宋体" w:cs="宋体"/>
                <w:sz w:val="24"/>
                <w:szCs w:val="24"/>
              </w:rPr>
            </w:pPr>
            <w:r>
              <w:rPr>
                <w:rFonts w:hint="eastAsia" w:ascii="宋体" w:hAnsi="宋体" w:eastAsia="宋体"/>
              </w:rPr>
              <w:t xml:space="preserve">0.83% </w:t>
            </w:r>
          </w:p>
        </w:tc>
        <w:tc>
          <w:tcPr>
            <w:tcW w:w="0" w:type="auto"/>
            <w:shd w:val="clear" w:color="auto" w:fill="auto"/>
          </w:tcPr>
          <w:p w14:paraId="0161964A">
            <w:pPr>
              <w:jc w:val="center"/>
              <w:rPr>
                <w:rFonts w:ascii="宋体" w:hAnsi="宋体" w:eastAsia="宋体" w:cs="宋体"/>
                <w:sz w:val="24"/>
                <w:szCs w:val="24"/>
              </w:rPr>
            </w:pPr>
            <w:r>
              <w:rPr>
                <w:rFonts w:hint="eastAsia" w:ascii="宋体" w:hAnsi="宋体" w:eastAsia="宋体"/>
              </w:rPr>
              <w:t xml:space="preserve">-1.24% </w:t>
            </w:r>
          </w:p>
        </w:tc>
        <w:tc>
          <w:tcPr>
            <w:tcW w:w="0" w:type="auto"/>
            <w:shd w:val="clear" w:color="auto" w:fill="auto"/>
          </w:tcPr>
          <w:p w14:paraId="69FF5AD1">
            <w:pPr>
              <w:jc w:val="center"/>
              <w:rPr>
                <w:rFonts w:ascii="宋体" w:hAnsi="宋体" w:eastAsia="宋体" w:cs="宋体"/>
                <w:sz w:val="24"/>
                <w:szCs w:val="24"/>
              </w:rPr>
            </w:pPr>
            <w:r>
              <w:rPr>
                <w:rFonts w:hint="eastAsia" w:ascii="宋体" w:hAnsi="宋体" w:eastAsia="宋体"/>
              </w:rPr>
              <w:t xml:space="preserve">-0.01% </w:t>
            </w:r>
          </w:p>
        </w:tc>
      </w:tr>
      <w:tr w14:paraId="463EE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8936DD">
            <w:pPr>
              <w:jc w:val="center"/>
              <w:rPr>
                <w:rFonts w:ascii="宋体" w:hAnsi="宋体" w:eastAsia="宋体" w:cs="宋体"/>
                <w:sz w:val="24"/>
                <w:szCs w:val="24"/>
              </w:rPr>
            </w:pPr>
            <w:r>
              <w:rPr>
                <w:rFonts w:hint="eastAsia" w:ascii="宋体" w:hAnsi="宋体" w:eastAsia="宋体"/>
              </w:rPr>
              <w:t xml:space="preserve">2017.01.01-2017.12.31 </w:t>
            </w:r>
          </w:p>
        </w:tc>
        <w:tc>
          <w:tcPr>
            <w:tcW w:w="0" w:type="auto"/>
            <w:shd w:val="clear" w:color="auto" w:fill="auto"/>
          </w:tcPr>
          <w:p w14:paraId="7C6D47FA">
            <w:pPr>
              <w:jc w:val="center"/>
              <w:rPr>
                <w:rFonts w:ascii="宋体" w:hAnsi="宋体" w:eastAsia="宋体" w:cs="宋体"/>
                <w:sz w:val="24"/>
                <w:szCs w:val="24"/>
              </w:rPr>
            </w:pPr>
            <w:r>
              <w:rPr>
                <w:rFonts w:hint="eastAsia" w:ascii="宋体" w:hAnsi="宋体" w:eastAsia="宋体"/>
              </w:rPr>
              <w:t xml:space="preserve">13.02% </w:t>
            </w:r>
          </w:p>
        </w:tc>
        <w:tc>
          <w:tcPr>
            <w:tcW w:w="0" w:type="auto"/>
            <w:shd w:val="clear" w:color="auto" w:fill="auto"/>
          </w:tcPr>
          <w:p w14:paraId="1800AE79">
            <w:pPr>
              <w:jc w:val="center"/>
              <w:rPr>
                <w:rFonts w:ascii="宋体" w:hAnsi="宋体" w:eastAsia="宋体" w:cs="宋体"/>
                <w:sz w:val="24"/>
                <w:szCs w:val="24"/>
              </w:rPr>
            </w:pPr>
            <w:r>
              <w:rPr>
                <w:rFonts w:hint="eastAsia" w:ascii="宋体" w:hAnsi="宋体" w:eastAsia="宋体"/>
              </w:rPr>
              <w:t xml:space="preserve">0.48% </w:t>
            </w:r>
          </w:p>
        </w:tc>
        <w:tc>
          <w:tcPr>
            <w:tcW w:w="0" w:type="auto"/>
            <w:shd w:val="clear" w:color="auto" w:fill="auto"/>
          </w:tcPr>
          <w:p w14:paraId="5506C0C0">
            <w:pPr>
              <w:jc w:val="center"/>
              <w:rPr>
                <w:rFonts w:ascii="宋体" w:hAnsi="宋体" w:eastAsia="宋体" w:cs="宋体"/>
                <w:sz w:val="24"/>
                <w:szCs w:val="24"/>
              </w:rPr>
            </w:pPr>
            <w:r>
              <w:rPr>
                <w:rFonts w:hint="eastAsia" w:ascii="宋体" w:hAnsi="宋体" w:eastAsia="宋体"/>
              </w:rPr>
              <w:t xml:space="preserve">14.07% </w:t>
            </w:r>
          </w:p>
        </w:tc>
        <w:tc>
          <w:tcPr>
            <w:tcW w:w="0" w:type="auto"/>
            <w:shd w:val="clear" w:color="auto" w:fill="auto"/>
          </w:tcPr>
          <w:p w14:paraId="5208307F">
            <w:pPr>
              <w:jc w:val="center"/>
              <w:rPr>
                <w:rFonts w:ascii="宋体" w:hAnsi="宋体" w:eastAsia="宋体" w:cs="宋体"/>
                <w:sz w:val="24"/>
                <w:szCs w:val="24"/>
              </w:rPr>
            </w:pPr>
            <w:r>
              <w:rPr>
                <w:rFonts w:hint="eastAsia" w:ascii="宋体" w:hAnsi="宋体" w:eastAsia="宋体"/>
              </w:rPr>
              <w:t xml:space="preserve">0.49% </w:t>
            </w:r>
          </w:p>
        </w:tc>
        <w:tc>
          <w:tcPr>
            <w:tcW w:w="0" w:type="auto"/>
            <w:shd w:val="clear" w:color="auto" w:fill="auto"/>
          </w:tcPr>
          <w:p w14:paraId="02481DB6">
            <w:pPr>
              <w:jc w:val="center"/>
              <w:rPr>
                <w:rFonts w:ascii="宋体" w:hAnsi="宋体" w:eastAsia="宋体" w:cs="宋体"/>
                <w:sz w:val="24"/>
                <w:szCs w:val="24"/>
              </w:rPr>
            </w:pPr>
            <w:r>
              <w:rPr>
                <w:rFonts w:hint="eastAsia" w:ascii="宋体" w:hAnsi="宋体" w:eastAsia="宋体"/>
              </w:rPr>
              <w:t xml:space="preserve">-1.05% </w:t>
            </w:r>
          </w:p>
        </w:tc>
        <w:tc>
          <w:tcPr>
            <w:tcW w:w="0" w:type="auto"/>
            <w:shd w:val="clear" w:color="auto" w:fill="auto"/>
          </w:tcPr>
          <w:p w14:paraId="47586578">
            <w:pPr>
              <w:jc w:val="center"/>
              <w:rPr>
                <w:rFonts w:ascii="宋体" w:hAnsi="宋体" w:eastAsia="宋体" w:cs="宋体"/>
                <w:sz w:val="24"/>
                <w:szCs w:val="24"/>
              </w:rPr>
            </w:pPr>
            <w:r>
              <w:rPr>
                <w:rFonts w:hint="eastAsia" w:ascii="宋体" w:hAnsi="宋体" w:eastAsia="宋体"/>
              </w:rPr>
              <w:t xml:space="preserve">-0.01% </w:t>
            </w:r>
          </w:p>
        </w:tc>
      </w:tr>
      <w:tr w14:paraId="44F62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05184A">
            <w:pPr>
              <w:jc w:val="center"/>
              <w:rPr>
                <w:rFonts w:ascii="宋体" w:hAnsi="宋体" w:eastAsia="宋体" w:cs="宋体"/>
                <w:sz w:val="24"/>
                <w:szCs w:val="24"/>
              </w:rPr>
            </w:pPr>
            <w:r>
              <w:rPr>
                <w:rFonts w:hint="eastAsia" w:ascii="宋体" w:hAnsi="宋体" w:eastAsia="宋体"/>
              </w:rPr>
              <w:t xml:space="preserve">2018.01.01-2018.12.31 </w:t>
            </w:r>
          </w:p>
        </w:tc>
        <w:tc>
          <w:tcPr>
            <w:tcW w:w="0" w:type="auto"/>
            <w:shd w:val="clear" w:color="auto" w:fill="auto"/>
          </w:tcPr>
          <w:p w14:paraId="41E695E1">
            <w:pPr>
              <w:jc w:val="center"/>
              <w:rPr>
                <w:rFonts w:ascii="宋体" w:hAnsi="宋体" w:eastAsia="宋体" w:cs="宋体"/>
                <w:sz w:val="24"/>
                <w:szCs w:val="24"/>
              </w:rPr>
            </w:pPr>
            <w:r>
              <w:rPr>
                <w:rFonts w:hint="eastAsia" w:ascii="宋体" w:hAnsi="宋体" w:eastAsia="宋体"/>
              </w:rPr>
              <w:t xml:space="preserve">-1.18% </w:t>
            </w:r>
          </w:p>
        </w:tc>
        <w:tc>
          <w:tcPr>
            <w:tcW w:w="0" w:type="auto"/>
            <w:shd w:val="clear" w:color="auto" w:fill="auto"/>
          </w:tcPr>
          <w:p w14:paraId="0294C04B">
            <w:pPr>
              <w:jc w:val="center"/>
              <w:rPr>
                <w:rFonts w:ascii="宋体" w:hAnsi="宋体" w:eastAsia="宋体" w:cs="宋体"/>
                <w:sz w:val="24"/>
                <w:szCs w:val="24"/>
              </w:rPr>
            </w:pPr>
            <w:r>
              <w:rPr>
                <w:rFonts w:hint="eastAsia" w:ascii="宋体" w:hAnsi="宋体" w:eastAsia="宋体"/>
              </w:rPr>
              <w:t xml:space="preserve">1.12% </w:t>
            </w:r>
          </w:p>
        </w:tc>
        <w:tc>
          <w:tcPr>
            <w:tcW w:w="0" w:type="auto"/>
            <w:shd w:val="clear" w:color="auto" w:fill="auto"/>
          </w:tcPr>
          <w:p w14:paraId="403B3F8C">
            <w:pPr>
              <w:jc w:val="center"/>
              <w:rPr>
                <w:rFonts w:ascii="宋体" w:hAnsi="宋体" w:eastAsia="宋体" w:cs="宋体"/>
                <w:sz w:val="24"/>
                <w:szCs w:val="24"/>
              </w:rPr>
            </w:pPr>
            <w:r>
              <w:rPr>
                <w:rFonts w:hint="eastAsia" w:ascii="宋体" w:hAnsi="宋体" w:eastAsia="宋体"/>
              </w:rPr>
              <w:t xml:space="preserve">-0.16% </w:t>
            </w:r>
          </w:p>
        </w:tc>
        <w:tc>
          <w:tcPr>
            <w:tcW w:w="0" w:type="auto"/>
            <w:shd w:val="clear" w:color="auto" w:fill="auto"/>
          </w:tcPr>
          <w:p w14:paraId="79CBCC4F">
            <w:pPr>
              <w:jc w:val="center"/>
              <w:rPr>
                <w:rFonts w:ascii="宋体" w:hAnsi="宋体" w:eastAsia="宋体" w:cs="宋体"/>
                <w:sz w:val="24"/>
                <w:szCs w:val="24"/>
              </w:rPr>
            </w:pPr>
            <w:r>
              <w:rPr>
                <w:rFonts w:hint="eastAsia" w:ascii="宋体" w:hAnsi="宋体" w:eastAsia="宋体"/>
              </w:rPr>
              <w:t xml:space="preserve">1.13% </w:t>
            </w:r>
          </w:p>
        </w:tc>
        <w:tc>
          <w:tcPr>
            <w:tcW w:w="0" w:type="auto"/>
            <w:shd w:val="clear" w:color="auto" w:fill="auto"/>
          </w:tcPr>
          <w:p w14:paraId="1BF68B01">
            <w:pPr>
              <w:jc w:val="center"/>
              <w:rPr>
                <w:rFonts w:ascii="宋体" w:hAnsi="宋体" w:eastAsia="宋体" w:cs="宋体"/>
                <w:sz w:val="24"/>
                <w:szCs w:val="24"/>
              </w:rPr>
            </w:pPr>
            <w:r>
              <w:rPr>
                <w:rFonts w:hint="eastAsia" w:ascii="宋体" w:hAnsi="宋体" w:eastAsia="宋体"/>
              </w:rPr>
              <w:t xml:space="preserve">-1.02% </w:t>
            </w:r>
          </w:p>
        </w:tc>
        <w:tc>
          <w:tcPr>
            <w:tcW w:w="0" w:type="auto"/>
            <w:shd w:val="clear" w:color="auto" w:fill="auto"/>
          </w:tcPr>
          <w:p w14:paraId="5BD2020A">
            <w:pPr>
              <w:jc w:val="center"/>
              <w:rPr>
                <w:rFonts w:ascii="宋体" w:hAnsi="宋体" w:eastAsia="宋体" w:cs="宋体"/>
                <w:sz w:val="24"/>
                <w:szCs w:val="24"/>
              </w:rPr>
            </w:pPr>
            <w:r>
              <w:rPr>
                <w:rFonts w:hint="eastAsia" w:ascii="宋体" w:hAnsi="宋体" w:eastAsia="宋体"/>
              </w:rPr>
              <w:t xml:space="preserve">-0.01% </w:t>
            </w:r>
          </w:p>
        </w:tc>
      </w:tr>
      <w:tr w14:paraId="33EA0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1DC1FA">
            <w:pPr>
              <w:jc w:val="center"/>
              <w:rPr>
                <w:rFonts w:ascii="宋体" w:hAnsi="宋体" w:eastAsia="宋体" w:cs="宋体"/>
                <w:sz w:val="24"/>
                <w:szCs w:val="24"/>
              </w:rPr>
            </w:pPr>
            <w:r>
              <w:rPr>
                <w:rFonts w:hint="eastAsia" w:ascii="宋体" w:hAnsi="宋体" w:eastAsia="宋体"/>
              </w:rPr>
              <w:t xml:space="preserve">2019.01.01-2019.12.31 </w:t>
            </w:r>
          </w:p>
        </w:tc>
        <w:tc>
          <w:tcPr>
            <w:tcW w:w="0" w:type="auto"/>
            <w:shd w:val="clear" w:color="auto" w:fill="auto"/>
          </w:tcPr>
          <w:p w14:paraId="3B581B6F">
            <w:pPr>
              <w:jc w:val="center"/>
              <w:rPr>
                <w:rFonts w:ascii="宋体" w:hAnsi="宋体" w:eastAsia="宋体" w:cs="宋体"/>
                <w:sz w:val="24"/>
                <w:szCs w:val="24"/>
              </w:rPr>
            </w:pPr>
            <w:r>
              <w:rPr>
                <w:rFonts w:hint="eastAsia" w:ascii="宋体" w:hAnsi="宋体" w:eastAsia="宋体"/>
              </w:rPr>
              <w:t xml:space="preserve">31.64% </w:t>
            </w:r>
          </w:p>
        </w:tc>
        <w:tc>
          <w:tcPr>
            <w:tcW w:w="0" w:type="auto"/>
            <w:shd w:val="clear" w:color="auto" w:fill="auto"/>
          </w:tcPr>
          <w:p w14:paraId="45AAACE7">
            <w:pPr>
              <w:jc w:val="center"/>
              <w:rPr>
                <w:rFonts w:ascii="宋体" w:hAnsi="宋体" w:eastAsia="宋体" w:cs="宋体"/>
                <w:sz w:val="24"/>
                <w:szCs w:val="24"/>
              </w:rPr>
            </w:pPr>
            <w:r>
              <w:rPr>
                <w:rFonts w:hint="eastAsia" w:ascii="宋体" w:hAnsi="宋体" w:eastAsia="宋体"/>
              </w:rPr>
              <w:t xml:space="preserve">0.80% </w:t>
            </w:r>
          </w:p>
        </w:tc>
        <w:tc>
          <w:tcPr>
            <w:tcW w:w="0" w:type="auto"/>
            <w:shd w:val="clear" w:color="auto" w:fill="auto"/>
          </w:tcPr>
          <w:p w14:paraId="01B19B28">
            <w:pPr>
              <w:jc w:val="center"/>
              <w:rPr>
                <w:rFonts w:ascii="宋体" w:hAnsi="宋体" w:eastAsia="宋体" w:cs="宋体"/>
                <w:sz w:val="24"/>
                <w:szCs w:val="24"/>
              </w:rPr>
            </w:pPr>
            <w:r>
              <w:rPr>
                <w:rFonts w:hint="eastAsia" w:ascii="宋体" w:hAnsi="宋体" w:eastAsia="宋体"/>
              </w:rPr>
              <w:t xml:space="preserve">32.85% </w:t>
            </w:r>
          </w:p>
        </w:tc>
        <w:tc>
          <w:tcPr>
            <w:tcW w:w="0" w:type="auto"/>
            <w:shd w:val="clear" w:color="auto" w:fill="auto"/>
          </w:tcPr>
          <w:p w14:paraId="03476EE2">
            <w:pPr>
              <w:jc w:val="center"/>
              <w:rPr>
                <w:rFonts w:ascii="宋体" w:hAnsi="宋体" w:eastAsia="宋体" w:cs="宋体"/>
                <w:sz w:val="24"/>
                <w:szCs w:val="24"/>
              </w:rPr>
            </w:pPr>
            <w:r>
              <w:rPr>
                <w:rFonts w:hint="eastAsia" w:ascii="宋体" w:hAnsi="宋体" w:eastAsia="宋体"/>
              </w:rPr>
              <w:t xml:space="preserve">0.80% </w:t>
            </w:r>
          </w:p>
        </w:tc>
        <w:tc>
          <w:tcPr>
            <w:tcW w:w="0" w:type="auto"/>
            <w:shd w:val="clear" w:color="auto" w:fill="auto"/>
          </w:tcPr>
          <w:p w14:paraId="6E6E932D">
            <w:pPr>
              <w:jc w:val="center"/>
              <w:rPr>
                <w:rFonts w:ascii="宋体" w:hAnsi="宋体" w:eastAsia="宋体" w:cs="宋体"/>
                <w:sz w:val="24"/>
                <w:szCs w:val="24"/>
              </w:rPr>
            </w:pPr>
            <w:r>
              <w:rPr>
                <w:rFonts w:hint="eastAsia" w:ascii="宋体" w:hAnsi="宋体" w:eastAsia="宋体"/>
              </w:rPr>
              <w:t xml:space="preserve">-1.21% </w:t>
            </w:r>
          </w:p>
        </w:tc>
        <w:tc>
          <w:tcPr>
            <w:tcW w:w="0" w:type="auto"/>
            <w:shd w:val="clear" w:color="auto" w:fill="auto"/>
          </w:tcPr>
          <w:p w14:paraId="38434F83">
            <w:pPr>
              <w:jc w:val="center"/>
              <w:rPr>
                <w:rFonts w:ascii="宋体" w:hAnsi="宋体" w:eastAsia="宋体" w:cs="宋体"/>
                <w:sz w:val="24"/>
                <w:szCs w:val="24"/>
              </w:rPr>
            </w:pPr>
            <w:r>
              <w:rPr>
                <w:rFonts w:hint="eastAsia" w:ascii="宋体" w:hAnsi="宋体" w:eastAsia="宋体"/>
              </w:rPr>
              <w:t xml:space="preserve">0.00% </w:t>
            </w:r>
          </w:p>
        </w:tc>
      </w:tr>
      <w:tr w14:paraId="742B4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E7E58D">
            <w:pPr>
              <w:jc w:val="center"/>
              <w:rPr>
                <w:rFonts w:ascii="宋体" w:hAnsi="宋体" w:eastAsia="宋体" w:cs="宋体"/>
                <w:sz w:val="24"/>
                <w:szCs w:val="24"/>
              </w:rPr>
            </w:pPr>
            <w:r>
              <w:rPr>
                <w:rFonts w:hint="eastAsia" w:ascii="宋体" w:hAnsi="宋体" w:eastAsia="宋体"/>
              </w:rPr>
              <w:t xml:space="preserve">2020.01.01-2020.12.31 </w:t>
            </w:r>
          </w:p>
        </w:tc>
        <w:tc>
          <w:tcPr>
            <w:tcW w:w="0" w:type="auto"/>
            <w:shd w:val="clear" w:color="auto" w:fill="auto"/>
          </w:tcPr>
          <w:p w14:paraId="09FFCCEF">
            <w:pPr>
              <w:jc w:val="center"/>
              <w:rPr>
                <w:rFonts w:ascii="宋体" w:hAnsi="宋体" w:eastAsia="宋体" w:cs="宋体"/>
                <w:sz w:val="24"/>
                <w:szCs w:val="24"/>
              </w:rPr>
            </w:pPr>
            <w:r>
              <w:rPr>
                <w:rFonts w:hint="eastAsia" w:ascii="宋体" w:hAnsi="宋体" w:eastAsia="宋体"/>
              </w:rPr>
              <w:t xml:space="preserve">9.53% </w:t>
            </w:r>
          </w:p>
        </w:tc>
        <w:tc>
          <w:tcPr>
            <w:tcW w:w="0" w:type="auto"/>
            <w:shd w:val="clear" w:color="auto" w:fill="auto"/>
          </w:tcPr>
          <w:p w14:paraId="662A746C">
            <w:pPr>
              <w:jc w:val="center"/>
              <w:rPr>
                <w:rFonts w:ascii="宋体" w:hAnsi="宋体" w:eastAsia="宋体" w:cs="宋体"/>
                <w:sz w:val="24"/>
                <w:szCs w:val="24"/>
              </w:rPr>
            </w:pPr>
            <w:r>
              <w:rPr>
                <w:rFonts w:hint="eastAsia" w:ascii="宋体" w:hAnsi="宋体" w:eastAsia="宋体"/>
              </w:rPr>
              <w:t xml:space="preserve">2.23% </w:t>
            </w:r>
          </w:p>
        </w:tc>
        <w:tc>
          <w:tcPr>
            <w:tcW w:w="0" w:type="auto"/>
            <w:shd w:val="clear" w:color="auto" w:fill="auto"/>
          </w:tcPr>
          <w:p w14:paraId="547A2025">
            <w:pPr>
              <w:jc w:val="center"/>
              <w:rPr>
                <w:rFonts w:ascii="宋体" w:hAnsi="宋体" w:eastAsia="宋体" w:cs="宋体"/>
                <w:sz w:val="24"/>
                <w:szCs w:val="24"/>
              </w:rPr>
            </w:pPr>
            <w:r>
              <w:rPr>
                <w:rFonts w:hint="eastAsia" w:ascii="宋体" w:hAnsi="宋体" w:eastAsia="宋体"/>
              </w:rPr>
              <w:t xml:space="preserve">10.14% </w:t>
            </w:r>
          </w:p>
        </w:tc>
        <w:tc>
          <w:tcPr>
            <w:tcW w:w="0" w:type="auto"/>
            <w:shd w:val="clear" w:color="auto" w:fill="auto"/>
          </w:tcPr>
          <w:p w14:paraId="4B2A6FC7">
            <w:pPr>
              <w:jc w:val="center"/>
              <w:rPr>
                <w:rFonts w:ascii="宋体" w:hAnsi="宋体" w:eastAsia="宋体" w:cs="宋体"/>
                <w:sz w:val="24"/>
                <w:szCs w:val="24"/>
              </w:rPr>
            </w:pPr>
            <w:r>
              <w:rPr>
                <w:rFonts w:hint="eastAsia" w:ascii="宋体" w:hAnsi="宋体" w:eastAsia="宋体"/>
              </w:rPr>
              <w:t xml:space="preserve">2.24% </w:t>
            </w:r>
          </w:p>
        </w:tc>
        <w:tc>
          <w:tcPr>
            <w:tcW w:w="0" w:type="auto"/>
            <w:shd w:val="clear" w:color="auto" w:fill="auto"/>
          </w:tcPr>
          <w:p w14:paraId="6F61868E">
            <w:pPr>
              <w:jc w:val="center"/>
              <w:rPr>
                <w:rFonts w:ascii="宋体" w:hAnsi="宋体" w:eastAsia="宋体" w:cs="宋体"/>
                <w:sz w:val="24"/>
                <w:szCs w:val="24"/>
              </w:rPr>
            </w:pPr>
            <w:r>
              <w:rPr>
                <w:rFonts w:hint="eastAsia" w:ascii="宋体" w:hAnsi="宋体" w:eastAsia="宋体"/>
              </w:rPr>
              <w:t xml:space="preserve">-0.61% </w:t>
            </w:r>
          </w:p>
        </w:tc>
        <w:tc>
          <w:tcPr>
            <w:tcW w:w="0" w:type="auto"/>
            <w:shd w:val="clear" w:color="auto" w:fill="auto"/>
          </w:tcPr>
          <w:p w14:paraId="7BE66E33">
            <w:pPr>
              <w:jc w:val="center"/>
              <w:rPr>
                <w:rFonts w:ascii="宋体" w:hAnsi="宋体" w:eastAsia="宋体" w:cs="宋体"/>
                <w:sz w:val="24"/>
                <w:szCs w:val="24"/>
              </w:rPr>
            </w:pPr>
            <w:r>
              <w:rPr>
                <w:rFonts w:hint="eastAsia" w:ascii="宋体" w:hAnsi="宋体" w:eastAsia="宋体"/>
              </w:rPr>
              <w:t xml:space="preserve">-0.01% </w:t>
            </w:r>
          </w:p>
        </w:tc>
      </w:tr>
      <w:tr w14:paraId="0B9FF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EF0BF0">
            <w:pPr>
              <w:jc w:val="center"/>
              <w:rPr>
                <w:rFonts w:ascii="宋体" w:hAnsi="宋体" w:eastAsia="宋体" w:cs="宋体"/>
                <w:sz w:val="24"/>
                <w:szCs w:val="24"/>
              </w:rPr>
            </w:pPr>
            <w:r>
              <w:rPr>
                <w:rFonts w:hint="eastAsia" w:ascii="宋体" w:hAnsi="宋体" w:eastAsia="宋体"/>
              </w:rPr>
              <w:t xml:space="preserve">2021.01.01-2021.12.31 </w:t>
            </w:r>
          </w:p>
        </w:tc>
        <w:tc>
          <w:tcPr>
            <w:tcW w:w="0" w:type="auto"/>
            <w:shd w:val="clear" w:color="auto" w:fill="auto"/>
          </w:tcPr>
          <w:p w14:paraId="61CE01D3">
            <w:pPr>
              <w:jc w:val="center"/>
              <w:rPr>
                <w:rFonts w:ascii="宋体" w:hAnsi="宋体" w:eastAsia="宋体" w:cs="宋体"/>
                <w:sz w:val="24"/>
                <w:szCs w:val="24"/>
              </w:rPr>
            </w:pPr>
            <w:r>
              <w:rPr>
                <w:rFonts w:hint="eastAsia" w:ascii="宋体" w:hAnsi="宋体" w:eastAsia="宋体"/>
              </w:rPr>
              <w:t xml:space="preserve">24.32% </w:t>
            </w:r>
          </w:p>
        </w:tc>
        <w:tc>
          <w:tcPr>
            <w:tcW w:w="0" w:type="auto"/>
            <w:shd w:val="clear" w:color="auto" w:fill="auto"/>
          </w:tcPr>
          <w:p w14:paraId="082BD1B2">
            <w:pPr>
              <w:jc w:val="center"/>
              <w:rPr>
                <w:rFonts w:ascii="宋体" w:hAnsi="宋体" w:eastAsia="宋体" w:cs="宋体"/>
                <w:sz w:val="24"/>
                <w:szCs w:val="24"/>
              </w:rPr>
            </w:pPr>
            <w:r>
              <w:rPr>
                <w:rFonts w:hint="eastAsia" w:ascii="宋体" w:hAnsi="宋体" w:eastAsia="宋体"/>
              </w:rPr>
              <w:t xml:space="preserve">0.88% </w:t>
            </w:r>
          </w:p>
        </w:tc>
        <w:tc>
          <w:tcPr>
            <w:tcW w:w="0" w:type="auto"/>
            <w:shd w:val="clear" w:color="auto" w:fill="auto"/>
          </w:tcPr>
          <w:p w14:paraId="5BA556A4">
            <w:pPr>
              <w:jc w:val="center"/>
              <w:rPr>
                <w:rFonts w:ascii="宋体" w:hAnsi="宋体" w:eastAsia="宋体" w:cs="宋体"/>
                <w:sz w:val="24"/>
                <w:szCs w:val="24"/>
              </w:rPr>
            </w:pPr>
            <w:r>
              <w:rPr>
                <w:rFonts w:hint="eastAsia" w:ascii="宋体" w:hAnsi="宋体" w:eastAsia="宋体"/>
              </w:rPr>
              <w:t xml:space="preserve">25.23% </w:t>
            </w:r>
          </w:p>
        </w:tc>
        <w:tc>
          <w:tcPr>
            <w:tcW w:w="0" w:type="auto"/>
            <w:shd w:val="clear" w:color="auto" w:fill="auto"/>
          </w:tcPr>
          <w:p w14:paraId="6AFFFA36">
            <w:pPr>
              <w:jc w:val="center"/>
              <w:rPr>
                <w:rFonts w:ascii="宋体" w:hAnsi="宋体" w:eastAsia="宋体" w:cs="宋体"/>
                <w:sz w:val="24"/>
                <w:szCs w:val="24"/>
              </w:rPr>
            </w:pPr>
            <w:r>
              <w:rPr>
                <w:rFonts w:hint="eastAsia" w:ascii="宋体" w:hAnsi="宋体" w:eastAsia="宋体"/>
              </w:rPr>
              <w:t xml:space="preserve">0.88% </w:t>
            </w:r>
          </w:p>
        </w:tc>
        <w:tc>
          <w:tcPr>
            <w:tcW w:w="0" w:type="auto"/>
            <w:shd w:val="clear" w:color="auto" w:fill="auto"/>
          </w:tcPr>
          <w:p w14:paraId="35A39674">
            <w:pPr>
              <w:jc w:val="center"/>
              <w:rPr>
                <w:rFonts w:ascii="宋体" w:hAnsi="宋体" w:eastAsia="宋体" w:cs="宋体"/>
                <w:sz w:val="24"/>
                <w:szCs w:val="24"/>
              </w:rPr>
            </w:pPr>
            <w:r>
              <w:rPr>
                <w:rFonts w:hint="eastAsia" w:ascii="宋体" w:hAnsi="宋体" w:eastAsia="宋体"/>
              </w:rPr>
              <w:t xml:space="preserve">-0.91% </w:t>
            </w:r>
          </w:p>
        </w:tc>
        <w:tc>
          <w:tcPr>
            <w:tcW w:w="0" w:type="auto"/>
            <w:shd w:val="clear" w:color="auto" w:fill="auto"/>
          </w:tcPr>
          <w:p w14:paraId="028A9BD3">
            <w:pPr>
              <w:jc w:val="center"/>
              <w:rPr>
                <w:rFonts w:ascii="宋体" w:hAnsi="宋体" w:eastAsia="宋体" w:cs="宋体"/>
                <w:sz w:val="24"/>
                <w:szCs w:val="24"/>
              </w:rPr>
            </w:pPr>
            <w:r>
              <w:rPr>
                <w:rFonts w:hint="eastAsia" w:ascii="宋体" w:hAnsi="宋体" w:eastAsia="宋体"/>
              </w:rPr>
              <w:t xml:space="preserve">0.00% </w:t>
            </w:r>
          </w:p>
        </w:tc>
      </w:tr>
      <w:tr w14:paraId="5596C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6C63B0">
            <w:pPr>
              <w:jc w:val="center"/>
              <w:rPr>
                <w:rFonts w:ascii="宋体" w:hAnsi="宋体" w:eastAsia="宋体" w:cs="宋体"/>
                <w:sz w:val="24"/>
                <w:szCs w:val="24"/>
              </w:rPr>
            </w:pPr>
            <w:r>
              <w:rPr>
                <w:rFonts w:hint="eastAsia" w:ascii="宋体" w:hAnsi="宋体" w:eastAsia="宋体"/>
              </w:rPr>
              <w:t xml:space="preserve">2022.01.01-2022.12.31 </w:t>
            </w:r>
          </w:p>
        </w:tc>
        <w:tc>
          <w:tcPr>
            <w:tcW w:w="0" w:type="auto"/>
            <w:shd w:val="clear" w:color="auto" w:fill="auto"/>
          </w:tcPr>
          <w:p w14:paraId="525D0A0C">
            <w:pPr>
              <w:jc w:val="center"/>
              <w:rPr>
                <w:rFonts w:ascii="宋体" w:hAnsi="宋体" w:eastAsia="宋体" w:cs="宋体"/>
                <w:sz w:val="24"/>
                <w:szCs w:val="24"/>
              </w:rPr>
            </w:pPr>
            <w:r>
              <w:rPr>
                <w:rFonts w:hint="eastAsia" w:ascii="宋体" w:hAnsi="宋体" w:eastAsia="宋体"/>
              </w:rPr>
              <w:t xml:space="preserve">-11.94% </w:t>
            </w:r>
          </w:p>
        </w:tc>
        <w:tc>
          <w:tcPr>
            <w:tcW w:w="0" w:type="auto"/>
            <w:shd w:val="clear" w:color="auto" w:fill="auto"/>
          </w:tcPr>
          <w:p w14:paraId="7D6CDB68">
            <w:pPr>
              <w:jc w:val="center"/>
              <w:rPr>
                <w:rFonts w:ascii="宋体" w:hAnsi="宋体" w:eastAsia="宋体" w:cs="宋体"/>
                <w:sz w:val="24"/>
                <w:szCs w:val="24"/>
              </w:rPr>
            </w:pPr>
            <w:r>
              <w:rPr>
                <w:rFonts w:hint="eastAsia" w:ascii="宋体" w:hAnsi="宋体" w:eastAsia="宋体"/>
              </w:rPr>
              <w:t xml:space="preserve">1.50% </w:t>
            </w:r>
          </w:p>
        </w:tc>
        <w:tc>
          <w:tcPr>
            <w:tcW w:w="0" w:type="auto"/>
            <w:shd w:val="clear" w:color="auto" w:fill="auto"/>
          </w:tcPr>
          <w:p w14:paraId="0CB0A0E6">
            <w:pPr>
              <w:jc w:val="center"/>
              <w:rPr>
                <w:rFonts w:ascii="宋体" w:hAnsi="宋体" w:eastAsia="宋体" w:cs="宋体"/>
                <w:sz w:val="24"/>
                <w:szCs w:val="24"/>
              </w:rPr>
            </w:pPr>
            <w:r>
              <w:rPr>
                <w:rFonts w:hint="eastAsia" w:ascii="宋体" w:hAnsi="宋体" w:eastAsia="宋体"/>
              </w:rPr>
              <w:t xml:space="preserve">-10.99% </w:t>
            </w:r>
          </w:p>
        </w:tc>
        <w:tc>
          <w:tcPr>
            <w:tcW w:w="0" w:type="auto"/>
            <w:shd w:val="clear" w:color="auto" w:fill="auto"/>
          </w:tcPr>
          <w:p w14:paraId="15A44189">
            <w:pPr>
              <w:jc w:val="center"/>
              <w:rPr>
                <w:rFonts w:ascii="宋体" w:hAnsi="宋体" w:eastAsia="宋体" w:cs="宋体"/>
                <w:sz w:val="24"/>
                <w:szCs w:val="24"/>
              </w:rPr>
            </w:pPr>
            <w:r>
              <w:rPr>
                <w:rFonts w:hint="eastAsia" w:ascii="宋体" w:hAnsi="宋体" w:eastAsia="宋体"/>
              </w:rPr>
              <w:t xml:space="preserve">1.50% </w:t>
            </w:r>
          </w:p>
        </w:tc>
        <w:tc>
          <w:tcPr>
            <w:tcW w:w="0" w:type="auto"/>
            <w:shd w:val="clear" w:color="auto" w:fill="auto"/>
          </w:tcPr>
          <w:p w14:paraId="3BAF6BA5">
            <w:pPr>
              <w:jc w:val="center"/>
              <w:rPr>
                <w:rFonts w:ascii="宋体" w:hAnsi="宋体" w:eastAsia="宋体" w:cs="宋体"/>
                <w:sz w:val="24"/>
                <w:szCs w:val="24"/>
              </w:rPr>
            </w:pPr>
            <w:r>
              <w:rPr>
                <w:rFonts w:hint="eastAsia" w:ascii="宋体" w:hAnsi="宋体" w:eastAsia="宋体"/>
              </w:rPr>
              <w:t xml:space="preserve">-0.95% </w:t>
            </w:r>
          </w:p>
        </w:tc>
        <w:tc>
          <w:tcPr>
            <w:tcW w:w="0" w:type="auto"/>
            <w:shd w:val="clear" w:color="auto" w:fill="auto"/>
          </w:tcPr>
          <w:p w14:paraId="7AB02957">
            <w:pPr>
              <w:jc w:val="center"/>
              <w:rPr>
                <w:rFonts w:ascii="宋体" w:hAnsi="宋体" w:eastAsia="宋体" w:cs="宋体"/>
                <w:sz w:val="24"/>
                <w:szCs w:val="24"/>
              </w:rPr>
            </w:pPr>
            <w:r>
              <w:rPr>
                <w:rFonts w:hint="eastAsia" w:ascii="宋体" w:hAnsi="宋体" w:eastAsia="宋体"/>
              </w:rPr>
              <w:t xml:space="preserve">0.00% </w:t>
            </w:r>
          </w:p>
        </w:tc>
      </w:tr>
      <w:tr w14:paraId="63F0A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D225F7">
            <w:pPr>
              <w:jc w:val="center"/>
              <w:rPr>
                <w:rFonts w:ascii="宋体" w:hAnsi="宋体" w:eastAsia="宋体" w:cs="宋体"/>
                <w:sz w:val="24"/>
                <w:szCs w:val="24"/>
              </w:rPr>
            </w:pPr>
            <w:r>
              <w:rPr>
                <w:rFonts w:hint="eastAsia" w:ascii="宋体" w:hAnsi="宋体" w:eastAsia="宋体"/>
              </w:rPr>
              <w:t xml:space="preserve">2023.01.01-2023.12.31 </w:t>
            </w:r>
          </w:p>
        </w:tc>
        <w:tc>
          <w:tcPr>
            <w:tcW w:w="0" w:type="auto"/>
            <w:shd w:val="clear" w:color="auto" w:fill="auto"/>
          </w:tcPr>
          <w:p w14:paraId="6590012C">
            <w:pPr>
              <w:jc w:val="center"/>
              <w:rPr>
                <w:rFonts w:ascii="宋体" w:hAnsi="宋体" w:eastAsia="宋体" w:cs="宋体"/>
                <w:sz w:val="24"/>
                <w:szCs w:val="24"/>
              </w:rPr>
            </w:pPr>
            <w:r>
              <w:rPr>
                <w:rFonts w:hint="eastAsia" w:ascii="宋体" w:hAnsi="宋体" w:eastAsia="宋体"/>
              </w:rPr>
              <w:t xml:space="preserve">26.09% </w:t>
            </w:r>
          </w:p>
        </w:tc>
        <w:tc>
          <w:tcPr>
            <w:tcW w:w="0" w:type="auto"/>
            <w:shd w:val="clear" w:color="auto" w:fill="auto"/>
          </w:tcPr>
          <w:p w14:paraId="559EA2A7">
            <w:pPr>
              <w:jc w:val="center"/>
              <w:rPr>
                <w:rFonts w:ascii="宋体" w:hAnsi="宋体" w:eastAsia="宋体" w:cs="宋体"/>
                <w:sz w:val="24"/>
                <w:szCs w:val="24"/>
              </w:rPr>
            </w:pPr>
            <w:r>
              <w:rPr>
                <w:rFonts w:hint="eastAsia" w:ascii="宋体" w:hAnsi="宋体" w:eastAsia="宋体"/>
              </w:rPr>
              <w:t xml:space="preserve">0.85% </w:t>
            </w:r>
          </w:p>
        </w:tc>
        <w:tc>
          <w:tcPr>
            <w:tcW w:w="0" w:type="auto"/>
            <w:shd w:val="clear" w:color="auto" w:fill="auto"/>
          </w:tcPr>
          <w:p w14:paraId="782700EA">
            <w:pPr>
              <w:jc w:val="center"/>
              <w:rPr>
                <w:rFonts w:ascii="宋体" w:hAnsi="宋体" w:eastAsia="宋体" w:cs="宋体"/>
                <w:sz w:val="24"/>
                <w:szCs w:val="24"/>
              </w:rPr>
            </w:pPr>
            <w:r>
              <w:rPr>
                <w:rFonts w:hint="eastAsia" w:ascii="宋体" w:hAnsi="宋体" w:eastAsia="宋体"/>
              </w:rPr>
              <w:t xml:space="preserve">27.80% </w:t>
            </w:r>
          </w:p>
        </w:tc>
        <w:tc>
          <w:tcPr>
            <w:tcW w:w="0" w:type="auto"/>
            <w:shd w:val="clear" w:color="auto" w:fill="auto"/>
          </w:tcPr>
          <w:p w14:paraId="35E55B3A">
            <w:pPr>
              <w:jc w:val="center"/>
              <w:rPr>
                <w:rFonts w:ascii="宋体" w:hAnsi="宋体" w:eastAsia="宋体" w:cs="宋体"/>
                <w:sz w:val="24"/>
                <w:szCs w:val="24"/>
              </w:rPr>
            </w:pPr>
            <w:r>
              <w:rPr>
                <w:rFonts w:hint="eastAsia" w:ascii="宋体" w:hAnsi="宋体" w:eastAsia="宋体"/>
              </w:rPr>
              <w:t xml:space="preserve">0.85% </w:t>
            </w:r>
          </w:p>
        </w:tc>
        <w:tc>
          <w:tcPr>
            <w:tcW w:w="0" w:type="auto"/>
            <w:shd w:val="clear" w:color="auto" w:fill="auto"/>
          </w:tcPr>
          <w:p w14:paraId="4707AA19">
            <w:pPr>
              <w:jc w:val="center"/>
              <w:rPr>
                <w:rFonts w:ascii="宋体" w:hAnsi="宋体" w:eastAsia="宋体" w:cs="宋体"/>
                <w:sz w:val="24"/>
                <w:szCs w:val="24"/>
              </w:rPr>
            </w:pPr>
            <w:r>
              <w:rPr>
                <w:rFonts w:hint="eastAsia" w:ascii="宋体" w:hAnsi="宋体" w:eastAsia="宋体"/>
              </w:rPr>
              <w:t xml:space="preserve">-1.71% </w:t>
            </w:r>
          </w:p>
        </w:tc>
        <w:tc>
          <w:tcPr>
            <w:tcW w:w="0" w:type="auto"/>
            <w:shd w:val="clear" w:color="auto" w:fill="auto"/>
          </w:tcPr>
          <w:p w14:paraId="227BC489">
            <w:pPr>
              <w:jc w:val="center"/>
              <w:rPr>
                <w:rFonts w:ascii="宋体" w:hAnsi="宋体" w:eastAsia="宋体" w:cs="宋体"/>
                <w:sz w:val="24"/>
                <w:szCs w:val="24"/>
              </w:rPr>
            </w:pPr>
            <w:r>
              <w:rPr>
                <w:rFonts w:hint="eastAsia" w:ascii="宋体" w:hAnsi="宋体" w:eastAsia="宋体"/>
              </w:rPr>
              <w:t xml:space="preserve">0.00% </w:t>
            </w:r>
          </w:p>
        </w:tc>
      </w:tr>
      <w:tr w14:paraId="408CD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584F7E">
            <w:pPr>
              <w:jc w:val="center"/>
              <w:rPr>
                <w:rFonts w:ascii="宋体" w:hAnsi="宋体" w:eastAsia="宋体" w:cs="宋体"/>
                <w:sz w:val="24"/>
                <w:szCs w:val="24"/>
              </w:rPr>
            </w:pPr>
            <w:r>
              <w:rPr>
                <w:rFonts w:hint="eastAsia" w:ascii="宋体" w:hAnsi="宋体" w:eastAsia="宋体"/>
              </w:rPr>
              <w:t xml:space="preserve">2024.01.01-2024.12.31 </w:t>
            </w:r>
          </w:p>
        </w:tc>
        <w:tc>
          <w:tcPr>
            <w:tcW w:w="0" w:type="auto"/>
            <w:shd w:val="clear" w:color="auto" w:fill="auto"/>
          </w:tcPr>
          <w:p w14:paraId="112332A0">
            <w:pPr>
              <w:jc w:val="center"/>
              <w:rPr>
                <w:rFonts w:ascii="宋体" w:hAnsi="宋体" w:eastAsia="宋体" w:cs="宋体"/>
                <w:sz w:val="24"/>
                <w:szCs w:val="24"/>
              </w:rPr>
            </w:pPr>
            <w:r>
              <w:rPr>
                <w:rFonts w:hint="eastAsia" w:ascii="宋体" w:hAnsi="宋体" w:eastAsia="宋体"/>
              </w:rPr>
              <w:t xml:space="preserve">25.30% </w:t>
            </w:r>
          </w:p>
        </w:tc>
        <w:tc>
          <w:tcPr>
            <w:tcW w:w="0" w:type="auto"/>
            <w:shd w:val="clear" w:color="auto" w:fill="auto"/>
          </w:tcPr>
          <w:p w14:paraId="61DEE289">
            <w:pPr>
              <w:jc w:val="center"/>
              <w:rPr>
                <w:rFonts w:ascii="宋体" w:hAnsi="宋体" w:eastAsia="宋体" w:cs="宋体"/>
                <w:sz w:val="24"/>
                <w:szCs w:val="24"/>
              </w:rPr>
            </w:pPr>
            <w:r>
              <w:rPr>
                <w:rFonts w:hint="eastAsia" w:ascii="宋体" w:hAnsi="宋体" w:eastAsia="宋体"/>
              </w:rPr>
              <w:t xml:space="preserve">0.81% </w:t>
            </w:r>
          </w:p>
        </w:tc>
        <w:tc>
          <w:tcPr>
            <w:tcW w:w="0" w:type="auto"/>
            <w:shd w:val="clear" w:color="auto" w:fill="auto"/>
          </w:tcPr>
          <w:p w14:paraId="5A5F5705">
            <w:pPr>
              <w:jc w:val="center"/>
              <w:rPr>
                <w:rFonts w:ascii="宋体" w:hAnsi="宋体" w:eastAsia="宋体" w:cs="宋体"/>
                <w:sz w:val="24"/>
                <w:szCs w:val="24"/>
              </w:rPr>
            </w:pPr>
            <w:r>
              <w:rPr>
                <w:rFonts w:hint="eastAsia" w:ascii="宋体" w:hAnsi="宋体" w:eastAsia="宋体"/>
              </w:rPr>
              <w:t xml:space="preserve">26.36% </w:t>
            </w:r>
          </w:p>
        </w:tc>
        <w:tc>
          <w:tcPr>
            <w:tcW w:w="0" w:type="auto"/>
            <w:shd w:val="clear" w:color="auto" w:fill="auto"/>
          </w:tcPr>
          <w:p w14:paraId="080DC330">
            <w:pPr>
              <w:jc w:val="center"/>
              <w:rPr>
                <w:rFonts w:ascii="宋体" w:hAnsi="宋体" w:eastAsia="宋体" w:cs="宋体"/>
                <w:sz w:val="24"/>
                <w:szCs w:val="24"/>
              </w:rPr>
            </w:pPr>
            <w:r>
              <w:rPr>
                <w:rFonts w:hint="eastAsia" w:ascii="宋体" w:hAnsi="宋体" w:eastAsia="宋体"/>
              </w:rPr>
              <w:t xml:space="preserve">0.81% </w:t>
            </w:r>
          </w:p>
        </w:tc>
        <w:tc>
          <w:tcPr>
            <w:tcW w:w="0" w:type="auto"/>
            <w:shd w:val="clear" w:color="auto" w:fill="auto"/>
          </w:tcPr>
          <w:p w14:paraId="1DDFF7F2">
            <w:pPr>
              <w:jc w:val="center"/>
              <w:rPr>
                <w:rFonts w:ascii="宋体" w:hAnsi="宋体" w:eastAsia="宋体" w:cs="宋体"/>
                <w:sz w:val="24"/>
                <w:szCs w:val="24"/>
              </w:rPr>
            </w:pPr>
            <w:r>
              <w:rPr>
                <w:rFonts w:hint="eastAsia" w:ascii="宋体" w:hAnsi="宋体" w:eastAsia="宋体"/>
              </w:rPr>
              <w:t xml:space="preserve">-1.06% </w:t>
            </w:r>
          </w:p>
        </w:tc>
        <w:tc>
          <w:tcPr>
            <w:tcW w:w="0" w:type="auto"/>
            <w:shd w:val="clear" w:color="auto" w:fill="auto"/>
          </w:tcPr>
          <w:p w14:paraId="18A2912D">
            <w:pPr>
              <w:jc w:val="center"/>
              <w:rPr>
                <w:rFonts w:ascii="宋体" w:hAnsi="宋体" w:eastAsia="宋体" w:cs="宋体"/>
                <w:sz w:val="24"/>
                <w:szCs w:val="24"/>
              </w:rPr>
            </w:pPr>
            <w:r>
              <w:rPr>
                <w:rFonts w:hint="eastAsia" w:ascii="宋体" w:hAnsi="宋体" w:eastAsia="宋体"/>
              </w:rPr>
              <w:t xml:space="preserve">0.00% </w:t>
            </w:r>
          </w:p>
        </w:tc>
      </w:tr>
      <w:tr w14:paraId="6AAE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62D3DD">
            <w:pPr>
              <w:jc w:val="center"/>
              <w:rPr>
                <w:rFonts w:ascii="宋体" w:hAnsi="宋体" w:eastAsia="宋体" w:cs="宋体"/>
                <w:sz w:val="24"/>
                <w:szCs w:val="24"/>
              </w:rPr>
            </w:pPr>
            <w:r>
              <w:rPr>
                <w:rFonts w:hint="eastAsia" w:ascii="宋体" w:hAnsi="宋体" w:eastAsia="宋体"/>
              </w:rPr>
              <w:t xml:space="preserve">2025.01.01-2025.06.30 </w:t>
            </w:r>
          </w:p>
        </w:tc>
        <w:tc>
          <w:tcPr>
            <w:tcW w:w="0" w:type="auto"/>
            <w:shd w:val="clear" w:color="auto" w:fill="auto"/>
          </w:tcPr>
          <w:p w14:paraId="7AEC7C25">
            <w:pPr>
              <w:jc w:val="center"/>
              <w:rPr>
                <w:rFonts w:ascii="宋体" w:hAnsi="宋体" w:eastAsia="宋体" w:cs="宋体"/>
                <w:sz w:val="24"/>
                <w:szCs w:val="24"/>
              </w:rPr>
            </w:pPr>
            <w:r>
              <w:rPr>
                <w:rFonts w:hint="eastAsia" w:ascii="宋体" w:hAnsi="宋体" w:eastAsia="宋体"/>
              </w:rPr>
              <w:t xml:space="preserve">5.10% </w:t>
            </w:r>
          </w:p>
        </w:tc>
        <w:tc>
          <w:tcPr>
            <w:tcW w:w="0" w:type="auto"/>
            <w:shd w:val="clear" w:color="auto" w:fill="auto"/>
          </w:tcPr>
          <w:p w14:paraId="471FE609">
            <w:pPr>
              <w:jc w:val="center"/>
              <w:rPr>
                <w:rFonts w:ascii="宋体" w:hAnsi="宋体" w:eastAsia="宋体" w:cs="宋体"/>
                <w:sz w:val="24"/>
                <w:szCs w:val="24"/>
              </w:rPr>
            </w:pPr>
            <w:r>
              <w:rPr>
                <w:rFonts w:hint="eastAsia" w:ascii="宋体" w:hAnsi="宋体" w:eastAsia="宋体"/>
              </w:rPr>
              <w:t xml:space="preserve">1.57% </w:t>
            </w:r>
          </w:p>
        </w:tc>
        <w:tc>
          <w:tcPr>
            <w:tcW w:w="0" w:type="auto"/>
            <w:shd w:val="clear" w:color="auto" w:fill="auto"/>
          </w:tcPr>
          <w:p w14:paraId="3D34DC08">
            <w:pPr>
              <w:jc w:val="center"/>
              <w:rPr>
                <w:rFonts w:ascii="宋体" w:hAnsi="宋体" w:eastAsia="宋体" w:cs="宋体"/>
                <w:sz w:val="24"/>
                <w:szCs w:val="24"/>
              </w:rPr>
            </w:pPr>
            <w:r>
              <w:rPr>
                <w:rFonts w:hint="eastAsia" w:ascii="宋体" w:hAnsi="宋体" w:eastAsia="宋体"/>
              </w:rPr>
              <w:t xml:space="preserve">5.55% </w:t>
            </w:r>
          </w:p>
        </w:tc>
        <w:tc>
          <w:tcPr>
            <w:tcW w:w="0" w:type="auto"/>
            <w:shd w:val="clear" w:color="auto" w:fill="auto"/>
          </w:tcPr>
          <w:p w14:paraId="2A4B61E9">
            <w:pPr>
              <w:jc w:val="center"/>
              <w:rPr>
                <w:rFonts w:ascii="宋体" w:hAnsi="宋体" w:eastAsia="宋体" w:cs="宋体"/>
                <w:sz w:val="24"/>
                <w:szCs w:val="24"/>
              </w:rPr>
            </w:pPr>
            <w:r>
              <w:rPr>
                <w:rFonts w:hint="eastAsia" w:ascii="宋体" w:hAnsi="宋体" w:eastAsia="宋体"/>
              </w:rPr>
              <w:t xml:space="preserve">1.56% </w:t>
            </w:r>
          </w:p>
        </w:tc>
        <w:tc>
          <w:tcPr>
            <w:tcW w:w="0" w:type="auto"/>
            <w:shd w:val="clear" w:color="auto" w:fill="auto"/>
          </w:tcPr>
          <w:p w14:paraId="492E518E">
            <w:pPr>
              <w:jc w:val="center"/>
              <w:rPr>
                <w:rFonts w:ascii="宋体" w:hAnsi="宋体" w:eastAsia="宋体" w:cs="宋体"/>
                <w:sz w:val="24"/>
                <w:szCs w:val="24"/>
              </w:rPr>
            </w:pPr>
            <w:r>
              <w:rPr>
                <w:rFonts w:hint="eastAsia" w:ascii="宋体" w:hAnsi="宋体" w:eastAsia="宋体"/>
              </w:rPr>
              <w:t xml:space="preserve">-0.45% </w:t>
            </w:r>
          </w:p>
        </w:tc>
        <w:tc>
          <w:tcPr>
            <w:tcW w:w="0" w:type="auto"/>
            <w:shd w:val="clear" w:color="auto" w:fill="auto"/>
          </w:tcPr>
          <w:p w14:paraId="3A8557C5">
            <w:pPr>
              <w:jc w:val="center"/>
              <w:rPr>
                <w:rFonts w:ascii="宋体" w:hAnsi="宋体" w:eastAsia="宋体" w:cs="宋体"/>
                <w:sz w:val="24"/>
                <w:szCs w:val="24"/>
              </w:rPr>
            </w:pPr>
            <w:r>
              <w:rPr>
                <w:rFonts w:hint="eastAsia" w:ascii="宋体" w:hAnsi="宋体" w:eastAsia="宋体"/>
              </w:rPr>
              <w:t xml:space="preserve">0.01% </w:t>
            </w:r>
          </w:p>
        </w:tc>
      </w:tr>
      <w:tr w14:paraId="70640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CF240D">
            <w:pPr>
              <w:jc w:val="center"/>
              <w:rPr>
                <w:rFonts w:ascii="宋体" w:hAnsi="宋体" w:eastAsia="宋体" w:cs="宋体"/>
                <w:sz w:val="24"/>
                <w:szCs w:val="24"/>
              </w:rPr>
            </w:pPr>
            <w:r>
              <w:rPr>
                <w:rFonts w:hint="eastAsia" w:ascii="宋体" w:hAnsi="宋体" w:eastAsia="宋体"/>
              </w:rPr>
              <w:t xml:space="preserve">2013.12.05-2025.06.30 </w:t>
            </w:r>
          </w:p>
        </w:tc>
        <w:tc>
          <w:tcPr>
            <w:tcW w:w="0" w:type="auto"/>
            <w:shd w:val="clear" w:color="auto" w:fill="auto"/>
          </w:tcPr>
          <w:p w14:paraId="359DE355">
            <w:pPr>
              <w:jc w:val="center"/>
              <w:rPr>
                <w:rFonts w:ascii="宋体" w:hAnsi="宋体" w:eastAsia="宋体" w:cs="宋体"/>
                <w:sz w:val="24"/>
                <w:szCs w:val="24"/>
              </w:rPr>
            </w:pPr>
            <w:r>
              <w:rPr>
                <w:rFonts w:hint="eastAsia" w:ascii="宋体" w:hAnsi="宋体" w:eastAsia="宋体"/>
              </w:rPr>
              <w:t xml:space="preserve">319.86% </w:t>
            </w:r>
          </w:p>
        </w:tc>
        <w:tc>
          <w:tcPr>
            <w:tcW w:w="0" w:type="auto"/>
            <w:shd w:val="clear" w:color="auto" w:fill="auto"/>
          </w:tcPr>
          <w:p w14:paraId="7B7B77E2">
            <w:pPr>
              <w:jc w:val="center"/>
              <w:rPr>
                <w:rFonts w:ascii="宋体" w:hAnsi="宋体" w:eastAsia="宋体" w:cs="宋体"/>
                <w:sz w:val="24"/>
                <w:szCs w:val="24"/>
              </w:rPr>
            </w:pPr>
            <w:r>
              <w:rPr>
                <w:rFonts w:hint="eastAsia" w:ascii="宋体" w:hAnsi="宋体" w:eastAsia="宋体"/>
              </w:rPr>
              <w:t xml:space="preserve">1.12% </w:t>
            </w:r>
          </w:p>
        </w:tc>
        <w:tc>
          <w:tcPr>
            <w:tcW w:w="0" w:type="auto"/>
            <w:shd w:val="clear" w:color="auto" w:fill="auto"/>
          </w:tcPr>
          <w:p w14:paraId="3239449D">
            <w:pPr>
              <w:jc w:val="center"/>
              <w:rPr>
                <w:rFonts w:ascii="宋体" w:hAnsi="宋体" w:eastAsia="宋体" w:cs="宋体"/>
                <w:sz w:val="24"/>
                <w:szCs w:val="24"/>
              </w:rPr>
            </w:pPr>
            <w:r>
              <w:rPr>
                <w:rFonts w:hint="eastAsia" w:ascii="宋体" w:hAnsi="宋体" w:eastAsia="宋体"/>
              </w:rPr>
              <w:t xml:space="preserve">368.18% </w:t>
            </w:r>
          </w:p>
        </w:tc>
        <w:tc>
          <w:tcPr>
            <w:tcW w:w="0" w:type="auto"/>
            <w:shd w:val="clear" w:color="auto" w:fill="auto"/>
          </w:tcPr>
          <w:p w14:paraId="6E57F652">
            <w:pPr>
              <w:jc w:val="center"/>
              <w:rPr>
                <w:rFonts w:ascii="宋体" w:hAnsi="宋体" w:eastAsia="宋体" w:cs="宋体"/>
                <w:sz w:val="24"/>
                <w:szCs w:val="24"/>
              </w:rPr>
            </w:pPr>
            <w:r>
              <w:rPr>
                <w:rFonts w:hint="eastAsia" w:ascii="宋体" w:hAnsi="宋体" w:eastAsia="宋体"/>
              </w:rPr>
              <w:t xml:space="preserve">1.13% </w:t>
            </w:r>
          </w:p>
        </w:tc>
        <w:tc>
          <w:tcPr>
            <w:tcW w:w="0" w:type="auto"/>
            <w:shd w:val="clear" w:color="auto" w:fill="auto"/>
          </w:tcPr>
          <w:p w14:paraId="23090F0D">
            <w:pPr>
              <w:jc w:val="center"/>
              <w:rPr>
                <w:rFonts w:ascii="宋体" w:hAnsi="宋体" w:eastAsia="宋体" w:cs="宋体"/>
                <w:sz w:val="24"/>
                <w:szCs w:val="24"/>
              </w:rPr>
            </w:pPr>
            <w:r>
              <w:rPr>
                <w:rFonts w:hint="eastAsia" w:ascii="宋体" w:hAnsi="宋体" w:eastAsia="宋体"/>
              </w:rPr>
              <w:t xml:space="preserve">-48.32% </w:t>
            </w:r>
          </w:p>
        </w:tc>
        <w:tc>
          <w:tcPr>
            <w:tcW w:w="0" w:type="auto"/>
            <w:shd w:val="clear" w:color="auto" w:fill="auto"/>
          </w:tcPr>
          <w:p w14:paraId="15F574D0">
            <w:pPr>
              <w:jc w:val="center"/>
              <w:rPr>
                <w:rFonts w:ascii="宋体" w:hAnsi="宋体" w:eastAsia="宋体" w:cs="宋体"/>
                <w:sz w:val="24"/>
                <w:szCs w:val="24"/>
              </w:rPr>
            </w:pPr>
            <w:r>
              <w:rPr>
                <w:rFonts w:hint="eastAsia" w:ascii="宋体" w:hAnsi="宋体" w:eastAsia="宋体"/>
              </w:rPr>
              <w:t xml:space="preserve">-0.01% </w:t>
            </w:r>
          </w:p>
        </w:tc>
      </w:tr>
    </w:tbl>
    <w:p w14:paraId="2575E41D">
      <w:pPr>
        <w:pStyle w:val="8"/>
        <w:spacing w:before="0" w:beforeAutospacing="0" w:after="0" w:afterAutospacing="0" w:line="360" w:lineRule="auto"/>
        <w:ind w:firstLine="420"/>
        <w:rPr>
          <w:sz w:val="21"/>
          <w:szCs w:val="21"/>
        </w:rPr>
      </w:pPr>
      <w:bookmarkStart w:id="135" w:name="chapter_level1_15_3500_section_1_end"/>
      <w:bookmarkEnd w:id="135"/>
      <w:bookmarkStart w:id="136" w:name="field_0_indatatable_1_end"/>
      <w:bookmarkEnd w:id="136"/>
      <w:r>
        <w:rPr>
          <w:rFonts w:hint="eastAsia"/>
          <w:sz w:val="21"/>
          <w:szCs w:val="21"/>
        </w:rPr>
        <w:t xml:space="preserve">  </w:t>
      </w:r>
    </w:p>
    <w:p w14:paraId="66C403A6">
      <w:pPr>
        <w:widowControl/>
        <w:jc w:val="left"/>
        <w:rPr>
          <w:rFonts w:ascii="宋体" w:hAnsi="宋体" w:eastAsia="宋体"/>
        </w:rPr>
      </w:pPr>
      <w:r>
        <w:rPr>
          <w:rFonts w:ascii="宋体" w:hAnsi="宋体" w:eastAsia="宋体"/>
        </w:rPr>
        <w:br w:type="page"/>
      </w:r>
    </w:p>
    <w:p w14:paraId="112E47EA">
      <w:pPr>
        <w:pStyle w:val="2"/>
        <w:jc w:val="center"/>
        <w:rPr>
          <w:rFonts w:ascii="宋体" w:hAnsi="宋体" w:eastAsia="宋体"/>
          <w:sz w:val="30"/>
        </w:rPr>
      </w:pPr>
      <w:bookmarkStart w:id="137" w:name="_Toc209441847"/>
      <w:bookmarkStart w:id="138" w:name="chapter_level1_16_62"/>
      <w:r>
        <w:rPr>
          <w:rFonts w:hint="eastAsia" w:ascii="宋体" w:hAnsi="宋体" w:eastAsia="宋体"/>
          <w:sz w:val="30"/>
        </w:rPr>
        <w:t>第十三部分  基金的财产</w:t>
      </w:r>
      <w:bookmarkEnd w:id="137"/>
      <w:bookmarkEnd w:id="138"/>
    </w:p>
    <w:p w14:paraId="76064448">
      <w:pPr>
        <w:pStyle w:val="8"/>
        <w:spacing w:before="0" w:beforeAutospacing="0" w:after="0" w:afterAutospacing="0" w:line="360" w:lineRule="auto"/>
        <w:ind w:firstLine="420"/>
        <w:rPr>
          <w:sz w:val="21"/>
          <w:szCs w:val="21"/>
        </w:rPr>
      </w:pPr>
      <w:bookmarkStart w:id="139" w:name="chapter_level1_16_62_section_1"/>
      <w:bookmarkEnd w:id="139"/>
      <w:r>
        <w:rPr>
          <w:rFonts w:hint="eastAsia"/>
          <w:b/>
          <w:bCs/>
          <w:sz w:val="21"/>
          <w:szCs w:val="21"/>
        </w:rPr>
        <w:t>一、基金资产总值</w:t>
      </w:r>
    </w:p>
    <w:p w14:paraId="1CB4E893">
      <w:pPr>
        <w:pStyle w:val="8"/>
        <w:spacing w:before="0" w:beforeAutospacing="0" w:after="0" w:afterAutospacing="0" w:line="360" w:lineRule="auto"/>
        <w:ind w:firstLine="420"/>
        <w:rPr>
          <w:sz w:val="21"/>
          <w:szCs w:val="21"/>
        </w:rPr>
      </w:pPr>
      <w:r>
        <w:rPr>
          <w:rFonts w:hint="eastAsia"/>
          <w:sz w:val="21"/>
          <w:szCs w:val="21"/>
        </w:rPr>
        <w:t xml:space="preserve">基金资产总值是指购买的各类证券及票据价值、银行存款本息和基金应收的申购基金款以及其他投资所形成的价值总和。 </w:t>
      </w:r>
    </w:p>
    <w:p w14:paraId="55CCA820">
      <w:pPr>
        <w:pStyle w:val="8"/>
        <w:spacing w:before="0" w:beforeAutospacing="0" w:after="0" w:afterAutospacing="0" w:line="360" w:lineRule="auto"/>
        <w:ind w:firstLine="420"/>
        <w:rPr>
          <w:sz w:val="21"/>
          <w:szCs w:val="21"/>
        </w:rPr>
      </w:pPr>
      <w:r>
        <w:rPr>
          <w:rFonts w:hint="eastAsia"/>
          <w:b/>
          <w:bCs/>
          <w:sz w:val="21"/>
          <w:szCs w:val="21"/>
        </w:rPr>
        <w:t>二、基金资产净值</w:t>
      </w:r>
    </w:p>
    <w:p w14:paraId="7DBC40C7">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72245E82">
      <w:pPr>
        <w:pStyle w:val="8"/>
        <w:spacing w:before="0" w:beforeAutospacing="0" w:after="0" w:afterAutospacing="0" w:line="360" w:lineRule="auto"/>
        <w:ind w:firstLine="420"/>
        <w:rPr>
          <w:sz w:val="21"/>
          <w:szCs w:val="21"/>
        </w:rPr>
      </w:pPr>
      <w:r>
        <w:rPr>
          <w:rFonts w:hint="eastAsia"/>
          <w:b/>
          <w:bCs/>
          <w:sz w:val="21"/>
          <w:szCs w:val="21"/>
        </w:rPr>
        <w:t>三、基金财产的账户</w:t>
      </w:r>
    </w:p>
    <w:p w14:paraId="1D821A31">
      <w:pPr>
        <w:pStyle w:val="8"/>
        <w:spacing w:before="0" w:beforeAutospacing="0" w:after="0" w:afterAutospacing="0" w:line="360" w:lineRule="auto"/>
        <w:ind w:firstLine="420"/>
        <w:rPr>
          <w:sz w:val="21"/>
          <w:szCs w:val="21"/>
        </w:rPr>
      </w:pPr>
      <w:r>
        <w:rPr>
          <w:rFonts w:hint="eastAsia"/>
          <w:sz w:val="21"/>
          <w:szCs w:val="21"/>
        </w:rPr>
        <w:t xml:space="preserve">基金托管人根据相关法律法规为本基金开立资金账户、证券账户以及投资所需的其他专用账户。境外托管人根据基金财产所在地法律法规、证券交易所规则、市场惯例以及其与基金托管人签订的主次托管协议为本基金在境外开立资金账户、证券账户以及投资所需的其他专用账户。开立的基金专用账户与基金管理人、基金托管人、境外托管人、境外投资顾问、基金代销机构和基金登记结算机构自有的财产账户以及其他基金财产账户相独立。 </w:t>
      </w:r>
    </w:p>
    <w:p w14:paraId="54B777B4">
      <w:pPr>
        <w:pStyle w:val="8"/>
        <w:spacing w:before="0" w:beforeAutospacing="0" w:after="0" w:afterAutospacing="0" w:line="360" w:lineRule="auto"/>
        <w:ind w:firstLine="420"/>
        <w:rPr>
          <w:sz w:val="21"/>
          <w:szCs w:val="21"/>
        </w:rPr>
      </w:pPr>
      <w:r>
        <w:rPr>
          <w:rFonts w:hint="eastAsia"/>
          <w:b/>
          <w:bCs/>
          <w:sz w:val="21"/>
          <w:szCs w:val="21"/>
        </w:rPr>
        <w:t>四、基金财产的保管和处分</w:t>
      </w:r>
    </w:p>
    <w:p w14:paraId="04C0FD96">
      <w:pPr>
        <w:pStyle w:val="8"/>
        <w:spacing w:before="0" w:beforeAutospacing="0" w:after="0" w:afterAutospacing="0" w:line="360" w:lineRule="auto"/>
        <w:ind w:firstLine="420"/>
        <w:rPr>
          <w:sz w:val="21"/>
          <w:szCs w:val="21"/>
        </w:rPr>
      </w:pPr>
      <w:r>
        <w:rPr>
          <w:rFonts w:hint="eastAsia"/>
          <w:sz w:val="21"/>
          <w:szCs w:val="21"/>
        </w:rPr>
        <w:t xml:space="preserve">本基金财产独立于基金管理人、基金托管人的财产，并由基金托管人保管。基金管理人、基金托管人、基金登记结算机构和基金销售机构以其自有的财产承担其自身的法律责任，其债权人不得对本基金财产行使请求冻结、扣押或其他权利。除依法律法规和基金合同的规定处分外，基金财产不得被处分。 </w:t>
      </w:r>
    </w:p>
    <w:p w14:paraId="1CEF2880">
      <w:pPr>
        <w:pStyle w:val="8"/>
        <w:spacing w:before="0" w:beforeAutospacing="0" w:after="0" w:afterAutospacing="0" w:line="360" w:lineRule="auto"/>
        <w:ind w:firstLine="420"/>
        <w:rPr>
          <w:sz w:val="21"/>
          <w:szCs w:val="21"/>
        </w:rPr>
      </w:pPr>
      <w:r>
        <w:rPr>
          <w:rFonts w:hint="eastAsia"/>
          <w:sz w:val="21"/>
          <w:szCs w:val="21"/>
        </w:rPr>
        <w:t xml:space="preserve">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 </w:t>
      </w:r>
    </w:p>
    <w:p w14:paraId="7D149813">
      <w:pPr>
        <w:pStyle w:val="8"/>
        <w:spacing w:before="0" w:beforeAutospacing="0" w:after="0" w:afterAutospacing="0" w:line="360" w:lineRule="auto"/>
        <w:ind w:firstLine="420"/>
        <w:rPr>
          <w:sz w:val="21"/>
          <w:szCs w:val="21"/>
        </w:rPr>
      </w:pPr>
      <w:r>
        <w:rPr>
          <w:rFonts w:hint="eastAsia"/>
          <w:sz w:val="21"/>
          <w:szCs w:val="21"/>
        </w:rPr>
        <w:t>境外托管人根据基金财产所在地法律法规、证券交易所规则、市场惯例及其与基金托管人签订的主次托管协议持有并保管基金财产。基金托管人在已根据《试行办法》的要求谨慎、尽职的原则选择、委任和监督境外托管人，且境外托管人已按照当地法律法规、基金合同及托管协议的要求保管托管资产的前提下，资产托管人对境外托管人破产产生的损失不承担责任。但基金托管人根据资产管理人的指令采取措施进行追偿，基金管理人配合基金托管人进行追偿。除非基金管理人、基金托管人及其境外托管人存在过失、疏忽、欺诈或故意不当行为，基金管理人、基金托管人不对境外托管人依据当地法律法规、证券交易所规则、市场惯</w:t>
      </w:r>
      <w:bookmarkStart w:id="140" w:name="chapter_level1_16_62_section_1_end"/>
      <w:bookmarkEnd w:id="140"/>
      <w:r>
        <w:rPr>
          <w:rFonts w:hint="eastAsia"/>
          <w:sz w:val="21"/>
          <w:szCs w:val="21"/>
        </w:rPr>
        <w:t>例的作为或不作为承担责任。</w:t>
      </w:r>
    </w:p>
    <w:p w14:paraId="02ED2D7B">
      <w:pPr>
        <w:widowControl/>
        <w:jc w:val="left"/>
        <w:rPr>
          <w:rFonts w:ascii="宋体" w:hAnsi="宋体" w:eastAsia="宋体"/>
        </w:rPr>
      </w:pPr>
      <w:r>
        <w:rPr>
          <w:rFonts w:ascii="宋体" w:hAnsi="宋体" w:eastAsia="宋体"/>
        </w:rPr>
        <w:br w:type="page"/>
      </w:r>
    </w:p>
    <w:p w14:paraId="0D05EACB">
      <w:pPr>
        <w:pStyle w:val="2"/>
        <w:jc w:val="center"/>
        <w:rPr>
          <w:rFonts w:ascii="宋体" w:hAnsi="宋体" w:eastAsia="宋体"/>
          <w:sz w:val="30"/>
        </w:rPr>
      </w:pPr>
      <w:bookmarkStart w:id="141" w:name="chapter_level1_17_63"/>
      <w:bookmarkStart w:id="142" w:name="_Toc209441848"/>
      <w:r>
        <w:rPr>
          <w:rFonts w:hint="eastAsia" w:ascii="宋体" w:hAnsi="宋体" w:eastAsia="宋体"/>
          <w:sz w:val="30"/>
        </w:rPr>
        <w:t>第十四部分  基金资产的估值</w:t>
      </w:r>
      <w:bookmarkEnd w:id="141"/>
      <w:bookmarkEnd w:id="142"/>
    </w:p>
    <w:p w14:paraId="140A1D83">
      <w:pPr>
        <w:pStyle w:val="8"/>
        <w:spacing w:before="0" w:beforeAutospacing="0" w:after="0" w:afterAutospacing="0" w:line="360" w:lineRule="auto"/>
        <w:ind w:firstLine="420"/>
        <w:rPr>
          <w:sz w:val="21"/>
          <w:szCs w:val="21"/>
        </w:rPr>
      </w:pPr>
      <w:bookmarkStart w:id="143" w:name="chapter_level1_17_63_section_1"/>
      <w:bookmarkEnd w:id="143"/>
      <w:r>
        <w:rPr>
          <w:rFonts w:hint="eastAsia"/>
          <w:b/>
          <w:bCs/>
          <w:sz w:val="21"/>
          <w:szCs w:val="21"/>
        </w:rPr>
        <w:t>一、估值日</w:t>
      </w:r>
    </w:p>
    <w:p w14:paraId="056FD3D9">
      <w:pPr>
        <w:pStyle w:val="8"/>
        <w:spacing w:before="0" w:beforeAutospacing="0" w:after="0" w:afterAutospacing="0" w:line="360" w:lineRule="auto"/>
        <w:ind w:firstLine="420"/>
        <w:rPr>
          <w:sz w:val="21"/>
          <w:szCs w:val="21"/>
        </w:rPr>
      </w:pPr>
      <w:r>
        <w:rPr>
          <w:rFonts w:hint="eastAsia"/>
          <w:sz w:val="21"/>
          <w:szCs w:val="21"/>
        </w:rPr>
        <w:t xml:space="preserve">本基金的估值日为本基金的开放日以及国家法律法规规定需要对外披露基金净值的非开放日。 </w:t>
      </w:r>
    </w:p>
    <w:p w14:paraId="3CE0E17F">
      <w:pPr>
        <w:pStyle w:val="8"/>
        <w:spacing w:before="0" w:beforeAutospacing="0" w:after="0" w:afterAutospacing="0" w:line="360" w:lineRule="auto"/>
        <w:ind w:firstLine="420"/>
        <w:rPr>
          <w:sz w:val="21"/>
          <w:szCs w:val="21"/>
        </w:rPr>
      </w:pPr>
      <w:r>
        <w:rPr>
          <w:rFonts w:hint="eastAsia"/>
          <w:b/>
          <w:bCs/>
          <w:sz w:val="21"/>
          <w:szCs w:val="21"/>
        </w:rPr>
        <w:t>二、估值对象</w:t>
      </w:r>
    </w:p>
    <w:p w14:paraId="60AFC9FA">
      <w:pPr>
        <w:pStyle w:val="8"/>
        <w:spacing w:before="0" w:beforeAutospacing="0" w:after="0" w:afterAutospacing="0" w:line="360" w:lineRule="auto"/>
        <w:ind w:firstLine="420"/>
        <w:rPr>
          <w:sz w:val="21"/>
          <w:szCs w:val="21"/>
        </w:rPr>
      </w:pPr>
      <w:r>
        <w:rPr>
          <w:rFonts w:hint="eastAsia"/>
          <w:sz w:val="21"/>
          <w:szCs w:val="21"/>
        </w:rPr>
        <w:t xml:space="preserve">基金所拥有的股票、衍生品等有价证券、债券和银行存款本息、应收款项、其它投资等资产及负债。 </w:t>
      </w:r>
    </w:p>
    <w:p w14:paraId="1080E152">
      <w:pPr>
        <w:pStyle w:val="8"/>
        <w:spacing w:before="0" w:beforeAutospacing="0" w:after="0" w:afterAutospacing="0" w:line="360" w:lineRule="auto"/>
        <w:ind w:firstLine="420"/>
        <w:rPr>
          <w:sz w:val="21"/>
          <w:szCs w:val="21"/>
        </w:rPr>
      </w:pPr>
      <w:r>
        <w:rPr>
          <w:rFonts w:hint="eastAsia"/>
          <w:b/>
          <w:bCs/>
          <w:sz w:val="21"/>
          <w:szCs w:val="21"/>
        </w:rPr>
        <w:t>三、估值方法</w:t>
      </w:r>
    </w:p>
    <w:p w14:paraId="411B9170">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52B7D594">
      <w:pPr>
        <w:pStyle w:val="8"/>
        <w:spacing w:before="0" w:beforeAutospacing="0" w:after="0" w:afterAutospacing="0" w:line="360" w:lineRule="auto"/>
        <w:ind w:firstLine="420"/>
        <w:rPr>
          <w:sz w:val="21"/>
          <w:szCs w:val="21"/>
        </w:rPr>
      </w:pPr>
      <w:r>
        <w:rPr>
          <w:rFonts w:hint="eastAsia"/>
          <w:sz w:val="21"/>
          <w:szCs w:val="21"/>
        </w:rPr>
        <w:t xml:space="preserve">（1）交易所上市的有价证券（包括股票、权证、存托凭证、ETF基金等），以其估值日在证券交易所挂牌的市价（收盘价）估值；估值日无交易的，以最近交易日的市价（收盘价）估值。 </w:t>
      </w:r>
    </w:p>
    <w:p w14:paraId="26F940CE">
      <w:pPr>
        <w:pStyle w:val="8"/>
        <w:spacing w:before="0" w:beforeAutospacing="0" w:after="0" w:afterAutospacing="0" w:line="360" w:lineRule="auto"/>
        <w:ind w:firstLine="420"/>
        <w:rPr>
          <w:sz w:val="21"/>
          <w:szCs w:val="21"/>
        </w:rPr>
      </w:pPr>
      <w:r>
        <w:rPr>
          <w:rFonts w:hint="eastAsia"/>
          <w:sz w:val="21"/>
          <w:szCs w:val="21"/>
        </w:rPr>
        <w:t xml:space="preserve">（2）交易所上市实行净价交易的债券按估值日收盘价估值，估值日没有交易的，按最近交易日的收盘价估值。交易所上市未实行净价交易的债券按估值日收盘价减去债券收盘价中所含的债券应收利息得到的净价进行估值；估值日没有交易的，按最近交易日债券收盘价减去债券收盘价中所含的债券应收利息得到的净价进行估值。如最近交易日后经济环境发生了重大变化的，可参考类似投资品种的现行市价及重大变化因素，调整最近交易市价，确定公允价格。 </w:t>
      </w:r>
    </w:p>
    <w:p w14:paraId="0C51387C">
      <w:pPr>
        <w:pStyle w:val="8"/>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776A572F">
      <w:pPr>
        <w:pStyle w:val="8"/>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（1）送股、转增股、配股和公开增发的新股，按估值日在证券交易所挂牌的同一股票的市价（收盘价）估值；该日无交易的，以最近一日的市价（收盘价）估值； </w:t>
      </w:r>
    </w:p>
    <w:p w14:paraId="5967C532">
      <w:pPr>
        <w:pStyle w:val="8"/>
        <w:spacing w:before="0" w:beforeAutospacing="0" w:after="0" w:afterAutospacing="0" w:line="360" w:lineRule="auto"/>
        <w:ind w:firstLine="420"/>
        <w:rPr>
          <w:sz w:val="21"/>
          <w:szCs w:val="21"/>
        </w:rPr>
      </w:pPr>
      <w:r>
        <w:rPr>
          <w:rFonts w:hint="eastAsia"/>
          <w:sz w:val="21"/>
          <w:szCs w:val="21"/>
        </w:rPr>
        <w:t xml:space="preserve">（2）首次公开发行未上市的股票、债券和权证等按成本估值。 </w:t>
      </w:r>
    </w:p>
    <w:p w14:paraId="5A8A5AB5">
      <w:pPr>
        <w:pStyle w:val="8"/>
        <w:spacing w:before="0" w:beforeAutospacing="0" w:after="0" w:afterAutospacing="0" w:line="360" w:lineRule="auto"/>
        <w:ind w:firstLine="420"/>
        <w:rPr>
          <w:sz w:val="21"/>
          <w:szCs w:val="21"/>
        </w:rPr>
      </w:pPr>
      <w:r>
        <w:rPr>
          <w:rFonts w:hint="eastAsia"/>
          <w:sz w:val="21"/>
          <w:szCs w:val="21"/>
        </w:rPr>
        <w:t xml:space="preserve">3、因持有股票而享有的配股权证，从配股除权日起到配股确认日止，若配股权证可以在交易所交易，则按照1中确定的方法进行估值；不能在交易所交易的配股权证，如果收盘价高于配股价，则按收盘价和配股价的差额进行估值，如果收盘价低于或等于配股价，则估值为零。 </w:t>
      </w:r>
    </w:p>
    <w:p w14:paraId="15E06893">
      <w:pPr>
        <w:pStyle w:val="8"/>
        <w:spacing w:before="0" w:beforeAutospacing="0" w:after="0" w:afterAutospacing="0" w:line="360" w:lineRule="auto"/>
        <w:ind w:firstLine="420"/>
        <w:rPr>
          <w:sz w:val="21"/>
          <w:szCs w:val="21"/>
        </w:rPr>
      </w:pPr>
      <w:r>
        <w:rPr>
          <w:rFonts w:hint="eastAsia"/>
          <w:sz w:val="21"/>
          <w:szCs w:val="21"/>
        </w:rPr>
        <w:t xml:space="preserve">4、对于非上市证券，采用公允价值进行估值，具体可采用行业通用权威的报价系统提供的报价进行估值。 </w:t>
      </w:r>
    </w:p>
    <w:p w14:paraId="3F3CCCE7">
      <w:pPr>
        <w:pStyle w:val="8"/>
        <w:spacing w:before="0" w:beforeAutospacing="0" w:after="0" w:afterAutospacing="0" w:line="360" w:lineRule="auto"/>
        <w:ind w:firstLine="420"/>
        <w:rPr>
          <w:sz w:val="21"/>
          <w:szCs w:val="21"/>
        </w:rPr>
      </w:pPr>
      <w:r>
        <w:rPr>
          <w:rFonts w:hint="eastAsia"/>
          <w:sz w:val="21"/>
          <w:szCs w:val="21"/>
        </w:rPr>
        <w:t xml:space="preserve">5、开放式基金以其在估值日公布的净值进行估值，开放式基金未在估值日公布净值的，以估值日前最新公布的净值进行估值。 </w:t>
      </w:r>
    </w:p>
    <w:p w14:paraId="02EC7F94">
      <w:pPr>
        <w:pStyle w:val="8"/>
        <w:spacing w:before="0" w:beforeAutospacing="0" w:after="0" w:afterAutospacing="0" w:line="360" w:lineRule="auto"/>
        <w:ind w:firstLine="420"/>
        <w:rPr>
          <w:sz w:val="21"/>
          <w:szCs w:val="21"/>
        </w:rPr>
      </w:pPr>
      <w:r>
        <w:rPr>
          <w:rFonts w:hint="eastAsia"/>
          <w:sz w:val="21"/>
          <w:szCs w:val="21"/>
        </w:rPr>
        <w:t xml:space="preserve">6、基金持有的衍生工具等其他有价证券，上市交易的有价证券按估值日的收盘价估值；估值日没有交易的，按最近交易日的收盘价估值；未上市交易的，采用估值技术确定公允价值，在估值技术难以可靠计量的情况下，按成本估值；停止交易、但未行权的有价证券，采用估值技术确定公允价值。 </w:t>
      </w:r>
    </w:p>
    <w:p w14:paraId="3C2F16FE">
      <w:pPr>
        <w:pStyle w:val="8"/>
        <w:spacing w:before="0" w:beforeAutospacing="0" w:after="0" w:afterAutospacing="0" w:line="360" w:lineRule="auto"/>
        <w:ind w:firstLine="420"/>
        <w:rPr>
          <w:sz w:val="21"/>
          <w:szCs w:val="21"/>
        </w:rPr>
      </w:pPr>
      <w:r>
        <w:rPr>
          <w:rFonts w:hint="eastAsia"/>
          <w:sz w:val="21"/>
          <w:szCs w:val="21"/>
        </w:rPr>
        <w:t xml:space="preserve">7、外汇汇率 </w:t>
      </w:r>
    </w:p>
    <w:p w14:paraId="60DA5F6B">
      <w:pPr>
        <w:pStyle w:val="8"/>
        <w:spacing w:before="0" w:beforeAutospacing="0" w:after="0" w:afterAutospacing="0" w:line="360" w:lineRule="auto"/>
        <w:ind w:firstLine="420"/>
        <w:rPr>
          <w:sz w:val="21"/>
          <w:szCs w:val="21"/>
        </w:rPr>
      </w:pPr>
      <w:r>
        <w:rPr>
          <w:rFonts w:hint="eastAsia"/>
          <w:sz w:val="21"/>
          <w:szCs w:val="21"/>
        </w:rPr>
        <w:t xml:space="preserve">（1）估值计算中涉及美元、港币、日元、英镑、欧元五种主要货币的汇率，将依据估值日中国人民银行或其授权机构公布的人民币与主要货币的中间价为准。 </w:t>
      </w:r>
    </w:p>
    <w:p w14:paraId="393BF1F7">
      <w:pPr>
        <w:pStyle w:val="8"/>
        <w:spacing w:before="0" w:beforeAutospacing="0" w:after="0" w:afterAutospacing="0" w:line="360" w:lineRule="auto"/>
        <w:ind w:firstLine="420"/>
        <w:rPr>
          <w:sz w:val="21"/>
          <w:szCs w:val="21"/>
        </w:rPr>
      </w:pPr>
      <w:r>
        <w:rPr>
          <w:rFonts w:hint="eastAsia"/>
          <w:sz w:val="21"/>
          <w:szCs w:val="21"/>
        </w:rPr>
        <w:t xml:space="preserve">（2）其他货币采用美元作为中间货币进行换算，与美元之间的兑换汇率将按照彭博（Bloomberg）金融终端提供的兑换价格为准。 </w:t>
      </w:r>
    </w:p>
    <w:p w14:paraId="76FD47BA">
      <w:pPr>
        <w:pStyle w:val="8"/>
        <w:spacing w:before="0" w:beforeAutospacing="0" w:after="0" w:afterAutospacing="0" w:line="360" w:lineRule="auto"/>
        <w:ind w:firstLine="420"/>
        <w:rPr>
          <w:sz w:val="21"/>
          <w:szCs w:val="21"/>
        </w:rPr>
      </w:pPr>
      <w:r>
        <w:rPr>
          <w:rFonts w:hint="eastAsia"/>
          <w:sz w:val="21"/>
          <w:szCs w:val="21"/>
        </w:rPr>
        <w:t xml:space="preserve">若无法取得上述汇率价格信息时，以基金管理人和基金托管人共同认可的其他第三方汇率报价为准。 </w:t>
      </w:r>
    </w:p>
    <w:p w14:paraId="0785048A">
      <w:pPr>
        <w:pStyle w:val="8"/>
        <w:spacing w:before="0" w:beforeAutospacing="0" w:after="0" w:afterAutospacing="0" w:line="360" w:lineRule="auto"/>
        <w:ind w:firstLine="420"/>
        <w:rPr>
          <w:sz w:val="21"/>
          <w:szCs w:val="21"/>
        </w:rPr>
      </w:pPr>
      <w:r>
        <w:rPr>
          <w:rFonts w:hint="eastAsia"/>
          <w:sz w:val="21"/>
          <w:szCs w:val="21"/>
        </w:rPr>
        <w:t xml:space="preserve">8、对于按照中国法律法规和基金投资所在地的法律法规规定应交纳的各项税金，本基金将按权责发生制原则进行估值；对于因税收规定调整或其他原因导致基金实际交纳税金与估算的应交税金有差异的，基金将在相关税金实际支付日进行相应的估值调整。 </w:t>
      </w:r>
    </w:p>
    <w:p w14:paraId="3A660A16">
      <w:pPr>
        <w:pStyle w:val="8"/>
        <w:spacing w:before="0" w:beforeAutospacing="0" w:after="0" w:afterAutospacing="0" w:line="360" w:lineRule="auto"/>
        <w:ind w:firstLine="420"/>
        <w:rPr>
          <w:sz w:val="21"/>
          <w:szCs w:val="21"/>
        </w:rPr>
      </w:pPr>
      <w:r>
        <w:rPr>
          <w:rFonts w:hint="eastAsia"/>
          <w:sz w:val="21"/>
          <w:szCs w:val="21"/>
        </w:rPr>
        <w:t xml:space="preserve">9、在任何情况下，基金管理人如果采用本项1-8中规定的方法对基金资产进行估值，均应被认为采用了适当的估值方法。但是，如有确凿证据表明按上述方法进行估值不能客观反映其公允价值的，基金管理人可根据具体情况与基金托管人商定后，按最能反映公允价值的价格估值。 </w:t>
      </w:r>
    </w:p>
    <w:p w14:paraId="6409C889">
      <w:pPr>
        <w:pStyle w:val="8"/>
        <w:spacing w:before="0" w:beforeAutospacing="0" w:after="0" w:afterAutospacing="0" w:line="360" w:lineRule="auto"/>
        <w:ind w:firstLine="420"/>
        <w:rPr>
          <w:sz w:val="21"/>
          <w:szCs w:val="21"/>
        </w:rPr>
      </w:pPr>
      <w:r>
        <w:rPr>
          <w:rFonts w:hint="eastAsia"/>
          <w:sz w:val="21"/>
          <w:szCs w:val="21"/>
        </w:rPr>
        <w:t xml:space="preserve">10、相关法律法规以及监管部门有强制规定的，从其规定。如有新增事项，按国家最新规定估值。 </w:t>
      </w:r>
    </w:p>
    <w:p w14:paraId="4C7F6C47">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79759D29">
      <w:pPr>
        <w:pStyle w:val="8"/>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44" w:name="chapter_level1_17_63_section_1_end"/>
      <w:bookmarkEnd w:id="144"/>
      <w:r>
        <w:rPr>
          <w:rFonts w:hint="eastAsia"/>
          <w:sz w:val="21"/>
          <w:szCs w:val="21"/>
        </w:rPr>
        <w:t xml:space="preserve">予以公布。 </w:t>
      </w:r>
    </w:p>
    <w:p w14:paraId="5BB51DC4">
      <w:pPr>
        <w:pStyle w:val="8"/>
        <w:spacing w:before="0" w:beforeAutospacing="0" w:after="0" w:afterAutospacing="0" w:line="360" w:lineRule="auto"/>
        <w:ind w:firstLine="420"/>
        <w:rPr>
          <w:sz w:val="21"/>
          <w:szCs w:val="21"/>
        </w:rPr>
      </w:pPr>
      <w:bookmarkStart w:id="145" w:name="chapter_level1_17_63_section_2"/>
      <w:bookmarkEnd w:id="145"/>
      <w:r>
        <w:rPr>
          <w:rFonts w:hint="eastAsia"/>
          <w:b/>
          <w:bCs/>
          <w:sz w:val="21"/>
          <w:szCs w:val="21"/>
        </w:rPr>
        <w:t>四、估值程序</w:t>
      </w:r>
    </w:p>
    <w:p w14:paraId="7D412C47">
      <w:pPr>
        <w:pStyle w:val="8"/>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1、基金份额净值是按照每个工作日闭市后，基金资产净值除以当日基金份额的余额数量计算，精确到</w:t>
      </w:r>
      <w:bookmarkStart w:id="146" w:name="field_63_netdecimalvalue_1"/>
      <w:r>
        <w:rPr>
          <w:sz w:val="21"/>
          <w:szCs w:val="21"/>
        </w:rPr>
        <w:t>0.0001</w:t>
      </w:r>
      <w:bookmarkEnd w:id="146"/>
      <w:r>
        <w:rPr>
          <w:rFonts w:hint="eastAsia"/>
          <w:sz w:val="21"/>
          <w:szCs w:val="21"/>
        </w:rPr>
        <w:t xml:space="preserve">元，小数点后第五位四舍五入。国家另有规定的，从其规定。 </w:t>
      </w:r>
    </w:p>
    <w:p w14:paraId="19514AF0">
      <w:pPr>
        <w:pStyle w:val="8"/>
        <w:spacing w:before="0" w:beforeAutospacing="0" w:after="0" w:afterAutospacing="0" w:line="360" w:lineRule="auto"/>
        <w:ind w:firstLine="420"/>
        <w:rPr>
          <w:sz w:val="21"/>
          <w:szCs w:val="21"/>
        </w:rPr>
      </w:pPr>
      <w:r>
        <w:rPr>
          <w:rFonts w:hint="eastAsia"/>
          <w:sz w:val="21"/>
          <w:szCs w:val="21"/>
        </w:rPr>
        <w:t xml:space="preserve">每个工作日计算基金资产净值及基金份额净值，并按规定公告。 </w:t>
      </w:r>
    </w:p>
    <w:p w14:paraId="4F94CB76">
      <w:pPr>
        <w:pStyle w:val="8"/>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对外公布。 </w:t>
      </w:r>
    </w:p>
    <w:p w14:paraId="7FDF8409">
      <w:pPr>
        <w:pStyle w:val="8"/>
        <w:spacing w:before="0" w:beforeAutospacing="0" w:after="0" w:afterAutospacing="0" w:line="360" w:lineRule="auto"/>
        <w:ind w:firstLine="420"/>
        <w:rPr>
          <w:sz w:val="21"/>
          <w:szCs w:val="21"/>
        </w:rPr>
      </w:pPr>
      <w:r>
        <w:rPr>
          <w:rFonts w:hint="eastAsia"/>
          <w:sz w:val="21"/>
          <w:szCs w:val="21"/>
        </w:rPr>
        <w:t xml:space="preserve">3、在法律法规和中国证监会允许的情况下，基金管理人与基金托管人可以各自委托第三方机构进行基金资产估值，但不改变基金管理人与基金托管人对基金资产估值各自承担的责任。 </w:t>
      </w:r>
    </w:p>
    <w:p w14:paraId="35707121">
      <w:pPr>
        <w:pStyle w:val="8"/>
        <w:spacing w:before="0" w:beforeAutospacing="0" w:after="0" w:afterAutospacing="0" w:line="360" w:lineRule="auto"/>
        <w:ind w:firstLine="420"/>
        <w:rPr>
          <w:sz w:val="21"/>
          <w:szCs w:val="21"/>
        </w:rPr>
      </w:pPr>
      <w:r>
        <w:rPr>
          <w:rFonts w:hint="eastAsia"/>
          <w:b/>
          <w:bCs/>
          <w:sz w:val="21"/>
          <w:szCs w:val="21"/>
        </w:rPr>
        <w:t>五、估值错误的处理</w:t>
      </w:r>
    </w:p>
    <w:p w14:paraId="55F362BB">
      <w:pPr>
        <w:pStyle w:val="8"/>
        <w:spacing w:before="0" w:beforeAutospacing="0" w:after="0" w:afterAutospacing="0" w:line="360" w:lineRule="auto"/>
        <w:ind w:firstLine="420"/>
        <w:rPr>
          <w:sz w:val="21"/>
          <w:szCs w:val="21"/>
        </w:rPr>
      </w:pPr>
      <w:r>
        <w:rPr>
          <w:rFonts w:hint="eastAsia"/>
          <w:sz w:val="21"/>
          <w:szCs w:val="21"/>
        </w:rPr>
        <w:t xml:space="preserve">基金管理人和基金托管人将采取必要、适当、合理的措施确保基金资产估值的准确性、及时性。当基金份额净值小数点后四位以内(含第四位)发生估值错误时，视为基金份额净值错误。 </w:t>
      </w:r>
    </w:p>
    <w:p w14:paraId="76ABA583">
      <w:pPr>
        <w:pStyle w:val="8"/>
        <w:spacing w:before="0" w:beforeAutospacing="0" w:after="0" w:afterAutospacing="0" w:line="360" w:lineRule="auto"/>
        <w:ind w:firstLine="420"/>
        <w:rPr>
          <w:sz w:val="21"/>
          <w:szCs w:val="21"/>
        </w:rPr>
      </w:pPr>
      <w:r>
        <w:rPr>
          <w:rFonts w:hint="eastAsia"/>
          <w:sz w:val="21"/>
          <w:szCs w:val="21"/>
        </w:rPr>
        <w:t xml:space="preserve">基金合同的当事人按照以下约定处理： </w:t>
      </w:r>
    </w:p>
    <w:p w14:paraId="1AF338A6">
      <w:pPr>
        <w:pStyle w:val="8"/>
        <w:spacing w:before="0" w:beforeAutospacing="0" w:after="0" w:afterAutospacing="0" w:line="360" w:lineRule="auto"/>
        <w:ind w:firstLine="420"/>
        <w:rPr>
          <w:sz w:val="21"/>
          <w:szCs w:val="21"/>
        </w:rPr>
      </w:pPr>
      <w:r>
        <w:rPr>
          <w:rFonts w:hint="eastAsia"/>
          <w:sz w:val="21"/>
          <w:szCs w:val="21"/>
        </w:rPr>
        <w:t xml:space="preserve">1、估值错误类型 </w:t>
      </w:r>
    </w:p>
    <w:p w14:paraId="0CC22EE3">
      <w:pPr>
        <w:pStyle w:val="8"/>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结算机构、或代理销售机构、或投人者自身的过错造成估值错误，导致其他当事人遭受损失的，过错的责任人应当对由于该错误遭受损失的当事人（“受损方”）的直接损失按下述“估值错误处理原则”给予赔偿，承担赔偿责任。  </w:t>
      </w:r>
    </w:p>
    <w:p w14:paraId="6966E244">
      <w:pPr>
        <w:pStyle w:val="8"/>
        <w:spacing w:before="0" w:beforeAutospacing="0" w:after="0" w:afterAutospacing="0" w:line="360" w:lineRule="auto"/>
        <w:ind w:firstLine="420"/>
        <w:rPr>
          <w:sz w:val="21"/>
          <w:szCs w:val="21"/>
        </w:rPr>
      </w:pPr>
      <w:r>
        <w:rPr>
          <w:rFonts w:hint="eastAsia"/>
          <w:sz w:val="21"/>
          <w:szCs w:val="21"/>
        </w:rPr>
        <w:t xml:space="preserve">上述差错的主要类型包括但不限于：资料申报差错、数据传输差错、数据计算差错、系统故障差错、下达指令差错等；对于因技术原因引起的差错，若系同行业现有技术水平不能预见、不能避免、并不能克服的客观情况，按下列有关不可抗力的约定处理。 </w:t>
      </w:r>
    </w:p>
    <w:p w14:paraId="7362DB7B">
      <w:pPr>
        <w:pStyle w:val="8"/>
        <w:spacing w:before="0" w:beforeAutospacing="0" w:after="0" w:afterAutospacing="0" w:line="360" w:lineRule="auto"/>
        <w:ind w:firstLine="420"/>
        <w:rPr>
          <w:sz w:val="21"/>
          <w:szCs w:val="21"/>
        </w:rPr>
      </w:pPr>
      <w:r>
        <w:rPr>
          <w:rFonts w:hint="eastAsia"/>
          <w:sz w:val="21"/>
          <w:szCs w:val="21"/>
        </w:rPr>
        <w:t xml:space="preserve">由于不可抗力原因造成投资者的交易资料灭失或被错误处理或造成其他差错，因不可抗力原因出现差错的当事人不对其他当事人承担赔偿责任，但因该差错取得不当得利的当事人仍应负有返还不当得利的义务。 </w:t>
      </w:r>
    </w:p>
    <w:p w14:paraId="448CC087">
      <w:pPr>
        <w:pStyle w:val="8"/>
        <w:spacing w:before="0" w:beforeAutospacing="0" w:after="0" w:afterAutospacing="0" w:line="360" w:lineRule="auto"/>
        <w:ind w:firstLine="420"/>
        <w:rPr>
          <w:sz w:val="21"/>
          <w:szCs w:val="21"/>
        </w:rPr>
      </w:pPr>
      <w:r>
        <w:rPr>
          <w:rFonts w:hint="eastAsia"/>
          <w:sz w:val="21"/>
          <w:szCs w:val="21"/>
        </w:rPr>
        <w:t xml:space="preserve">2、估值错误处理原则 </w:t>
      </w:r>
    </w:p>
    <w:p w14:paraId="373E181A">
      <w:pPr>
        <w:pStyle w:val="8"/>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该当事人应当承担相应赔偿责任。估值错误责任方应对更正的情况向有关当事人进行确认，确保估值错误已得到更正。 </w:t>
      </w:r>
    </w:p>
    <w:p w14:paraId="12B37CC0">
      <w:pPr>
        <w:pStyle w:val="8"/>
        <w:spacing w:before="0" w:beforeAutospacing="0" w:after="0" w:afterAutospacing="0" w:line="360" w:lineRule="auto"/>
        <w:ind w:firstLine="420"/>
        <w:rPr>
          <w:sz w:val="21"/>
          <w:szCs w:val="21"/>
        </w:rPr>
      </w:pPr>
      <w:r>
        <w:rPr>
          <w:rFonts w:hint="eastAsia"/>
          <w:sz w:val="21"/>
          <w:szCs w:val="21"/>
        </w:rPr>
        <w:t xml:space="preserve">（2）估值错误的责任方对可能导致有关当事人的直接损失负责，不对间接损失负责，并且仅对差错的有关直接当事人负责，不对第三方负责。 </w:t>
      </w:r>
    </w:p>
    <w:p w14:paraId="6AD57B7B">
      <w:pPr>
        <w:pStyle w:val="8"/>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16D5AAED">
      <w:pPr>
        <w:pStyle w:val="8"/>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（4）估值错误调整采用尽量恢复至假设未发生差错的正确情形的方式。 </w:t>
      </w:r>
    </w:p>
    <w:p w14:paraId="67DBB634">
      <w:pPr>
        <w:pStyle w:val="8"/>
        <w:spacing w:before="0" w:beforeAutospacing="0" w:after="0" w:afterAutospacing="0" w:line="360" w:lineRule="auto"/>
        <w:ind w:firstLine="420"/>
        <w:rPr>
          <w:sz w:val="21"/>
          <w:szCs w:val="21"/>
        </w:rPr>
      </w:pPr>
      <w:r>
        <w:rPr>
          <w:rFonts w:hint="eastAsia"/>
          <w:sz w:val="21"/>
          <w:szCs w:val="21"/>
        </w:rPr>
        <w:t xml:space="preserve">3、差错处理程序 </w:t>
      </w:r>
    </w:p>
    <w:p w14:paraId="12F518A8">
      <w:pPr>
        <w:pStyle w:val="8"/>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7905161E">
      <w:pPr>
        <w:pStyle w:val="8"/>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（1）查明估值错误发生的原因，列明所有的当事人，并根据估值错误发生的原因确定差错的责任方； </w:t>
      </w:r>
    </w:p>
    <w:p w14:paraId="4639CDF9">
      <w:pPr>
        <w:pStyle w:val="8"/>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37D520CD">
      <w:pPr>
        <w:pStyle w:val="8"/>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17F09D74">
      <w:pPr>
        <w:pStyle w:val="8"/>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（4）根据估值错误处理的方法，需要修改基金登记结算机构的交易数据的，由基金登记结算机构进行更正，并就差错的更正向有关当事人进行确认； </w:t>
      </w:r>
    </w:p>
    <w:p w14:paraId="0FF97610">
      <w:pPr>
        <w:pStyle w:val="8"/>
        <w:spacing w:before="0" w:beforeAutospacing="0" w:after="0" w:afterAutospacing="0" w:line="360" w:lineRule="auto"/>
        <w:ind w:firstLine="420"/>
        <w:rPr>
          <w:sz w:val="21"/>
          <w:szCs w:val="21"/>
        </w:rPr>
      </w:pPr>
      <w:r>
        <w:rPr>
          <w:rFonts w:hint="eastAsia"/>
          <w:sz w:val="21"/>
          <w:szCs w:val="21"/>
        </w:rPr>
        <w:t xml:space="preserve">4、基金份额净值差错处理的原则和方法 </w:t>
      </w:r>
    </w:p>
    <w:p w14:paraId="6B67EB80">
      <w:pPr>
        <w:pStyle w:val="8"/>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0834C2A8">
      <w:pPr>
        <w:pStyle w:val="8"/>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（2）错误偏差达到基金份额净值的0.25%时，基金管理人应当通报基金托管人并报中国证监会备案；错误偏差达到基金份额净值的0.5%时，基金管理人应当公告、通报基金托管人并报中国证监会备案； </w:t>
      </w:r>
    </w:p>
    <w:p w14:paraId="07E97E67">
      <w:pPr>
        <w:pStyle w:val="8"/>
        <w:spacing w:before="0" w:beforeAutospacing="0" w:after="0" w:afterAutospacing="0" w:line="360" w:lineRule="auto"/>
        <w:ind w:firstLine="420"/>
        <w:rPr>
          <w:sz w:val="21"/>
          <w:szCs w:val="21"/>
        </w:rPr>
      </w:pPr>
      <w:r>
        <w:rPr>
          <w:rFonts w:hint="eastAsia"/>
          <w:sz w:val="21"/>
          <w:szCs w:val="21"/>
        </w:rPr>
        <w:t xml:space="preserve">（3）因基金份额净值计算错误，给基金或基金份额持有人造成损失的，应由基金管理人先行赔付，基金管理人按差错情形，有权向其他当事人追偿； </w:t>
      </w:r>
    </w:p>
    <w:p w14:paraId="19A4FCA3">
      <w:pPr>
        <w:pStyle w:val="8"/>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14:paraId="580A727E">
      <w:pPr>
        <w:pStyle w:val="8"/>
        <w:spacing w:before="0" w:beforeAutospacing="0" w:after="0" w:afterAutospacing="0" w:line="360" w:lineRule="auto"/>
        <w:ind w:firstLine="420"/>
        <w:rPr>
          <w:sz w:val="21"/>
          <w:szCs w:val="21"/>
        </w:rPr>
      </w:pPr>
      <w:r>
        <w:rPr>
          <w:rFonts w:hint="eastAsia"/>
          <w:sz w:val="21"/>
          <w:szCs w:val="21"/>
        </w:rPr>
        <w:t xml:space="preserve">（5）前述内容如法律法规或监管机关另有规定的，从其规定处理。 </w:t>
      </w:r>
    </w:p>
    <w:p w14:paraId="3F4014C3">
      <w:pPr>
        <w:pStyle w:val="8"/>
        <w:spacing w:before="0" w:beforeAutospacing="0" w:after="0" w:afterAutospacing="0" w:line="360" w:lineRule="auto"/>
        <w:ind w:firstLine="420"/>
        <w:rPr>
          <w:sz w:val="21"/>
          <w:szCs w:val="21"/>
        </w:rPr>
      </w:pPr>
      <w:r>
        <w:rPr>
          <w:rFonts w:hint="eastAsia"/>
          <w:b/>
          <w:bCs/>
          <w:sz w:val="21"/>
          <w:szCs w:val="21"/>
        </w:rPr>
        <w:t>六、暂停估值的情形</w:t>
      </w:r>
    </w:p>
    <w:p w14:paraId="302CC775">
      <w:pPr>
        <w:pStyle w:val="8"/>
        <w:spacing w:before="0" w:beforeAutospacing="0" w:after="0" w:afterAutospacing="0" w:line="360" w:lineRule="auto"/>
        <w:ind w:firstLine="420"/>
        <w:rPr>
          <w:sz w:val="21"/>
          <w:szCs w:val="21"/>
        </w:rPr>
      </w:pPr>
      <w:r>
        <w:rPr>
          <w:rFonts w:hint="eastAsia"/>
          <w:sz w:val="21"/>
          <w:szCs w:val="21"/>
        </w:rPr>
        <w:t xml:space="preserve">1、基金投资所涉及的主要证券交易所、市场或外汇市场遇法定节假日或因其他原因暂停交易时；  </w:t>
      </w:r>
    </w:p>
    <w:p w14:paraId="4045F835">
      <w:pPr>
        <w:pStyle w:val="8"/>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402968E0">
      <w:pPr>
        <w:pStyle w:val="8"/>
        <w:spacing w:before="0" w:beforeAutospacing="0" w:after="0" w:afterAutospacing="0" w:line="360" w:lineRule="auto"/>
        <w:ind w:firstLine="420"/>
        <w:rPr>
          <w:sz w:val="21"/>
          <w:szCs w:val="21"/>
        </w:rPr>
      </w:pPr>
      <w:r>
        <w:rPr>
          <w:rFonts w:hint="eastAsia"/>
          <w:sz w:val="21"/>
          <w:szCs w:val="21"/>
        </w:rPr>
        <w:t xml:space="preserve">3、占基金相当比例的投资品种的估值出现重大转变，而基金管理人为保障投资者的利益，已决定延迟估值； </w:t>
      </w:r>
    </w:p>
    <w:p w14:paraId="7936D71B">
      <w:pPr>
        <w:pStyle w:val="8"/>
        <w:spacing w:before="0" w:beforeAutospacing="0" w:after="0" w:afterAutospacing="0" w:line="360" w:lineRule="auto"/>
        <w:ind w:firstLine="420"/>
        <w:rPr>
          <w:sz w:val="21"/>
          <w:szCs w:val="21"/>
        </w:rPr>
      </w:pPr>
      <w:r>
        <w:rPr>
          <w:rFonts w:hint="eastAsia"/>
          <w:sz w:val="21"/>
          <w:szCs w:val="21"/>
        </w:rPr>
        <w:t xml:space="preserve">4、当前一估值日基金资产净值50%以上的资产出现无可参考的活跃市场价格且采用估值技术仍导致公允价值存在重大不确定性时，经与基金托管人协商一致的，应当暂停估值；  </w:t>
      </w:r>
    </w:p>
    <w:p w14:paraId="188B2683">
      <w:pPr>
        <w:pStyle w:val="8"/>
        <w:spacing w:before="0" w:beforeAutospacing="0" w:after="0" w:afterAutospacing="0" w:line="360" w:lineRule="auto"/>
        <w:ind w:firstLine="420"/>
        <w:rPr>
          <w:sz w:val="21"/>
          <w:szCs w:val="21"/>
        </w:rPr>
      </w:pPr>
      <w:r>
        <w:rPr>
          <w:rFonts w:hint="eastAsia"/>
          <w:sz w:val="21"/>
          <w:szCs w:val="21"/>
        </w:rPr>
        <w:t xml:space="preserve">5、法律法规规定、中国证监会和基金合同认定的其它情形。 </w:t>
      </w:r>
    </w:p>
    <w:p w14:paraId="5F794ECC">
      <w:pPr>
        <w:pStyle w:val="8"/>
        <w:spacing w:before="0" w:beforeAutospacing="0" w:after="0" w:afterAutospacing="0" w:line="360" w:lineRule="auto"/>
        <w:ind w:firstLine="420"/>
        <w:rPr>
          <w:sz w:val="21"/>
          <w:szCs w:val="21"/>
        </w:rPr>
      </w:pPr>
      <w:r>
        <w:rPr>
          <w:rFonts w:hint="eastAsia"/>
          <w:b/>
          <w:bCs/>
          <w:sz w:val="21"/>
          <w:szCs w:val="21"/>
        </w:rPr>
        <w:t>七、基金净值的确认</w:t>
      </w:r>
    </w:p>
    <w:p w14:paraId="0DBA0227">
      <w:pPr>
        <w:pStyle w:val="8"/>
        <w:spacing w:before="0" w:beforeAutospacing="0" w:after="0" w:afterAutospacing="0" w:line="360" w:lineRule="auto"/>
        <w:ind w:firstLine="420"/>
        <w:rPr>
          <w:sz w:val="21"/>
          <w:szCs w:val="21"/>
        </w:rPr>
      </w:pPr>
      <w:r>
        <w:rPr>
          <w:rFonts w:hint="eastAsia"/>
          <w:sz w:val="21"/>
          <w:szCs w:val="21"/>
        </w:rPr>
        <w:t xml:space="preserve">基金资产净值和基金份额净值由基金管理人负责计算，基金托管人负责进行复核。基金托管人对净值计算结果复核确认后发送给基金管理人，由基金管理人按规定对基金净值予以公布。 </w:t>
      </w:r>
    </w:p>
    <w:p w14:paraId="6F2CBFAE">
      <w:pPr>
        <w:pStyle w:val="8"/>
        <w:spacing w:before="0" w:beforeAutospacing="0" w:after="0" w:afterAutospacing="0" w:line="360" w:lineRule="auto"/>
        <w:ind w:firstLine="420"/>
        <w:rPr>
          <w:sz w:val="21"/>
          <w:szCs w:val="21"/>
        </w:rPr>
      </w:pPr>
      <w:r>
        <w:rPr>
          <w:rFonts w:hint="eastAsia"/>
          <w:b/>
          <w:bCs/>
          <w:sz w:val="21"/>
          <w:szCs w:val="21"/>
        </w:rPr>
        <w:t>八、特殊情况的处理</w:t>
      </w:r>
    </w:p>
    <w:p w14:paraId="71D538BB">
      <w:pPr>
        <w:pStyle w:val="8"/>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1、基金管理人或基金托管人按估值方法的第9项进行估值时，所造成的误差不作为基金资产估值错误处理。 </w:t>
      </w:r>
    </w:p>
    <w:p w14:paraId="13BAB9F7">
      <w:pPr>
        <w:pStyle w:val="8"/>
        <w:spacing w:before="0" w:beforeAutospacing="0" w:after="0" w:afterAutospacing="0" w:line="360" w:lineRule="auto"/>
        <w:ind w:firstLine="420"/>
        <w:rPr>
          <w:sz w:val="21"/>
          <w:szCs w:val="21"/>
        </w:rPr>
      </w:pPr>
      <w:r>
        <w:rPr>
          <w:rFonts w:hint="eastAsia"/>
          <w:sz w:val="21"/>
          <w:szCs w:val="21"/>
        </w:rPr>
        <w:t>2、由于不可抗力原因，或由于证券交易所或登记结算机构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w:t>
      </w:r>
      <w:bookmarkStart w:id="147" w:name="chapter_level1_17_63_section_2_end"/>
      <w:bookmarkEnd w:id="147"/>
      <w:r>
        <w:rPr>
          <w:rFonts w:hint="eastAsia"/>
          <w:sz w:val="21"/>
          <w:szCs w:val="21"/>
        </w:rPr>
        <w:t xml:space="preserve">的影响。 </w:t>
      </w:r>
    </w:p>
    <w:p w14:paraId="10FC3AAA">
      <w:pPr>
        <w:widowControl/>
        <w:jc w:val="left"/>
        <w:rPr>
          <w:rFonts w:ascii="宋体" w:hAnsi="宋体" w:eastAsia="宋体"/>
        </w:rPr>
      </w:pPr>
      <w:r>
        <w:rPr>
          <w:rFonts w:ascii="宋体" w:hAnsi="宋体" w:eastAsia="宋体"/>
        </w:rPr>
        <w:br w:type="page"/>
      </w:r>
    </w:p>
    <w:p w14:paraId="4ECACEB4">
      <w:pPr>
        <w:pStyle w:val="2"/>
        <w:jc w:val="center"/>
        <w:rPr>
          <w:rFonts w:ascii="宋体" w:hAnsi="宋体" w:eastAsia="宋体"/>
          <w:sz w:val="30"/>
        </w:rPr>
      </w:pPr>
      <w:bookmarkStart w:id="148" w:name="chapter_level1_18_64"/>
      <w:bookmarkStart w:id="149" w:name="_Toc209441849"/>
      <w:r>
        <w:rPr>
          <w:rFonts w:hint="eastAsia" w:ascii="宋体" w:hAnsi="宋体" w:eastAsia="宋体"/>
          <w:sz w:val="30"/>
        </w:rPr>
        <w:t>第十五部分  基金的收益与分配</w:t>
      </w:r>
      <w:bookmarkEnd w:id="148"/>
      <w:bookmarkEnd w:id="149"/>
    </w:p>
    <w:p w14:paraId="004332A6">
      <w:pPr>
        <w:pStyle w:val="8"/>
        <w:spacing w:before="0" w:beforeAutospacing="0" w:after="0" w:afterAutospacing="0" w:line="360" w:lineRule="auto"/>
        <w:ind w:firstLine="420"/>
        <w:rPr>
          <w:sz w:val="21"/>
          <w:szCs w:val="21"/>
        </w:rPr>
      </w:pPr>
      <w:bookmarkStart w:id="150" w:name="chapter_level1_18_64_section_1"/>
      <w:bookmarkEnd w:id="150"/>
      <w:r>
        <w:rPr>
          <w:rFonts w:hint="eastAsia"/>
          <w:b/>
          <w:bCs/>
          <w:sz w:val="21"/>
          <w:szCs w:val="21"/>
        </w:rPr>
        <w:t>一、基金利润的构成</w:t>
      </w:r>
    </w:p>
    <w:p w14:paraId="79F5DF28">
      <w:pPr>
        <w:pStyle w:val="8"/>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413AA4BD">
      <w:pPr>
        <w:pStyle w:val="8"/>
        <w:spacing w:before="0" w:beforeAutospacing="0" w:after="0" w:afterAutospacing="0" w:line="360" w:lineRule="auto"/>
        <w:ind w:firstLine="420"/>
        <w:rPr>
          <w:sz w:val="21"/>
          <w:szCs w:val="21"/>
        </w:rPr>
      </w:pPr>
      <w:r>
        <w:rPr>
          <w:rFonts w:hint="eastAsia"/>
          <w:b/>
          <w:bCs/>
          <w:sz w:val="21"/>
          <w:szCs w:val="21"/>
        </w:rPr>
        <w:t>二、基金可供分配利润</w:t>
      </w:r>
    </w:p>
    <w:p w14:paraId="422FBC1E">
      <w:pPr>
        <w:pStyle w:val="8"/>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3069D727">
      <w:pPr>
        <w:pStyle w:val="8"/>
        <w:spacing w:before="0" w:beforeAutospacing="0" w:after="0" w:afterAutospacing="0" w:line="360" w:lineRule="auto"/>
        <w:ind w:firstLine="420"/>
        <w:rPr>
          <w:sz w:val="21"/>
          <w:szCs w:val="21"/>
        </w:rPr>
      </w:pPr>
      <w:r>
        <w:rPr>
          <w:rFonts w:hint="eastAsia"/>
          <w:b/>
          <w:bCs/>
          <w:sz w:val="21"/>
          <w:szCs w:val="21"/>
        </w:rPr>
        <w:t>三、基金收益分配原则</w:t>
      </w:r>
    </w:p>
    <w:p w14:paraId="41EB0B09">
      <w:pPr>
        <w:pStyle w:val="8"/>
        <w:spacing w:before="0" w:beforeAutospacing="0" w:after="0" w:afterAutospacing="0" w:line="360" w:lineRule="auto"/>
        <w:ind w:firstLine="420"/>
        <w:rPr>
          <w:sz w:val="21"/>
          <w:szCs w:val="21"/>
        </w:rPr>
      </w:pPr>
      <w:r>
        <w:rPr>
          <w:rFonts w:hint="eastAsia"/>
          <w:sz w:val="21"/>
          <w:szCs w:val="21"/>
        </w:rPr>
        <w:t xml:space="preserve">1、基金收益分配采用现金方式； </w:t>
      </w:r>
    </w:p>
    <w:p w14:paraId="78F8715F">
      <w:pPr>
        <w:pStyle w:val="8"/>
        <w:spacing w:before="0" w:beforeAutospacing="0" w:after="0" w:afterAutospacing="0" w:line="360" w:lineRule="auto"/>
        <w:ind w:firstLine="420"/>
        <w:rPr>
          <w:sz w:val="21"/>
          <w:szCs w:val="21"/>
        </w:rPr>
      </w:pPr>
      <w:r>
        <w:rPr>
          <w:rFonts w:hint="eastAsia"/>
          <w:sz w:val="21"/>
          <w:szCs w:val="21"/>
        </w:rPr>
        <w:t xml:space="preserve">2、本基金的每份基金份额享有同等分配权； </w:t>
      </w:r>
    </w:p>
    <w:p w14:paraId="7BE9E1A1">
      <w:pPr>
        <w:pStyle w:val="8"/>
        <w:spacing w:before="0" w:beforeAutospacing="0" w:after="0" w:afterAutospacing="0" w:line="360" w:lineRule="auto"/>
        <w:ind w:firstLine="420"/>
        <w:rPr>
          <w:sz w:val="21"/>
          <w:szCs w:val="21"/>
        </w:rPr>
      </w:pPr>
      <w:r>
        <w:rPr>
          <w:rFonts w:hint="eastAsia"/>
          <w:sz w:val="21"/>
          <w:szCs w:val="21"/>
        </w:rPr>
        <w:t xml:space="preserve">3、基金收益评价日核定的基金累计收益率超过标的指数同期累计收益率（经汇率调整）达到1%以上，方可进行收益分配； </w:t>
      </w:r>
    </w:p>
    <w:p w14:paraId="02DF1641">
      <w:pPr>
        <w:pStyle w:val="8"/>
        <w:spacing w:before="0" w:beforeAutospacing="0" w:after="0" w:afterAutospacing="0" w:line="360" w:lineRule="auto"/>
        <w:ind w:firstLine="420"/>
        <w:rPr>
          <w:sz w:val="21"/>
          <w:szCs w:val="21"/>
        </w:rPr>
      </w:pPr>
      <w:r>
        <w:rPr>
          <w:rFonts w:hint="eastAsia"/>
          <w:sz w:val="21"/>
          <w:szCs w:val="21"/>
        </w:rPr>
        <w:t xml:space="preserve">4、基金收益每年最多分配2次。每次基金收益分配比例根据以下原则确定：使收益分配后基金净值增长率尽可能贴近标的指数同期增长率。基于本基金的性质和特点，本基金收益分配不须以弥补浮动亏损为前提，收益分配后可能使除息后的基金份额净值低于面值； </w:t>
      </w:r>
    </w:p>
    <w:p w14:paraId="42DF5530">
      <w:pPr>
        <w:pStyle w:val="8"/>
        <w:spacing w:before="0" w:beforeAutospacing="0" w:after="0" w:afterAutospacing="0" w:line="360" w:lineRule="auto"/>
        <w:ind w:firstLine="420"/>
        <w:rPr>
          <w:sz w:val="21"/>
          <w:szCs w:val="21"/>
        </w:rPr>
      </w:pPr>
      <w:r>
        <w:rPr>
          <w:rFonts w:hint="eastAsia"/>
          <w:sz w:val="21"/>
          <w:szCs w:val="21"/>
        </w:rPr>
        <w:t xml:space="preserve">5、法律法规或监管机构另有规定的从其规定。 </w:t>
      </w:r>
    </w:p>
    <w:p w14:paraId="7BE981E9">
      <w:pPr>
        <w:pStyle w:val="8"/>
        <w:spacing w:before="0" w:beforeAutospacing="0" w:after="0" w:afterAutospacing="0" w:line="360" w:lineRule="auto"/>
        <w:ind w:firstLine="420"/>
        <w:rPr>
          <w:sz w:val="21"/>
          <w:szCs w:val="21"/>
        </w:rPr>
      </w:pPr>
      <w:r>
        <w:rPr>
          <w:rFonts w:hint="eastAsia"/>
          <w:sz w:val="21"/>
          <w:szCs w:val="21"/>
        </w:rPr>
        <w:t>在不影响基金份额持有人利益的情况下，基金管理人可在法律法规允许的前提下酌情调整以上基金收益分配原则，此项调整不需要召开基金份额持有人大会，但应于变更实施日前</w:t>
      </w:r>
      <w:bookmarkStart w:id="151" w:name="chapter_level1_18_64_section_1_end"/>
      <w:bookmarkEnd w:id="151"/>
      <w:r>
        <w:rPr>
          <w:rFonts w:hint="eastAsia"/>
          <w:sz w:val="21"/>
          <w:szCs w:val="21"/>
        </w:rPr>
        <w:t xml:space="preserve">在指定媒介上公告。 </w:t>
      </w:r>
    </w:p>
    <w:p w14:paraId="0E920900">
      <w:pPr>
        <w:pStyle w:val="8"/>
        <w:spacing w:before="0" w:beforeAutospacing="0" w:after="0" w:afterAutospacing="0" w:line="360" w:lineRule="auto"/>
        <w:ind w:firstLine="420"/>
        <w:rPr>
          <w:sz w:val="21"/>
          <w:szCs w:val="21"/>
        </w:rPr>
      </w:pPr>
      <w:bookmarkStart w:id="152" w:name="chapter_level1_18_64_section_2"/>
      <w:bookmarkEnd w:id="152"/>
      <w:r>
        <w:rPr>
          <w:rFonts w:hint="eastAsia"/>
          <w:b/>
          <w:bCs/>
          <w:sz w:val="21"/>
          <w:szCs w:val="21"/>
        </w:rPr>
        <w:t>四、基金收益分配比例及金额的确定原则</w:t>
      </w:r>
    </w:p>
    <w:p w14:paraId="530CCC74">
      <w:pPr>
        <w:pStyle w:val="8"/>
        <w:spacing w:before="0" w:beforeAutospacing="0" w:after="0" w:afterAutospacing="0" w:line="360" w:lineRule="auto"/>
        <w:ind w:firstLine="420"/>
        <w:rPr>
          <w:sz w:val="21"/>
          <w:szCs w:val="21"/>
        </w:rPr>
      </w:pPr>
      <w:r>
        <w:rPr>
          <w:rFonts w:hint="eastAsia"/>
          <w:sz w:val="21"/>
          <w:szCs w:val="21"/>
        </w:rPr>
        <w:t xml:space="preserve">1、在收益评价日，基金管理人计算基金累计收益率、标的指数同期累计收益率。 </w:t>
      </w:r>
    </w:p>
    <w:p w14:paraId="0B6B66AC">
      <w:pPr>
        <w:pStyle w:val="8"/>
        <w:spacing w:before="0" w:beforeAutospacing="0" w:after="0" w:afterAutospacing="0" w:line="360" w:lineRule="auto"/>
        <w:ind w:firstLine="420"/>
        <w:rPr>
          <w:sz w:val="21"/>
          <w:szCs w:val="21"/>
        </w:rPr>
      </w:pPr>
      <w:r>
        <w:rPr>
          <w:rFonts w:hint="eastAsia"/>
          <w:sz w:val="21"/>
          <w:szCs w:val="21"/>
        </w:rPr>
        <w:t xml:space="preserve">基金收益评价日本基金相对标的指数的超额收益率＝基金累计收益率－标的指数同期累计收益率。 </w:t>
      </w:r>
    </w:p>
    <w:p w14:paraId="70ADEF86">
      <w:pPr>
        <w:pStyle w:val="8"/>
        <w:spacing w:before="0" w:beforeAutospacing="0" w:after="0" w:afterAutospacing="0" w:line="360" w:lineRule="auto"/>
        <w:ind w:firstLine="420"/>
        <w:rPr>
          <w:sz w:val="21"/>
          <w:szCs w:val="21"/>
        </w:rPr>
      </w:pPr>
      <w:r>
        <w:rPr>
          <w:rFonts w:hint="eastAsia"/>
          <w:sz w:val="21"/>
          <w:szCs w:val="21"/>
        </w:rPr>
        <w:t xml:space="preserve">基金累计收益率为收益评价日基金份额净值与基金上市前一日基金份额净值之比减去1乘以100%；标的指数同期累计收益率为收益评价日标的指数收盘价（经汇率调整）与基金上市前一日标的指数收盘价（经汇率调整）之比减去1乘以100%。 </w:t>
      </w:r>
    </w:p>
    <w:p w14:paraId="798BDA0C">
      <w:pPr>
        <w:pStyle w:val="8"/>
        <w:spacing w:before="0" w:beforeAutospacing="0" w:after="0" w:afterAutospacing="0" w:line="360" w:lineRule="auto"/>
        <w:ind w:firstLine="420"/>
        <w:rPr>
          <w:sz w:val="21"/>
          <w:szCs w:val="21"/>
        </w:rPr>
      </w:pPr>
      <w:r>
        <w:rPr>
          <w:rFonts w:hint="eastAsia"/>
          <w:sz w:val="21"/>
          <w:szCs w:val="21"/>
        </w:rPr>
        <w:t xml:space="preserve">期间如发生基金份额折算（包括基金份额的拆分和合并），则以基金份额折算日为初始日重新计算上述指标。 </w:t>
      </w:r>
    </w:p>
    <w:p w14:paraId="085C87A3">
      <w:pPr>
        <w:pStyle w:val="8"/>
        <w:spacing w:before="0" w:beforeAutospacing="0" w:after="0" w:afterAutospacing="0" w:line="360" w:lineRule="auto"/>
        <w:ind w:firstLine="420"/>
        <w:rPr>
          <w:sz w:val="21"/>
          <w:szCs w:val="21"/>
        </w:rPr>
      </w:pPr>
      <w:r>
        <w:rPr>
          <w:rFonts w:hint="eastAsia"/>
          <w:sz w:val="21"/>
          <w:szCs w:val="21"/>
        </w:rPr>
        <w:t xml:space="preserve">收益评价日日期以本基金相关公告为准。 </w:t>
      </w:r>
    </w:p>
    <w:p w14:paraId="324BCB55">
      <w:pPr>
        <w:pStyle w:val="8"/>
        <w:spacing w:before="0" w:beforeAutospacing="0" w:after="0" w:afterAutospacing="0" w:line="360" w:lineRule="auto"/>
        <w:ind w:firstLine="420"/>
        <w:rPr>
          <w:sz w:val="21"/>
          <w:szCs w:val="21"/>
        </w:rPr>
      </w:pPr>
      <w:r>
        <w:rPr>
          <w:rFonts w:hint="eastAsia"/>
          <w:sz w:val="21"/>
          <w:szCs w:val="21"/>
        </w:rPr>
        <w:t xml:space="preserve">2、根据前述收益分配原则计算截至基金收益评价日本基金的份额可分配收益，并确定收益分配比例。 </w:t>
      </w:r>
    </w:p>
    <w:p w14:paraId="464FD0ED">
      <w:pPr>
        <w:pStyle w:val="8"/>
        <w:spacing w:before="0" w:beforeAutospacing="0" w:after="0" w:afterAutospacing="0" w:line="360" w:lineRule="auto"/>
        <w:ind w:firstLine="420"/>
        <w:rPr>
          <w:sz w:val="21"/>
          <w:szCs w:val="21"/>
        </w:rPr>
      </w:pPr>
      <w:r>
        <w:rPr>
          <w:rFonts w:hint="eastAsia"/>
          <w:sz w:val="21"/>
          <w:szCs w:val="21"/>
        </w:rPr>
        <w:t xml:space="preserve">3、根据前述可供分配利润及收益分配比例计算收益分配金额。 </w:t>
      </w:r>
    </w:p>
    <w:p w14:paraId="10C05802">
      <w:pPr>
        <w:pStyle w:val="8"/>
        <w:spacing w:before="0" w:beforeAutospacing="0" w:after="0" w:afterAutospacing="0" w:line="360" w:lineRule="auto"/>
        <w:ind w:firstLine="420"/>
        <w:rPr>
          <w:sz w:val="21"/>
          <w:szCs w:val="21"/>
        </w:rPr>
      </w:pPr>
      <w:r>
        <w:rPr>
          <w:rFonts w:hint="eastAsia"/>
          <w:b/>
          <w:bCs/>
          <w:sz w:val="21"/>
          <w:szCs w:val="21"/>
        </w:rPr>
        <w:t>五、收益分配方案</w:t>
      </w:r>
    </w:p>
    <w:p w14:paraId="277B825E">
      <w:pPr>
        <w:pStyle w:val="8"/>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10E7E86D">
      <w:pPr>
        <w:pStyle w:val="8"/>
        <w:spacing w:before="0" w:beforeAutospacing="0" w:after="0" w:afterAutospacing="0" w:line="360" w:lineRule="auto"/>
        <w:ind w:firstLine="420"/>
        <w:rPr>
          <w:sz w:val="21"/>
          <w:szCs w:val="21"/>
        </w:rPr>
      </w:pPr>
      <w:r>
        <w:rPr>
          <w:rFonts w:hint="eastAsia"/>
          <w:b/>
          <w:bCs/>
          <w:sz w:val="21"/>
          <w:szCs w:val="21"/>
        </w:rPr>
        <w:t>六、收益分配方案的确定、公告与实施</w:t>
      </w:r>
    </w:p>
    <w:p w14:paraId="36EB98B9">
      <w:pPr>
        <w:pStyle w:val="8"/>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14:paraId="297E1648">
      <w:pPr>
        <w:pStyle w:val="8"/>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14:paraId="24D4D590">
      <w:pPr>
        <w:pStyle w:val="8"/>
        <w:spacing w:before="0" w:beforeAutospacing="0" w:after="0" w:afterAutospacing="0" w:line="360" w:lineRule="auto"/>
        <w:ind w:firstLine="420"/>
        <w:rPr>
          <w:sz w:val="21"/>
          <w:szCs w:val="21"/>
        </w:rPr>
      </w:pPr>
      <w:r>
        <w:rPr>
          <w:rFonts w:hint="eastAsia"/>
          <w:b/>
          <w:bCs/>
          <w:sz w:val="21"/>
          <w:szCs w:val="21"/>
        </w:rPr>
        <w:t>七、基金收益分配中发生的费用</w:t>
      </w:r>
    </w:p>
    <w:p w14:paraId="258B8A4E">
      <w:pPr>
        <w:pStyle w:val="8"/>
        <w:spacing w:before="0" w:beforeAutospacing="0" w:after="0" w:afterAutospacing="0" w:line="360" w:lineRule="auto"/>
        <w:ind w:firstLine="420"/>
        <w:rPr>
          <w:sz w:val="21"/>
          <w:szCs w:val="21"/>
        </w:rPr>
      </w:pPr>
      <w:bookmarkStart w:id="153" w:name="chapter_level1_18_64_section_2_end"/>
      <w:bookmarkEnd w:id="153"/>
      <w:r>
        <w:rPr>
          <w:rFonts w:hint="eastAsia"/>
          <w:sz w:val="21"/>
          <w:szCs w:val="21"/>
        </w:rPr>
        <w:t xml:space="preserve">基金收益分配时所发生的银行转账或其他手续费用由投资人自行承担。 </w:t>
      </w:r>
    </w:p>
    <w:p w14:paraId="504524A9">
      <w:pPr>
        <w:widowControl/>
        <w:jc w:val="left"/>
        <w:rPr>
          <w:rFonts w:ascii="宋体" w:hAnsi="宋体" w:eastAsia="宋体"/>
        </w:rPr>
      </w:pPr>
      <w:r>
        <w:rPr>
          <w:rFonts w:ascii="宋体" w:hAnsi="宋体" w:eastAsia="宋体"/>
        </w:rPr>
        <w:br w:type="page"/>
      </w:r>
    </w:p>
    <w:p w14:paraId="20C11F71">
      <w:pPr>
        <w:pStyle w:val="2"/>
        <w:jc w:val="center"/>
        <w:rPr>
          <w:rFonts w:ascii="宋体" w:hAnsi="宋体" w:eastAsia="宋体"/>
          <w:sz w:val="30"/>
        </w:rPr>
      </w:pPr>
      <w:bookmarkStart w:id="154" w:name="chapter_level1_19_65"/>
      <w:bookmarkStart w:id="155" w:name="_Toc209441850"/>
      <w:r>
        <w:rPr>
          <w:rFonts w:hint="eastAsia" w:ascii="宋体" w:hAnsi="宋体" w:eastAsia="宋体"/>
          <w:sz w:val="30"/>
        </w:rPr>
        <w:t>第十六部分  基金的费用与税收</w:t>
      </w:r>
      <w:bookmarkEnd w:id="154"/>
      <w:bookmarkEnd w:id="155"/>
    </w:p>
    <w:p w14:paraId="44730ED2">
      <w:pPr>
        <w:pStyle w:val="8"/>
        <w:spacing w:before="0" w:beforeAutospacing="0" w:after="0" w:afterAutospacing="0" w:line="360" w:lineRule="auto"/>
        <w:ind w:firstLine="420"/>
        <w:rPr>
          <w:sz w:val="21"/>
          <w:szCs w:val="21"/>
        </w:rPr>
      </w:pPr>
      <w:bookmarkStart w:id="156" w:name="chapter_level1_19_65_section_1"/>
      <w:bookmarkEnd w:id="156"/>
      <w:r>
        <w:rPr>
          <w:rFonts w:hint="eastAsia"/>
          <w:b/>
          <w:bCs/>
          <w:sz w:val="21"/>
          <w:szCs w:val="21"/>
        </w:rPr>
        <w:t>一、与基金运作有关的费用</w:t>
      </w:r>
    </w:p>
    <w:p w14:paraId="71CB1D0C">
      <w:pPr>
        <w:pStyle w:val="8"/>
        <w:spacing w:before="0" w:beforeAutospacing="0" w:after="0" w:afterAutospacing="0" w:line="360" w:lineRule="auto"/>
        <w:ind w:firstLine="420"/>
        <w:rPr>
          <w:sz w:val="21"/>
          <w:szCs w:val="21"/>
        </w:rPr>
      </w:pPr>
      <w:r>
        <w:rPr>
          <w:rFonts w:hint="eastAsia"/>
          <w:b/>
          <w:bCs/>
          <w:sz w:val="21"/>
          <w:szCs w:val="21"/>
        </w:rPr>
        <w:t>（一）、基金费用的种类</w:t>
      </w:r>
    </w:p>
    <w:p w14:paraId="1BCF5B65">
      <w:pPr>
        <w:pStyle w:val="8"/>
        <w:spacing w:before="0" w:beforeAutospacing="0" w:after="0" w:afterAutospacing="0" w:line="360" w:lineRule="auto"/>
        <w:ind w:firstLine="420"/>
        <w:rPr>
          <w:sz w:val="21"/>
          <w:szCs w:val="21"/>
        </w:rPr>
      </w:pPr>
      <w:r>
        <w:rPr>
          <w:rFonts w:hint="eastAsia"/>
          <w:sz w:val="21"/>
          <w:szCs w:val="21"/>
        </w:rPr>
        <w:t xml:space="preserve">1、基金的管理费； </w:t>
      </w:r>
    </w:p>
    <w:p w14:paraId="322F133C">
      <w:pPr>
        <w:pStyle w:val="8"/>
        <w:spacing w:before="0" w:beforeAutospacing="0" w:after="0" w:afterAutospacing="0" w:line="360" w:lineRule="auto"/>
        <w:ind w:firstLine="420"/>
        <w:rPr>
          <w:sz w:val="21"/>
          <w:szCs w:val="21"/>
        </w:rPr>
      </w:pPr>
      <w:r>
        <w:rPr>
          <w:rFonts w:hint="eastAsia"/>
          <w:sz w:val="21"/>
          <w:szCs w:val="21"/>
        </w:rPr>
        <w:t xml:space="preserve">2、基金的托管费； </w:t>
      </w:r>
    </w:p>
    <w:p w14:paraId="7250F925">
      <w:pPr>
        <w:pStyle w:val="8"/>
        <w:spacing w:before="0" w:beforeAutospacing="0" w:after="0" w:afterAutospacing="0" w:line="360" w:lineRule="auto"/>
        <w:ind w:firstLine="420"/>
        <w:rPr>
          <w:sz w:val="21"/>
          <w:szCs w:val="21"/>
        </w:rPr>
      </w:pPr>
      <w:r>
        <w:rPr>
          <w:rFonts w:hint="eastAsia"/>
          <w:sz w:val="21"/>
          <w:szCs w:val="21"/>
        </w:rPr>
        <w:t xml:space="preserve">3、基金合同生效后与基金相关的信息披露费用，法律法规、中国证监会另有规定的除外； </w:t>
      </w:r>
    </w:p>
    <w:p w14:paraId="55AFCBEE">
      <w:pPr>
        <w:pStyle w:val="8"/>
        <w:spacing w:before="0" w:beforeAutospacing="0" w:after="0" w:afterAutospacing="0" w:line="360" w:lineRule="auto"/>
        <w:ind w:firstLine="420"/>
        <w:rPr>
          <w:sz w:val="21"/>
          <w:szCs w:val="21"/>
        </w:rPr>
      </w:pPr>
      <w:r>
        <w:rPr>
          <w:rFonts w:hint="eastAsia"/>
          <w:sz w:val="21"/>
          <w:szCs w:val="21"/>
        </w:rPr>
        <w:t xml:space="preserve">4、基金的证券交易费用及在境外市场的交易、清算、登记等实际发生的费用； </w:t>
      </w:r>
    </w:p>
    <w:p w14:paraId="3596C27E">
      <w:pPr>
        <w:pStyle w:val="8"/>
        <w:spacing w:before="0" w:beforeAutospacing="0" w:after="0" w:afterAutospacing="0" w:line="360" w:lineRule="auto"/>
        <w:ind w:firstLine="420"/>
        <w:rPr>
          <w:sz w:val="21"/>
          <w:szCs w:val="21"/>
        </w:rPr>
      </w:pPr>
      <w:r>
        <w:rPr>
          <w:rFonts w:hint="eastAsia"/>
          <w:sz w:val="21"/>
          <w:szCs w:val="21"/>
        </w:rPr>
        <w:t xml:space="preserve">5、基金份额持有人大会费用； </w:t>
      </w:r>
    </w:p>
    <w:p w14:paraId="3C065683">
      <w:pPr>
        <w:pStyle w:val="8"/>
        <w:spacing w:before="0" w:beforeAutospacing="0" w:after="0" w:afterAutospacing="0" w:line="360" w:lineRule="auto"/>
        <w:ind w:firstLine="420"/>
        <w:rPr>
          <w:sz w:val="21"/>
          <w:szCs w:val="21"/>
        </w:rPr>
      </w:pPr>
      <w:r>
        <w:rPr>
          <w:rFonts w:hint="eastAsia"/>
          <w:sz w:val="21"/>
          <w:szCs w:val="21"/>
        </w:rPr>
        <w:t xml:space="preserve">6、基金合同生效后与基金相关的会计师费、律师费，税务顾问费； </w:t>
      </w:r>
    </w:p>
    <w:p w14:paraId="7A3C2C53">
      <w:pPr>
        <w:pStyle w:val="8"/>
        <w:spacing w:before="0" w:beforeAutospacing="0" w:after="0" w:afterAutospacing="0" w:line="360" w:lineRule="auto"/>
        <w:ind w:firstLine="420"/>
        <w:rPr>
          <w:sz w:val="21"/>
          <w:szCs w:val="21"/>
        </w:rPr>
      </w:pPr>
      <w:r>
        <w:rPr>
          <w:rFonts w:hint="eastAsia"/>
          <w:sz w:val="21"/>
          <w:szCs w:val="21"/>
        </w:rPr>
        <w:t xml:space="preserve">7、基金依照有关法律法规应当缴纳的，购买或处置证券有关的任何税收、征费、关税、印花税及预扣提税（以及与前述各项有关的任何利息及费用）；  </w:t>
      </w:r>
    </w:p>
    <w:p w14:paraId="182EF339">
      <w:pPr>
        <w:pStyle w:val="8"/>
        <w:spacing w:before="0" w:beforeAutospacing="0" w:after="0" w:afterAutospacing="0" w:line="360" w:lineRule="auto"/>
        <w:ind w:firstLine="420"/>
        <w:rPr>
          <w:sz w:val="21"/>
          <w:szCs w:val="21"/>
        </w:rPr>
      </w:pPr>
      <w:r>
        <w:rPr>
          <w:rFonts w:hint="eastAsia"/>
          <w:sz w:val="21"/>
          <w:szCs w:val="21"/>
        </w:rPr>
        <w:t xml:space="preserve">8、代表基金投票或其他与基金投资活动有关的费用； </w:t>
      </w:r>
    </w:p>
    <w:p w14:paraId="50A10BA3">
      <w:pPr>
        <w:pStyle w:val="8"/>
        <w:spacing w:before="0" w:beforeAutospacing="0" w:after="0" w:afterAutospacing="0" w:line="360" w:lineRule="auto"/>
        <w:ind w:firstLine="420"/>
        <w:rPr>
          <w:sz w:val="21"/>
          <w:szCs w:val="21"/>
        </w:rPr>
      </w:pPr>
      <w:r>
        <w:rPr>
          <w:rFonts w:hint="eastAsia"/>
          <w:sz w:val="21"/>
          <w:szCs w:val="21"/>
        </w:rPr>
        <w:t xml:space="preserve">9、基金的银行汇划费用； </w:t>
      </w:r>
    </w:p>
    <w:p w14:paraId="1CDF3DC1">
      <w:pPr>
        <w:pStyle w:val="8"/>
        <w:spacing w:before="0" w:beforeAutospacing="0" w:after="0" w:afterAutospacing="0" w:line="360" w:lineRule="auto"/>
        <w:ind w:firstLine="420"/>
        <w:rPr>
          <w:sz w:val="21"/>
          <w:szCs w:val="21"/>
        </w:rPr>
      </w:pPr>
      <w:r>
        <w:rPr>
          <w:rFonts w:hint="eastAsia"/>
          <w:sz w:val="21"/>
          <w:szCs w:val="21"/>
        </w:rPr>
        <w:t xml:space="preserve">10、与基金有关的诉讼、追索费用； </w:t>
      </w:r>
    </w:p>
    <w:p w14:paraId="4AAD86A3">
      <w:pPr>
        <w:pStyle w:val="8"/>
        <w:spacing w:before="0" w:beforeAutospacing="0" w:after="0" w:afterAutospacing="0" w:line="360" w:lineRule="auto"/>
        <w:ind w:firstLine="420"/>
        <w:rPr>
          <w:sz w:val="21"/>
          <w:szCs w:val="21"/>
        </w:rPr>
      </w:pPr>
      <w:r>
        <w:rPr>
          <w:rFonts w:hint="eastAsia"/>
          <w:sz w:val="21"/>
          <w:szCs w:val="21"/>
        </w:rPr>
        <w:t xml:space="preserve">11、基金上市初费及年费； </w:t>
      </w:r>
    </w:p>
    <w:p w14:paraId="6C4D0066">
      <w:pPr>
        <w:pStyle w:val="8"/>
        <w:spacing w:before="0" w:beforeAutospacing="0" w:after="0" w:afterAutospacing="0" w:line="360" w:lineRule="auto"/>
        <w:ind w:firstLine="420"/>
        <w:rPr>
          <w:sz w:val="21"/>
          <w:szCs w:val="21"/>
        </w:rPr>
      </w:pPr>
      <w:r>
        <w:rPr>
          <w:rFonts w:hint="eastAsia"/>
          <w:sz w:val="21"/>
          <w:szCs w:val="21"/>
        </w:rPr>
        <w:t xml:space="preserve">12、按照国家有关规定和基金合同约定，可以在基金财产中列支的其他费用。 </w:t>
      </w:r>
    </w:p>
    <w:p w14:paraId="4EC8D96A">
      <w:pPr>
        <w:pStyle w:val="8"/>
        <w:spacing w:before="0" w:beforeAutospacing="0" w:after="0" w:afterAutospacing="0" w:line="360" w:lineRule="auto"/>
        <w:ind w:firstLine="420"/>
        <w:rPr>
          <w:sz w:val="21"/>
          <w:szCs w:val="21"/>
        </w:rPr>
      </w:pPr>
      <w:r>
        <w:rPr>
          <w:rFonts w:hint="eastAsia"/>
          <w:b/>
          <w:bCs/>
          <w:sz w:val="21"/>
          <w:szCs w:val="21"/>
        </w:rPr>
        <w:t>（二）、基金费用计提方法、计提标准和支付方式</w:t>
      </w:r>
    </w:p>
    <w:p w14:paraId="23616C5B">
      <w:pPr>
        <w:pStyle w:val="8"/>
        <w:spacing w:before="0" w:beforeAutospacing="0" w:after="0" w:afterAutospacing="0" w:line="360" w:lineRule="auto"/>
        <w:ind w:firstLine="420"/>
        <w:rPr>
          <w:sz w:val="21"/>
          <w:szCs w:val="21"/>
        </w:rPr>
      </w:pPr>
      <w:r>
        <w:rPr>
          <w:rFonts w:hint="eastAsia"/>
          <w:sz w:val="21"/>
          <w:szCs w:val="21"/>
        </w:rPr>
        <w:t xml:space="preserve">1、基金的管理费 </w:t>
      </w:r>
    </w:p>
    <w:p w14:paraId="579E533C">
      <w:pPr>
        <w:pStyle w:val="8"/>
        <w:spacing w:before="0" w:beforeAutospacing="0" w:after="0" w:afterAutospacing="0" w:line="360" w:lineRule="auto"/>
        <w:ind w:firstLine="420"/>
        <w:rPr>
          <w:sz w:val="21"/>
          <w:szCs w:val="21"/>
        </w:rPr>
      </w:pPr>
      <w:r>
        <w:rPr>
          <w:rFonts w:hint="eastAsia"/>
          <w:sz w:val="21"/>
          <w:szCs w:val="21"/>
        </w:rPr>
        <w:t xml:space="preserve">如果基金管理人为本基金聘请境外投资顾问，相关境外投资顾问费用应当从管理费中支取。 </w:t>
      </w:r>
    </w:p>
    <w:p w14:paraId="1CA8E9C0">
      <w:pPr>
        <w:pStyle w:val="8"/>
        <w:spacing w:before="0" w:beforeAutospacing="0" w:after="0" w:afterAutospacing="0" w:line="360" w:lineRule="auto"/>
        <w:ind w:firstLine="420"/>
        <w:rPr>
          <w:sz w:val="21"/>
          <w:szCs w:val="21"/>
        </w:rPr>
      </w:pPr>
      <w:r>
        <w:rPr>
          <w:rFonts w:hint="eastAsia"/>
          <w:sz w:val="21"/>
          <w:szCs w:val="21"/>
        </w:rPr>
        <w:t>本基金的管理费按前一日基金资产净值</w:t>
      </w:r>
      <w:bookmarkStart w:id="157" w:name="field_0_managementrate_1"/>
      <w:r>
        <w:rPr>
          <w:sz w:val="21"/>
          <w:szCs w:val="21"/>
        </w:rPr>
        <w:t>0.60</w:t>
      </w:r>
      <w:bookmarkEnd w:id="157"/>
      <w:r>
        <w:rPr>
          <w:rFonts w:hint="eastAsia"/>
          <w:sz w:val="21"/>
          <w:szCs w:val="21"/>
        </w:rPr>
        <w:t xml:space="preserve">%的年费率计提。计算方法如下： </w:t>
      </w:r>
    </w:p>
    <w:p w14:paraId="11F3DC4E">
      <w:pPr>
        <w:pStyle w:val="8"/>
        <w:spacing w:before="0" w:beforeAutospacing="0" w:after="0" w:afterAutospacing="0" w:line="360" w:lineRule="auto"/>
        <w:ind w:firstLine="420"/>
        <w:rPr>
          <w:sz w:val="21"/>
          <w:szCs w:val="21"/>
        </w:rPr>
      </w:pPr>
      <w:r>
        <w:rPr>
          <w:rFonts w:hint="eastAsia"/>
          <w:sz w:val="21"/>
          <w:szCs w:val="21"/>
        </w:rPr>
        <w:t>H＝E×</w:t>
      </w:r>
      <w:bookmarkStart w:id="158" w:name="field_0_managementrate_2"/>
      <w:r>
        <w:rPr>
          <w:sz w:val="21"/>
          <w:szCs w:val="21"/>
        </w:rPr>
        <w:t>0.60</w:t>
      </w:r>
      <w:bookmarkEnd w:id="158"/>
      <w:r>
        <w:rPr>
          <w:rFonts w:hint="eastAsia"/>
          <w:sz w:val="21"/>
          <w:szCs w:val="21"/>
        </w:rPr>
        <w:t xml:space="preserve">%÷当年天数 </w:t>
      </w:r>
    </w:p>
    <w:p w14:paraId="44E3E807">
      <w:pPr>
        <w:pStyle w:val="8"/>
        <w:spacing w:before="0" w:beforeAutospacing="0" w:after="0" w:afterAutospacing="0" w:line="360" w:lineRule="auto"/>
        <w:ind w:firstLine="420"/>
        <w:rPr>
          <w:sz w:val="21"/>
          <w:szCs w:val="21"/>
        </w:rPr>
      </w:pPr>
      <w:r>
        <w:rPr>
          <w:rFonts w:hint="eastAsia"/>
          <w:sz w:val="21"/>
          <w:szCs w:val="21"/>
        </w:rPr>
        <w:t xml:space="preserve">H为每日应计提的基金的管理费 </w:t>
      </w:r>
    </w:p>
    <w:p w14:paraId="429C33CE">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74C26253">
      <w:pPr>
        <w:pStyle w:val="8"/>
        <w:spacing w:before="0" w:beforeAutospacing="0" w:after="0" w:afterAutospacing="0" w:line="360" w:lineRule="auto"/>
        <w:ind w:firstLine="420"/>
        <w:rPr>
          <w:sz w:val="21"/>
          <w:szCs w:val="21"/>
        </w:rPr>
      </w:pPr>
      <w:r>
        <w:rPr>
          <w:rFonts w:hint="eastAsia"/>
          <w:sz w:val="21"/>
          <w:szCs w:val="21"/>
        </w:rPr>
        <w:t xml:space="preserve">基金的管理费每日计算，逐日累计至每月月末，按月支付，由基金管理人向基金托管人发送基金管理费划款指令，基金托管人复核后于次月前5个工作日内从基金财产中一次性支付给基金管理人。若遇法定节假日、公休假等,支付日期顺延。 </w:t>
      </w:r>
    </w:p>
    <w:p w14:paraId="46A9940E">
      <w:pPr>
        <w:pStyle w:val="8"/>
        <w:spacing w:before="0" w:beforeAutospacing="0" w:after="0" w:afterAutospacing="0" w:line="360" w:lineRule="auto"/>
        <w:ind w:firstLine="420"/>
        <w:rPr>
          <w:sz w:val="21"/>
          <w:szCs w:val="21"/>
        </w:rPr>
      </w:pPr>
      <w:r>
        <w:rPr>
          <w:rFonts w:hint="eastAsia"/>
          <w:sz w:val="21"/>
          <w:szCs w:val="21"/>
        </w:rPr>
        <w:t xml:space="preserve">2、基金的托管费 </w:t>
      </w:r>
    </w:p>
    <w:p w14:paraId="0AAB92A8">
      <w:pPr>
        <w:pStyle w:val="8"/>
        <w:spacing w:before="0" w:beforeAutospacing="0" w:after="0" w:afterAutospacing="0" w:line="360" w:lineRule="auto"/>
        <w:ind w:firstLine="420"/>
        <w:rPr>
          <w:sz w:val="21"/>
          <w:szCs w:val="21"/>
        </w:rPr>
      </w:pPr>
      <w:r>
        <w:rPr>
          <w:rFonts w:hint="eastAsia"/>
          <w:sz w:val="21"/>
          <w:szCs w:val="21"/>
        </w:rPr>
        <w:t>本基金托管费自基金合同生效日起，按如下方法进行计提。本基金的托管费按前一日基金资产净值的</w:t>
      </w:r>
      <w:bookmarkStart w:id="159" w:name="field_0_trusteerate_1"/>
      <w:r>
        <w:rPr>
          <w:sz w:val="21"/>
          <w:szCs w:val="21"/>
        </w:rPr>
        <w:t>0.20</w:t>
      </w:r>
      <w:bookmarkEnd w:id="159"/>
      <w:r>
        <w:rPr>
          <w:rFonts w:hint="eastAsia"/>
          <w:sz w:val="21"/>
          <w:szCs w:val="21"/>
        </w:rPr>
        <w:t xml:space="preserve">%的年费率计提。托管费的计算方法如下： </w:t>
      </w:r>
    </w:p>
    <w:p w14:paraId="655C1A9A">
      <w:pPr>
        <w:pStyle w:val="8"/>
        <w:spacing w:before="0" w:beforeAutospacing="0" w:after="0" w:afterAutospacing="0" w:line="360" w:lineRule="auto"/>
        <w:ind w:firstLine="420"/>
        <w:rPr>
          <w:sz w:val="21"/>
          <w:szCs w:val="21"/>
        </w:rPr>
      </w:pPr>
      <w:r>
        <w:rPr>
          <w:rFonts w:hint="eastAsia"/>
          <w:sz w:val="21"/>
          <w:szCs w:val="21"/>
        </w:rPr>
        <w:t>H＝E×</w:t>
      </w:r>
      <w:bookmarkStart w:id="160" w:name="field_0_trusteerate_2"/>
      <w:r>
        <w:rPr>
          <w:sz w:val="21"/>
          <w:szCs w:val="21"/>
        </w:rPr>
        <w:t>0.20</w:t>
      </w:r>
      <w:bookmarkEnd w:id="160"/>
      <w:r>
        <w:rPr>
          <w:rFonts w:hint="eastAsia"/>
          <w:sz w:val="21"/>
          <w:szCs w:val="21"/>
        </w:rPr>
        <w:t xml:space="preserve">%÷当年天数 </w:t>
      </w:r>
    </w:p>
    <w:p w14:paraId="287619A1">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3D12876F">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00E22B8E">
      <w:pPr>
        <w:pStyle w:val="8"/>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向基金托管人发送基金托管费划款指令，基金托管人复核后于次月前5个工作日内从基金财产中一次性支取。若遇法定节假日、公休日等,支付日期顺延。 </w:t>
      </w:r>
    </w:p>
    <w:p w14:paraId="6CC0DA3C">
      <w:pPr>
        <w:pStyle w:val="8"/>
        <w:spacing w:before="0" w:beforeAutospacing="0" w:after="0" w:afterAutospacing="0" w:line="360" w:lineRule="auto"/>
        <w:ind w:firstLine="420"/>
        <w:rPr>
          <w:sz w:val="21"/>
          <w:szCs w:val="21"/>
        </w:rPr>
      </w:pPr>
      <w:r>
        <w:rPr>
          <w:rFonts w:hint="eastAsia"/>
          <w:sz w:val="21"/>
          <w:szCs w:val="21"/>
        </w:rPr>
        <w:t xml:space="preserve">3、除管理费、托管费之外的基金费用，由基金托管人根据其他有关法规及相应协议的规定，按费用支出金额支付，列入或摊入当期基金费用。 </w:t>
      </w:r>
    </w:p>
    <w:p w14:paraId="700F5351">
      <w:pPr>
        <w:pStyle w:val="8"/>
        <w:spacing w:before="0" w:beforeAutospacing="0" w:after="0" w:afterAutospacing="0" w:line="360" w:lineRule="auto"/>
        <w:ind w:firstLine="420"/>
        <w:rPr>
          <w:sz w:val="21"/>
          <w:szCs w:val="21"/>
        </w:rPr>
      </w:pPr>
      <w:r>
        <w:rPr>
          <w:rFonts w:hint="eastAsia"/>
          <w:b/>
          <w:bCs/>
          <w:sz w:val="21"/>
          <w:szCs w:val="21"/>
        </w:rPr>
        <w:t>二、与基金销售有关的费用</w:t>
      </w:r>
    </w:p>
    <w:p w14:paraId="74DFCA74">
      <w:pPr>
        <w:pStyle w:val="8"/>
        <w:spacing w:before="0" w:beforeAutospacing="0" w:after="0" w:afterAutospacing="0" w:line="360" w:lineRule="auto"/>
        <w:ind w:firstLine="420"/>
        <w:rPr>
          <w:sz w:val="21"/>
          <w:szCs w:val="21"/>
        </w:rPr>
      </w:pPr>
      <w:r>
        <w:rPr>
          <w:rFonts w:hint="eastAsia"/>
          <w:sz w:val="21"/>
          <w:szCs w:val="21"/>
        </w:rPr>
        <w:t xml:space="preserve">投资人在申购或赎回基金份额时，申购赎回代理券商可按照相应标准收取佣金，其中包含证券交易所、登记结算机构等收取的相关费用。最高不超过0.5%。  </w:t>
      </w:r>
    </w:p>
    <w:p w14:paraId="026DBBBC">
      <w:pPr>
        <w:pStyle w:val="8"/>
        <w:spacing w:before="0" w:beforeAutospacing="0" w:after="0" w:afterAutospacing="0" w:line="360" w:lineRule="auto"/>
        <w:ind w:firstLine="420"/>
        <w:rPr>
          <w:sz w:val="21"/>
          <w:szCs w:val="21"/>
        </w:rPr>
      </w:pPr>
      <w:r>
        <w:rPr>
          <w:rFonts w:hint="eastAsia"/>
          <w:b/>
          <w:bCs/>
          <w:sz w:val="21"/>
          <w:szCs w:val="21"/>
        </w:rPr>
        <w:t>三、不列入基金费用的项目</w:t>
      </w:r>
    </w:p>
    <w:p w14:paraId="5AFC646F">
      <w:pPr>
        <w:pStyle w:val="8"/>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27D91C97">
      <w:pPr>
        <w:pStyle w:val="8"/>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2955D85A">
      <w:pPr>
        <w:pStyle w:val="8"/>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2A59B0EC">
      <w:pPr>
        <w:pStyle w:val="8"/>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09D9E9F4">
      <w:pPr>
        <w:pStyle w:val="8"/>
        <w:spacing w:before="0" w:beforeAutospacing="0" w:after="0" w:afterAutospacing="0" w:line="360" w:lineRule="auto"/>
        <w:ind w:firstLine="420"/>
        <w:rPr>
          <w:sz w:val="21"/>
          <w:szCs w:val="21"/>
        </w:rPr>
      </w:pPr>
      <w:r>
        <w:rPr>
          <w:rFonts w:hint="eastAsia"/>
          <w:sz w:val="21"/>
          <w:szCs w:val="21"/>
        </w:rPr>
        <w:t xml:space="preserve">4、标的指数许可使用费。标的指数许可使用费由基金管理人承担，不得从基金财产中列支； </w:t>
      </w:r>
    </w:p>
    <w:p w14:paraId="22B6D401">
      <w:pPr>
        <w:pStyle w:val="8"/>
        <w:spacing w:before="0" w:beforeAutospacing="0" w:after="0" w:afterAutospacing="0" w:line="360" w:lineRule="auto"/>
        <w:ind w:firstLine="420"/>
        <w:rPr>
          <w:sz w:val="21"/>
          <w:szCs w:val="21"/>
        </w:rPr>
      </w:pPr>
      <w:r>
        <w:rPr>
          <w:rFonts w:hint="eastAsia"/>
          <w:sz w:val="21"/>
          <w:szCs w:val="21"/>
        </w:rPr>
        <w:t xml:space="preserve">5、其他根据相关法律法规及中国证监会的有关规定不得列入基金费用的项目。 </w:t>
      </w:r>
    </w:p>
    <w:p w14:paraId="01760E25">
      <w:pPr>
        <w:pStyle w:val="8"/>
        <w:spacing w:before="0" w:beforeAutospacing="0" w:after="0" w:afterAutospacing="0" w:line="360" w:lineRule="auto"/>
        <w:ind w:firstLine="420"/>
        <w:rPr>
          <w:sz w:val="21"/>
          <w:szCs w:val="21"/>
        </w:rPr>
      </w:pPr>
      <w:r>
        <w:rPr>
          <w:rFonts w:hint="eastAsia"/>
          <w:b/>
          <w:bCs/>
          <w:sz w:val="21"/>
          <w:szCs w:val="21"/>
        </w:rPr>
        <w:t>四、基金税收</w:t>
      </w:r>
    </w:p>
    <w:p w14:paraId="5033FCD6">
      <w:pPr>
        <w:pStyle w:val="8"/>
        <w:spacing w:before="0" w:beforeAutospacing="0" w:after="0" w:afterAutospacing="0" w:line="360" w:lineRule="auto"/>
        <w:ind w:firstLine="420"/>
        <w:rPr>
          <w:sz w:val="21"/>
          <w:szCs w:val="21"/>
        </w:rPr>
      </w:pPr>
      <w:bookmarkStart w:id="161" w:name="chapter_level1_19_65_section_1_end"/>
      <w:bookmarkEnd w:id="161"/>
      <w:r>
        <w:rPr>
          <w:rFonts w:hint="eastAsia"/>
          <w:sz w:val="21"/>
          <w:szCs w:val="21"/>
        </w:rPr>
        <w:t xml:space="preserve">本基金运作过程中涉及的各纳税主体，其纳税义务按各个国家税收法律、法规执行。 </w:t>
      </w:r>
    </w:p>
    <w:p w14:paraId="6AFD66F1">
      <w:pPr>
        <w:widowControl/>
        <w:jc w:val="left"/>
        <w:rPr>
          <w:rFonts w:ascii="宋体" w:hAnsi="宋体" w:eastAsia="宋体"/>
        </w:rPr>
      </w:pPr>
      <w:r>
        <w:rPr>
          <w:rFonts w:ascii="宋体" w:hAnsi="宋体" w:eastAsia="宋体"/>
        </w:rPr>
        <w:br w:type="page"/>
      </w:r>
    </w:p>
    <w:p w14:paraId="583F60AE">
      <w:pPr>
        <w:pStyle w:val="2"/>
        <w:jc w:val="center"/>
        <w:rPr>
          <w:rFonts w:ascii="宋体" w:hAnsi="宋体" w:eastAsia="宋体"/>
          <w:sz w:val="30"/>
        </w:rPr>
      </w:pPr>
      <w:bookmarkStart w:id="162" w:name="chapter_level1_20_66"/>
      <w:bookmarkStart w:id="163" w:name="_Toc209441851"/>
      <w:r>
        <w:rPr>
          <w:rFonts w:hint="eastAsia" w:ascii="宋体" w:hAnsi="宋体" w:eastAsia="宋体"/>
          <w:sz w:val="30"/>
        </w:rPr>
        <w:t>第十七部分  基金的会计与审计</w:t>
      </w:r>
      <w:bookmarkEnd w:id="162"/>
      <w:bookmarkEnd w:id="163"/>
    </w:p>
    <w:p w14:paraId="25211E86">
      <w:pPr>
        <w:pStyle w:val="8"/>
        <w:spacing w:before="0" w:beforeAutospacing="0" w:after="0" w:afterAutospacing="0" w:line="360" w:lineRule="auto"/>
        <w:ind w:firstLine="420"/>
        <w:rPr>
          <w:sz w:val="21"/>
          <w:szCs w:val="21"/>
        </w:rPr>
      </w:pPr>
      <w:bookmarkStart w:id="164" w:name="chapter_level1_20_66_section_1"/>
      <w:bookmarkEnd w:id="164"/>
      <w:r>
        <w:rPr>
          <w:rFonts w:hint="eastAsia"/>
          <w:b/>
          <w:bCs/>
          <w:sz w:val="21"/>
          <w:szCs w:val="21"/>
        </w:rPr>
        <w:t>一、基金会计政策</w:t>
      </w:r>
    </w:p>
    <w:p w14:paraId="0D58322C">
      <w:pPr>
        <w:pStyle w:val="8"/>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6B6E5E03">
      <w:pPr>
        <w:pStyle w:val="8"/>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  </w:t>
      </w:r>
    </w:p>
    <w:p w14:paraId="331117D8">
      <w:pPr>
        <w:pStyle w:val="8"/>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389A4615">
      <w:pPr>
        <w:pStyle w:val="8"/>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411392A9">
      <w:pPr>
        <w:pStyle w:val="8"/>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1E7435A9">
      <w:pPr>
        <w:pStyle w:val="8"/>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6、基金管理人及基金托管人各自保留完整的会计账目、凭证并进行日常的会计核算，基金管理人按照有关规定编制基金会计报表； </w:t>
      </w:r>
    </w:p>
    <w:p w14:paraId="56EAA080">
      <w:pPr>
        <w:pStyle w:val="8"/>
        <w:spacing w:before="0" w:beforeAutospacing="0" w:after="0" w:afterAutospacing="0" w:line="360" w:lineRule="auto"/>
        <w:ind w:firstLine="420"/>
        <w:rPr>
          <w:sz w:val="21"/>
          <w:szCs w:val="21"/>
        </w:rPr>
      </w:pPr>
      <w:r>
        <w:rPr>
          <w:rFonts w:hint="eastAsia"/>
          <w:sz w:val="21"/>
          <w:szCs w:val="21"/>
        </w:rPr>
        <w:t xml:space="preserve">7、基金托管人与基金管理人按双方约定的时间就基金的会计核算、报表编制等进行核对。 </w:t>
      </w:r>
    </w:p>
    <w:p w14:paraId="1FA74D34">
      <w:pPr>
        <w:pStyle w:val="8"/>
        <w:spacing w:before="0" w:beforeAutospacing="0" w:after="0" w:afterAutospacing="0" w:line="360" w:lineRule="auto"/>
        <w:ind w:firstLine="420"/>
        <w:rPr>
          <w:sz w:val="21"/>
          <w:szCs w:val="21"/>
        </w:rPr>
      </w:pPr>
      <w:r>
        <w:rPr>
          <w:rFonts w:hint="eastAsia"/>
          <w:sz w:val="21"/>
          <w:szCs w:val="21"/>
        </w:rPr>
        <w:t xml:space="preserve">8、基金管理人在会计年度结束后60个工作日内向证监会提交包括衍生品头寸及风险分析年度报告。 </w:t>
      </w:r>
    </w:p>
    <w:p w14:paraId="6C391E02">
      <w:pPr>
        <w:pStyle w:val="8"/>
        <w:spacing w:before="0" w:beforeAutospacing="0" w:after="0" w:afterAutospacing="0" w:line="360" w:lineRule="auto"/>
        <w:ind w:firstLine="420"/>
        <w:rPr>
          <w:sz w:val="21"/>
          <w:szCs w:val="21"/>
        </w:rPr>
      </w:pPr>
      <w:r>
        <w:rPr>
          <w:rFonts w:hint="eastAsia"/>
          <w:b/>
          <w:bCs/>
          <w:sz w:val="21"/>
          <w:szCs w:val="21"/>
        </w:rPr>
        <w:t>二、基金的年度审计</w:t>
      </w:r>
    </w:p>
    <w:p w14:paraId="047A0CAA">
      <w:pPr>
        <w:pStyle w:val="8"/>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5598FB8B">
      <w:pPr>
        <w:pStyle w:val="8"/>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778367D3">
      <w:pPr>
        <w:pStyle w:val="8"/>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65" w:name="chapter_level1_20_66_section_1_end"/>
      <w:bookmarkEnd w:id="165"/>
      <w:r>
        <w:rPr>
          <w:rFonts w:hint="eastAsia"/>
          <w:sz w:val="21"/>
          <w:szCs w:val="21"/>
        </w:rPr>
        <w:t xml:space="preserve">务所需按照《信息披露办法》的有关规定在指定媒介公告。 </w:t>
      </w:r>
    </w:p>
    <w:p w14:paraId="2077AF85">
      <w:pPr>
        <w:widowControl/>
        <w:jc w:val="left"/>
        <w:rPr>
          <w:rFonts w:ascii="宋体" w:hAnsi="宋体" w:eastAsia="宋体"/>
        </w:rPr>
      </w:pPr>
      <w:r>
        <w:rPr>
          <w:rFonts w:ascii="宋体" w:hAnsi="宋体" w:eastAsia="宋体"/>
        </w:rPr>
        <w:br w:type="page"/>
      </w:r>
    </w:p>
    <w:p w14:paraId="7F742755">
      <w:pPr>
        <w:pStyle w:val="2"/>
        <w:jc w:val="center"/>
        <w:rPr>
          <w:rFonts w:ascii="宋体" w:hAnsi="宋体" w:eastAsia="宋体"/>
          <w:sz w:val="30"/>
        </w:rPr>
      </w:pPr>
      <w:bookmarkStart w:id="166" w:name="chapter_level1_21_67"/>
      <w:bookmarkStart w:id="167" w:name="_Toc209441852"/>
      <w:r>
        <w:rPr>
          <w:rFonts w:hint="eastAsia" w:ascii="宋体" w:hAnsi="宋体" w:eastAsia="宋体"/>
          <w:sz w:val="30"/>
        </w:rPr>
        <w:t>第十八部分  基金的信息披露</w:t>
      </w:r>
      <w:bookmarkEnd w:id="166"/>
      <w:bookmarkEnd w:id="167"/>
    </w:p>
    <w:p w14:paraId="795C91F8">
      <w:pPr>
        <w:pStyle w:val="8"/>
        <w:spacing w:before="0" w:beforeAutospacing="0" w:after="0" w:afterAutospacing="0" w:line="360" w:lineRule="auto"/>
        <w:ind w:firstLine="420"/>
        <w:rPr>
          <w:sz w:val="21"/>
          <w:szCs w:val="21"/>
        </w:rPr>
      </w:pPr>
      <w:bookmarkStart w:id="168" w:name="chapter_level1_21_67_section_1"/>
      <w:bookmarkEnd w:id="168"/>
      <w:r>
        <w:rPr>
          <w:rFonts w:hint="eastAsia"/>
          <w:b/>
          <w:bCs/>
          <w:sz w:val="21"/>
          <w:szCs w:val="21"/>
        </w:rPr>
        <w:t>一、</w:t>
      </w:r>
      <w:r>
        <w:rPr>
          <w:rFonts w:hint="eastAsia"/>
          <w:sz w:val="21"/>
          <w:szCs w:val="21"/>
        </w:rPr>
        <w:t>本基金的信息披露应符合《基金法》、《运作办法》、《信息披露办法》、《试行办法》、《通知》、基金合同及其他有关规定。</w:t>
      </w:r>
    </w:p>
    <w:p w14:paraId="2E87ABC3">
      <w:pPr>
        <w:pStyle w:val="8"/>
        <w:spacing w:before="0" w:beforeAutospacing="0" w:after="0" w:afterAutospacing="0" w:line="360" w:lineRule="auto"/>
        <w:ind w:firstLine="420"/>
        <w:rPr>
          <w:sz w:val="21"/>
          <w:szCs w:val="21"/>
        </w:rPr>
      </w:pPr>
      <w:r>
        <w:rPr>
          <w:rFonts w:hint="eastAsia"/>
          <w:b/>
          <w:bCs/>
          <w:sz w:val="21"/>
          <w:szCs w:val="21"/>
        </w:rPr>
        <w:t>二、信息披露义务人</w:t>
      </w:r>
    </w:p>
    <w:p w14:paraId="2502855B">
      <w:pPr>
        <w:pStyle w:val="8"/>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01240EB0">
      <w:pPr>
        <w:pStyle w:val="8"/>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6E4542C3">
      <w:pPr>
        <w:pStyle w:val="8"/>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本基金信息披露义务人应当在中国证监会规定时间内，将应予披露的基金信息通过中国证监会指定媒介披露，并保证基金投资人能够按照基金合同约定的时间和方式查阅或者复制公开披露的信息资料。 </w:t>
      </w:r>
    </w:p>
    <w:p w14:paraId="2A214133">
      <w:pPr>
        <w:pStyle w:val="8"/>
        <w:spacing w:before="0" w:beforeAutospacing="0" w:after="0" w:afterAutospacing="0" w:line="360" w:lineRule="auto"/>
        <w:ind w:firstLine="420"/>
        <w:rPr>
          <w:sz w:val="21"/>
          <w:szCs w:val="21"/>
        </w:rPr>
      </w:pPr>
      <w:r>
        <w:rPr>
          <w:rFonts w:hint="eastAsia"/>
          <w:b/>
          <w:bCs/>
          <w:sz w:val="21"/>
          <w:szCs w:val="21"/>
        </w:rPr>
        <w:t>三、本基金信息披露义务人承诺公开披露的基金信息，不得有下列行为：</w:t>
      </w:r>
    </w:p>
    <w:p w14:paraId="39D63737">
      <w:pPr>
        <w:pStyle w:val="8"/>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2B626EEA">
      <w:pPr>
        <w:pStyle w:val="8"/>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026DA35A">
      <w:pPr>
        <w:pStyle w:val="8"/>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18E43465">
      <w:pPr>
        <w:pStyle w:val="8"/>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0ABE28B0">
      <w:pPr>
        <w:pStyle w:val="8"/>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18AB86B3">
      <w:pPr>
        <w:pStyle w:val="8"/>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303E461F">
      <w:pPr>
        <w:pStyle w:val="8"/>
        <w:spacing w:before="0" w:beforeAutospacing="0" w:after="0" w:afterAutospacing="0" w:line="360" w:lineRule="auto"/>
        <w:ind w:firstLine="420"/>
        <w:rPr>
          <w:sz w:val="21"/>
          <w:szCs w:val="21"/>
        </w:rPr>
      </w:pPr>
      <w:r>
        <w:rPr>
          <w:rFonts w:hint="eastAsia"/>
          <w:b/>
          <w:bCs/>
          <w:sz w:val="21"/>
          <w:szCs w:val="21"/>
        </w:rPr>
        <w:t>四、本基金公开披露的信息应采用中文文本。</w:t>
      </w:r>
    </w:p>
    <w:p w14:paraId="72C4782F">
      <w:pPr>
        <w:pStyle w:val="8"/>
        <w:spacing w:before="0" w:beforeAutospacing="0" w:after="0" w:afterAutospacing="0" w:line="360" w:lineRule="auto"/>
        <w:ind w:firstLine="420"/>
        <w:rPr>
          <w:sz w:val="21"/>
          <w:szCs w:val="21"/>
        </w:rPr>
      </w:pPr>
      <w:r>
        <w:rPr>
          <w:rFonts w:hint="eastAsia"/>
          <w:sz w:val="21"/>
          <w:szCs w:val="21"/>
        </w:rPr>
        <w:t xml:space="preserve">同时采用外文文本的，基金信息披露义务人应保证不同文本的内容一致。不同文本之间发生歧义的，以中文文本为准。 </w:t>
      </w:r>
    </w:p>
    <w:p w14:paraId="0A7B9C2F">
      <w:pPr>
        <w:pStyle w:val="8"/>
        <w:spacing w:before="0" w:beforeAutospacing="0" w:after="0" w:afterAutospacing="0" w:line="360" w:lineRule="auto"/>
        <w:ind w:firstLine="420"/>
        <w:rPr>
          <w:sz w:val="21"/>
          <w:szCs w:val="21"/>
        </w:rPr>
      </w:pPr>
      <w:bookmarkStart w:id="169" w:name="chapter_level1_21_67_section_1_end"/>
      <w:bookmarkEnd w:id="169"/>
      <w:r>
        <w:rPr>
          <w:rFonts w:hint="eastAsia"/>
          <w:sz w:val="21"/>
          <w:szCs w:val="21"/>
        </w:rPr>
        <w:t xml:space="preserve">本基金公开披露的信息采用阿拉伯数字；除特别说明外，货币单位为人民币元。 </w:t>
      </w:r>
    </w:p>
    <w:p w14:paraId="384730AD">
      <w:pPr>
        <w:pStyle w:val="8"/>
        <w:spacing w:before="0" w:beforeAutospacing="0" w:after="0" w:afterAutospacing="0" w:line="360" w:lineRule="auto"/>
        <w:ind w:firstLine="420"/>
        <w:rPr>
          <w:sz w:val="21"/>
          <w:szCs w:val="21"/>
        </w:rPr>
      </w:pPr>
      <w:bookmarkStart w:id="170" w:name="chapter_level1_21_67_section_2"/>
      <w:bookmarkEnd w:id="170"/>
      <w:r>
        <w:rPr>
          <w:rFonts w:hint="eastAsia"/>
          <w:b/>
          <w:bCs/>
          <w:sz w:val="21"/>
          <w:szCs w:val="21"/>
        </w:rPr>
        <w:t>五、公开披露的基金信息</w:t>
      </w:r>
    </w:p>
    <w:p w14:paraId="07CE390D">
      <w:pPr>
        <w:pStyle w:val="8"/>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1B946464">
      <w:pPr>
        <w:pStyle w:val="8"/>
        <w:spacing w:before="0" w:beforeAutospacing="0" w:after="0" w:afterAutospacing="0" w:line="360" w:lineRule="auto"/>
        <w:ind w:firstLine="420"/>
        <w:rPr>
          <w:sz w:val="21"/>
          <w:szCs w:val="21"/>
        </w:rPr>
      </w:pPr>
      <w:r>
        <w:rPr>
          <w:rFonts w:hint="eastAsia"/>
          <w:sz w:val="21"/>
          <w:szCs w:val="21"/>
        </w:rPr>
        <w:t xml:space="preserve">（一）招募说明书、基金合同、托管协议、基金产品资料概要 </w:t>
      </w:r>
    </w:p>
    <w:p w14:paraId="2D7CB2EB">
      <w:pPr>
        <w:pStyle w:val="8"/>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1、基金合同是界定基金合同当事人的各项权利、义务关系，明确基金份额持有人大会召开的规则及具体程序，说明基金产品的特性等涉及基金投资人重大利益的事项的法律文件。 </w:t>
      </w:r>
    </w:p>
    <w:p w14:paraId="7811A09C">
      <w:pPr>
        <w:pStyle w:val="8"/>
        <w:spacing w:before="0" w:beforeAutospacing="0" w:after="0" w:afterAutospacing="0" w:line="360" w:lineRule="auto"/>
        <w:ind w:firstLine="420"/>
        <w:rPr>
          <w:sz w:val="21"/>
          <w:szCs w:val="21"/>
        </w:rPr>
      </w:pPr>
      <w:r>
        <w:rPr>
          <w:rFonts w:hint="eastAsia"/>
          <w:sz w:val="21"/>
          <w:szCs w:val="21"/>
        </w:rPr>
        <w:t xml:space="preserve">2、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2A654DD3">
      <w:pPr>
        <w:pStyle w:val="8"/>
        <w:spacing w:before="0" w:beforeAutospacing="0" w:after="0" w:afterAutospacing="0" w:line="360" w:lineRule="auto"/>
        <w:ind w:firstLine="420"/>
        <w:rPr>
          <w:sz w:val="21"/>
          <w:szCs w:val="21"/>
        </w:rPr>
      </w:pPr>
      <w:r>
        <w:rPr>
          <w:rFonts w:hint="eastAsia"/>
          <w:sz w:val="21"/>
          <w:szCs w:val="21"/>
        </w:rPr>
        <w:t xml:space="preserve">3、托管协议是界定基金托管人和基金管理人在基金财产保管及基金运作监督等活动中的权利、义务关系的法律文件。 </w:t>
      </w:r>
    </w:p>
    <w:p w14:paraId="0E6163E0">
      <w:pPr>
        <w:pStyle w:val="8"/>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6CD9B156">
      <w:pPr>
        <w:pStyle w:val="8"/>
        <w:spacing w:before="0" w:beforeAutospacing="0" w:after="0" w:afterAutospacing="0" w:line="360" w:lineRule="auto"/>
        <w:ind w:firstLine="420"/>
        <w:rPr>
          <w:sz w:val="21"/>
          <w:szCs w:val="21"/>
        </w:rPr>
      </w:pPr>
      <w:r>
        <w:rPr>
          <w:rFonts w:hint="eastAsia"/>
          <w:sz w:val="21"/>
          <w:szCs w:val="21"/>
        </w:rPr>
        <w:t xml:space="preserve">5、基金募集申请经中国证监会核准后，基金管理人在基金份额发售的3日前，将招募说明书、基金合同摘要登载在指定报刊；基金管理人、基金托管人应当将基金合同、托管协议登载在网站上。 </w:t>
      </w:r>
    </w:p>
    <w:p w14:paraId="47D10A70">
      <w:pPr>
        <w:pStyle w:val="8"/>
        <w:spacing w:before="0" w:beforeAutospacing="0" w:after="0" w:afterAutospacing="0" w:line="360" w:lineRule="auto"/>
        <w:ind w:firstLine="420"/>
        <w:rPr>
          <w:sz w:val="21"/>
          <w:szCs w:val="21"/>
        </w:rPr>
      </w:pPr>
      <w:r>
        <w:rPr>
          <w:rFonts w:hint="eastAsia"/>
          <w:sz w:val="21"/>
          <w:szCs w:val="21"/>
        </w:rPr>
        <w:t xml:space="preserve">（二）基金份额发售公告 </w:t>
      </w:r>
    </w:p>
    <w:p w14:paraId="57356FF3">
      <w:pPr>
        <w:pStyle w:val="8"/>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基金管理人应当就基金份额发售的具体事宜编制发售公告，并在披露招募说明书的当日登载于指定报刊和网站上。 </w:t>
      </w:r>
    </w:p>
    <w:p w14:paraId="7E50AC36">
      <w:pPr>
        <w:pStyle w:val="8"/>
        <w:spacing w:before="0" w:beforeAutospacing="0" w:after="0" w:afterAutospacing="0" w:line="360" w:lineRule="auto"/>
        <w:ind w:firstLine="420"/>
        <w:rPr>
          <w:sz w:val="21"/>
          <w:szCs w:val="21"/>
        </w:rPr>
      </w:pPr>
      <w:r>
        <w:rPr>
          <w:rFonts w:hint="eastAsia"/>
          <w:sz w:val="21"/>
          <w:szCs w:val="21"/>
        </w:rPr>
        <w:t xml:space="preserve">（三）基金合同生效公告 </w:t>
      </w:r>
    </w:p>
    <w:p w14:paraId="4F7FF0E6">
      <w:pPr>
        <w:pStyle w:val="8"/>
        <w:spacing w:before="0" w:beforeAutospacing="0" w:after="0" w:afterAutospacing="0" w:line="360" w:lineRule="auto"/>
        <w:ind w:firstLine="420"/>
        <w:rPr>
          <w:sz w:val="21"/>
          <w:szCs w:val="21"/>
        </w:rPr>
      </w:pPr>
      <w:r>
        <w:rPr>
          <w:rFonts w:hint="eastAsia"/>
          <w:sz w:val="21"/>
          <w:szCs w:val="21"/>
        </w:rPr>
        <w:t xml:space="preserve">基金管理人应当在基金合同生效的次日在指定报刊和网站登载基金合同生效公告。 </w:t>
      </w:r>
    </w:p>
    <w:p w14:paraId="1003A60E">
      <w:pPr>
        <w:pStyle w:val="8"/>
        <w:spacing w:before="0" w:beforeAutospacing="0" w:after="0" w:afterAutospacing="0" w:line="360" w:lineRule="auto"/>
        <w:ind w:firstLine="420"/>
        <w:rPr>
          <w:sz w:val="21"/>
          <w:szCs w:val="21"/>
        </w:rPr>
      </w:pPr>
      <w:r>
        <w:rPr>
          <w:rFonts w:hint="eastAsia"/>
          <w:sz w:val="21"/>
          <w:szCs w:val="21"/>
        </w:rPr>
        <w:t xml:space="preserve">（四）基金份额上市交易公告书 </w:t>
      </w:r>
    </w:p>
    <w:p w14:paraId="0559CDD7">
      <w:pPr>
        <w:pStyle w:val="8"/>
        <w:spacing w:before="0" w:beforeAutospacing="0" w:after="0" w:afterAutospacing="0" w:line="360" w:lineRule="auto"/>
        <w:ind w:firstLine="420"/>
        <w:rPr>
          <w:sz w:val="21"/>
          <w:szCs w:val="21"/>
        </w:rPr>
      </w:pPr>
      <w:r>
        <w:rPr>
          <w:rFonts w:hint="eastAsia"/>
          <w:sz w:val="21"/>
          <w:szCs w:val="21"/>
        </w:rPr>
        <w:t xml:space="preserve">基金份额获准在证券交易所上市交易的，基金管理人应当在基金份额上市交易3个工作日前，将基金份额上市交易公告书登载在指定报刊和网站上。 </w:t>
      </w:r>
    </w:p>
    <w:p w14:paraId="56D350BE">
      <w:pPr>
        <w:pStyle w:val="8"/>
        <w:spacing w:before="0" w:beforeAutospacing="0" w:after="0" w:afterAutospacing="0" w:line="360" w:lineRule="auto"/>
        <w:ind w:firstLine="420"/>
        <w:rPr>
          <w:sz w:val="21"/>
          <w:szCs w:val="21"/>
        </w:rPr>
      </w:pPr>
      <w:r>
        <w:rPr>
          <w:rFonts w:hint="eastAsia"/>
          <w:sz w:val="21"/>
          <w:szCs w:val="21"/>
        </w:rPr>
        <w:t xml:space="preserve">（五）申购、赎回清单 </w:t>
      </w:r>
    </w:p>
    <w:p w14:paraId="57090856">
      <w:pPr>
        <w:pStyle w:val="8"/>
        <w:spacing w:before="0" w:beforeAutospacing="0" w:after="0" w:afterAutospacing="0" w:line="360" w:lineRule="auto"/>
        <w:ind w:firstLine="420"/>
        <w:rPr>
          <w:sz w:val="21"/>
          <w:szCs w:val="21"/>
        </w:rPr>
      </w:pPr>
      <w:r>
        <w:rPr>
          <w:rFonts w:hint="eastAsia"/>
          <w:sz w:val="21"/>
          <w:szCs w:val="21"/>
        </w:rPr>
        <w:t xml:space="preserve">在开始办理基金份额申购或者赎回之后，基金管理人应当在每个开放日，通过网站、基金份额发售网点以及其他媒介公告当日的申购、赎回清单。 </w:t>
      </w:r>
    </w:p>
    <w:p w14:paraId="46562457">
      <w:pPr>
        <w:pStyle w:val="8"/>
        <w:spacing w:before="0" w:beforeAutospacing="0" w:after="0" w:afterAutospacing="0" w:line="360" w:lineRule="auto"/>
        <w:ind w:firstLine="420"/>
        <w:rPr>
          <w:sz w:val="21"/>
          <w:szCs w:val="21"/>
        </w:rPr>
      </w:pPr>
      <w:r>
        <w:rPr>
          <w:rFonts w:hint="eastAsia"/>
          <w:sz w:val="21"/>
          <w:szCs w:val="21"/>
        </w:rPr>
        <w:t xml:space="preserve">（六）基金净值信息 </w:t>
      </w:r>
    </w:p>
    <w:p w14:paraId="2C70D287">
      <w:pPr>
        <w:pStyle w:val="8"/>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基金合同生效后，在开始办理基金份额申购或者赎回前，基金管理人应当至少每周在指定网站披露一次基金份额净值和基金份额累计净值。 </w:t>
      </w:r>
    </w:p>
    <w:p w14:paraId="0EF3BE3D">
      <w:pPr>
        <w:pStyle w:val="8"/>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在开始办理基金份额申购或者赎回后，基金管理人应当在不晚于每个开放日的次日，通过指定网站、基金销售机构网站或者营业网点披露开放日的基金份额净值和基金份额累计净值。 </w:t>
      </w:r>
    </w:p>
    <w:p w14:paraId="448D86CF">
      <w:pPr>
        <w:pStyle w:val="8"/>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基金管理人应当在不晚于半年度和年度最后一日的次日，在指定网站公告半年度和年度最后1日基金份额净值和基金份额累计净值。 </w:t>
      </w:r>
    </w:p>
    <w:p w14:paraId="05F9D2D0">
      <w:pPr>
        <w:pStyle w:val="8"/>
        <w:spacing w:before="0" w:beforeAutospacing="0" w:after="0" w:afterAutospacing="0" w:line="360" w:lineRule="auto"/>
        <w:ind w:firstLine="420"/>
        <w:rPr>
          <w:sz w:val="21"/>
          <w:szCs w:val="21"/>
        </w:rPr>
      </w:pPr>
      <w:r>
        <w:rPr>
          <w:rFonts w:hint="eastAsia"/>
          <w:sz w:val="21"/>
          <w:szCs w:val="21"/>
        </w:rPr>
        <w:t xml:space="preserve">（七）基金申购、赎回开始公告 </w:t>
      </w:r>
    </w:p>
    <w:p w14:paraId="459B268C">
      <w:pPr>
        <w:pStyle w:val="8"/>
        <w:spacing w:before="0" w:beforeAutospacing="0" w:after="0" w:afterAutospacing="0" w:line="360" w:lineRule="auto"/>
        <w:ind w:firstLine="420"/>
        <w:rPr>
          <w:sz w:val="21"/>
          <w:szCs w:val="21"/>
        </w:rPr>
      </w:pPr>
      <w:r>
        <w:rPr>
          <w:rFonts w:hint="eastAsia"/>
          <w:sz w:val="21"/>
          <w:szCs w:val="21"/>
        </w:rPr>
        <w:t xml:space="preserve">基金管理人应于申购开始日、赎回开始日前在指定报刊及网站上公告。 </w:t>
      </w:r>
    </w:p>
    <w:p w14:paraId="4E2A0CE4">
      <w:pPr>
        <w:pStyle w:val="8"/>
        <w:spacing w:before="0" w:beforeAutospacing="0" w:after="0" w:afterAutospacing="0" w:line="360" w:lineRule="auto"/>
        <w:ind w:firstLine="420"/>
        <w:rPr>
          <w:sz w:val="21"/>
          <w:szCs w:val="21"/>
        </w:rPr>
      </w:pPr>
      <w:r>
        <w:rPr>
          <w:rFonts w:hint="eastAsia"/>
          <w:sz w:val="21"/>
          <w:szCs w:val="21"/>
        </w:rPr>
        <w:t xml:space="preserve">（八）基金定期报告，包括基金年度报告、基金中期报告和基金季度报告 </w:t>
      </w:r>
    </w:p>
    <w:p w14:paraId="47A0D886">
      <w:pPr>
        <w:pStyle w:val="8"/>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14:paraId="1B48A2BE">
      <w:pPr>
        <w:pStyle w:val="8"/>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7407BAF1">
      <w:pPr>
        <w:pStyle w:val="8"/>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38708E3A">
      <w:pPr>
        <w:pStyle w:val="8"/>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3A2E2343">
      <w:pPr>
        <w:pStyle w:val="8"/>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14:paraId="11A65234">
      <w:pPr>
        <w:pStyle w:val="8"/>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14:paraId="4C0DE3A1">
      <w:pPr>
        <w:pStyle w:val="8"/>
        <w:spacing w:before="0" w:beforeAutospacing="0" w:after="0" w:afterAutospacing="0" w:line="360" w:lineRule="auto"/>
        <w:ind w:firstLine="420"/>
        <w:rPr>
          <w:sz w:val="21"/>
          <w:szCs w:val="21"/>
        </w:rPr>
      </w:pPr>
      <w:r>
        <w:rPr>
          <w:rFonts w:hint="eastAsia"/>
          <w:sz w:val="21"/>
          <w:szCs w:val="21"/>
        </w:rPr>
        <w:t xml:space="preserve">（九）临时报告 </w:t>
      </w:r>
    </w:p>
    <w:p w14:paraId="01C8AF7F">
      <w:pPr>
        <w:pStyle w:val="8"/>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14:paraId="559EE690">
      <w:pPr>
        <w:pStyle w:val="8"/>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082600DC">
      <w:pPr>
        <w:pStyle w:val="8"/>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16387D54">
      <w:pPr>
        <w:pStyle w:val="8"/>
        <w:spacing w:before="0" w:beforeAutospacing="0" w:after="0" w:afterAutospacing="0" w:line="360" w:lineRule="auto"/>
        <w:ind w:firstLine="420"/>
        <w:rPr>
          <w:sz w:val="21"/>
          <w:szCs w:val="21"/>
        </w:rPr>
      </w:pPr>
      <w:r>
        <w:rPr>
          <w:rFonts w:hint="eastAsia"/>
          <w:sz w:val="21"/>
          <w:szCs w:val="21"/>
        </w:rPr>
        <w:t xml:space="preserve">2、终止基金合同、基金清算； </w:t>
      </w:r>
    </w:p>
    <w:p w14:paraId="6E70C1B6">
      <w:pPr>
        <w:pStyle w:val="8"/>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3AC7385F">
      <w:pPr>
        <w:pStyle w:val="8"/>
        <w:spacing w:before="0" w:beforeAutospacing="0" w:after="0" w:afterAutospacing="0" w:line="360" w:lineRule="auto"/>
        <w:ind w:firstLine="420"/>
        <w:rPr>
          <w:sz w:val="21"/>
          <w:szCs w:val="21"/>
        </w:rPr>
      </w:pPr>
      <w:r>
        <w:rPr>
          <w:rFonts w:hint="eastAsia"/>
          <w:sz w:val="21"/>
          <w:szCs w:val="21"/>
        </w:rPr>
        <w:t xml:space="preserve">4、更换基金管理人、基金托管人、境外托管人，更换或撤销境外投资顾问、基金份额登记机构，基金改聘会计师事务所； </w:t>
      </w:r>
    </w:p>
    <w:p w14:paraId="63222B65">
      <w:pPr>
        <w:pStyle w:val="8"/>
        <w:spacing w:before="0" w:beforeAutospacing="0" w:after="0" w:afterAutospacing="0" w:line="360" w:lineRule="auto"/>
        <w:ind w:firstLine="420"/>
        <w:rPr>
          <w:sz w:val="21"/>
          <w:szCs w:val="21"/>
        </w:rPr>
      </w:pPr>
      <w:r>
        <w:rPr>
          <w:rFonts w:hint="eastAsia"/>
          <w:sz w:val="21"/>
          <w:szCs w:val="21"/>
        </w:rPr>
        <w:t xml:space="preserve">5、对基金投资可能产生重大影响的境外投资顾问主要负责人员发生变更； </w:t>
      </w:r>
    </w:p>
    <w:p w14:paraId="6BA9AE4C">
      <w:pPr>
        <w:pStyle w:val="8"/>
        <w:spacing w:before="0" w:beforeAutospacing="0" w:after="0" w:afterAutospacing="0" w:line="360" w:lineRule="auto"/>
        <w:ind w:firstLine="420"/>
        <w:rPr>
          <w:sz w:val="21"/>
          <w:szCs w:val="21"/>
        </w:rPr>
      </w:pPr>
      <w:r>
        <w:rPr>
          <w:rFonts w:hint="eastAsia"/>
          <w:sz w:val="21"/>
          <w:szCs w:val="21"/>
        </w:rPr>
        <w:t xml:space="preserve">6、基金管理人委托基金服务机构代为办理基金的份额登记、核算、估值等事项，基金托管人委托基金服务机构代为办理基金的核算、估值、复核等事项； </w:t>
      </w:r>
    </w:p>
    <w:p w14:paraId="4693AE65">
      <w:pPr>
        <w:pStyle w:val="8"/>
        <w:spacing w:before="0" w:beforeAutospacing="0" w:after="0" w:afterAutospacing="0" w:line="360" w:lineRule="auto"/>
        <w:ind w:firstLine="420"/>
        <w:rPr>
          <w:sz w:val="21"/>
          <w:szCs w:val="21"/>
        </w:rPr>
      </w:pPr>
      <w:r>
        <w:rPr>
          <w:rFonts w:hint="eastAsia"/>
          <w:sz w:val="21"/>
          <w:szCs w:val="21"/>
        </w:rPr>
        <w:t xml:space="preserve">7、基金管理人、基金托管人、境外托管人或境外投资顾问的法定名称、住所发生变更； </w:t>
      </w:r>
    </w:p>
    <w:p w14:paraId="26896FA4">
      <w:pPr>
        <w:pStyle w:val="8"/>
        <w:spacing w:before="0" w:beforeAutospacing="0" w:after="0" w:afterAutospacing="0" w:line="360" w:lineRule="auto"/>
        <w:ind w:firstLine="420"/>
        <w:rPr>
          <w:sz w:val="21"/>
          <w:szCs w:val="21"/>
        </w:rPr>
      </w:pPr>
      <w:r>
        <w:rPr>
          <w:rFonts w:hint="eastAsia"/>
          <w:sz w:val="21"/>
          <w:szCs w:val="21"/>
        </w:rPr>
        <w:t xml:space="preserve">8、基金管理人变更持有百分之五以上股权的股东、基金管理人的实际控制人变更； </w:t>
      </w:r>
    </w:p>
    <w:p w14:paraId="7FC046BD">
      <w:pPr>
        <w:pStyle w:val="8"/>
        <w:spacing w:before="0" w:beforeAutospacing="0" w:after="0" w:afterAutospacing="0" w:line="360" w:lineRule="auto"/>
        <w:ind w:firstLine="420"/>
        <w:rPr>
          <w:sz w:val="21"/>
          <w:szCs w:val="21"/>
        </w:rPr>
      </w:pPr>
      <w:r>
        <w:rPr>
          <w:rFonts w:hint="eastAsia"/>
          <w:sz w:val="21"/>
          <w:szCs w:val="21"/>
        </w:rPr>
        <w:t xml:space="preserve">9、基金募集期延长； </w:t>
      </w:r>
    </w:p>
    <w:p w14:paraId="7C5365D8">
      <w:pPr>
        <w:pStyle w:val="8"/>
        <w:spacing w:before="0" w:beforeAutospacing="0" w:after="0" w:afterAutospacing="0" w:line="360" w:lineRule="auto"/>
        <w:ind w:firstLine="420"/>
        <w:rPr>
          <w:sz w:val="21"/>
          <w:szCs w:val="21"/>
        </w:rPr>
      </w:pPr>
      <w:r>
        <w:rPr>
          <w:rFonts w:hint="eastAsia"/>
          <w:sz w:val="21"/>
          <w:szCs w:val="21"/>
        </w:rPr>
        <w:t xml:space="preserve">10、基金管理人的高级管理人员、基金经理和基金托管人专门基金托管部门负责人发生变动； </w:t>
      </w:r>
    </w:p>
    <w:p w14:paraId="13FFD085">
      <w:pPr>
        <w:pStyle w:val="8"/>
        <w:spacing w:before="0" w:beforeAutospacing="0" w:after="0" w:afterAutospacing="0" w:line="360" w:lineRule="auto"/>
        <w:ind w:firstLine="420"/>
        <w:rPr>
          <w:sz w:val="21"/>
          <w:szCs w:val="21"/>
        </w:rPr>
      </w:pPr>
      <w:r>
        <w:rPr>
          <w:rFonts w:hint="eastAsia"/>
          <w:sz w:val="21"/>
          <w:szCs w:val="21"/>
        </w:rPr>
        <w:t xml:space="preserve">11、基金管理人的董事在最近12个月内变更超过百分之五十； </w:t>
      </w:r>
    </w:p>
    <w:p w14:paraId="1A5030BE">
      <w:pPr>
        <w:pStyle w:val="8"/>
        <w:spacing w:before="0" w:beforeAutospacing="0" w:after="0" w:afterAutospacing="0" w:line="360" w:lineRule="auto"/>
        <w:ind w:firstLine="420"/>
        <w:rPr>
          <w:sz w:val="21"/>
          <w:szCs w:val="21"/>
        </w:rPr>
      </w:pPr>
      <w:r>
        <w:rPr>
          <w:rFonts w:hint="eastAsia"/>
          <w:sz w:val="21"/>
          <w:szCs w:val="21"/>
        </w:rPr>
        <w:t xml:space="preserve">12、基金管理人、基金托管人专门基金托管部门的主要业务人员在最近12个月内变动超过百分之三十； </w:t>
      </w:r>
    </w:p>
    <w:p w14:paraId="6D42910F">
      <w:pPr>
        <w:pStyle w:val="8"/>
        <w:spacing w:before="0" w:beforeAutospacing="0" w:after="0" w:afterAutospacing="0" w:line="360" w:lineRule="auto"/>
        <w:ind w:firstLine="420"/>
        <w:rPr>
          <w:sz w:val="21"/>
          <w:szCs w:val="21"/>
        </w:rPr>
      </w:pPr>
      <w:r>
        <w:rPr>
          <w:rFonts w:hint="eastAsia"/>
          <w:sz w:val="21"/>
          <w:szCs w:val="21"/>
        </w:rPr>
        <w:t xml:space="preserve">13、涉及基金管理业务、基金财产、基金托管业务的诉讼或仲裁； </w:t>
      </w:r>
    </w:p>
    <w:p w14:paraId="3F8566B0">
      <w:pPr>
        <w:pStyle w:val="8"/>
        <w:spacing w:before="0" w:beforeAutospacing="0" w:after="0" w:afterAutospacing="0" w:line="360" w:lineRule="auto"/>
        <w:ind w:firstLine="420"/>
        <w:rPr>
          <w:sz w:val="21"/>
          <w:szCs w:val="21"/>
        </w:rPr>
      </w:pPr>
      <w:r>
        <w:rPr>
          <w:rFonts w:hint="eastAsia"/>
          <w:sz w:val="21"/>
          <w:szCs w:val="21"/>
        </w:rPr>
        <w:t xml:space="preserve">14、基金管理人或其高级管理人员、基金经理因基金管理业务相关行为受到重大行政处罚、刑事处罚，基金托管人或其专门基金托管部门负责人因基金托管业务相关行为受到重大行政处罚、刑事处罚； </w:t>
      </w:r>
    </w:p>
    <w:p w14:paraId="303C9806">
      <w:pPr>
        <w:pStyle w:val="8"/>
        <w:spacing w:before="0" w:beforeAutospacing="0" w:after="0" w:afterAutospacing="0" w:line="360" w:lineRule="auto"/>
        <w:ind w:firstLine="420"/>
        <w:rPr>
          <w:sz w:val="21"/>
          <w:szCs w:val="21"/>
        </w:rPr>
      </w:pPr>
      <w:r>
        <w:rPr>
          <w:rFonts w:hint="eastAsia"/>
          <w:sz w:val="21"/>
          <w:szCs w:val="21"/>
        </w:rPr>
        <w:t xml:space="preserve">15、基金管理人运用基金财产买卖基金管理人、基金托管人及其控股股东、实际控制人或者与其有重大利害关系的公司发行的证券或者承销期内承销的证券，或者从事其他重大关联交易事项，中国证监会另有规定的情形除外； </w:t>
      </w:r>
    </w:p>
    <w:p w14:paraId="5C08F5C4">
      <w:pPr>
        <w:pStyle w:val="8"/>
        <w:spacing w:before="0" w:beforeAutospacing="0" w:after="0" w:afterAutospacing="0" w:line="360" w:lineRule="auto"/>
        <w:ind w:firstLine="420"/>
        <w:rPr>
          <w:sz w:val="21"/>
          <w:szCs w:val="21"/>
        </w:rPr>
      </w:pPr>
      <w:r>
        <w:rPr>
          <w:rFonts w:hint="eastAsia"/>
          <w:sz w:val="21"/>
          <w:szCs w:val="21"/>
        </w:rPr>
        <w:t xml:space="preserve">16、基金收益分配事项； </w:t>
      </w:r>
    </w:p>
    <w:p w14:paraId="31FC383C">
      <w:pPr>
        <w:pStyle w:val="8"/>
        <w:spacing w:before="0" w:beforeAutospacing="0" w:after="0" w:afterAutospacing="0" w:line="360" w:lineRule="auto"/>
        <w:ind w:firstLine="420"/>
        <w:rPr>
          <w:sz w:val="21"/>
          <w:szCs w:val="21"/>
        </w:rPr>
      </w:pPr>
      <w:r>
        <w:rPr>
          <w:rFonts w:hint="eastAsia"/>
          <w:sz w:val="21"/>
          <w:szCs w:val="21"/>
        </w:rPr>
        <w:t xml:space="preserve">17、管理费、托管费、申购费、赎回费等费用计提标准、计提方式和费率发生变更； </w:t>
      </w:r>
    </w:p>
    <w:p w14:paraId="3E003C12">
      <w:pPr>
        <w:pStyle w:val="8"/>
        <w:spacing w:before="0" w:beforeAutospacing="0" w:after="0" w:afterAutospacing="0" w:line="360" w:lineRule="auto"/>
        <w:ind w:firstLine="420"/>
        <w:rPr>
          <w:sz w:val="21"/>
          <w:szCs w:val="21"/>
        </w:rPr>
      </w:pPr>
      <w:r>
        <w:rPr>
          <w:rFonts w:hint="eastAsia"/>
          <w:sz w:val="21"/>
          <w:szCs w:val="21"/>
        </w:rPr>
        <w:t xml:space="preserve">18、基金份额净值计价错误达基金份额净值百分之零点五； </w:t>
      </w:r>
    </w:p>
    <w:p w14:paraId="4C129569">
      <w:pPr>
        <w:pStyle w:val="8"/>
        <w:spacing w:before="0" w:beforeAutospacing="0" w:after="0" w:afterAutospacing="0" w:line="360" w:lineRule="auto"/>
        <w:ind w:firstLine="420"/>
        <w:rPr>
          <w:sz w:val="21"/>
          <w:szCs w:val="21"/>
        </w:rPr>
      </w:pPr>
      <w:r>
        <w:rPr>
          <w:rFonts w:hint="eastAsia"/>
          <w:sz w:val="21"/>
          <w:szCs w:val="21"/>
        </w:rPr>
        <w:t xml:space="preserve">19、本基金开始办理申购、赎回； </w:t>
      </w:r>
    </w:p>
    <w:p w14:paraId="0E32AEAC">
      <w:pPr>
        <w:pStyle w:val="8"/>
        <w:spacing w:before="0" w:beforeAutospacing="0" w:after="0" w:afterAutospacing="0" w:line="360" w:lineRule="auto"/>
        <w:ind w:firstLine="420"/>
        <w:rPr>
          <w:sz w:val="21"/>
          <w:szCs w:val="21"/>
        </w:rPr>
      </w:pPr>
      <w:r>
        <w:rPr>
          <w:rFonts w:hint="eastAsia"/>
          <w:sz w:val="21"/>
          <w:szCs w:val="21"/>
        </w:rPr>
        <w:t xml:space="preserve">20、本基金暂停接受申购、赎回申请或重新接受申购、赎回申请； </w:t>
      </w:r>
    </w:p>
    <w:p w14:paraId="000C1DC6">
      <w:pPr>
        <w:pStyle w:val="8"/>
        <w:spacing w:before="0" w:beforeAutospacing="0" w:after="0" w:afterAutospacing="0" w:line="360" w:lineRule="auto"/>
        <w:ind w:firstLine="420"/>
        <w:rPr>
          <w:sz w:val="21"/>
          <w:szCs w:val="21"/>
        </w:rPr>
      </w:pPr>
      <w:r>
        <w:rPr>
          <w:rFonts w:hint="eastAsia"/>
          <w:sz w:val="21"/>
          <w:szCs w:val="21"/>
        </w:rPr>
        <w:t xml:space="preserve">21、基金份额暂停上市、恢复上市或终止上市； </w:t>
      </w:r>
    </w:p>
    <w:p w14:paraId="36F66489">
      <w:pPr>
        <w:pStyle w:val="8"/>
        <w:spacing w:before="0" w:beforeAutospacing="0" w:after="0" w:afterAutospacing="0" w:line="360" w:lineRule="auto"/>
        <w:ind w:firstLine="420"/>
        <w:rPr>
          <w:sz w:val="21"/>
          <w:szCs w:val="21"/>
        </w:rPr>
      </w:pPr>
      <w:r>
        <w:rPr>
          <w:rFonts w:hint="eastAsia"/>
          <w:sz w:val="21"/>
          <w:szCs w:val="21"/>
        </w:rPr>
        <w:t xml:space="preserve">22、发生涉及本基金申购、赎回事项调整或潜在影响投资者赎回等重大事项时； </w:t>
      </w:r>
    </w:p>
    <w:p w14:paraId="40978CB8">
      <w:pPr>
        <w:pStyle w:val="8"/>
        <w:spacing w:before="0" w:beforeAutospacing="0" w:after="0" w:afterAutospacing="0" w:line="360" w:lineRule="auto"/>
        <w:ind w:firstLine="420"/>
        <w:rPr>
          <w:sz w:val="21"/>
          <w:szCs w:val="21"/>
        </w:rPr>
      </w:pPr>
      <w:r>
        <w:rPr>
          <w:rFonts w:hint="eastAsia"/>
          <w:sz w:val="21"/>
          <w:szCs w:val="21"/>
        </w:rPr>
        <w:t xml:space="preserve">23、基金信息披露义务人认为可能对基金份额持有人权益或者基金份额的价格产生重大影响的其他事项或中国证监会规定的其他事项。 </w:t>
      </w:r>
    </w:p>
    <w:p w14:paraId="04ABF35D">
      <w:pPr>
        <w:pStyle w:val="8"/>
        <w:spacing w:before="0" w:beforeAutospacing="0" w:after="0" w:afterAutospacing="0" w:line="360" w:lineRule="auto"/>
        <w:ind w:firstLine="420"/>
        <w:rPr>
          <w:sz w:val="21"/>
          <w:szCs w:val="21"/>
        </w:rPr>
      </w:pPr>
      <w:r>
        <w:rPr>
          <w:rFonts w:hint="eastAsia"/>
          <w:sz w:val="21"/>
          <w:szCs w:val="21"/>
        </w:rPr>
        <w:t xml:space="preserve">（十）澄清公告 </w:t>
      </w:r>
    </w:p>
    <w:p w14:paraId="4E682B50">
      <w:pPr>
        <w:pStyle w:val="8"/>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和基金上市交易的证券交易所网站。 </w:t>
      </w:r>
    </w:p>
    <w:p w14:paraId="06D0D794">
      <w:pPr>
        <w:pStyle w:val="8"/>
        <w:spacing w:before="0" w:beforeAutospacing="0" w:after="0" w:afterAutospacing="0" w:line="360" w:lineRule="auto"/>
        <w:ind w:firstLine="420"/>
        <w:rPr>
          <w:sz w:val="21"/>
          <w:szCs w:val="21"/>
        </w:rPr>
      </w:pPr>
      <w:r>
        <w:rPr>
          <w:rFonts w:hint="eastAsia"/>
          <w:sz w:val="21"/>
          <w:szCs w:val="21"/>
        </w:rPr>
        <w:t xml:space="preserve">（十一）基金份额持有人大会决议 </w:t>
      </w:r>
    </w:p>
    <w:p w14:paraId="0C6B07C9">
      <w:pPr>
        <w:pStyle w:val="8"/>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基金份额持有人大会决定的事项，应当依法报国务院证券监督管理机构核准或者备案，并予以公告。 </w:t>
      </w:r>
    </w:p>
    <w:p w14:paraId="5CB9E5FA">
      <w:pPr>
        <w:pStyle w:val="8"/>
        <w:spacing w:before="0" w:beforeAutospacing="0" w:after="0" w:afterAutospacing="0" w:line="360" w:lineRule="auto"/>
        <w:ind w:firstLine="420"/>
        <w:rPr>
          <w:sz w:val="21"/>
          <w:szCs w:val="21"/>
        </w:rPr>
      </w:pPr>
      <w:r>
        <w:rPr>
          <w:rFonts w:hint="eastAsia"/>
          <w:sz w:val="21"/>
          <w:szCs w:val="21"/>
        </w:rPr>
        <w:t xml:space="preserve">（十二）清算报告 </w:t>
      </w:r>
    </w:p>
    <w:p w14:paraId="5855F6DA">
      <w:pPr>
        <w:pStyle w:val="8"/>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4DEEDC7F">
      <w:pPr>
        <w:pStyle w:val="8"/>
        <w:spacing w:before="0" w:beforeAutospacing="0" w:after="0" w:afterAutospacing="0" w:line="360" w:lineRule="auto"/>
        <w:ind w:firstLine="420"/>
        <w:rPr>
          <w:sz w:val="21"/>
          <w:szCs w:val="21"/>
        </w:rPr>
      </w:pPr>
      <w:bookmarkStart w:id="171" w:name="chapter_level1_21_67_section_2_end"/>
      <w:bookmarkEnd w:id="171"/>
      <w:r>
        <w:rPr>
          <w:rFonts w:hint="eastAsia"/>
          <w:sz w:val="21"/>
          <w:szCs w:val="21"/>
        </w:rPr>
        <w:t xml:space="preserve">（十三）中国证监会规定的其他信息。 </w:t>
      </w:r>
    </w:p>
    <w:p w14:paraId="1991C87D">
      <w:pPr>
        <w:pStyle w:val="8"/>
        <w:spacing w:before="0" w:beforeAutospacing="0" w:after="0" w:afterAutospacing="0" w:line="360" w:lineRule="auto"/>
        <w:ind w:firstLine="420"/>
        <w:rPr>
          <w:sz w:val="21"/>
          <w:szCs w:val="21"/>
        </w:rPr>
      </w:pPr>
      <w:bookmarkStart w:id="172" w:name="chapter_level1_21_67_section_3"/>
      <w:bookmarkEnd w:id="172"/>
      <w:r>
        <w:rPr>
          <w:rFonts w:hint="eastAsia"/>
          <w:b/>
          <w:bCs/>
          <w:sz w:val="21"/>
          <w:szCs w:val="21"/>
        </w:rPr>
        <w:t>六、信息披露事务管理</w:t>
      </w:r>
    </w:p>
    <w:p w14:paraId="1ADD03B4">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0E3E2ABB">
      <w:pPr>
        <w:pStyle w:val="8"/>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基金信息披露义务人公开披露基金信息，应当符合中国证监会相关基金信息披露内容与格式准则等法规以及证券交易所的自律管理规则规定。 </w:t>
      </w:r>
    </w:p>
    <w:p w14:paraId="5CFFB56B">
      <w:pPr>
        <w:pStyle w:val="8"/>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基金份额净值、基金份额申购赎回对价、基金定期报告、更新的招募说明书、基金产品资料概要、基金清算报告等相关基金信息进行复核、审查，并向基金管理人进行书面或电子确认。 </w:t>
      </w:r>
    </w:p>
    <w:p w14:paraId="68568242">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14:paraId="53FC664C">
      <w:pPr>
        <w:pStyle w:val="8"/>
        <w:spacing w:before="0" w:beforeAutospacing="0" w:after="0" w:afterAutospacing="0" w:line="360" w:lineRule="auto"/>
        <w:ind w:firstLine="420"/>
        <w:rPr>
          <w:sz w:val="21"/>
          <w:szCs w:val="21"/>
        </w:rPr>
      </w:pPr>
      <w:r>
        <w:rPr>
          <w:rFonts w:hint="eastAsia"/>
          <w:sz w:val="21"/>
          <w:szCs w:val="21"/>
        </w:rPr>
        <w:t xml:space="preserve">基金管理人、基金托管人除依法在指定媒介披露信息外，还可以根据需要在其他公共媒介披露信息，但是其他公共媒介不得早于指定媒介披露信息，并且在不同媒介上披露同一信息的内容应当一致。 </w:t>
      </w:r>
    </w:p>
    <w:p w14:paraId="477FCFBB">
      <w:pPr>
        <w:pStyle w:val="8"/>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485E8CBB">
      <w:pPr>
        <w:pStyle w:val="8"/>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4AADA9F1">
      <w:pPr>
        <w:pStyle w:val="8"/>
        <w:spacing w:before="0" w:beforeAutospacing="0" w:after="0" w:afterAutospacing="0" w:line="360" w:lineRule="auto"/>
        <w:ind w:firstLine="420"/>
        <w:rPr>
          <w:sz w:val="21"/>
          <w:szCs w:val="21"/>
        </w:rPr>
      </w:pPr>
      <w:r>
        <w:rPr>
          <w:rFonts w:hint="eastAsia"/>
          <w:b/>
          <w:bCs/>
          <w:sz w:val="21"/>
          <w:szCs w:val="21"/>
        </w:rPr>
        <w:t>七、信息披露文件的存放与查阅</w:t>
      </w:r>
    </w:p>
    <w:p w14:paraId="68B8A443">
      <w:pPr>
        <w:pStyle w:val="8"/>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依法必须披露的信息发布后，基金管理人、基金托管人应当按照相关法律法规规定将信息置备于各自住所、基金上市交易的证券交易所，供社会公众查阅、复制。 </w:t>
      </w:r>
    </w:p>
    <w:p w14:paraId="7A251510">
      <w:pPr>
        <w:pStyle w:val="8"/>
        <w:spacing w:before="0" w:beforeAutospacing="0" w:after="0" w:afterAutospacing="0" w:line="360" w:lineRule="auto"/>
        <w:ind w:firstLine="420"/>
        <w:rPr>
          <w:sz w:val="21"/>
          <w:szCs w:val="21"/>
        </w:rPr>
      </w:pPr>
      <w:r>
        <w:rPr>
          <w:rFonts w:hint="eastAsia"/>
          <w:b/>
          <w:bCs/>
          <w:sz w:val="21"/>
          <w:szCs w:val="21"/>
        </w:rPr>
        <w:t>八、暂停或延迟信息披露的情形</w:t>
      </w:r>
    </w:p>
    <w:p w14:paraId="7222BC4D">
      <w:pPr>
        <w:pStyle w:val="8"/>
        <w:spacing w:before="0" w:beforeAutospacing="0" w:after="0" w:afterAutospacing="0" w:line="360" w:lineRule="auto"/>
        <w:ind w:firstLine="420"/>
        <w:rPr>
          <w:sz w:val="21"/>
          <w:szCs w:val="21"/>
        </w:rPr>
      </w:pPr>
      <w:r>
        <w:rPr>
          <w:rFonts w:hint="eastAsia"/>
          <w:sz w:val="21"/>
          <w:szCs w:val="21"/>
        </w:rPr>
        <w:t xml:space="preserve">当出现下述情况时，基金管理人和基金托管人可暂停或延迟信息披露： </w:t>
      </w:r>
    </w:p>
    <w:p w14:paraId="7F378B6B">
      <w:pPr>
        <w:pStyle w:val="8"/>
        <w:spacing w:before="0" w:beforeAutospacing="0" w:after="0" w:afterAutospacing="0" w:line="360" w:lineRule="auto"/>
        <w:ind w:firstLine="420"/>
        <w:rPr>
          <w:sz w:val="21"/>
          <w:szCs w:val="21"/>
        </w:rPr>
      </w:pPr>
      <w:r>
        <w:rPr>
          <w:rFonts w:hint="eastAsia"/>
          <w:sz w:val="21"/>
          <w:szCs w:val="21"/>
        </w:rPr>
        <w:t xml:space="preserve">1、不可抗力； </w:t>
      </w:r>
    </w:p>
    <w:p w14:paraId="6B16D3D5">
      <w:pPr>
        <w:pStyle w:val="8"/>
        <w:spacing w:before="0" w:beforeAutospacing="0" w:after="0" w:afterAutospacing="0" w:line="360" w:lineRule="auto"/>
        <w:ind w:firstLine="420"/>
        <w:rPr>
          <w:sz w:val="21"/>
          <w:szCs w:val="21"/>
        </w:rPr>
      </w:pPr>
      <w:r>
        <w:rPr>
          <w:rFonts w:hint="eastAsia"/>
          <w:sz w:val="21"/>
          <w:szCs w:val="21"/>
        </w:rPr>
        <w:t xml:space="preserve">2、计算机系统故障、网络故障、通讯故障、电力故障、计算机病毒攻击及其它非基金管理人和基金托管人故意或过失的情形。 </w:t>
      </w:r>
    </w:p>
    <w:p w14:paraId="7D278D0E">
      <w:pPr>
        <w:pStyle w:val="8"/>
        <w:spacing w:before="0" w:beforeAutospacing="0" w:after="0" w:afterAutospacing="0" w:line="360" w:lineRule="auto"/>
        <w:ind w:firstLine="420"/>
        <w:rPr>
          <w:sz w:val="21"/>
          <w:szCs w:val="21"/>
        </w:rPr>
      </w:pPr>
      <w:bookmarkStart w:id="173" w:name="chapter_level1_21_67_section_3_end"/>
      <w:bookmarkEnd w:id="173"/>
      <w:r>
        <w:rPr>
          <w:rFonts w:hint="eastAsia"/>
          <w:sz w:val="21"/>
          <w:szCs w:val="21"/>
        </w:rPr>
        <w:t xml:space="preserve">3、法律法规、基金合同或监管机构规定的其他情况。 </w:t>
      </w:r>
    </w:p>
    <w:p w14:paraId="45993B6C">
      <w:pPr>
        <w:widowControl/>
        <w:jc w:val="left"/>
        <w:rPr>
          <w:rFonts w:ascii="宋体" w:hAnsi="宋体" w:eastAsia="宋体"/>
        </w:rPr>
      </w:pPr>
      <w:r>
        <w:rPr>
          <w:rFonts w:ascii="宋体" w:hAnsi="宋体" w:eastAsia="宋体"/>
        </w:rPr>
        <w:br w:type="page"/>
      </w:r>
    </w:p>
    <w:p w14:paraId="1712F17E">
      <w:pPr>
        <w:pStyle w:val="2"/>
        <w:jc w:val="center"/>
        <w:rPr>
          <w:rFonts w:ascii="宋体" w:hAnsi="宋体" w:eastAsia="宋体"/>
          <w:sz w:val="30"/>
        </w:rPr>
      </w:pPr>
      <w:bookmarkStart w:id="174" w:name="chapter_level1_22_68"/>
      <w:bookmarkStart w:id="175" w:name="_Toc209441853"/>
      <w:r>
        <w:rPr>
          <w:rFonts w:hint="eastAsia" w:ascii="宋体" w:hAnsi="宋体" w:eastAsia="宋体"/>
          <w:sz w:val="30"/>
        </w:rPr>
        <w:t>第十九部分  风险揭示</w:t>
      </w:r>
      <w:bookmarkEnd w:id="174"/>
      <w:bookmarkEnd w:id="175"/>
    </w:p>
    <w:p w14:paraId="25B1BDB2">
      <w:pPr>
        <w:pStyle w:val="8"/>
        <w:spacing w:before="0" w:beforeAutospacing="0" w:after="0" w:afterAutospacing="0" w:line="360" w:lineRule="auto"/>
        <w:ind w:firstLine="420"/>
        <w:rPr>
          <w:sz w:val="21"/>
          <w:szCs w:val="21"/>
        </w:rPr>
      </w:pPr>
      <w:bookmarkStart w:id="176" w:name="chapter_level1_22_68_section_1"/>
      <w:bookmarkEnd w:id="176"/>
      <w:r>
        <w:rPr>
          <w:rFonts w:hint="eastAsia"/>
          <w:sz w:val="21"/>
          <w:szCs w:val="21"/>
        </w:rPr>
        <w:t xml:space="preserve">本基金的投资运作中可能出现的风险包括本基金特有的风险、投资风险、运作风险和不可抗力风险等。本基金管理人针对本基金的特点，建立了相应的风险管理体系，对本基金整个投资过程进行有效的风险监控。  </w:t>
      </w:r>
    </w:p>
    <w:p w14:paraId="65FADFC8">
      <w:pPr>
        <w:pStyle w:val="8"/>
        <w:spacing w:before="0" w:beforeAutospacing="0" w:after="0" w:afterAutospacing="0" w:line="360" w:lineRule="auto"/>
        <w:ind w:firstLine="420"/>
        <w:rPr>
          <w:sz w:val="21"/>
          <w:szCs w:val="21"/>
        </w:rPr>
      </w:pPr>
      <w:r>
        <w:rPr>
          <w:rFonts w:hint="eastAsia"/>
          <w:sz w:val="21"/>
          <w:szCs w:val="21"/>
        </w:rPr>
        <w:t xml:space="preserve">本基金的主要风险包括以下几个方面： </w:t>
      </w:r>
    </w:p>
    <w:p w14:paraId="6BAEB4C5">
      <w:pPr>
        <w:pStyle w:val="8"/>
        <w:spacing w:before="0" w:beforeAutospacing="0" w:after="0" w:afterAutospacing="0" w:line="360" w:lineRule="auto"/>
        <w:ind w:firstLine="420"/>
        <w:rPr>
          <w:sz w:val="21"/>
          <w:szCs w:val="21"/>
        </w:rPr>
      </w:pPr>
      <w:r>
        <w:rPr>
          <w:rStyle w:val="12"/>
          <w:rFonts w:hint="eastAsia"/>
          <w:sz w:val="21"/>
          <w:szCs w:val="21"/>
        </w:rPr>
        <w:t>一、 本基金的特有风险</w:t>
      </w:r>
    </w:p>
    <w:p w14:paraId="62F2E830">
      <w:pPr>
        <w:pStyle w:val="8"/>
        <w:spacing w:before="0" w:beforeAutospacing="0" w:after="0" w:afterAutospacing="0" w:line="360" w:lineRule="auto"/>
        <w:ind w:firstLine="420"/>
        <w:rPr>
          <w:sz w:val="21"/>
          <w:szCs w:val="21"/>
        </w:rPr>
      </w:pPr>
      <w:r>
        <w:rPr>
          <w:rFonts w:hint="eastAsia"/>
          <w:sz w:val="21"/>
          <w:szCs w:val="21"/>
        </w:rPr>
        <w:t xml:space="preserve">（一）指数化投资风险 </w:t>
      </w:r>
    </w:p>
    <w:p w14:paraId="7046BA02">
      <w:pPr>
        <w:pStyle w:val="8"/>
        <w:spacing w:before="0" w:beforeAutospacing="0" w:after="0" w:afterAutospacing="0" w:line="360" w:lineRule="auto"/>
        <w:ind w:firstLine="420"/>
        <w:rPr>
          <w:sz w:val="21"/>
          <w:szCs w:val="21"/>
        </w:rPr>
      </w:pPr>
      <w:r>
        <w:rPr>
          <w:rFonts w:hint="eastAsia"/>
          <w:sz w:val="21"/>
          <w:szCs w:val="21"/>
        </w:rPr>
        <w:t xml:space="preserve">1. 与标的指数相关的风险 </w:t>
      </w:r>
    </w:p>
    <w:p w14:paraId="3E4C1194">
      <w:pPr>
        <w:pStyle w:val="8"/>
        <w:spacing w:before="0" w:beforeAutospacing="0" w:after="0" w:afterAutospacing="0" w:line="360" w:lineRule="auto"/>
        <w:ind w:firstLine="420"/>
        <w:rPr>
          <w:sz w:val="21"/>
          <w:szCs w:val="21"/>
        </w:rPr>
      </w:pPr>
      <w:r>
        <w:rPr>
          <w:rFonts w:hint="eastAsia"/>
          <w:sz w:val="21"/>
          <w:szCs w:val="21"/>
        </w:rPr>
        <w:t xml:space="preserve">1) 标的指数回报与股票市场平均回报偏离的风险 </w:t>
      </w:r>
    </w:p>
    <w:p w14:paraId="060C5385">
      <w:pPr>
        <w:pStyle w:val="8"/>
        <w:spacing w:before="0" w:beforeAutospacing="0" w:after="0" w:afterAutospacing="0" w:line="360" w:lineRule="auto"/>
        <w:ind w:firstLine="420"/>
        <w:rPr>
          <w:sz w:val="21"/>
          <w:szCs w:val="21"/>
        </w:rPr>
      </w:pPr>
      <w:r>
        <w:rPr>
          <w:rFonts w:hint="eastAsia"/>
          <w:sz w:val="21"/>
          <w:szCs w:val="21"/>
        </w:rPr>
        <w:t xml:space="preserve">本基金的标的指数并不能完全代表整个美国股票市场。标的指数成份股的平均回报率与整个美国股票市场的平均回报率可能存在偏离。 </w:t>
      </w:r>
    </w:p>
    <w:p w14:paraId="7FA7125F">
      <w:pPr>
        <w:pStyle w:val="8"/>
        <w:spacing w:before="0" w:beforeAutospacing="0" w:after="0" w:afterAutospacing="0" w:line="360" w:lineRule="auto"/>
        <w:ind w:firstLine="420"/>
        <w:rPr>
          <w:sz w:val="21"/>
          <w:szCs w:val="21"/>
        </w:rPr>
      </w:pPr>
      <w:r>
        <w:rPr>
          <w:rFonts w:hint="eastAsia"/>
          <w:sz w:val="21"/>
          <w:szCs w:val="21"/>
        </w:rPr>
        <w:t xml:space="preserve">2) 标的指数波动的风险 </w:t>
      </w:r>
    </w:p>
    <w:p w14:paraId="1CD56304">
      <w:pPr>
        <w:pStyle w:val="8"/>
        <w:spacing w:before="0" w:beforeAutospacing="0" w:after="0" w:afterAutospacing="0" w:line="360" w:lineRule="auto"/>
        <w:ind w:firstLine="420"/>
        <w:rPr>
          <w:sz w:val="21"/>
          <w:szCs w:val="21"/>
        </w:rPr>
      </w:pPr>
      <w:r>
        <w:rPr>
          <w:rFonts w:hint="eastAsia"/>
          <w:sz w:val="21"/>
          <w:szCs w:val="21"/>
        </w:rPr>
        <w:t xml:space="preserve">本基金标的指数成份股的价格可能受到美国政治、经济、上市公司经营状况、投资者心理和交易制度等各种因素的影响而波动，致使基金收益水平发生变化，产生风险。 </w:t>
      </w:r>
    </w:p>
    <w:p w14:paraId="43692465">
      <w:pPr>
        <w:pStyle w:val="8"/>
        <w:spacing w:before="0" w:beforeAutospacing="0" w:after="0" w:afterAutospacing="0" w:line="360" w:lineRule="auto"/>
        <w:ind w:firstLine="420"/>
        <w:rPr>
          <w:sz w:val="21"/>
          <w:szCs w:val="21"/>
        </w:rPr>
      </w:pPr>
      <w:r>
        <w:rPr>
          <w:rFonts w:hint="eastAsia"/>
          <w:sz w:val="21"/>
          <w:szCs w:val="21"/>
        </w:rPr>
        <w:t xml:space="preserve">3) 指数编制的风险 </w:t>
      </w:r>
    </w:p>
    <w:p w14:paraId="0175CEE1">
      <w:pPr>
        <w:pStyle w:val="8"/>
        <w:spacing w:before="0" w:beforeAutospacing="0" w:after="0" w:afterAutospacing="0" w:line="360" w:lineRule="auto"/>
        <w:ind w:firstLine="420"/>
        <w:rPr>
          <w:sz w:val="21"/>
          <w:szCs w:val="21"/>
        </w:rPr>
      </w:pPr>
      <w:r>
        <w:rPr>
          <w:rFonts w:hint="eastAsia"/>
          <w:sz w:val="21"/>
          <w:szCs w:val="21"/>
        </w:rPr>
        <w:t xml:space="preserve">本基金的标的指数及本基金可能投资的指数期货的基准指数均由指数提供商负责日常管理。指数提供商在编制、计算相关指数时没有义务顾及到本基金管理人和投资者的利益。指数提供商不保证标的指数的准确性和正确性，亦不保证在指数编制和计算时不会损害到本基金投资者和基金管理人的利益。 </w:t>
      </w:r>
    </w:p>
    <w:p w14:paraId="4815B56C">
      <w:pPr>
        <w:pStyle w:val="8"/>
        <w:spacing w:before="0" w:beforeAutospacing="0" w:after="0" w:afterAutospacing="0" w:line="360" w:lineRule="auto"/>
        <w:ind w:firstLine="420"/>
        <w:rPr>
          <w:sz w:val="21"/>
          <w:szCs w:val="21"/>
        </w:rPr>
      </w:pPr>
      <w:r>
        <w:rPr>
          <w:rFonts w:hint="eastAsia"/>
          <w:sz w:val="21"/>
          <w:szCs w:val="21"/>
        </w:rPr>
        <w:t xml:space="preserve">4) 标的指数变更的风险 </w:t>
      </w:r>
    </w:p>
    <w:p w14:paraId="530A9340">
      <w:pPr>
        <w:pStyle w:val="8"/>
        <w:spacing w:before="0" w:beforeAutospacing="0" w:after="0" w:afterAutospacing="0" w:line="360" w:lineRule="auto"/>
        <w:ind w:firstLine="420"/>
        <w:rPr>
          <w:sz w:val="21"/>
          <w:szCs w:val="21"/>
        </w:rPr>
      </w:pPr>
      <w:r>
        <w:rPr>
          <w:rFonts w:hint="eastAsia"/>
          <w:sz w:val="21"/>
          <w:szCs w:val="21"/>
        </w:rPr>
        <w:t xml:space="preserve">根据基金合同的规定，如本基金将变更标的指数，基于原标的指数的投资策略将会改变，投资组合将随之调整，基金的风险收益特征将与新的标的指数保持一致，投资者须承担此项调整带来的风险与成本。 </w:t>
      </w:r>
    </w:p>
    <w:p w14:paraId="795610DC">
      <w:pPr>
        <w:pStyle w:val="8"/>
        <w:spacing w:before="0" w:beforeAutospacing="0" w:after="0" w:afterAutospacing="0" w:line="360" w:lineRule="auto"/>
        <w:ind w:firstLine="420"/>
        <w:rPr>
          <w:sz w:val="21"/>
          <w:szCs w:val="21"/>
        </w:rPr>
      </w:pPr>
      <w:r>
        <w:rPr>
          <w:rFonts w:hint="eastAsia"/>
          <w:sz w:val="21"/>
          <w:szCs w:val="21"/>
        </w:rPr>
        <w:t xml:space="preserve">5) 指数编制机构停止服务的风险 </w:t>
      </w:r>
    </w:p>
    <w:p w14:paraId="4F1A06F8">
      <w:pPr>
        <w:pStyle w:val="8"/>
        <w:spacing w:before="0" w:beforeAutospacing="0" w:after="0" w:afterAutospacing="0" w:line="360" w:lineRule="auto"/>
        <w:ind w:firstLine="420"/>
        <w:rPr>
          <w:sz w:val="21"/>
          <w:szCs w:val="21"/>
        </w:rPr>
      </w:pPr>
      <w:r>
        <w:rPr>
          <w:rFonts w:hint="eastAsia"/>
          <w:sz w:val="21"/>
          <w:szCs w:val="21"/>
        </w:rPr>
        <w:t xml:space="preserve">本基金的标的指数由指数编制机构发布并管理和维护，未来指数编制机构可能由于各种原因停止对指数的管理和维护，本基金将根据基金合同的约定自该情形发生之日起十个工作日向中国证监会报告并提出解决方案，如更换基金标的指数、转换运作方式，与其他基金合并、或者终止基金合同等，并在6个月内召集基金份额持有人大会进行表决。因此，投资人将面临更换基金标的指数、转换运作方式，与其他基金合并、或者终止基金合同等风险。 </w:t>
      </w:r>
    </w:p>
    <w:p w14:paraId="0EC34D92">
      <w:pPr>
        <w:pStyle w:val="8"/>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 </w:t>
      </w:r>
    </w:p>
    <w:p w14:paraId="30E5A91C">
      <w:pPr>
        <w:pStyle w:val="8"/>
        <w:spacing w:before="0" w:beforeAutospacing="0" w:after="0" w:afterAutospacing="0" w:line="360" w:lineRule="auto"/>
        <w:ind w:firstLine="420"/>
        <w:rPr>
          <w:sz w:val="21"/>
          <w:szCs w:val="21"/>
        </w:rPr>
      </w:pPr>
      <w:r>
        <w:rPr>
          <w:rFonts w:hint="eastAsia"/>
          <w:sz w:val="21"/>
          <w:szCs w:val="21"/>
        </w:rPr>
        <w:t xml:space="preserve">6) 跟踪误差控制未达约定目标的风险 </w:t>
      </w:r>
    </w:p>
    <w:p w14:paraId="1B0F798D">
      <w:pPr>
        <w:pStyle w:val="8"/>
        <w:spacing w:before="0" w:beforeAutospacing="0" w:after="0" w:afterAutospacing="0" w:line="360" w:lineRule="auto"/>
        <w:ind w:firstLine="420"/>
        <w:rPr>
          <w:sz w:val="21"/>
          <w:szCs w:val="21"/>
        </w:rPr>
      </w:pPr>
      <w:r>
        <w:rPr>
          <w:rFonts w:hint="eastAsia"/>
          <w:sz w:val="21"/>
          <w:szCs w:val="21"/>
        </w:rPr>
        <w:t xml:space="preserve">本基金力争追求日均跟踪偏离度的绝对值不超过0.2%，年化跟踪误差控制在2%以内，但因标的指数编制规则调整或其他因素可能导致跟踪误差超过上述范围，本基金净值表现与指数价格走势可能发生较大偏离。 </w:t>
      </w:r>
    </w:p>
    <w:p w14:paraId="38B63C58">
      <w:pPr>
        <w:pStyle w:val="8"/>
        <w:spacing w:before="0" w:beforeAutospacing="0" w:after="0" w:afterAutospacing="0" w:line="360" w:lineRule="auto"/>
        <w:ind w:firstLine="420"/>
        <w:rPr>
          <w:sz w:val="21"/>
          <w:szCs w:val="21"/>
        </w:rPr>
      </w:pPr>
      <w:r>
        <w:rPr>
          <w:rFonts w:hint="eastAsia"/>
          <w:sz w:val="21"/>
          <w:szCs w:val="21"/>
        </w:rPr>
        <w:t xml:space="preserve">7) 成份股停牌的风险 </w:t>
      </w:r>
    </w:p>
    <w:p w14:paraId="2B928E00">
      <w:pPr>
        <w:pStyle w:val="8"/>
        <w:spacing w:before="0" w:beforeAutospacing="0" w:after="0" w:afterAutospacing="0" w:line="360" w:lineRule="auto"/>
        <w:ind w:firstLine="420"/>
        <w:rPr>
          <w:sz w:val="21"/>
          <w:szCs w:val="21"/>
        </w:rPr>
      </w:pPr>
      <w:r>
        <w:rPr>
          <w:rFonts w:hint="eastAsia"/>
          <w:sz w:val="21"/>
          <w:szCs w:val="21"/>
        </w:rPr>
        <w:t xml:space="preserve">标的指数成份股可能因各种原因临时或长期停牌，发生成份股停牌时可能面临如下风险： </w:t>
      </w:r>
    </w:p>
    <w:p w14:paraId="66FB4175">
      <w:pPr>
        <w:pStyle w:val="8"/>
        <w:spacing w:before="0" w:beforeAutospacing="0" w:after="0" w:afterAutospacing="0" w:line="360" w:lineRule="auto"/>
        <w:ind w:firstLine="420"/>
        <w:rPr>
          <w:sz w:val="21"/>
          <w:szCs w:val="21"/>
        </w:rPr>
      </w:pPr>
      <w:r>
        <w:rPr>
          <w:rFonts w:hint="eastAsia"/>
          <w:sz w:val="21"/>
          <w:szCs w:val="21"/>
        </w:rPr>
        <w:t xml:space="preserve">（a）基金可能因无法及时调整投资组合而导致跟踪偏离度和跟踪误差扩大。 </w:t>
      </w:r>
    </w:p>
    <w:p w14:paraId="3F291102">
      <w:pPr>
        <w:pStyle w:val="8"/>
        <w:spacing w:before="0" w:beforeAutospacing="0" w:after="0" w:afterAutospacing="0" w:line="360" w:lineRule="auto"/>
        <w:ind w:firstLine="420"/>
        <w:rPr>
          <w:sz w:val="21"/>
          <w:szCs w:val="21"/>
        </w:rPr>
      </w:pPr>
      <w:r>
        <w:rPr>
          <w:rFonts w:hint="eastAsia"/>
          <w:sz w:val="21"/>
          <w:szCs w:val="21"/>
        </w:rPr>
        <w:t xml:space="preserve">（b）在极端情况下，标的指数成份股可能大面积停牌，基金可能无法及时卖出成份股以获取足额的符合要求的赎回款项，由此基金管理人可能设置较低的赎回份额上限或者采取暂停赎回的措施，投资者将面临无法赎回全部或部分基金份额的风险。 </w:t>
      </w:r>
    </w:p>
    <w:p w14:paraId="0BF8F08B">
      <w:pPr>
        <w:pStyle w:val="8"/>
        <w:spacing w:before="0" w:beforeAutospacing="0" w:after="0" w:afterAutospacing="0" w:line="360" w:lineRule="auto"/>
        <w:ind w:firstLine="420"/>
        <w:rPr>
          <w:sz w:val="21"/>
          <w:szCs w:val="21"/>
        </w:rPr>
      </w:pPr>
      <w:r>
        <w:rPr>
          <w:rFonts w:hint="eastAsia"/>
          <w:sz w:val="21"/>
          <w:szCs w:val="21"/>
        </w:rPr>
        <w:t xml:space="preserve">8) 成份股退市的风险 </w:t>
      </w:r>
    </w:p>
    <w:p w14:paraId="51341141">
      <w:pPr>
        <w:pStyle w:val="8"/>
        <w:spacing w:before="0" w:beforeAutospacing="0" w:after="0" w:afterAutospacing="0" w:line="360" w:lineRule="auto"/>
        <w:ind w:firstLine="420"/>
        <w:rPr>
          <w:sz w:val="21"/>
          <w:szCs w:val="21"/>
        </w:rPr>
      </w:pPr>
      <w:r>
        <w:rPr>
          <w:rFonts w:hint="eastAsia"/>
          <w:sz w:val="21"/>
          <w:szCs w:val="21"/>
        </w:rPr>
        <w:t xml:space="preserve">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 </w:t>
      </w:r>
    </w:p>
    <w:p w14:paraId="1548AC8F">
      <w:pPr>
        <w:pStyle w:val="8"/>
        <w:spacing w:before="0" w:beforeAutospacing="0" w:after="0" w:afterAutospacing="0" w:line="360" w:lineRule="auto"/>
        <w:ind w:firstLine="420"/>
        <w:rPr>
          <w:sz w:val="21"/>
          <w:szCs w:val="21"/>
        </w:rPr>
      </w:pPr>
      <w:r>
        <w:rPr>
          <w:rFonts w:hint="eastAsia"/>
          <w:sz w:val="21"/>
          <w:szCs w:val="21"/>
        </w:rPr>
        <w:t xml:space="preserve">9) 指数许可到期的风险 </w:t>
      </w:r>
    </w:p>
    <w:p w14:paraId="3339AD60">
      <w:pPr>
        <w:pStyle w:val="8"/>
        <w:spacing w:before="0" w:beforeAutospacing="0" w:after="0" w:afterAutospacing="0" w:line="360" w:lineRule="auto"/>
        <w:ind w:firstLine="420"/>
        <w:rPr>
          <w:sz w:val="21"/>
          <w:szCs w:val="21"/>
        </w:rPr>
      </w:pPr>
      <w:r>
        <w:rPr>
          <w:rFonts w:hint="eastAsia"/>
          <w:sz w:val="21"/>
          <w:szCs w:val="21"/>
        </w:rPr>
        <w:t xml:space="preserve">本基金管理人与标的指数提供商签定协议以保证有权使用该指数作为本基金的标的指数，但本基金会面临因指数许可协议到期或者中断指数许可协议所带来的无法跟踪标的指数的风险，也可能面临指数提供商停止发布指数，导致基金管理人因无法找到使用相同计算方法的替代指数所产生的风险。 </w:t>
      </w:r>
    </w:p>
    <w:p w14:paraId="1BEF9BEC">
      <w:pPr>
        <w:pStyle w:val="8"/>
        <w:spacing w:before="0" w:beforeAutospacing="0" w:after="0" w:afterAutospacing="0" w:line="360" w:lineRule="auto"/>
        <w:ind w:firstLine="420"/>
        <w:rPr>
          <w:sz w:val="21"/>
          <w:szCs w:val="21"/>
        </w:rPr>
      </w:pPr>
      <w:r>
        <w:rPr>
          <w:rFonts w:hint="eastAsia"/>
          <w:sz w:val="21"/>
          <w:szCs w:val="21"/>
        </w:rPr>
        <w:t xml:space="preserve">2. 基金投资组合回报与标的指数回报偏离的风险 </w:t>
      </w:r>
    </w:p>
    <w:p w14:paraId="6C49FB3C">
      <w:pPr>
        <w:pStyle w:val="8"/>
        <w:spacing w:before="0" w:beforeAutospacing="0" w:after="0" w:afterAutospacing="0" w:line="360" w:lineRule="auto"/>
        <w:ind w:firstLine="420"/>
        <w:rPr>
          <w:sz w:val="21"/>
          <w:szCs w:val="21"/>
        </w:rPr>
      </w:pPr>
      <w:r>
        <w:rPr>
          <w:rFonts w:hint="eastAsia"/>
          <w:sz w:val="21"/>
          <w:szCs w:val="21"/>
        </w:rPr>
        <w:t xml:space="preserve">以下因素可能使基金投资组合的收益率与标的指数的收益率发生偏离： </w:t>
      </w:r>
    </w:p>
    <w:p w14:paraId="5248870A">
      <w:pPr>
        <w:pStyle w:val="8"/>
        <w:spacing w:before="0" w:beforeAutospacing="0" w:after="0" w:afterAutospacing="0" w:line="360" w:lineRule="auto"/>
        <w:ind w:firstLine="420"/>
        <w:rPr>
          <w:sz w:val="21"/>
          <w:szCs w:val="21"/>
        </w:rPr>
      </w:pPr>
      <w:r>
        <w:rPr>
          <w:rFonts w:hint="eastAsia"/>
          <w:sz w:val="21"/>
          <w:szCs w:val="21"/>
        </w:rPr>
        <w:t xml:space="preserve">1) 由于标的指数调整成份股或变更编制方法，使本基金在相应的组合调整中产生跟踪误差。 </w:t>
      </w:r>
    </w:p>
    <w:p w14:paraId="1EC02B8B">
      <w:pPr>
        <w:pStyle w:val="8"/>
        <w:spacing w:before="0" w:beforeAutospacing="0" w:after="0" w:afterAutospacing="0" w:line="360" w:lineRule="auto"/>
        <w:ind w:firstLine="420"/>
        <w:rPr>
          <w:sz w:val="21"/>
          <w:szCs w:val="21"/>
        </w:rPr>
      </w:pPr>
      <w:r>
        <w:rPr>
          <w:rFonts w:hint="eastAsia"/>
          <w:sz w:val="21"/>
          <w:szCs w:val="21"/>
        </w:rPr>
        <w:t xml:space="preserve">2) 由于标的指数成份股发生送配股、增发等行为导致成份股在标的指数中的权重发生变化，使本基金在相应的组合调整中产生跟踪误差。 </w:t>
      </w:r>
    </w:p>
    <w:p w14:paraId="03BB654D">
      <w:pPr>
        <w:pStyle w:val="8"/>
        <w:spacing w:before="0" w:beforeAutospacing="0" w:after="0" w:afterAutospacing="0" w:line="360" w:lineRule="auto"/>
        <w:ind w:firstLine="420"/>
        <w:rPr>
          <w:sz w:val="21"/>
          <w:szCs w:val="21"/>
        </w:rPr>
      </w:pPr>
      <w:r>
        <w:rPr>
          <w:rFonts w:hint="eastAsia"/>
          <w:sz w:val="21"/>
          <w:szCs w:val="21"/>
        </w:rPr>
        <w:t xml:space="preserve">3) 成份股派发现金红利、成份股增发、送配等所获收益可能导致基金收益率偏离标的指数收益率，从而产生跟踪误差。 </w:t>
      </w:r>
    </w:p>
    <w:p w14:paraId="42C65FF7">
      <w:pPr>
        <w:pStyle w:val="8"/>
        <w:spacing w:before="0" w:beforeAutospacing="0" w:after="0" w:afterAutospacing="0" w:line="360" w:lineRule="auto"/>
        <w:ind w:firstLine="420"/>
        <w:rPr>
          <w:sz w:val="21"/>
          <w:szCs w:val="21"/>
        </w:rPr>
      </w:pPr>
      <w:r>
        <w:rPr>
          <w:rFonts w:hint="eastAsia"/>
          <w:sz w:val="21"/>
          <w:szCs w:val="21"/>
        </w:rPr>
        <w:t xml:space="preserve">4) 由于成份股停牌、摘牌或流动性差等原因使本基金无法及时调整投资组合或承担冲击成本而产生跟踪误差。 </w:t>
      </w:r>
    </w:p>
    <w:p w14:paraId="6C7311F1">
      <w:pPr>
        <w:pStyle w:val="8"/>
        <w:spacing w:before="0" w:beforeAutospacing="0" w:after="0" w:afterAutospacing="0" w:line="360" w:lineRule="auto"/>
        <w:ind w:firstLine="420"/>
        <w:rPr>
          <w:sz w:val="21"/>
          <w:szCs w:val="21"/>
        </w:rPr>
      </w:pPr>
      <w:r>
        <w:rPr>
          <w:rFonts w:hint="eastAsia"/>
          <w:sz w:val="21"/>
          <w:szCs w:val="21"/>
        </w:rPr>
        <w:t xml:space="preserve">5) 由于基金投资过程中的证券交易成本、货币兑换成本，以及基金管理费和托管费等其他费用的存在，使基金投资组合与标的指数产生跟踪误差。 </w:t>
      </w:r>
    </w:p>
    <w:p w14:paraId="664D13DD">
      <w:pPr>
        <w:pStyle w:val="8"/>
        <w:spacing w:before="0" w:beforeAutospacing="0" w:after="0" w:afterAutospacing="0" w:line="360" w:lineRule="auto"/>
        <w:ind w:firstLine="420"/>
        <w:rPr>
          <w:sz w:val="21"/>
          <w:szCs w:val="21"/>
        </w:rPr>
      </w:pPr>
      <w:r>
        <w:rPr>
          <w:rFonts w:hint="eastAsia"/>
          <w:sz w:val="21"/>
          <w:szCs w:val="21"/>
        </w:rPr>
        <w:t xml:space="preserve">6) 在本基金指数化投资过程中，基金管理人的管理能力，例如跟踪指数的水平、技术手段、买入卖出的时机选择等，都会对本基金的收益产生影响，从而影响本基金对标的指数的跟踪程度。 </w:t>
      </w:r>
    </w:p>
    <w:p w14:paraId="01CA7F5A">
      <w:pPr>
        <w:pStyle w:val="8"/>
        <w:spacing w:before="0" w:beforeAutospacing="0" w:after="0" w:afterAutospacing="0" w:line="360" w:lineRule="auto"/>
        <w:ind w:firstLine="420"/>
        <w:rPr>
          <w:sz w:val="21"/>
          <w:szCs w:val="21"/>
        </w:rPr>
      </w:pPr>
      <w:r>
        <w:rPr>
          <w:rFonts w:hint="eastAsia"/>
          <w:sz w:val="21"/>
          <w:szCs w:val="21"/>
        </w:rPr>
        <w:t xml:space="preserve">7) 其他因素产生的偏离。如因基金申购与赎回带来的现金变动；因指数发布机构指数编制错误等，产生跟踪误差。 </w:t>
      </w:r>
    </w:p>
    <w:p w14:paraId="52B77B13">
      <w:pPr>
        <w:pStyle w:val="8"/>
        <w:spacing w:before="0" w:beforeAutospacing="0" w:after="0" w:afterAutospacing="0" w:line="360" w:lineRule="auto"/>
        <w:ind w:firstLine="420"/>
        <w:rPr>
          <w:sz w:val="21"/>
          <w:szCs w:val="21"/>
        </w:rPr>
      </w:pPr>
      <w:r>
        <w:rPr>
          <w:rFonts w:hint="eastAsia"/>
          <w:sz w:val="21"/>
          <w:szCs w:val="21"/>
        </w:rPr>
        <w:t xml:space="preserve">3. 与ETF投资相关的风险 </w:t>
      </w:r>
    </w:p>
    <w:p w14:paraId="2D2C3CDF">
      <w:pPr>
        <w:pStyle w:val="8"/>
        <w:spacing w:before="0" w:beforeAutospacing="0" w:after="0" w:afterAutospacing="0" w:line="360" w:lineRule="auto"/>
        <w:ind w:firstLine="420"/>
        <w:rPr>
          <w:sz w:val="21"/>
          <w:szCs w:val="21"/>
        </w:rPr>
      </w:pPr>
      <w:r>
        <w:rPr>
          <w:rFonts w:hint="eastAsia"/>
          <w:sz w:val="21"/>
          <w:szCs w:val="21"/>
        </w:rPr>
        <w:t xml:space="preserve">（1）基金份额赎回对价变现的风险 </w:t>
      </w:r>
    </w:p>
    <w:p w14:paraId="0767DBC8">
      <w:pPr>
        <w:pStyle w:val="8"/>
        <w:spacing w:before="0" w:beforeAutospacing="0" w:after="0" w:afterAutospacing="0" w:line="360" w:lineRule="auto"/>
        <w:ind w:firstLine="420"/>
        <w:rPr>
          <w:sz w:val="21"/>
          <w:szCs w:val="21"/>
        </w:rPr>
      </w:pPr>
      <w:r>
        <w:rPr>
          <w:rFonts w:hint="eastAsia"/>
          <w:sz w:val="21"/>
          <w:szCs w:val="21"/>
        </w:rPr>
        <w:t xml:space="preserve">投资者在提出赎回申请时，基金组合证券变现可能由于市场变化、部分成份股流动性差等因素，导致投资者收到的赎回对价可能延期交收或赎回对价的金额大幅波动。 </w:t>
      </w:r>
    </w:p>
    <w:p w14:paraId="386F897D">
      <w:pPr>
        <w:pStyle w:val="8"/>
        <w:spacing w:before="0" w:beforeAutospacing="0" w:after="0" w:afterAutospacing="0" w:line="360" w:lineRule="auto"/>
        <w:ind w:firstLine="420"/>
        <w:rPr>
          <w:sz w:val="21"/>
          <w:szCs w:val="21"/>
        </w:rPr>
      </w:pPr>
      <w:r>
        <w:rPr>
          <w:rFonts w:hint="eastAsia"/>
          <w:sz w:val="21"/>
          <w:szCs w:val="21"/>
        </w:rPr>
        <w:t xml:space="preserve">（2）基金份额二级市场交易价格折溢价的风险 </w:t>
      </w:r>
    </w:p>
    <w:p w14:paraId="5AE68F9E">
      <w:pPr>
        <w:pStyle w:val="8"/>
        <w:spacing w:before="0" w:beforeAutospacing="0" w:after="0" w:afterAutospacing="0" w:line="360" w:lineRule="auto"/>
        <w:ind w:firstLine="420"/>
        <w:rPr>
          <w:sz w:val="21"/>
          <w:szCs w:val="21"/>
        </w:rPr>
      </w:pPr>
      <w:r>
        <w:rPr>
          <w:rFonts w:hint="eastAsia"/>
          <w:sz w:val="21"/>
          <w:szCs w:val="21"/>
        </w:rPr>
        <w:t xml:space="preserve">ETF结构本身就存在着基金份额的二级市场交易价格（实时市价）与一级市场申购赎回价格（当日基金份额净值）之间产生相互偏离的可能性。 </w:t>
      </w:r>
    </w:p>
    <w:p w14:paraId="5B3EF6A5">
      <w:pPr>
        <w:pStyle w:val="8"/>
        <w:spacing w:before="0" w:beforeAutospacing="0" w:after="0" w:afterAutospacing="0" w:line="360" w:lineRule="auto"/>
        <w:ind w:firstLine="420"/>
        <w:rPr>
          <w:sz w:val="21"/>
          <w:szCs w:val="21"/>
        </w:rPr>
      </w:pPr>
      <w:r>
        <w:rPr>
          <w:rFonts w:hint="eastAsia"/>
          <w:sz w:val="21"/>
          <w:szCs w:val="21"/>
        </w:rPr>
        <w:t xml:space="preserve">（3）基金份额二级市场交易价格折溢价可能较国内单市场ETF高的风险 </w:t>
      </w:r>
    </w:p>
    <w:p w14:paraId="682E7DFA">
      <w:pPr>
        <w:pStyle w:val="8"/>
        <w:spacing w:before="0" w:beforeAutospacing="0" w:after="0" w:afterAutospacing="0" w:line="360" w:lineRule="auto"/>
        <w:ind w:firstLine="420"/>
        <w:rPr>
          <w:sz w:val="21"/>
          <w:szCs w:val="21"/>
        </w:rPr>
      </w:pPr>
      <w:r>
        <w:rPr>
          <w:rFonts w:hint="eastAsia"/>
          <w:sz w:val="21"/>
          <w:szCs w:val="21"/>
        </w:rPr>
        <w:t xml:space="preserve">由于本基金的二级市场交易场所为境内的上海证券交易所，而本基金跟踪复制的标的指数则为境外美国股票指数，标的指数的投资活动发生在境外，以下原因可能造成跨境ETF的折溢价率高于国内单市场的ETF： </w:t>
      </w:r>
    </w:p>
    <w:p w14:paraId="4A9C481C">
      <w:pPr>
        <w:pStyle w:val="8"/>
        <w:spacing w:before="0" w:beforeAutospacing="0" w:after="0" w:afterAutospacing="0" w:line="360" w:lineRule="auto"/>
        <w:ind w:firstLine="420"/>
        <w:rPr>
          <w:sz w:val="21"/>
          <w:szCs w:val="21"/>
        </w:rPr>
      </w:pPr>
      <w:r>
        <w:rPr>
          <w:rFonts w:hint="eastAsia"/>
          <w:sz w:val="21"/>
          <w:szCs w:val="21"/>
        </w:rPr>
        <w:t xml:space="preserve">a) 现金申赎导致申购赎回价格不确定 </w:t>
      </w:r>
    </w:p>
    <w:p w14:paraId="52846C14">
      <w:pPr>
        <w:pStyle w:val="8"/>
        <w:spacing w:before="0" w:beforeAutospacing="0" w:after="0" w:afterAutospacing="0" w:line="360" w:lineRule="auto"/>
        <w:ind w:firstLine="420"/>
        <w:rPr>
          <w:sz w:val="21"/>
          <w:szCs w:val="21"/>
        </w:rPr>
      </w:pPr>
      <w:r>
        <w:rPr>
          <w:rFonts w:hint="eastAsia"/>
          <w:sz w:val="21"/>
          <w:szCs w:val="21"/>
        </w:rPr>
        <w:t xml:space="preserve">b) 交易时区的差异 </w:t>
      </w:r>
    </w:p>
    <w:p w14:paraId="625D4F41">
      <w:pPr>
        <w:pStyle w:val="8"/>
        <w:spacing w:before="0" w:beforeAutospacing="0" w:after="0" w:afterAutospacing="0" w:line="360" w:lineRule="auto"/>
        <w:ind w:firstLine="420"/>
        <w:rPr>
          <w:sz w:val="21"/>
          <w:szCs w:val="21"/>
        </w:rPr>
      </w:pPr>
      <w:r>
        <w:rPr>
          <w:rFonts w:hint="eastAsia"/>
          <w:sz w:val="21"/>
          <w:szCs w:val="21"/>
        </w:rPr>
        <w:t xml:space="preserve">c) 固定外汇额度的影响 </w:t>
      </w:r>
    </w:p>
    <w:p w14:paraId="4006FC1F">
      <w:pPr>
        <w:pStyle w:val="8"/>
        <w:spacing w:before="0" w:beforeAutospacing="0" w:after="0" w:afterAutospacing="0" w:line="360" w:lineRule="auto"/>
        <w:ind w:firstLine="420"/>
        <w:rPr>
          <w:sz w:val="21"/>
          <w:szCs w:val="21"/>
        </w:rPr>
      </w:pPr>
      <w:r>
        <w:rPr>
          <w:rFonts w:hint="eastAsia"/>
          <w:sz w:val="21"/>
          <w:szCs w:val="21"/>
        </w:rPr>
        <w:t xml:space="preserve">博时标普500ETF规模受QDII额度的约束，可能会造成ETF份额供给不足，套利机制无法发挥作用消除折溢价。 </w:t>
      </w:r>
    </w:p>
    <w:p w14:paraId="77932401">
      <w:pPr>
        <w:pStyle w:val="8"/>
        <w:spacing w:before="0" w:beforeAutospacing="0" w:after="0" w:afterAutospacing="0" w:line="360" w:lineRule="auto"/>
        <w:ind w:firstLine="420"/>
        <w:rPr>
          <w:sz w:val="21"/>
          <w:szCs w:val="21"/>
        </w:rPr>
      </w:pPr>
      <w:r>
        <w:rPr>
          <w:rFonts w:hint="eastAsia"/>
          <w:sz w:val="21"/>
          <w:szCs w:val="21"/>
        </w:rPr>
        <w:t xml:space="preserve">d) 涨跌停板制度不同 </w:t>
      </w:r>
    </w:p>
    <w:p w14:paraId="136454E3">
      <w:pPr>
        <w:pStyle w:val="8"/>
        <w:spacing w:before="0" w:beforeAutospacing="0" w:after="0" w:afterAutospacing="0" w:line="360" w:lineRule="auto"/>
        <w:ind w:firstLine="420"/>
        <w:rPr>
          <w:sz w:val="21"/>
          <w:szCs w:val="21"/>
        </w:rPr>
      </w:pPr>
      <w:r>
        <w:rPr>
          <w:rFonts w:hint="eastAsia"/>
          <w:sz w:val="21"/>
          <w:szCs w:val="21"/>
        </w:rPr>
        <w:t xml:space="preserve">e) 公众假期不同 </w:t>
      </w:r>
    </w:p>
    <w:p w14:paraId="61596CDE">
      <w:pPr>
        <w:pStyle w:val="8"/>
        <w:spacing w:before="0" w:beforeAutospacing="0" w:after="0" w:afterAutospacing="0" w:line="360" w:lineRule="auto"/>
        <w:ind w:firstLine="420"/>
        <w:rPr>
          <w:sz w:val="21"/>
          <w:szCs w:val="21"/>
        </w:rPr>
      </w:pPr>
      <w:r>
        <w:rPr>
          <w:rFonts w:hint="eastAsia"/>
          <w:sz w:val="21"/>
          <w:szCs w:val="21"/>
        </w:rPr>
        <w:t xml:space="preserve">f) 交易成本及汇率波动成本不确定 </w:t>
      </w:r>
    </w:p>
    <w:p w14:paraId="779E6D83">
      <w:pPr>
        <w:pStyle w:val="8"/>
        <w:spacing w:before="0" w:beforeAutospacing="0" w:after="0" w:afterAutospacing="0" w:line="360" w:lineRule="auto"/>
        <w:ind w:firstLine="420"/>
        <w:rPr>
          <w:sz w:val="21"/>
          <w:szCs w:val="21"/>
        </w:rPr>
      </w:pPr>
      <w:r>
        <w:rPr>
          <w:rFonts w:hint="eastAsia"/>
          <w:sz w:val="21"/>
          <w:szCs w:val="21"/>
        </w:rPr>
        <w:t xml:space="preserve">4. 与ETF运作相关的风险 </w:t>
      </w:r>
    </w:p>
    <w:p w14:paraId="64D2DD1B">
      <w:pPr>
        <w:pStyle w:val="8"/>
        <w:spacing w:before="0" w:beforeAutospacing="0" w:after="0" w:afterAutospacing="0" w:line="360" w:lineRule="auto"/>
        <w:ind w:firstLine="420"/>
        <w:rPr>
          <w:sz w:val="21"/>
          <w:szCs w:val="21"/>
        </w:rPr>
      </w:pPr>
      <w:r>
        <w:rPr>
          <w:rFonts w:hint="eastAsia"/>
          <w:sz w:val="21"/>
          <w:szCs w:val="21"/>
        </w:rPr>
        <w:t xml:space="preserve">（1）基金管理人代理申赎投资人买券卖券的风险 </w:t>
      </w:r>
    </w:p>
    <w:p w14:paraId="66F9CAA1">
      <w:pPr>
        <w:pStyle w:val="8"/>
        <w:spacing w:before="0" w:beforeAutospacing="0" w:after="0" w:afterAutospacing="0" w:line="360" w:lineRule="auto"/>
        <w:ind w:firstLine="420"/>
        <w:rPr>
          <w:sz w:val="21"/>
          <w:szCs w:val="21"/>
        </w:rPr>
      </w:pPr>
      <w:r>
        <w:rPr>
          <w:rFonts w:hint="eastAsia"/>
          <w:sz w:val="21"/>
          <w:szCs w:val="21"/>
        </w:rPr>
        <w:t xml:space="preserve">因涉及境外市场股票的买卖，在投资人申购、赎回本基金时，本基金组合证券中全部或部分证券需以一定数量的现金进行现金替代，并由基金管理人按照招募说明书的规定代理申赎投资人进行相关证券买卖，投资人需承受买入证券的结算成本和卖出证券的结算金额的不确定性（含汇率波动风险）。 </w:t>
      </w:r>
    </w:p>
    <w:p w14:paraId="1DE590F1">
      <w:pPr>
        <w:pStyle w:val="8"/>
        <w:spacing w:before="0" w:beforeAutospacing="0" w:after="0" w:afterAutospacing="0" w:line="360" w:lineRule="auto"/>
        <w:ind w:firstLine="420"/>
        <w:rPr>
          <w:sz w:val="21"/>
          <w:szCs w:val="21"/>
        </w:rPr>
      </w:pPr>
      <w:r>
        <w:rPr>
          <w:rFonts w:hint="eastAsia"/>
          <w:sz w:val="21"/>
          <w:szCs w:val="21"/>
        </w:rPr>
        <w:t xml:space="preserve">（2）申购失败的风险 </w:t>
      </w:r>
    </w:p>
    <w:p w14:paraId="0FD7F27D">
      <w:pPr>
        <w:pStyle w:val="8"/>
        <w:spacing w:before="0" w:beforeAutospacing="0" w:after="0" w:afterAutospacing="0" w:line="360" w:lineRule="auto"/>
        <w:ind w:firstLine="420"/>
        <w:rPr>
          <w:sz w:val="21"/>
          <w:szCs w:val="21"/>
        </w:rPr>
      </w:pPr>
      <w:r>
        <w:rPr>
          <w:rFonts w:hint="eastAsia"/>
          <w:sz w:val="21"/>
          <w:szCs w:val="21"/>
        </w:rPr>
        <w:t xml:space="preserve">如果投资者申购时未能提供符合要求的申购对价，或者基金管理人根据基金合同的规定拒绝投资者的申购申请，则投资者的申购申请失败。此外，如果基金可用的外汇额度不足，申购赎回代理券商应付资金不足或出现违约，投资者的申购申请也可能失败。 </w:t>
      </w:r>
    </w:p>
    <w:p w14:paraId="13028837">
      <w:pPr>
        <w:pStyle w:val="8"/>
        <w:spacing w:before="0" w:beforeAutospacing="0" w:after="0" w:afterAutospacing="0" w:line="360" w:lineRule="auto"/>
        <w:ind w:firstLine="420"/>
        <w:rPr>
          <w:sz w:val="21"/>
          <w:szCs w:val="21"/>
        </w:rPr>
      </w:pPr>
      <w:r>
        <w:rPr>
          <w:rFonts w:hint="eastAsia"/>
          <w:sz w:val="21"/>
          <w:szCs w:val="21"/>
        </w:rPr>
        <w:t xml:space="preserve">（3）赎回失败的风险 </w:t>
      </w:r>
    </w:p>
    <w:p w14:paraId="760B213A">
      <w:pPr>
        <w:pStyle w:val="8"/>
        <w:spacing w:before="0" w:beforeAutospacing="0" w:after="0" w:afterAutospacing="0" w:line="360" w:lineRule="auto"/>
        <w:ind w:firstLine="420"/>
        <w:rPr>
          <w:sz w:val="21"/>
          <w:szCs w:val="21"/>
        </w:rPr>
      </w:pPr>
      <w:r>
        <w:rPr>
          <w:rFonts w:hint="eastAsia"/>
          <w:sz w:val="21"/>
          <w:szCs w:val="21"/>
        </w:rPr>
        <w:t xml:space="preserve">如果投资人赎回时持有的符合要求的基金份额不足或未能根据要求准备足额的现金，或者投资人在登记结算机构办理基金份额交收时持有的符合要求的基金份额不足，或者基金管理人根据基金合同的规定拒绝投资人的赎回申请，则投资人的赎回申请失败。另外，基金管理人可能根据成份股市值规模变化等因素调整最小申购赎回单位，由此可能导致投资人按原最小申购赎回单位申购并持有的基金份额无法按照新的最小申购赎回单位全部赎回，而只能在二级市场卖出全部或部分基金份额。 </w:t>
      </w:r>
    </w:p>
    <w:p w14:paraId="1016E49E">
      <w:pPr>
        <w:pStyle w:val="8"/>
        <w:spacing w:before="0" w:beforeAutospacing="0" w:after="0" w:afterAutospacing="0" w:line="360" w:lineRule="auto"/>
        <w:ind w:firstLine="420"/>
        <w:rPr>
          <w:sz w:val="21"/>
          <w:szCs w:val="21"/>
        </w:rPr>
      </w:pPr>
      <w:r>
        <w:rPr>
          <w:rFonts w:hint="eastAsia"/>
          <w:sz w:val="21"/>
          <w:szCs w:val="21"/>
        </w:rPr>
        <w:t xml:space="preserve">（4）投资人参考IOPV做出投资决策的风险和IOPV计算错误的风险 </w:t>
      </w:r>
    </w:p>
    <w:p w14:paraId="5623890A">
      <w:pPr>
        <w:pStyle w:val="8"/>
        <w:spacing w:before="0" w:beforeAutospacing="0" w:after="0" w:afterAutospacing="0" w:line="360" w:lineRule="auto"/>
        <w:ind w:firstLine="420"/>
        <w:rPr>
          <w:sz w:val="21"/>
          <w:szCs w:val="21"/>
        </w:rPr>
      </w:pPr>
      <w:r>
        <w:rPr>
          <w:rFonts w:hint="eastAsia"/>
          <w:sz w:val="21"/>
          <w:szCs w:val="21"/>
        </w:rPr>
        <w:t xml:space="preserve">IOPV与实时的基金份额净值存在差异，IOPV计算可能出现错误，投资人若参考IOPV进行投资决策可能导致损失。 </w:t>
      </w:r>
    </w:p>
    <w:p w14:paraId="2B5A44F2">
      <w:pPr>
        <w:pStyle w:val="8"/>
        <w:spacing w:before="0" w:beforeAutospacing="0" w:after="0" w:afterAutospacing="0" w:line="360" w:lineRule="auto"/>
        <w:ind w:firstLine="420"/>
        <w:rPr>
          <w:sz w:val="21"/>
          <w:szCs w:val="21"/>
        </w:rPr>
      </w:pPr>
      <w:r>
        <w:rPr>
          <w:rFonts w:hint="eastAsia"/>
          <w:sz w:val="21"/>
          <w:szCs w:val="21"/>
        </w:rPr>
        <w:t xml:space="preserve">（5）退市风险 </w:t>
      </w:r>
    </w:p>
    <w:p w14:paraId="59444165">
      <w:pPr>
        <w:pStyle w:val="8"/>
        <w:spacing w:before="0" w:beforeAutospacing="0" w:after="0" w:afterAutospacing="0" w:line="360" w:lineRule="auto"/>
        <w:ind w:firstLine="420"/>
        <w:rPr>
          <w:sz w:val="21"/>
          <w:szCs w:val="21"/>
        </w:rPr>
      </w:pPr>
      <w:r>
        <w:rPr>
          <w:rFonts w:hint="eastAsia"/>
          <w:sz w:val="21"/>
          <w:szCs w:val="21"/>
        </w:rPr>
        <w:t xml:space="preserve">因本基金不再符合证券交易所上市条件被终止上市，或被基金份额持有人大会决议提前终止上市，或因境外证券市场投资标的发生变更等不能继续投资，导致基金份额不能继续进行二级市场交易的风险。 </w:t>
      </w:r>
    </w:p>
    <w:p w14:paraId="3A0BBD38">
      <w:pPr>
        <w:pStyle w:val="8"/>
        <w:spacing w:before="0" w:beforeAutospacing="0" w:after="0" w:afterAutospacing="0" w:line="360" w:lineRule="auto"/>
        <w:ind w:firstLine="420"/>
        <w:rPr>
          <w:sz w:val="21"/>
          <w:szCs w:val="21"/>
        </w:rPr>
      </w:pPr>
      <w:r>
        <w:rPr>
          <w:rFonts w:hint="eastAsia"/>
          <w:sz w:val="21"/>
          <w:szCs w:val="21"/>
        </w:rPr>
        <w:t xml:space="preserve">（6）第三方机构服务风险 </w:t>
      </w:r>
    </w:p>
    <w:p w14:paraId="44910AF6">
      <w:pPr>
        <w:pStyle w:val="8"/>
        <w:spacing w:before="0" w:beforeAutospacing="0" w:after="0" w:afterAutospacing="0" w:line="360" w:lineRule="auto"/>
        <w:ind w:firstLine="420"/>
        <w:rPr>
          <w:sz w:val="21"/>
          <w:szCs w:val="21"/>
        </w:rPr>
      </w:pPr>
      <w:r>
        <w:rPr>
          <w:rFonts w:hint="eastAsia"/>
          <w:sz w:val="21"/>
          <w:szCs w:val="21"/>
        </w:rPr>
        <w:t xml:space="preserve">本基金的多项服务委托第三方机构办理，存在以下风险： </w:t>
      </w:r>
    </w:p>
    <w:p w14:paraId="5BFC338F">
      <w:pPr>
        <w:pStyle w:val="8"/>
        <w:spacing w:before="0" w:beforeAutospacing="0" w:after="0" w:afterAutospacing="0" w:line="360" w:lineRule="auto"/>
        <w:ind w:firstLine="420"/>
        <w:rPr>
          <w:sz w:val="21"/>
          <w:szCs w:val="21"/>
        </w:rPr>
      </w:pPr>
      <w:r>
        <w:rPr>
          <w:rFonts w:hint="eastAsia"/>
          <w:sz w:val="21"/>
          <w:szCs w:val="21"/>
        </w:rPr>
        <w:t xml:space="preserve">a) 申购赎回代理券商因多种原因，导致代理申购赎回业务受到限制、暂停或终止，由此影响对投资者的申购赎回服务。 </w:t>
      </w:r>
    </w:p>
    <w:p w14:paraId="580A1433">
      <w:pPr>
        <w:pStyle w:val="8"/>
        <w:spacing w:before="0" w:beforeAutospacing="0" w:after="0" w:afterAutospacing="0" w:line="360" w:lineRule="auto"/>
        <w:ind w:firstLine="420"/>
        <w:rPr>
          <w:sz w:val="21"/>
          <w:szCs w:val="21"/>
        </w:rPr>
      </w:pPr>
      <w:r>
        <w:rPr>
          <w:rFonts w:hint="eastAsia"/>
          <w:sz w:val="21"/>
          <w:szCs w:val="21"/>
        </w:rPr>
        <w:t xml:space="preserve">b) 登记结算机构可能调整结算制度，如实施货银对付制度，对投资者基金份额、组合证券及资金的结算方式发生变化，制度调整可能给投资者带来风险。同样的风险还可能来自于证券交易所及其他代理机构。 </w:t>
      </w:r>
    </w:p>
    <w:p w14:paraId="245F8CD7">
      <w:pPr>
        <w:pStyle w:val="8"/>
        <w:spacing w:before="0" w:beforeAutospacing="0" w:after="0" w:afterAutospacing="0" w:line="360" w:lineRule="auto"/>
        <w:ind w:firstLine="420"/>
        <w:rPr>
          <w:sz w:val="21"/>
          <w:szCs w:val="21"/>
        </w:rPr>
      </w:pPr>
      <w:r>
        <w:rPr>
          <w:rFonts w:hint="eastAsia"/>
          <w:sz w:val="21"/>
          <w:szCs w:val="21"/>
        </w:rPr>
        <w:t xml:space="preserve">c) 证券交易所、登记结算机构、境内外基金托管人、境内外券商及其他代理机构可能违约，导致基金或投资者利益受损的风险。 </w:t>
      </w:r>
    </w:p>
    <w:p w14:paraId="45F609A2">
      <w:pPr>
        <w:pStyle w:val="8"/>
        <w:spacing w:before="0" w:beforeAutospacing="0" w:after="0" w:afterAutospacing="0" w:line="360" w:lineRule="auto"/>
        <w:ind w:firstLine="420"/>
        <w:rPr>
          <w:sz w:val="21"/>
          <w:szCs w:val="21"/>
        </w:rPr>
      </w:pPr>
      <w:r>
        <w:rPr>
          <w:rFonts w:hint="eastAsia"/>
          <w:sz w:val="21"/>
          <w:szCs w:val="21"/>
        </w:rPr>
        <w:t xml:space="preserve">（二）境外投资风险 </w:t>
      </w:r>
    </w:p>
    <w:p w14:paraId="2D9F467E">
      <w:pPr>
        <w:pStyle w:val="8"/>
        <w:spacing w:before="0" w:beforeAutospacing="0" w:after="0" w:afterAutospacing="0" w:line="360" w:lineRule="auto"/>
        <w:ind w:firstLine="420"/>
        <w:rPr>
          <w:sz w:val="21"/>
          <w:szCs w:val="21"/>
        </w:rPr>
      </w:pPr>
      <w:r>
        <w:rPr>
          <w:rFonts w:hint="eastAsia"/>
          <w:sz w:val="21"/>
          <w:szCs w:val="21"/>
        </w:rPr>
        <w:t xml:space="preserve">1．境外市场风险 </w:t>
      </w:r>
    </w:p>
    <w:p w14:paraId="2D47653F">
      <w:pPr>
        <w:pStyle w:val="8"/>
        <w:spacing w:before="0" w:beforeAutospacing="0" w:after="0" w:afterAutospacing="0" w:line="360" w:lineRule="auto"/>
        <w:ind w:firstLine="420"/>
        <w:rPr>
          <w:sz w:val="21"/>
          <w:szCs w:val="21"/>
        </w:rPr>
      </w:pPr>
      <w:r>
        <w:rPr>
          <w:rFonts w:hint="eastAsia"/>
          <w:sz w:val="21"/>
          <w:szCs w:val="21"/>
        </w:rPr>
        <w:t xml:space="preserve">本基金主要资产投资于美国证券或美元现金，基金表现受美国宏观经济运行情况、货币政策、财政政策、产业政策、税法、汇率、交易规则、结算、托管等多种因素的影响。 </w:t>
      </w:r>
    </w:p>
    <w:p w14:paraId="49271B86">
      <w:pPr>
        <w:pStyle w:val="8"/>
        <w:spacing w:before="0" w:beforeAutospacing="0" w:after="0" w:afterAutospacing="0" w:line="360" w:lineRule="auto"/>
        <w:ind w:firstLine="420"/>
        <w:rPr>
          <w:sz w:val="21"/>
          <w:szCs w:val="21"/>
        </w:rPr>
      </w:pPr>
      <w:r>
        <w:rPr>
          <w:rFonts w:hint="eastAsia"/>
          <w:sz w:val="21"/>
          <w:szCs w:val="21"/>
        </w:rPr>
        <w:t xml:space="preserve">本基金属于美国股票指数基金的一种，标的指数成份股的投资收益可能会低于同期其他证券市场或其他资产类别的投资收益。 </w:t>
      </w:r>
    </w:p>
    <w:p w14:paraId="3E3ED4CF">
      <w:pPr>
        <w:pStyle w:val="8"/>
        <w:spacing w:before="0" w:beforeAutospacing="0" w:after="0" w:afterAutospacing="0" w:line="360" w:lineRule="auto"/>
        <w:ind w:firstLine="420"/>
        <w:rPr>
          <w:sz w:val="21"/>
          <w:szCs w:val="21"/>
        </w:rPr>
      </w:pPr>
      <w:r>
        <w:rPr>
          <w:rFonts w:hint="eastAsia"/>
          <w:sz w:val="21"/>
          <w:szCs w:val="21"/>
        </w:rPr>
        <w:t xml:space="preserve">2.外汇风险 </w:t>
      </w:r>
    </w:p>
    <w:p w14:paraId="5FD83760">
      <w:pPr>
        <w:pStyle w:val="8"/>
        <w:spacing w:before="0" w:beforeAutospacing="0" w:after="0" w:afterAutospacing="0" w:line="360" w:lineRule="auto"/>
        <w:ind w:firstLine="420"/>
        <w:rPr>
          <w:sz w:val="21"/>
          <w:szCs w:val="21"/>
        </w:rPr>
      </w:pPr>
      <w:r>
        <w:rPr>
          <w:rFonts w:hint="eastAsia"/>
          <w:sz w:val="21"/>
          <w:szCs w:val="21"/>
        </w:rPr>
        <w:t xml:space="preserve">外汇风险包括但不限于汇率风险、利率风险、外汇政策风险等。由于跨境ETF涉及到人民币与外币的汇兑，汇率、利率的变动以及美国外汇政策的改变均会产生一定的外汇风险。 </w:t>
      </w:r>
    </w:p>
    <w:p w14:paraId="7BFE2466">
      <w:pPr>
        <w:pStyle w:val="8"/>
        <w:spacing w:before="0" w:beforeAutospacing="0" w:after="0" w:afterAutospacing="0" w:line="360" w:lineRule="auto"/>
        <w:ind w:firstLine="420"/>
        <w:rPr>
          <w:sz w:val="21"/>
          <w:szCs w:val="21"/>
        </w:rPr>
      </w:pPr>
      <w:r>
        <w:rPr>
          <w:rFonts w:hint="eastAsia"/>
          <w:sz w:val="21"/>
          <w:szCs w:val="21"/>
        </w:rPr>
        <w:t xml:space="preserve">3.交收失败风险 </w:t>
      </w:r>
    </w:p>
    <w:p w14:paraId="21E342E9">
      <w:pPr>
        <w:pStyle w:val="8"/>
        <w:spacing w:before="0" w:beforeAutospacing="0" w:after="0" w:afterAutospacing="0" w:line="360" w:lineRule="auto"/>
        <w:ind w:firstLine="420"/>
        <w:rPr>
          <w:sz w:val="21"/>
          <w:szCs w:val="21"/>
        </w:rPr>
      </w:pPr>
      <w:r>
        <w:rPr>
          <w:rFonts w:hint="eastAsia"/>
          <w:sz w:val="21"/>
          <w:szCs w:val="21"/>
        </w:rPr>
        <w:t xml:space="preserve">在境外，交收失败或延迟的风险主要是指在美国货银对付结算制度下，一旦交易对手方发生违约，则可能造成证券交易交收延迟，甚至失败的风险，其实质是交易对手方的信用风险。在卖出证券的情形下，交收失败或延迟表现为赎回现金替代不能及时到账，从而可能导致投资者的赎回现金替代的交收延迟。 </w:t>
      </w:r>
    </w:p>
    <w:p w14:paraId="5816FE53">
      <w:pPr>
        <w:pStyle w:val="8"/>
        <w:spacing w:before="0" w:beforeAutospacing="0" w:after="0" w:afterAutospacing="0" w:line="360" w:lineRule="auto"/>
        <w:ind w:firstLine="420"/>
        <w:rPr>
          <w:sz w:val="21"/>
          <w:szCs w:val="21"/>
        </w:rPr>
      </w:pPr>
      <w:r>
        <w:rPr>
          <w:rFonts w:hint="eastAsia"/>
          <w:sz w:val="21"/>
          <w:szCs w:val="21"/>
        </w:rPr>
        <w:t xml:space="preserve">在境内，交收失败风险主要是指作为交收对手方的代办券商和基金公司有可能因某种原因不能及时、足额将应交收款项划付到账的风险。 </w:t>
      </w:r>
    </w:p>
    <w:p w14:paraId="30655B34">
      <w:pPr>
        <w:pStyle w:val="8"/>
        <w:spacing w:before="0" w:beforeAutospacing="0" w:after="0" w:afterAutospacing="0" w:line="360" w:lineRule="auto"/>
        <w:ind w:firstLine="420"/>
        <w:rPr>
          <w:sz w:val="21"/>
          <w:szCs w:val="21"/>
        </w:rPr>
      </w:pPr>
      <w:r>
        <w:rPr>
          <w:rFonts w:hint="eastAsia"/>
          <w:sz w:val="21"/>
          <w:szCs w:val="21"/>
        </w:rPr>
        <w:t xml:space="preserve">（三）衍生品风险 </w:t>
      </w:r>
    </w:p>
    <w:p w14:paraId="3D029610">
      <w:pPr>
        <w:pStyle w:val="8"/>
        <w:spacing w:before="0" w:beforeAutospacing="0" w:after="0" w:afterAutospacing="0" w:line="360" w:lineRule="auto"/>
        <w:ind w:firstLine="420"/>
        <w:rPr>
          <w:sz w:val="21"/>
          <w:szCs w:val="21"/>
        </w:rPr>
      </w:pPr>
      <w:r>
        <w:rPr>
          <w:rFonts w:hint="eastAsia"/>
          <w:sz w:val="21"/>
          <w:szCs w:val="21"/>
        </w:rPr>
        <w:t xml:space="preserve">本基金可投资于期货、期权等衍生品。本基金管理人将谨慎的使用衍生品投资，但衍生品仍可能给基金带来额外奉献，包括杠杆风险、交易对手的信用风险、衍生品价格与其基础品种的相关度降低带来的风险等，有此可能会增加基金净值的波动幅度。 </w:t>
      </w:r>
    </w:p>
    <w:p w14:paraId="1FED7F9C">
      <w:pPr>
        <w:pStyle w:val="8"/>
        <w:spacing w:before="0" w:beforeAutospacing="0" w:after="0" w:afterAutospacing="0" w:line="360" w:lineRule="auto"/>
        <w:ind w:firstLine="420"/>
        <w:rPr>
          <w:sz w:val="21"/>
          <w:szCs w:val="21"/>
        </w:rPr>
      </w:pPr>
      <w:r>
        <w:rPr>
          <w:rStyle w:val="12"/>
          <w:rFonts w:hint="eastAsia"/>
          <w:sz w:val="21"/>
          <w:szCs w:val="21"/>
        </w:rPr>
        <w:t>二、 本基金的普通风险</w:t>
      </w:r>
    </w:p>
    <w:p w14:paraId="11612147">
      <w:pPr>
        <w:pStyle w:val="8"/>
        <w:spacing w:before="0" w:beforeAutospacing="0" w:after="0" w:afterAutospacing="0" w:line="360" w:lineRule="auto"/>
        <w:ind w:firstLine="420"/>
        <w:rPr>
          <w:sz w:val="21"/>
          <w:szCs w:val="21"/>
        </w:rPr>
      </w:pPr>
      <w:r>
        <w:rPr>
          <w:rFonts w:hint="eastAsia"/>
          <w:sz w:val="21"/>
          <w:szCs w:val="21"/>
        </w:rPr>
        <w:t xml:space="preserve">1．市场风险 </w:t>
      </w:r>
    </w:p>
    <w:p w14:paraId="1FC6FBD8">
      <w:pPr>
        <w:pStyle w:val="8"/>
        <w:spacing w:before="0" w:beforeAutospacing="0" w:after="0" w:afterAutospacing="0" w:line="360" w:lineRule="auto"/>
        <w:ind w:firstLine="420"/>
        <w:rPr>
          <w:sz w:val="21"/>
          <w:szCs w:val="21"/>
        </w:rPr>
      </w:pPr>
      <w:r>
        <w:rPr>
          <w:rFonts w:hint="eastAsia"/>
          <w:sz w:val="21"/>
          <w:szCs w:val="21"/>
        </w:rPr>
        <w:t xml:space="preserve">证券市场价格受到经济因素、政治因素、投资心理和交易制度等各种因素的影响，导致基金收益水平变化而产生风险，主要包括：  </w:t>
      </w:r>
    </w:p>
    <w:p w14:paraId="125CDEC4">
      <w:pPr>
        <w:pStyle w:val="8"/>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423A0F7C">
      <w:pPr>
        <w:pStyle w:val="8"/>
        <w:spacing w:before="0" w:beforeAutospacing="0" w:after="0" w:afterAutospacing="0" w:line="360" w:lineRule="auto"/>
        <w:ind w:firstLine="420"/>
        <w:rPr>
          <w:sz w:val="21"/>
          <w:szCs w:val="21"/>
        </w:rPr>
      </w:pPr>
      <w:r>
        <w:rPr>
          <w:rFonts w:hint="eastAsia"/>
          <w:sz w:val="21"/>
          <w:szCs w:val="21"/>
        </w:rPr>
        <w:t xml:space="preserve">（2）经济周期风险。随经济运行的周期性变化，证券市场的收益水平也呈周期性变化； </w:t>
      </w:r>
    </w:p>
    <w:p w14:paraId="081C8F7B">
      <w:pPr>
        <w:pStyle w:val="8"/>
        <w:spacing w:before="0" w:beforeAutospacing="0" w:after="0" w:afterAutospacing="0" w:line="360" w:lineRule="auto"/>
        <w:ind w:firstLine="420"/>
        <w:rPr>
          <w:sz w:val="21"/>
          <w:szCs w:val="21"/>
        </w:rPr>
      </w:pPr>
      <w:r>
        <w:rPr>
          <w:rFonts w:hint="eastAsia"/>
          <w:sz w:val="21"/>
          <w:szCs w:val="21"/>
        </w:rPr>
        <w:t xml:space="preserve">（3）收益波动风险。本基金的资产净值是随标的指数成份股价格的变动而变动的，基金份额在二级市场上的价格，也会随标的指数成份股价格的变动而上涨或下跌。 </w:t>
      </w:r>
    </w:p>
    <w:p w14:paraId="7476AED1">
      <w:pPr>
        <w:pStyle w:val="8"/>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09B4E9EB">
      <w:pPr>
        <w:pStyle w:val="8"/>
        <w:spacing w:before="0" w:beforeAutospacing="0" w:after="0" w:afterAutospacing="0" w:line="360" w:lineRule="auto"/>
        <w:ind w:firstLine="420"/>
        <w:rPr>
          <w:sz w:val="21"/>
          <w:szCs w:val="21"/>
        </w:rPr>
      </w:pPr>
      <w:r>
        <w:rPr>
          <w:rFonts w:hint="eastAsia"/>
          <w:sz w:val="21"/>
          <w:szCs w:val="21"/>
        </w:rPr>
        <w:t xml:space="preserve">（4）购买力风险。基金的利润将主要通过现金形式来分配，而现金可能因为通货膨胀的影响而导致购买力下降，从而使基金的实际收益下降；  </w:t>
      </w:r>
    </w:p>
    <w:p w14:paraId="45006D02">
      <w:pPr>
        <w:pStyle w:val="8"/>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具体为当利率下降时，基金从投资的固定收益证券所得的利息收入进行再投资时，将获得比以前较少的收益率，这将对基金的净值增长率产生影响；  </w:t>
      </w:r>
    </w:p>
    <w:p w14:paraId="03129183">
      <w:pPr>
        <w:pStyle w:val="8"/>
        <w:spacing w:before="0" w:beforeAutospacing="0" w:after="0" w:afterAutospacing="0" w:line="360" w:lineRule="auto"/>
        <w:ind w:firstLine="420"/>
        <w:rPr>
          <w:sz w:val="21"/>
          <w:szCs w:val="21"/>
        </w:rPr>
      </w:pPr>
      <w:r>
        <w:rPr>
          <w:rFonts w:hint="eastAsia"/>
          <w:sz w:val="21"/>
          <w:szCs w:val="21"/>
        </w:rPr>
        <w:t xml:space="preserve">（6）通货膨胀风险。如果发生通货膨胀，基金投资于证券所获得的收益可能会被通货膨胀抵消，从而影响基金资产的保值增值。 </w:t>
      </w:r>
    </w:p>
    <w:p w14:paraId="3CEC48C2">
      <w:pPr>
        <w:pStyle w:val="8"/>
        <w:spacing w:before="0" w:beforeAutospacing="0" w:after="0" w:afterAutospacing="0" w:line="360" w:lineRule="auto"/>
        <w:ind w:firstLine="420"/>
        <w:rPr>
          <w:sz w:val="21"/>
          <w:szCs w:val="21"/>
        </w:rPr>
      </w:pPr>
      <w:r>
        <w:rPr>
          <w:rFonts w:hint="eastAsia"/>
          <w:sz w:val="21"/>
          <w:szCs w:val="21"/>
        </w:rPr>
        <w:t xml:space="preserve">2．管理风险 </w:t>
      </w:r>
    </w:p>
    <w:p w14:paraId="633A3841">
      <w:pPr>
        <w:pStyle w:val="8"/>
        <w:spacing w:before="0" w:beforeAutospacing="0" w:after="0" w:afterAutospacing="0" w:line="360" w:lineRule="auto"/>
        <w:ind w:firstLine="420"/>
        <w:rPr>
          <w:sz w:val="21"/>
          <w:szCs w:val="21"/>
        </w:rPr>
      </w:pPr>
      <w:r>
        <w:rPr>
          <w:rFonts w:hint="eastAsia"/>
          <w:sz w:val="21"/>
          <w:szCs w:val="21"/>
        </w:rPr>
        <w:t xml:space="preserve">基金运作过程中由于基金投资策略、人为因素、管理系统设置不当造成操作失误或公司内部失控而可能产生的损失。管理风险包括但不限于： </w:t>
      </w:r>
    </w:p>
    <w:p w14:paraId="6A063FA2">
      <w:pPr>
        <w:pStyle w:val="8"/>
        <w:spacing w:before="0" w:beforeAutospacing="0" w:after="0" w:afterAutospacing="0" w:line="360" w:lineRule="auto"/>
        <w:ind w:firstLine="420"/>
        <w:rPr>
          <w:sz w:val="21"/>
          <w:szCs w:val="21"/>
        </w:rPr>
      </w:pPr>
      <w:r>
        <w:rPr>
          <w:rFonts w:hint="eastAsia"/>
          <w:sz w:val="21"/>
          <w:szCs w:val="21"/>
        </w:rPr>
        <w:t xml:space="preserve">（1）决策风险： </w:t>
      </w:r>
    </w:p>
    <w:p w14:paraId="4C38609F">
      <w:pPr>
        <w:pStyle w:val="8"/>
        <w:spacing w:before="0" w:beforeAutospacing="0" w:after="0" w:afterAutospacing="0" w:line="360" w:lineRule="auto"/>
        <w:ind w:firstLine="420"/>
        <w:rPr>
          <w:sz w:val="21"/>
          <w:szCs w:val="21"/>
        </w:rPr>
      </w:pPr>
      <w:r>
        <w:rPr>
          <w:rFonts w:hint="eastAsia"/>
          <w:sz w:val="21"/>
          <w:szCs w:val="21"/>
        </w:rPr>
        <w:t xml:space="preserve">指基金投资的投资策略制定、投资决策执行和投资绩效监督检查过程中，由于决策失误而给基金资产造成的可能的损失。 </w:t>
      </w:r>
    </w:p>
    <w:p w14:paraId="62BAC61D">
      <w:pPr>
        <w:pStyle w:val="8"/>
        <w:spacing w:before="0" w:beforeAutospacing="0" w:after="0" w:afterAutospacing="0" w:line="360" w:lineRule="auto"/>
        <w:ind w:firstLine="420"/>
        <w:rPr>
          <w:sz w:val="21"/>
          <w:szCs w:val="21"/>
        </w:rPr>
      </w:pPr>
      <w:r>
        <w:rPr>
          <w:rFonts w:hint="eastAsia"/>
          <w:sz w:val="21"/>
          <w:szCs w:val="21"/>
        </w:rPr>
        <w:t xml:space="preserve">（2）操作风险 </w:t>
      </w:r>
    </w:p>
    <w:p w14:paraId="3F86701D">
      <w:pPr>
        <w:pStyle w:val="8"/>
        <w:spacing w:before="0" w:beforeAutospacing="0" w:after="0" w:afterAutospacing="0" w:line="360" w:lineRule="auto"/>
        <w:ind w:firstLine="420"/>
        <w:rPr>
          <w:sz w:val="21"/>
          <w:szCs w:val="21"/>
        </w:rPr>
      </w:pPr>
      <w:r>
        <w:rPr>
          <w:rFonts w:hint="eastAsia"/>
          <w:sz w:val="21"/>
          <w:szCs w:val="21"/>
        </w:rPr>
        <w:t xml:space="preserve">相关当事人在业务各环节操作过程中，可能因内部制度存在缺陷或者人为因素造成操作失误或违反操作规程等引致风险，例如，申购赎回清单编制错误、越权违规交易、欺诈行为及交易错误等风险。 </w:t>
      </w:r>
    </w:p>
    <w:p w14:paraId="7F374E58">
      <w:pPr>
        <w:pStyle w:val="8"/>
        <w:spacing w:before="0" w:beforeAutospacing="0" w:after="0" w:afterAutospacing="0" w:line="360" w:lineRule="auto"/>
        <w:ind w:firstLine="420"/>
        <w:rPr>
          <w:sz w:val="21"/>
          <w:szCs w:val="21"/>
        </w:rPr>
      </w:pPr>
      <w:r>
        <w:rPr>
          <w:rFonts w:hint="eastAsia"/>
          <w:sz w:val="21"/>
          <w:szCs w:val="21"/>
        </w:rPr>
        <w:t xml:space="preserve">（3）技术风险 </w:t>
      </w:r>
    </w:p>
    <w:p w14:paraId="31595BD8">
      <w:pPr>
        <w:pStyle w:val="8"/>
        <w:spacing w:before="0" w:beforeAutospacing="0" w:after="0" w:afterAutospacing="0" w:line="360" w:lineRule="auto"/>
        <w:ind w:firstLine="420"/>
        <w:rPr>
          <w:sz w:val="21"/>
          <w:szCs w:val="21"/>
        </w:rPr>
      </w:pPr>
      <w:r>
        <w:rPr>
          <w:rFonts w:hint="eastAsia"/>
          <w:sz w:val="21"/>
          <w:szCs w:val="21"/>
        </w:rPr>
        <w:t xml:space="preserve">在本基金的投资、交易、服务与后台运作等业务过程中，可能因为技术系统的故障或差错导致投资者的利益受到影响。这种技术风险可能来自基金管理人、境内外基金托管人、境内外券商、证券交易所、登记结算机构及销售代理机构等。 </w:t>
      </w:r>
    </w:p>
    <w:p w14:paraId="68279CE1">
      <w:pPr>
        <w:pStyle w:val="8"/>
        <w:spacing w:before="0" w:beforeAutospacing="0" w:after="0" w:afterAutospacing="0" w:line="360" w:lineRule="auto"/>
        <w:ind w:firstLine="420"/>
        <w:rPr>
          <w:sz w:val="21"/>
          <w:szCs w:val="21"/>
        </w:rPr>
      </w:pPr>
      <w:r>
        <w:rPr>
          <w:rFonts w:hint="eastAsia"/>
          <w:sz w:val="21"/>
          <w:szCs w:val="21"/>
        </w:rPr>
        <w:t xml:space="preserve">（4）估值风险 </w:t>
      </w:r>
    </w:p>
    <w:p w14:paraId="17DBDDB9">
      <w:pPr>
        <w:pStyle w:val="8"/>
        <w:spacing w:before="0" w:beforeAutospacing="0" w:after="0" w:afterAutospacing="0" w:line="360" w:lineRule="auto"/>
        <w:ind w:firstLine="420"/>
        <w:rPr>
          <w:sz w:val="21"/>
          <w:szCs w:val="21"/>
        </w:rPr>
      </w:pPr>
      <w:r>
        <w:rPr>
          <w:rFonts w:hint="eastAsia"/>
          <w:sz w:val="21"/>
          <w:szCs w:val="21"/>
        </w:rPr>
        <w:t xml:space="preserve">基金管理和运作过程中，因估值错误而导致的风险。 </w:t>
      </w:r>
    </w:p>
    <w:p w14:paraId="4B2D4978">
      <w:pPr>
        <w:pStyle w:val="8"/>
        <w:spacing w:before="0" w:beforeAutospacing="0" w:after="0" w:afterAutospacing="0" w:line="360" w:lineRule="auto"/>
        <w:ind w:firstLine="420"/>
        <w:rPr>
          <w:sz w:val="21"/>
          <w:szCs w:val="21"/>
        </w:rPr>
      </w:pPr>
      <w:r>
        <w:rPr>
          <w:rFonts w:hint="eastAsia"/>
          <w:sz w:val="21"/>
          <w:szCs w:val="21"/>
        </w:rPr>
        <w:t xml:space="preserve">3．信用风险 </w:t>
      </w:r>
    </w:p>
    <w:p w14:paraId="0B2D0DA5">
      <w:pPr>
        <w:pStyle w:val="8"/>
        <w:spacing w:before="0" w:beforeAutospacing="0" w:after="0" w:afterAutospacing="0" w:line="360" w:lineRule="auto"/>
        <w:ind w:firstLine="420"/>
        <w:rPr>
          <w:sz w:val="21"/>
          <w:szCs w:val="21"/>
        </w:rPr>
      </w:pPr>
      <w:r>
        <w:rPr>
          <w:rFonts w:hint="eastAsia"/>
          <w:sz w:val="21"/>
          <w:szCs w:val="21"/>
        </w:rPr>
        <w:t xml:space="preserve">在现有投资工具的范围内，信用风险主要指交易对方不能履行还款责任或不能履行交割责任而造成的风险。 </w:t>
      </w:r>
    </w:p>
    <w:p w14:paraId="034A3728">
      <w:pPr>
        <w:pStyle w:val="8"/>
        <w:spacing w:before="0" w:beforeAutospacing="0" w:after="0" w:afterAutospacing="0" w:line="360" w:lineRule="auto"/>
        <w:ind w:firstLine="420"/>
        <w:rPr>
          <w:sz w:val="21"/>
          <w:szCs w:val="21"/>
        </w:rPr>
      </w:pPr>
      <w:r>
        <w:rPr>
          <w:rFonts w:hint="eastAsia"/>
          <w:sz w:val="21"/>
          <w:szCs w:val="21"/>
        </w:rPr>
        <w:t xml:space="preserve">4．流动性风险 </w:t>
      </w:r>
    </w:p>
    <w:p w14:paraId="17451A6D">
      <w:pPr>
        <w:pStyle w:val="8"/>
        <w:spacing w:before="0" w:beforeAutospacing="0" w:after="0" w:afterAutospacing="0" w:line="360" w:lineRule="auto"/>
        <w:ind w:firstLine="420"/>
        <w:rPr>
          <w:sz w:val="21"/>
          <w:szCs w:val="21"/>
        </w:rPr>
      </w:pPr>
      <w:r>
        <w:rPr>
          <w:rFonts w:hint="eastAsia"/>
          <w:sz w:val="21"/>
          <w:szCs w:val="21"/>
        </w:rPr>
        <w:t xml:space="preserve">（1）成份证券的流动性 </w:t>
      </w:r>
    </w:p>
    <w:p w14:paraId="34597E5B">
      <w:pPr>
        <w:pStyle w:val="8"/>
        <w:spacing w:before="0" w:beforeAutospacing="0" w:after="0" w:afterAutospacing="0" w:line="360" w:lineRule="auto"/>
        <w:ind w:firstLine="420"/>
        <w:rPr>
          <w:sz w:val="21"/>
          <w:szCs w:val="21"/>
        </w:rPr>
      </w:pPr>
      <w:r>
        <w:rPr>
          <w:rFonts w:hint="eastAsia"/>
          <w:sz w:val="21"/>
          <w:szCs w:val="21"/>
        </w:rPr>
        <w:t xml:space="preserve">特定成份证券难以买入或卖出，特别是在市场处于上升途中买入或市场处于下跌途中卖出。 </w:t>
      </w:r>
    </w:p>
    <w:p w14:paraId="32730D27">
      <w:pPr>
        <w:pStyle w:val="8"/>
        <w:spacing w:before="0" w:beforeAutospacing="0" w:after="0" w:afterAutospacing="0" w:line="360" w:lineRule="auto"/>
        <w:ind w:firstLine="420"/>
        <w:rPr>
          <w:sz w:val="21"/>
          <w:szCs w:val="21"/>
        </w:rPr>
      </w:pPr>
      <w:r>
        <w:rPr>
          <w:rFonts w:hint="eastAsia"/>
          <w:sz w:val="21"/>
          <w:szCs w:val="21"/>
        </w:rPr>
        <w:t xml:space="preserve">当标的指数成份证券进行调整时，本基金需要买入或卖出部分成份证券时，这部分成份证券因受到限制或难以获得等导致买卖报价价差扩大。 </w:t>
      </w:r>
    </w:p>
    <w:p w14:paraId="6B74E649">
      <w:pPr>
        <w:pStyle w:val="8"/>
        <w:spacing w:before="0" w:beforeAutospacing="0" w:after="0" w:afterAutospacing="0" w:line="360" w:lineRule="auto"/>
        <w:ind w:firstLine="420"/>
        <w:rPr>
          <w:sz w:val="21"/>
          <w:szCs w:val="21"/>
        </w:rPr>
      </w:pPr>
      <w:r>
        <w:rPr>
          <w:rFonts w:hint="eastAsia"/>
          <w:sz w:val="21"/>
          <w:szCs w:val="21"/>
        </w:rPr>
        <w:t xml:space="preserve">（2）基金份额二级市场的流动性 </w:t>
      </w:r>
    </w:p>
    <w:p w14:paraId="34B04F24">
      <w:pPr>
        <w:pStyle w:val="8"/>
        <w:spacing w:before="0" w:beforeAutospacing="0" w:after="0" w:afterAutospacing="0" w:line="360" w:lineRule="auto"/>
        <w:ind w:firstLine="420"/>
        <w:rPr>
          <w:sz w:val="21"/>
          <w:szCs w:val="21"/>
        </w:rPr>
      </w:pPr>
      <w:r>
        <w:rPr>
          <w:rFonts w:hint="eastAsia"/>
          <w:sz w:val="21"/>
          <w:szCs w:val="21"/>
        </w:rPr>
        <w:t xml:space="preserve">若ETF基金一级市场申购赎回不活跃，会影响到ETF二级市场的流动性。 </w:t>
      </w:r>
    </w:p>
    <w:p w14:paraId="30D976D8">
      <w:pPr>
        <w:pStyle w:val="8"/>
        <w:spacing w:before="0" w:beforeAutospacing="0" w:after="0" w:afterAutospacing="0" w:line="360" w:lineRule="auto"/>
        <w:ind w:firstLine="420"/>
        <w:rPr>
          <w:sz w:val="21"/>
          <w:szCs w:val="21"/>
        </w:rPr>
      </w:pPr>
      <w:r>
        <w:rPr>
          <w:rFonts w:hint="eastAsia"/>
          <w:sz w:val="21"/>
          <w:szCs w:val="21"/>
        </w:rPr>
        <w:t xml:space="preserve">本基金若二级市场交易不活跃可能是出于以下原因：基金标的指数股票在美国市场交易，而基金份额则是在上海证券交易所交易，存在交易时间（中美有12个小时时差）、交易制度（我国实行涨跌停板制度而美国无此限制）、节假日休市制度等的差异；美国市场实行做市制度，由做市商负责维护市场的流动性，而我国则采用电子撮合制度，没有专门的券商负责维护市场流动性；缺乏有效的套利交易活动等。 </w:t>
      </w:r>
    </w:p>
    <w:p w14:paraId="1EF3C086">
      <w:pPr>
        <w:pStyle w:val="8"/>
        <w:spacing w:before="0" w:beforeAutospacing="0" w:after="0" w:afterAutospacing="0" w:line="360" w:lineRule="auto"/>
        <w:ind w:firstLine="420"/>
        <w:rPr>
          <w:sz w:val="21"/>
          <w:szCs w:val="21"/>
        </w:rPr>
      </w:pPr>
      <w:r>
        <w:rPr>
          <w:rFonts w:hint="eastAsia"/>
          <w:sz w:val="21"/>
          <w:szCs w:val="21"/>
        </w:rPr>
        <w:t xml:space="preserve">当美国市场或我国市场出现异常情况或事件，基金巨额申购赎回时，本基金二级市场的流动性均将受到较大的影响，从而带来投资风险。 </w:t>
      </w:r>
    </w:p>
    <w:p w14:paraId="4AC15680">
      <w:pPr>
        <w:pStyle w:val="8"/>
        <w:spacing w:before="0" w:beforeAutospacing="0" w:after="0" w:afterAutospacing="0" w:line="360" w:lineRule="auto"/>
        <w:ind w:firstLine="420"/>
        <w:rPr>
          <w:sz w:val="21"/>
          <w:szCs w:val="21"/>
        </w:rPr>
      </w:pPr>
      <w:r>
        <w:rPr>
          <w:rFonts w:hint="eastAsia"/>
          <w:sz w:val="21"/>
          <w:szCs w:val="21"/>
        </w:rPr>
        <w:t xml:space="preserve">（3）拟投资市场、行业及资产的流动性风险评估 </w:t>
      </w:r>
    </w:p>
    <w:p w14:paraId="417CC219">
      <w:pPr>
        <w:pStyle w:val="8"/>
        <w:spacing w:before="0" w:beforeAutospacing="0" w:after="0" w:afterAutospacing="0" w:line="360" w:lineRule="auto"/>
        <w:ind w:firstLine="420"/>
        <w:rPr>
          <w:sz w:val="21"/>
          <w:szCs w:val="21"/>
        </w:rPr>
      </w:pPr>
      <w:r>
        <w:rPr>
          <w:rFonts w:hint="eastAsia"/>
          <w:sz w:val="21"/>
          <w:szCs w:val="21"/>
        </w:rPr>
        <w:t xml:space="preserve">本基金投资对象是在境外依法发行上市的标的指数成份股、备选成份股、境外上市交易的跟踪同一标的指数的公募基金，在正常市场环境下本基金的流动性风险适中。投资交易均在依法设立的正规市场中进行，所投市场和资产方面的整体流动性较高。同时，本基金通过投资限制对各类资产的投资比例、期限、评级、杠杆和集中度进行了控制，并严格控制了主动投资于流动性受限资产的比例上限，综合评估在正常市场环境下本基金的流动性风险适中。 </w:t>
      </w:r>
    </w:p>
    <w:p w14:paraId="79A1D9DE">
      <w:pPr>
        <w:pStyle w:val="8"/>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46D504FA">
      <w:pPr>
        <w:pStyle w:val="8"/>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暂停接受赎回申请、延缓支付赎回对价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400131F7">
      <w:pPr>
        <w:pStyle w:val="8"/>
        <w:spacing w:before="0" w:beforeAutospacing="0" w:after="0" w:afterAutospacing="0" w:line="360" w:lineRule="auto"/>
        <w:ind w:firstLine="420"/>
        <w:rPr>
          <w:sz w:val="21"/>
          <w:szCs w:val="21"/>
        </w:rPr>
      </w:pPr>
      <w:r>
        <w:rPr>
          <w:rFonts w:hint="eastAsia"/>
          <w:sz w:val="21"/>
          <w:szCs w:val="21"/>
        </w:rPr>
        <w:t xml:space="preserve">（5）基金申购、赎回安排 </w:t>
      </w:r>
    </w:p>
    <w:p w14:paraId="487B79B1">
      <w:pPr>
        <w:pStyle w:val="8"/>
        <w:spacing w:before="0" w:beforeAutospacing="0" w:after="0" w:afterAutospacing="0" w:line="360" w:lineRule="auto"/>
        <w:ind w:firstLine="420"/>
        <w:rPr>
          <w:sz w:val="21"/>
          <w:szCs w:val="21"/>
        </w:rPr>
      </w:pPr>
      <w:r>
        <w:rPr>
          <w:rFonts w:hint="eastAsia"/>
          <w:sz w:val="21"/>
          <w:szCs w:val="21"/>
        </w:rPr>
        <w:t xml:space="preserve">本基金基于客户集中度控制在投资者申购赎回方面均明确了管理机制，在接受申购申请对存量客户利益构成潜在重大不利影响，以及市场大幅波动、流动性枯竭等极端情况下发生无法应对投资者赎回的情形时，基金管理人在保障投资者合法权益的前提下可按照法律法规及基金合同的规定，审慎确认申购赎回申请并综合运用各类流动性风险管理工具作为辅助措施，全面应对流动性风险。 </w:t>
      </w:r>
    </w:p>
    <w:p w14:paraId="1C82C32A">
      <w:pPr>
        <w:pStyle w:val="8"/>
        <w:spacing w:before="0" w:beforeAutospacing="0" w:after="0" w:afterAutospacing="0" w:line="360" w:lineRule="auto"/>
        <w:ind w:firstLine="420"/>
        <w:rPr>
          <w:sz w:val="21"/>
          <w:szCs w:val="21"/>
        </w:rPr>
      </w:pPr>
      <w:r>
        <w:rPr>
          <w:rFonts w:hint="eastAsia"/>
          <w:sz w:val="21"/>
          <w:szCs w:val="21"/>
        </w:rPr>
        <w:t xml:space="preserve">5．合规风险 </w:t>
      </w:r>
    </w:p>
    <w:p w14:paraId="77339CBC">
      <w:pPr>
        <w:pStyle w:val="8"/>
        <w:spacing w:before="0" w:beforeAutospacing="0" w:after="0" w:afterAutospacing="0" w:line="360" w:lineRule="auto"/>
        <w:ind w:firstLine="420"/>
        <w:rPr>
          <w:sz w:val="21"/>
          <w:szCs w:val="21"/>
        </w:rPr>
      </w:pPr>
      <w:r>
        <w:rPr>
          <w:rFonts w:hint="eastAsia"/>
          <w:sz w:val="21"/>
          <w:szCs w:val="21"/>
        </w:rPr>
        <w:t xml:space="preserve">指基金管理或运作过程中，违反国家法律、法规的规定，或者基金投资违反法规及基金合同有关规定的风险。 </w:t>
      </w:r>
    </w:p>
    <w:p w14:paraId="3507734C">
      <w:pPr>
        <w:pStyle w:val="8"/>
        <w:spacing w:before="0" w:beforeAutospacing="0" w:after="0" w:afterAutospacing="0" w:line="360" w:lineRule="auto"/>
        <w:ind w:firstLine="420"/>
        <w:rPr>
          <w:sz w:val="21"/>
          <w:szCs w:val="21"/>
        </w:rPr>
      </w:pPr>
      <w:r>
        <w:rPr>
          <w:rFonts w:hint="eastAsia"/>
          <w:sz w:val="21"/>
          <w:szCs w:val="21"/>
        </w:rPr>
        <w:t xml:space="preserve">6．其他风险 </w:t>
      </w:r>
    </w:p>
    <w:p w14:paraId="021FA0DC">
      <w:pPr>
        <w:pStyle w:val="8"/>
        <w:spacing w:before="0" w:beforeAutospacing="0" w:after="0" w:afterAutospacing="0" w:line="360" w:lineRule="auto"/>
        <w:ind w:firstLine="420"/>
        <w:rPr>
          <w:sz w:val="21"/>
          <w:szCs w:val="21"/>
        </w:rPr>
      </w:pPr>
      <w:r>
        <w:rPr>
          <w:rFonts w:hint="eastAsia"/>
          <w:sz w:val="21"/>
          <w:szCs w:val="21"/>
        </w:rPr>
        <w:t>战争、自然灾害等不可抗力可能导致基金资产有遭受损失的风险。基金管理人、境内外基金托管人、境内外券商、证券交易所、登记结算机构和销售代理机构等可能因不可抗力无</w:t>
      </w:r>
      <w:bookmarkStart w:id="177" w:name="chapter_level1_22_68_section_1_end"/>
      <w:bookmarkEnd w:id="177"/>
      <w:r>
        <w:rPr>
          <w:rFonts w:hint="eastAsia"/>
          <w:sz w:val="21"/>
          <w:szCs w:val="21"/>
        </w:rPr>
        <w:t xml:space="preserve">法正常工作，从而影响基金的各项业务按正常时限完成。 </w:t>
      </w:r>
    </w:p>
    <w:p w14:paraId="7E75C466">
      <w:pPr>
        <w:widowControl/>
        <w:jc w:val="left"/>
        <w:rPr>
          <w:rFonts w:ascii="宋体" w:hAnsi="宋体" w:eastAsia="宋体"/>
        </w:rPr>
      </w:pPr>
      <w:r>
        <w:rPr>
          <w:rFonts w:ascii="宋体" w:hAnsi="宋体" w:eastAsia="宋体"/>
        </w:rPr>
        <w:br w:type="page"/>
      </w:r>
    </w:p>
    <w:p w14:paraId="42F480F4">
      <w:pPr>
        <w:pStyle w:val="2"/>
        <w:jc w:val="center"/>
        <w:rPr>
          <w:rFonts w:ascii="宋体" w:hAnsi="宋体" w:eastAsia="宋体"/>
          <w:sz w:val="30"/>
        </w:rPr>
      </w:pPr>
      <w:bookmarkStart w:id="178" w:name="_Toc209441854"/>
      <w:bookmarkStart w:id="179" w:name="chapter_level1_23_69"/>
      <w:r>
        <w:rPr>
          <w:rFonts w:hint="eastAsia" w:ascii="宋体" w:hAnsi="宋体" w:eastAsia="宋体"/>
          <w:sz w:val="30"/>
        </w:rPr>
        <w:t>第二十部分  基金合同的变更、终止与基金财产的清算</w:t>
      </w:r>
      <w:bookmarkEnd w:id="178"/>
      <w:bookmarkEnd w:id="179"/>
    </w:p>
    <w:p w14:paraId="27B0EFA7">
      <w:pPr>
        <w:pStyle w:val="8"/>
        <w:spacing w:before="0" w:beforeAutospacing="0" w:after="0" w:afterAutospacing="0" w:line="360" w:lineRule="auto"/>
        <w:ind w:firstLine="420"/>
        <w:rPr>
          <w:sz w:val="21"/>
          <w:szCs w:val="21"/>
        </w:rPr>
      </w:pPr>
      <w:bookmarkStart w:id="180" w:name="chapter_level1_23_69_section_1"/>
      <w:bookmarkEnd w:id="180"/>
      <w:r>
        <w:rPr>
          <w:rFonts w:hint="eastAsia"/>
          <w:b/>
          <w:bCs/>
          <w:sz w:val="21"/>
          <w:szCs w:val="21"/>
        </w:rPr>
        <w:t>一、基金合同的变更</w:t>
      </w:r>
    </w:p>
    <w:p w14:paraId="6731CCC7">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14:paraId="4CE4D38C">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2、关于基金合同变更的基金份额持有人大会决议经中国证监会核准或出具无异议意见后方可执行，自决议生效之日起在指定媒介上公告。 </w:t>
      </w:r>
    </w:p>
    <w:p w14:paraId="150B9A31">
      <w:pPr>
        <w:pStyle w:val="8"/>
        <w:spacing w:before="0" w:beforeAutospacing="0" w:after="0" w:afterAutospacing="0" w:line="360" w:lineRule="auto"/>
        <w:ind w:firstLine="420"/>
        <w:rPr>
          <w:sz w:val="21"/>
          <w:szCs w:val="21"/>
        </w:rPr>
      </w:pPr>
      <w:r>
        <w:rPr>
          <w:rFonts w:hint="eastAsia"/>
          <w:b/>
          <w:bCs/>
          <w:sz w:val="21"/>
          <w:szCs w:val="21"/>
        </w:rPr>
        <w:t>二、基金合同的终止</w:t>
      </w:r>
    </w:p>
    <w:p w14:paraId="7C3A61A1">
      <w:pPr>
        <w:pStyle w:val="8"/>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3695F5EB">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081F1385">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0DE092AA">
      <w:pPr>
        <w:pStyle w:val="8"/>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4BFF7DBD">
      <w:pPr>
        <w:pStyle w:val="8"/>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1645928A">
      <w:pPr>
        <w:pStyle w:val="8"/>
        <w:spacing w:before="0" w:beforeAutospacing="0" w:after="0" w:afterAutospacing="0" w:line="360" w:lineRule="auto"/>
        <w:ind w:firstLine="420"/>
        <w:rPr>
          <w:sz w:val="21"/>
          <w:szCs w:val="21"/>
        </w:rPr>
      </w:pPr>
      <w:r>
        <w:rPr>
          <w:rFonts w:hint="eastAsia"/>
          <w:b/>
          <w:bCs/>
          <w:sz w:val="21"/>
          <w:szCs w:val="21"/>
        </w:rPr>
        <w:t>三、基金财产的清算</w:t>
      </w:r>
    </w:p>
    <w:p w14:paraId="7C71CD77">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29075FFD">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2A3C59DF">
      <w:pPr>
        <w:pStyle w:val="8"/>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04367766">
      <w:pPr>
        <w:pStyle w:val="8"/>
        <w:spacing w:before="0" w:beforeAutospacing="0" w:after="0" w:afterAutospacing="0" w:line="360" w:lineRule="auto"/>
        <w:ind w:firstLine="420"/>
        <w:rPr>
          <w:sz w:val="21"/>
          <w:szCs w:val="21"/>
        </w:rPr>
      </w:pPr>
      <w:r>
        <w:rPr>
          <w:rFonts w:hint="eastAsia"/>
          <w:sz w:val="21"/>
          <w:szCs w:val="21"/>
        </w:rPr>
        <w:t xml:space="preserve">4、基金财产清算程序： </w:t>
      </w:r>
    </w:p>
    <w:p w14:paraId="0F431F65">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699C63A7">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5CA9D462">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6F0891ED">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69F6B525">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732059EC">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0B9B60E0">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A9AC27E">
      <w:pPr>
        <w:pStyle w:val="8"/>
        <w:spacing w:before="0" w:beforeAutospacing="0" w:after="0" w:afterAutospacing="0" w:line="360" w:lineRule="auto"/>
        <w:ind w:firstLine="420"/>
        <w:rPr>
          <w:sz w:val="21"/>
          <w:szCs w:val="21"/>
        </w:rPr>
      </w:pPr>
      <w:r>
        <w:rPr>
          <w:rFonts w:hint="eastAsia"/>
          <w:sz w:val="21"/>
          <w:szCs w:val="21"/>
        </w:rPr>
        <w:t xml:space="preserve">5、基金财产清算的期限为6个月。 </w:t>
      </w:r>
    </w:p>
    <w:p w14:paraId="1AABB32F">
      <w:pPr>
        <w:pStyle w:val="8"/>
        <w:spacing w:before="0" w:beforeAutospacing="0" w:after="0" w:afterAutospacing="0" w:line="360" w:lineRule="auto"/>
        <w:ind w:firstLine="420"/>
        <w:rPr>
          <w:sz w:val="21"/>
          <w:szCs w:val="21"/>
        </w:rPr>
      </w:pPr>
      <w:r>
        <w:rPr>
          <w:rFonts w:hint="eastAsia"/>
          <w:b/>
          <w:bCs/>
          <w:sz w:val="21"/>
          <w:szCs w:val="21"/>
        </w:rPr>
        <w:t>四、清算费用</w:t>
      </w:r>
    </w:p>
    <w:p w14:paraId="3AD412FF">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清算费用是指基金财产清算小组在进行基金财产清算过程中发生的所有合理费用，清算费用由基金财产清算小组优先从基金财产中支付。 </w:t>
      </w:r>
    </w:p>
    <w:p w14:paraId="14336D32">
      <w:pPr>
        <w:pStyle w:val="8"/>
        <w:spacing w:before="0" w:beforeAutospacing="0" w:after="0" w:afterAutospacing="0" w:line="360" w:lineRule="auto"/>
        <w:ind w:firstLine="420"/>
        <w:rPr>
          <w:sz w:val="21"/>
          <w:szCs w:val="21"/>
        </w:rPr>
      </w:pPr>
      <w:r>
        <w:rPr>
          <w:rFonts w:hint="eastAsia"/>
          <w:b/>
          <w:bCs/>
          <w:sz w:val="21"/>
          <w:szCs w:val="21"/>
        </w:rPr>
        <w:t>五、基金财产清算剩余资产的分配</w:t>
      </w:r>
    </w:p>
    <w:p w14:paraId="5D79F24B">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7B55C287">
      <w:pPr>
        <w:pStyle w:val="8"/>
        <w:spacing w:before="0" w:beforeAutospacing="0" w:after="0" w:afterAutospacing="0" w:line="360" w:lineRule="auto"/>
        <w:ind w:firstLine="420"/>
        <w:rPr>
          <w:sz w:val="21"/>
          <w:szCs w:val="21"/>
        </w:rPr>
      </w:pPr>
      <w:r>
        <w:rPr>
          <w:rFonts w:hint="eastAsia"/>
          <w:b/>
          <w:bCs/>
          <w:sz w:val="21"/>
          <w:szCs w:val="21"/>
        </w:rPr>
        <w:t>六、基金财产清算的公告</w:t>
      </w:r>
    </w:p>
    <w:p w14:paraId="0D7AF3E8">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的会计师事务所审计并由律师事务所出具法律意见书后报中国证监会备案并公告。基金财产清算报告于基金合同终止并报中国证监会备案后5个工作日内由基金财产清算小组进行公告。 </w:t>
      </w:r>
    </w:p>
    <w:p w14:paraId="343BDD65">
      <w:pPr>
        <w:pStyle w:val="8"/>
        <w:spacing w:before="0" w:beforeAutospacing="0" w:after="0" w:afterAutospacing="0" w:line="360" w:lineRule="auto"/>
        <w:ind w:firstLine="420"/>
        <w:rPr>
          <w:sz w:val="21"/>
          <w:szCs w:val="21"/>
        </w:rPr>
      </w:pPr>
      <w:r>
        <w:rPr>
          <w:rFonts w:hint="eastAsia"/>
          <w:b/>
          <w:bCs/>
          <w:sz w:val="21"/>
          <w:szCs w:val="21"/>
        </w:rPr>
        <w:t>七、基金财产清算账册及文件的保存</w:t>
      </w:r>
    </w:p>
    <w:p w14:paraId="4ACFCEE0">
      <w:pPr>
        <w:pStyle w:val="8"/>
        <w:spacing w:before="0" w:beforeAutospacing="0" w:after="0" w:afterAutospacing="0" w:line="360" w:lineRule="auto"/>
        <w:ind w:firstLine="420"/>
        <w:rPr>
          <w:sz w:val="21"/>
          <w:szCs w:val="21"/>
        </w:rPr>
      </w:pPr>
      <w:bookmarkStart w:id="181" w:name="chapter_level1_23_69_section_1_end"/>
      <w:bookmarkEnd w:id="181"/>
      <w:r>
        <w:rPr>
          <w:rFonts w:hint="eastAsia"/>
          <w:sz w:val="21"/>
          <w:szCs w:val="21"/>
        </w:rPr>
        <w:t xml:space="preserve">基金财产清算账册及有关文件由基金托管人保存15年以上。 </w:t>
      </w:r>
    </w:p>
    <w:p w14:paraId="3B7060F8">
      <w:pPr>
        <w:widowControl/>
        <w:jc w:val="left"/>
        <w:rPr>
          <w:rFonts w:ascii="宋体" w:hAnsi="宋体" w:eastAsia="宋体"/>
        </w:rPr>
      </w:pPr>
      <w:r>
        <w:rPr>
          <w:rFonts w:ascii="宋体" w:hAnsi="宋体" w:eastAsia="宋体"/>
        </w:rPr>
        <w:br w:type="page"/>
      </w:r>
    </w:p>
    <w:p w14:paraId="6394F1B5">
      <w:pPr>
        <w:pStyle w:val="2"/>
        <w:jc w:val="center"/>
        <w:rPr>
          <w:rFonts w:ascii="宋体" w:hAnsi="宋体" w:eastAsia="宋体"/>
          <w:sz w:val="30"/>
        </w:rPr>
      </w:pPr>
      <w:bookmarkStart w:id="182" w:name="_Toc209441855"/>
      <w:bookmarkStart w:id="183" w:name="chapter_level1_24_70427"/>
      <w:r>
        <w:rPr>
          <w:rFonts w:hint="eastAsia" w:ascii="宋体" w:hAnsi="宋体" w:eastAsia="宋体"/>
          <w:sz w:val="30"/>
        </w:rPr>
        <w:t>第二十一部分  基金的境外托管人</w:t>
      </w:r>
      <w:bookmarkEnd w:id="182"/>
      <w:bookmarkEnd w:id="183"/>
    </w:p>
    <w:p w14:paraId="2F38F10E">
      <w:pPr>
        <w:pStyle w:val="8"/>
        <w:spacing w:before="0" w:beforeAutospacing="0" w:after="0" w:afterAutospacing="0" w:line="360" w:lineRule="auto"/>
        <w:ind w:firstLine="420"/>
        <w:rPr>
          <w:sz w:val="21"/>
          <w:szCs w:val="21"/>
        </w:rPr>
      </w:pPr>
      <w:bookmarkStart w:id="184" w:name="chapter_level1_24_70427_section_1"/>
      <w:bookmarkEnd w:id="184"/>
      <w:r>
        <w:rPr>
          <w:rStyle w:val="12"/>
          <w:rFonts w:hint="eastAsia"/>
          <w:sz w:val="21"/>
          <w:szCs w:val="21"/>
        </w:rPr>
        <w:t>一、 基本情况</w:t>
      </w:r>
    </w:p>
    <w:p w14:paraId="2B761496">
      <w:pPr>
        <w:pStyle w:val="8"/>
        <w:spacing w:before="0" w:beforeAutospacing="0" w:after="0" w:afterAutospacing="0" w:line="360" w:lineRule="auto"/>
        <w:ind w:firstLine="420"/>
        <w:rPr>
          <w:sz w:val="21"/>
          <w:szCs w:val="21"/>
        </w:rPr>
      </w:pPr>
      <w:r>
        <w:rPr>
          <w:rFonts w:hint="eastAsia"/>
          <w:sz w:val="21"/>
          <w:szCs w:val="21"/>
        </w:rPr>
        <w:t xml:space="preserve">名称：布朗兄弟哈里曼银行（Brown Brothers Harriman &amp; Co.）  </w:t>
      </w:r>
    </w:p>
    <w:p w14:paraId="0DDC0E20">
      <w:pPr>
        <w:pStyle w:val="8"/>
        <w:spacing w:before="0" w:beforeAutospacing="0" w:after="0" w:afterAutospacing="0" w:line="360" w:lineRule="auto"/>
        <w:ind w:firstLine="420"/>
        <w:rPr>
          <w:sz w:val="21"/>
          <w:szCs w:val="21"/>
        </w:rPr>
      </w:pPr>
      <w:r>
        <w:rPr>
          <w:rFonts w:hint="eastAsia"/>
          <w:sz w:val="21"/>
          <w:szCs w:val="21"/>
        </w:rPr>
        <w:t xml:space="preserve">地址：140 Broadway New York, NY 10005  </w:t>
      </w:r>
    </w:p>
    <w:p w14:paraId="535C2772">
      <w:pPr>
        <w:pStyle w:val="8"/>
        <w:spacing w:before="0" w:beforeAutospacing="0" w:after="0" w:afterAutospacing="0" w:line="360" w:lineRule="auto"/>
        <w:ind w:firstLine="420"/>
        <w:rPr>
          <w:sz w:val="21"/>
          <w:szCs w:val="21"/>
        </w:rPr>
      </w:pPr>
      <w:r>
        <w:rPr>
          <w:rFonts w:hint="eastAsia"/>
          <w:sz w:val="21"/>
          <w:szCs w:val="21"/>
        </w:rPr>
        <w:t xml:space="preserve">法定代表人： William B. Tyree (Managing Partner)  </w:t>
      </w:r>
    </w:p>
    <w:p w14:paraId="526C8CE9">
      <w:pPr>
        <w:pStyle w:val="8"/>
        <w:spacing w:before="0" w:beforeAutospacing="0" w:after="0" w:afterAutospacing="0" w:line="360" w:lineRule="auto"/>
        <w:ind w:firstLine="420"/>
        <w:rPr>
          <w:sz w:val="21"/>
          <w:szCs w:val="21"/>
        </w:rPr>
      </w:pPr>
      <w:r>
        <w:rPr>
          <w:rFonts w:hint="eastAsia"/>
          <w:sz w:val="21"/>
          <w:szCs w:val="21"/>
        </w:rPr>
        <w:t xml:space="preserve">组织形式：合伙制  </w:t>
      </w:r>
    </w:p>
    <w:p w14:paraId="560ECFD9">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17CF6701">
      <w:pPr>
        <w:pStyle w:val="8"/>
        <w:spacing w:before="0" w:beforeAutospacing="0" w:after="0" w:afterAutospacing="0" w:line="360" w:lineRule="auto"/>
        <w:ind w:firstLine="420"/>
        <w:rPr>
          <w:sz w:val="21"/>
          <w:szCs w:val="21"/>
        </w:rPr>
      </w:pPr>
      <w:r>
        <w:rPr>
          <w:rFonts w:hint="eastAsia"/>
          <w:sz w:val="21"/>
          <w:szCs w:val="21"/>
        </w:rPr>
        <w:t xml:space="preserve">成立于1818年的布朗兄弟哈里曼银行（“BBH”）是全球领先的托管银行之一。BBH自1928年起已经开始在美国提供托管服务。1963年，BBH开始为客户提供全球托管服务，是首批开展全球托管业务的美国银行之一。BBH的惠誉长期评级为A+，短期评级为F1。   </w:t>
      </w:r>
    </w:p>
    <w:p w14:paraId="33865149">
      <w:pPr>
        <w:pStyle w:val="8"/>
        <w:spacing w:before="0" w:beforeAutospacing="0" w:after="0" w:afterAutospacing="0" w:line="360" w:lineRule="auto"/>
        <w:ind w:firstLine="420"/>
        <w:rPr>
          <w:sz w:val="21"/>
          <w:szCs w:val="21"/>
        </w:rPr>
      </w:pPr>
      <w:r>
        <w:rPr>
          <w:rStyle w:val="12"/>
          <w:rFonts w:hint="eastAsia"/>
          <w:sz w:val="21"/>
          <w:szCs w:val="21"/>
        </w:rPr>
        <w:t>二、 托管业务及主要人员情况</w:t>
      </w:r>
    </w:p>
    <w:p w14:paraId="63627655">
      <w:pPr>
        <w:pStyle w:val="8"/>
        <w:spacing w:before="0" w:beforeAutospacing="0" w:after="0" w:afterAutospacing="0" w:line="360" w:lineRule="auto"/>
        <w:ind w:firstLine="420"/>
        <w:rPr>
          <w:sz w:val="21"/>
          <w:szCs w:val="21"/>
        </w:rPr>
      </w:pPr>
      <w:r>
        <w:rPr>
          <w:rFonts w:hint="eastAsia"/>
          <w:sz w:val="21"/>
          <w:szCs w:val="21"/>
        </w:rPr>
        <w:t xml:space="preserve">布朗兄弟哈里曼银行的全球托管业务隶属于本行的投资者服务部 (Investor Services)。在全球范围内，该部门由本行合伙人Seán Páircéir 先生领导。在亚洲，该部门由本行合伙人Noriyasu Sonobe先生领导。  </w:t>
      </w:r>
    </w:p>
    <w:p w14:paraId="059CEEB4">
      <w:pPr>
        <w:pStyle w:val="8"/>
        <w:spacing w:before="0" w:beforeAutospacing="0" w:after="0" w:afterAutospacing="0" w:line="360" w:lineRule="auto"/>
        <w:ind w:firstLine="420"/>
        <w:rPr>
          <w:sz w:val="21"/>
          <w:szCs w:val="21"/>
        </w:rPr>
      </w:pPr>
      <w:r>
        <w:rPr>
          <w:rFonts w:hint="eastAsia"/>
          <w:sz w:val="21"/>
          <w:szCs w:val="21"/>
        </w:rPr>
        <w:t xml:space="preserve">作为一家全球化公司，BBH拥有服务全球跨境投资的专长，其全球托管网络覆盖一百余个市场。截至2024年12月31日，全球托管资产规模为5.2万亿美元，其中超过70%是跨境投资资产。亚洲是BBH业务增长最快的地区之一，我们投身于亚洲市场迄今已逾40年，亚洲区服务的资产超8,000亿美元。  </w:t>
      </w:r>
    </w:p>
    <w:p w14:paraId="73824B3B">
      <w:pPr>
        <w:pStyle w:val="8"/>
        <w:spacing w:before="0" w:beforeAutospacing="0" w:after="0" w:afterAutospacing="0" w:line="360" w:lineRule="auto"/>
        <w:ind w:firstLine="420"/>
        <w:rPr>
          <w:sz w:val="21"/>
          <w:szCs w:val="21"/>
        </w:rPr>
      </w:pPr>
      <w:r>
        <w:rPr>
          <w:rFonts w:hint="eastAsia"/>
          <w:sz w:val="21"/>
          <w:szCs w:val="21"/>
        </w:rPr>
        <w:t xml:space="preserve">‘投资者服务部’（即全球托管）是公司最大的业务部门，拥有超过4,900名员工。我们致力为客户提供稳定优质的服务，并根据客户具体需求提供定制化的全面解决方案，真正做到“以客户为中心”。 由于坚持长期提供优质稳定的客户服务，BBH多年来在行业评比中屡获殊荣，包括∶  </w:t>
      </w:r>
    </w:p>
    <w:p w14:paraId="74AA122A">
      <w:pPr>
        <w:pStyle w:val="8"/>
        <w:spacing w:before="0" w:beforeAutospacing="0" w:after="0" w:afterAutospacing="0" w:line="360" w:lineRule="auto"/>
        <w:ind w:firstLine="420"/>
        <w:rPr>
          <w:sz w:val="21"/>
          <w:szCs w:val="21"/>
        </w:rPr>
      </w:pPr>
      <w:r>
        <w:rPr>
          <w:rFonts w:hint="eastAsia"/>
          <w:b/>
          <w:bCs/>
          <w:sz w:val="21"/>
          <w:szCs w:val="21"/>
        </w:rPr>
        <w:drawing>
          <wp:inline distT="0" distB="0" distL="0" distR="0">
            <wp:extent cx="2857500" cy="638175"/>
            <wp:effectExtent l="0" t="0" r="0" b="952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6"/>
                    <a:stretch>
                      <a:fillRect/>
                    </a:stretch>
                  </pic:blipFill>
                  <pic:spPr>
                    <a:xfrm>
                      <a:off x="0" y="0"/>
                      <a:ext cx="2857500" cy="638175"/>
                    </a:xfrm>
                    <a:prstGeom prst="rect">
                      <a:avLst/>
                    </a:prstGeom>
                  </pic:spPr>
                </pic:pic>
              </a:graphicData>
            </a:graphic>
          </wp:inline>
        </w:drawing>
      </w:r>
      <w:r>
        <w:rPr>
          <w:rFonts w:hint="eastAsia"/>
          <w:b/>
          <w:bCs/>
          <w:sz w:val="21"/>
          <w:szCs w:val="21"/>
        </w:rPr>
        <w:t>《全球托管人》</w:t>
      </w:r>
    </w:p>
    <w:p w14:paraId="4CCA67D4">
      <w:pPr>
        <w:pStyle w:val="8"/>
        <w:spacing w:before="0" w:beforeAutospacing="0" w:after="0" w:afterAutospacing="0" w:line="360" w:lineRule="auto"/>
        <w:ind w:firstLine="420"/>
        <w:rPr>
          <w:sz w:val="21"/>
          <w:szCs w:val="21"/>
        </w:rPr>
      </w:pPr>
      <w:r>
        <w:rPr>
          <w:sz w:val="21"/>
          <w:szCs w:val="21"/>
        </w:rPr>
        <w:drawing>
          <wp:inline distT="0" distB="0" distL="0" distR="0">
            <wp:extent cx="2294890" cy="2533015"/>
            <wp:effectExtent l="0" t="0" r="0" b="635"/>
            <wp:docPr id="12"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a:blip r:embed="rId7"/>
                    <a:stretch>
                      <a:fillRect/>
                    </a:stretch>
                  </pic:blipFill>
                  <pic:spPr>
                    <a:xfrm>
                      <a:off x="0" y="0"/>
                      <a:ext cx="2295238" cy="2533334"/>
                    </a:xfrm>
                    <a:prstGeom prst="rect">
                      <a:avLst/>
                    </a:prstGeom>
                  </pic:spPr>
                </pic:pic>
              </a:graphicData>
            </a:graphic>
          </wp:inline>
        </w:drawing>
      </w:r>
    </w:p>
    <w:p w14:paraId="35732A3E">
      <w:pPr>
        <w:pStyle w:val="8"/>
        <w:spacing w:before="0" w:beforeAutospacing="0" w:after="0" w:afterAutospacing="0" w:line="360" w:lineRule="auto"/>
        <w:ind w:firstLine="420"/>
        <w:rPr>
          <w:sz w:val="21"/>
          <w:szCs w:val="21"/>
        </w:rPr>
      </w:pPr>
      <w:r>
        <w:rPr>
          <w:rFonts w:hint="eastAsia"/>
          <w:sz w:val="21"/>
          <w:szCs w:val="21"/>
        </w:rPr>
        <w:drawing>
          <wp:inline distT="0" distB="0" distL="0" distR="0">
            <wp:extent cx="2485390" cy="305689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a:blip r:embed="rId8"/>
                    <a:stretch>
                      <a:fillRect/>
                    </a:stretch>
                  </pic:blipFill>
                  <pic:spPr>
                    <a:xfrm>
                      <a:off x="0" y="0"/>
                      <a:ext cx="2485714" cy="3057143"/>
                    </a:xfrm>
                    <a:prstGeom prst="rect">
                      <a:avLst/>
                    </a:prstGeom>
                  </pic:spPr>
                </pic:pic>
              </a:graphicData>
            </a:graphic>
          </wp:inline>
        </w:drawing>
      </w:r>
      <w:r>
        <w:rPr>
          <w:rFonts w:hint="eastAsia"/>
          <w:sz w:val="21"/>
          <w:szCs w:val="21"/>
        </w:rPr>
        <w:t xml:space="preserve">  </w:t>
      </w:r>
    </w:p>
    <w:p w14:paraId="298986F4">
      <w:pPr>
        <w:pStyle w:val="8"/>
        <w:spacing w:before="0" w:beforeAutospacing="0" w:after="0" w:afterAutospacing="0" w:line="360" w:lineRule="auto"/>
        <w:ind w:firstLine="420"/>
        <w:rPr>
          <w:sz w:val="21"/>
          <w:szCs w:val="21"/>
        </w:rPr>
      </w:pPr>
      <w:r>
        <w:rPr>
          <w:rFonts w:hint="eastAsia"/>
          <w:sz w:val="21"/>
          <w:szCs w:val="21"/>
        </w:rPr>
        <w:drawing>
          <wp:inline distT="0" distB="0" distL="0" distR="0">
            <wp:extent cx="5270500" cy="2315210"/>
            <wp:effectExtent l="0" t="0" r="6350" b="889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9"/>
                    <a:stretch>
                      <a:fillRect/>
                    </a:stretch>
                  </pic:blipFill>
                  <pic:spPr>
                    <a:xfrm>
                      <a:off x="0" y="0"/>
                      <a:ext cx="5270500" cy="2315210"/>
                    </a:xfrm>
                    <a:prstGeom prst="rect">
                      <a:avLst/>
                    </a:prstGeom>
                  </pic:spPr>
                </pic:pic>
              </a:graphicData>
            </a:graphic>
          </wp:inline>
        </w:drawing>
      </w:r>
      <w:r>
        <w:rPr>
          <w:rFonts w:hint="eastAsia"/>
          <w:sz w:val="21"/>
          <w:szCs w:val="21"/>
        </w:rPr>
        <w:t xml:space="preserve">  </w:t>
      </w:r>
    </w:p>
    <w:p w14:paraId="0542C0AB">
      <w:pPr>
        <w:pStyle w:val="8"/>
        <w:spacing w:before="0" w:beforeAutospacing="0" w:after="0" w:afterAutospacing="0" w:line="360" w:lineRule="auto"/>
        <w:ind w:firstLine="420"/>
        <w:rPr>
          <w:sz w:val="21"/>
          <w:szCs w:val="21"/>
        </w:rPr>
      </w:pPr>
      <w:r>
        <w:rPr>
          <w:rFonts w:hint="eastAsia"/>
          <w:b/>
          <w:bCs/>
          <w:sz w:val="21"/>
          <w:szCs w:val="21"/>
        </w:rPr>
        <w:drawing>
          <wp:inline distT="0" distB="0" distL="0" distR="0">
            <wp:extent cx="1894840" cy="532765"/>
            <wp:effectExtent l="0" t="0" r="0" b="635"/>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10"/>
                    <a:stretch>
                      <a:fillRect/>
                    </a:stretch>
                  </pic:blipFill>
                  <pic:spPr>
                    <a:xfrm>
                      <a:off x="0" y="0"/>
                      <a:ext cx="1895238" cy="533333"/>
                    </a:xfrm>
                    <a:prstGeom prst="rect">
                      <a:avLst/>
                    </a:prstGeom>
                  </pic:spPr>
                </pic:pic>
              </a:graphicData>
            </a:graphic>
          </wp:inline>
        </w:drawing>
      </w:r>
      <w:r>
        <w:rPr>
          <w:rFonts w:hint="eastAsia"/>
          <w:b/>
          <w:bCs/>
          <w:sz w:val="21"/>
          <w:szCs w:val="21"/>
        </w:rPr>
        <w:t>《全球投资人》</w:t>
      </w:r>
    </w:p>
    <w:p w14:paraId="03CDB979">
      <w:pPr>
        <w:pStyle w:val="8"/>
        <w:spacing w:before="0" w:beforeAutospacing="0" w:after="0" w:afterAutospacing="0" w:line="360" w:lineRule="auto"/>
        <w:ind w:firstLine="420"/>
        <w:rPr>
          <w:sz w:val="21"/>
          <w:szCs w:val="21"/>
        </w:rPr>
      </w:pPr>
      <w:r>
        <w:rPr>
          <w:rFonts w:hint="eastAsia"/>
          <w:b/>
          <w:bCs/>
          <w:sz w:val="21"/>
          <w:szCs w:val="21"/>
        </w:rPr>
        <w:drawing>
          <wp:inline distT="0" distB="0" distL="0" distR="0">
            <wp:extent cx="2694940" cy="2247265"/>
            <wp:effectExtent l="0" t="0" r="0" b="635"/>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1"/>
                    <a:stretch>
                      <a:fillRect/>
                    </a:stretch>
                  </pic:blipFill>
                  <pic:spPr>
                    <a:xfrm>
                      <a:off x="0" y="0"/>
                      <a:ext cx="2695238" cy="2247619"/>
                    </a:xfrm>
                    <a:prstGeom prst="rect">
                      <a:avLst/>
                    </a:prstGeom>
                  </pic:spPr>
                </pic:pic>
              </a:graphicData>
            </a:graphic>
          </wp:inline>
        </w:drawing>
      </w:r>
      <w:r>
        <w:rPr>
          <w:sz w:val="21"/>
          <w:szCs w:val="21"/>
        </w:rPr>
        <w:drawing>
          <wp:inline distT="0" distB="0" distL="0" distR="0">
            <wp:extent cx="1913890" cy="2247265"/>
            <wp:effectExtent l="0" t="0" r="0" b="635"/>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a:blip r:embed="rId12"/>
                    <a:stretch>
                      <a:fillRect/>
                    </a:stretch>
                  </pic:blipFill>
                  <pic:spPr>
                    <a:xfrm>
                      <a:off x="0" y="0"/>
                      <a:ext cx="1914286" cy="2247619"/>
                    </a:xfrm>
                    <a:prstGeom prst="rect">
                      <a:avLst/>
                    </a:prstGeom>
                  </pic:spPr>
                </pic:pic>
              </a:graphicData>
            </a:graphic>
          </wp:inline>
        </w:drawing>
      </w:r>
    </w:p>
    <w:p w14:paraId="2E7E50C7">
      <w:pPr>
        <w:pStyle w:val="8"/>
        <w:spacing w:before="0" w:beforeAutospacing="0" w:after="0" w:afterAutospacing="0" w:line="360" w:lineRule="auto"/>
        <w:ind w:firstLine="420"/>
        <w:rPr>
          <w:sz w:val="21"/>
          <w:szCs w:val="21"/>
        </w:rPr>
      </w:pPr>
      <w:r>
        <w:rPr>
          <w:sz w:val="21"/>
          <w:szCs w:val="21"/>
        </w:rPr>
        <w:drawing>
          <wp:inline distT="0" distB="0" distL="0" distR="0">
            <wp:extent cx="5270500" cy="624840"/>
            <wp:effectExtent l="0" t="0" r="6350" b="3810"/>
            <wp:docPr id="15"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icPr>
                  <pic:blipFill>
                    <a:blip r:embed="rId13"/>
                    <a:stretch>
                      <a:fillRect/>
                    </a:stretch>
                  </pic:blipFill>
                  <pic:spPr>
                    <a:xfrm>
                      <a:off x="0" y="0"/>
                      <a:ext cx="5270500" cy="624840"/>
                    </a:xfrm>
                    <a:prstGeom prst="rect">
                      <a:avLst/>
                    </a:prstGeom>
                  </pic:spPr>
                </pic:pic>
              </a:graphicData>
            </a:graphic>
          </wp:inline>
        </w:drawing>
      </w:r>
    </w:p>
    <w:p w14:paraId="6F2EBD5F">
      <w:pPr>
        <w:pStyle w:val="8"/>
        <w:spacing w:before="0" w:beforeAutospacing="0" w:after="0" w:afterAutospacing="0" w:line="360" w:lineRule="auto"/>
        <w:ind w:firstLine="420"/>
        <w:rPr>
          <w:sz w:val="21"/>
          <w:szCs w:val="21"/>
        </w:rPr>
      </w:pPr>
      <w:r>
        <w:rPr>
          <w:rFonts w:hint="eastAsia"/>
          <w:b/>
          <w:bCs/>
          <w:sz w:val="21"/>
          <w:szCs w:val="21"/>
        </w:rPr>
        <w:drawing>
          <wp:inline distT="0" distB="0" distL="0" distR="0">
            <wp:extent cx="2456815" cy="370840"/>
            <wp:effectExtent l="0" t="0" r="635" b="0"/>
            <wp:docPr id="14"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icPr>
                  <pic:blipFill>
                    <a:blip r:embed="rId14"/>
                    <a:stretch>
                      <a:fillRect/>
                    </a:stretch>
                  </pic:blipFill>
                  <pic:spPr>
                    <a:xfrm>
                      <a:off x="0" y="0"/>
                      <a:ext cx="2457143" cy="371429"/>
                    </a:xfrm>
                    <a:prstGeom prst="rect">
                      <a:avLst/>
                    </a:prstGeom>
                  </pic:spPr>
                </pic:pic>
              </a:graphicData>
            </a:graphic>
          </wp:inline>
        </w:drawing>
      </w:r>
      <w:r>
        <w:rPr>
          <w:rFonts w:hint="eastAsia"/>
          <w:b/>
          <w:bCs/>
          <w:sz w:val="21"/>
          <w:szCs w:val="21"/>
        </w:rPr>
        <w:t>《ETF Express》</w:t>
      </w:r>
    </w:p>
    <w:p w14:paraId="33833359">
      <w:pPr>
        <w:pStyle w:val="8"/>
        <w:spacing w:before="0" w:beforeAutospacing="0" w:after="0" w:afterAutospacing="0" w:line="360" w:lineRule="auto"/>
        <w:ind w:firstLine="420"/>
        <w:rPr>
          <w:sz w:val="21"/>
          <w:szCs w:val="21"/>
        </w:rPr>
      </w:pPr>
      <w:r>
        <w:rPr>
          <w:rFonts w:hint="eastAsia"/>
          <w:b/>
          <w:bCs/>
          <w:sz w:val="21"/>
          <w:szCs w:val="21"/>
        </w:rPr>
        <w:drawing>
          <wp:inline distT="0" distB="0" distL="0" distR="0">
            <wp:extent cx="2028190" cy="258064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15"/>
                    <a:stretch>
                      <a:fillRect/>
                    </a:stretch>
                  </pic:blipFill>
                  <pic:spPr>
                    <a:xfrm>
                      <a:off x="0" y="0"/>
                      <a:ext cx="2028572" cy="2580953"/>
                    </a:xfrm>
                    <a:prstGeom prst="rect">
                      <a:avLst/>
                    </a:prstGeom>
                  </pic:spPr>
                </pic:pic>
              </a:graphicData>
            </a:graphic>
          </wp:inline>
        </w:drawing>
      </w:r>
      <w:r>
        <w:rPr>
          <w:sz w:val="21"/>
          <w:szCs w:val="21"/>
        </w:rPr>
        <w:drawing>
          <wp:inline distT="0" distB="0" distL="0" distR="0">
            <wp:extent cx="2466340" cy="2580640"/>
            <wp:effectExtent l="0" t="0" r="0" b="0"/>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a:blip r:embed="rId16"/>
                    <a:stretch>
                      <a:fillRect/>
                    </a:stretch>
                  </pic:blipFill>
                  <pic:spPr>
                    <a:xfrm>
                      <a:off x="0" y="0"/>
                      <a:ext cx="2466667" cy="2580953"/>
                    </a:xfrm>
                    <a:prstGeom prst="rect">
                      <a:avLst/>
                    </a:prstGeom>
                  </pic:spPr>
                </pic:pic>
              </a:graphicData>
            </a:graphic>
          </wp:inline>
        </w:drawing>
      </w:r>
    </w:p>
    <w:p w14:paraId="6E992C33">
      <w:pPr>
        <w:pStyle w:val="8"/>
        <w:spacing w:before="0" w:beforeAutospacing="0" w:after="0" w:afterAutospacing="0" w:line="360" w:lineRule="auto"/>
        <w:ind w:firstLine="420"/>
        <w:rPr>
          <w:sz w:val="21"/>
          <w:szCs w:val="21"/>
        </w:rPr>
      </w:pPr>
      <w:r>
        <w:rPr>
          <w:rFonts w:hint="eastAsia"/>
          <w:b/>
          <w:bCs/>
          <w:sz w:val="21"/>
          <w:szCs w:val="21"/>
        </w:rPr>
        <w:drawing>
          <wp:inline distT="0" distB="0" distL="0" distR="0">
            <wp:extent cx="1980565" cy="437515"/>
            <wp:effectExtent l="0" t="0" r="635" b="635"/>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a:blip r:embed="rId17"/>
                    <a:stretch>
                      <a:fillRect/>
                    </a:stretch>
                  </pic:blipFill>
                  <pic:spPr>
                    <a:xfrm>
                      <a:off x="0" y="0"/>
                      <a:ext cx="1980953" cy="438095"/>
                    </a:xfrm>
                    <a:prstGeom prst="rect">
                      <a:avLst/>
                    </a:prstGeom>
                  </pic:spPr>
                </pic:pic>
              </a:graphicData>
            </a:graphic>
          </wp:inline>
        </w:drawing>
      </w:r>
      <w:r>
        <w:rPr>
          <w:rFonts w:hint="eastAsia"/>
          <w:b/>
          <w:bCs/>
          <w:sz w:val="21"/>
          <w:szCs w:val="21"/>
        </w:rPr>
        <w:t>《R&amp;M 调查》</w:t>
      </w:r>
    </w:p>
    <w:p w14:paraId="6B9295BD">
      <w:pPr>
        <w:pStyle w:val="8"/>
        <w:spacing w:before="0" w:beforeAutospacing="0" w:after="0" w:afterAutospacing="0" w:line="360" w:lineRule="auto"/>
        <w:ind w:firstLine="420"/>
        <w:rPr>
          <w:sz w:val="21"/>
          <w:szCs w:val="21"/>
        </w:rPr>
      </w:pPr>
      <w:r>
        <w:rPr>
          <w:sz w:val="21"/>
          <w:szCs w:val="21"/>
        </w:rPr>
        <w:drawing>
          <wp:inline distT="0" distB="0" distL="0" distR="0">
            <wp:extent cx="2380615" cy="789940"/>
            <wp:effectExtent l="0" t="0" r="635" b="0"/>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icPr>
                  <pic:blipFill>
                    <a:blip r:embed="rId18"/>
                    <a:stretch>
                      <a:fillRect/>
                    </a:stretch>
                  </pic:blipFill>
                  <pic:spPr>
                    <a:xfrm>
                      <a:off x="0" y="0"/>
                      <a:ext cx="2380953" cy="790476"/>
                    </a:xfrm>
                    <a:prstGeom prst="rect">
                      <a:avLst/>
                    </a:prstGeom>
                  </pic:spPr>
                </pic:pic>
              </a:graphicData>
            </a:graphic>
          </wp:inline>
        </w:drawing>
      </w:r>
      <w:r>
        <w:rPr>
          <w:sz w:val="21"/>
          <w:szCs w:val="21"/>
        </w:rPr>
        <w:drawing>
          <wp:inline distT="0" distB="0" distL="0" distR="0">
            <wp:extent cx="2228215" cy="789940"/>
            <wp:effectExtent l="0" t="0" r="635"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9"/>
                    <a:stretch>
                      <a:fillRect/>
                    </a:stretch>
                  </pic:blipFill>
                  <pic:spPr>
                    <a:xfrm>
                      <a:off x="0" y="0"/>
                      <a:ext cx="2228572" cy="790476"/>
                    </a:xfrm>
                    <a:prstGeom prst="rect">
                      <a:avLst/>
                    </a:prstGeom>
                  </pic:spPr>
                </pic:pic>
              </a:graphicData>
            </a:graphic>
          </wp:inline>
        </w:drawing>
      </w:r>
    </w:p>
    <w:p w14:paraId="28A2E2F6">
      <w:pPr>
        <w:pStyle w:val="8"/>
        <w:spacing w:before="0" w:beforeAutospacing="0" w:after="0" w:afterAutospacing="0" w:line="360" w:lineRule="auto"/>
        <w:ind w:firstLine="420"/>
        <w:rPr>
          <w:sz w:val="21"/>
          <w:szCs w:val="21"/>
        </w:rPr>
      </w:pPr>
      <w:r>
        <w:rPr>
          <w:rFonts w:hint="eastAsia"/>
          <w:b/>
          <w:bCs/>
          <w:sz w:val="21"/>
          <w:szCs w:val="21"/>
        </w:rPr>
        <w:t>Coalition Greenwich 2022： Ranked #1 for client service in FX</w:t>
      </w:r>
    </w:p>
    <w:p w14:paraId="5B29F72C">
      <w:pPr>
        <w:pStyle w:val="8"/>
        <w:spacing w:before="0" w:beforeAutospacing="0" w:after="0" w:afterAutospacing="0" w:line="360" w:lineRule="auto"/>
        <w:ind w:firstLine="420"/>
        <w:rPr>
          <w:sz w:val="21"/>
          <w:szCs w:val="21"/>
        </w:rPr>
      </w:pPr>
      <w:r>
        <w:rPr>
          <w:rFonts w:hint="eastAsia"/>
          <w:sz w:val="21"/>
          <w:szCs w:val="21"/>
        </w:rPr>
        <w:drawing>
          <wp:inline distT="0" distB="0" distL="0" distR="0">
            <wp:extent cx="5270500" cy="2004695"/>
            <wp:effectExtent l="0" t="0" r="635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20"/>
                    <a:stretch>
                      <a:fillRect/>
                    </a:stretch>
                  </pic:blipFill>
                  <pic:spPr>
                    <a:xfrm>
                      <a:off x="0" y="0"/>
                      <a:ext cx="5270500" cy="2004695"/>
                    </a:xfrm>
                    <a:prstGeom prst="rect">
                      <a:avLst/>
                    </a:prstGeom>
                  </pic:spPr>
                </pic:pic>
              </a:graphicData>
            </a:graphic>
          </wp:inline>
        </w:drawing>
      </w:r>
      <w:r>
        <w:rPr>
          <w:rFonts w:hint="eastAsia"/>
          <w:sz w:val="21"/>
          <w:szCs w:val="21"/>
        </w:rPr>
        <w:t xml:space="preserve">  </w:t>
      </w:r>
    </w:p>
    <w:p w14:paraId="56B578E7">
      <w:pPr>
        <w:pStyle w:val="8"/>
        <w:spacing w:before="0" w:beforeAutospacing="0" w:after="0" w:afterAutospacing="0" w:line="360" w:lineRule="auto"/>
        <w:ind w:firstLine="420"/>
        <w:rPr>
          <w:sz w:val="21"/>
          <w:szCs w:val="21"/>
        </w:rPr>
      </w:pPr>
      <w:r>
        <w:rPr>
          <w:rStyle w:val="12"/>
          <w:rFonts w:hint="eastAsia"/>
          <w:sz w:val="21"/>
          <w:szCs w:val="21"/>
        </w:rPr>
        <w:t>三、境外托管人的职责</w:t>
      </w:r>
    </w:p>
    <w:p w14:paraId="00C60431">
      <w:pPr>
        <w:pStyle w:val="8"/>
        <w:spacing w:before="0" w:beforeAutospacing="0" w:after="0" w:afterAutospacing="0" w:line="360" w:lineRule="auto"/>
        <w:ind w:firstLine="420"/>
        <w:rPr>
          <w:sz w:val="21"/>
          <w:szCs w:val="21"/>
        </w:rPr>
      </w:pPr>
      <w:r>
        <w:rPr>
          <w:rFonts w:hint="eastAsia"/>
          <w:sz w:val="21"/>
          <w:szCs w:val="21"/>
        </w:rPr>
        <w:t xml:space="preserve">1、安全保管受托财产； </w:t>
      </w:r>
    </w:p>
    <w:p w14:paraId="61F82C70">
      <w:pPr>
        <w:pStyle w:val="8"/>
        <w:spacing w:before="0" w:beforeAutospacing="0" w:after="0" w:afterAutospacing="0" w:line="360" w:lineRule="auto"/>
        <w:ind w:firstLine="420"/>
        <w:rPr>
          <w:sz w:val="21"/>
          <w:szCs w:val="21"/>
        </w:rPr>
      </w:pPr>
      <w:r>
        <w:rPr>
          <w:rFonts w:hint="eastAsia"/>
          <w:sz w:val="21"/>
          <w:szCs w:val="21"/>
        </w:rPr>
        <w:t xml:space="preserve">2、计算境外受托资产的资产净值； </w:t>
      </w:r>
    </w:p>
    <w:p w14:paraId="57F01690">
      <w:pPr>
        <w:pStyle w:val="8"/>
        <w:spacing w:before="0" w:beforeAutospacing="0" w:after="0" w:afterAutospacing="0" w:line="360" w:lineRule="auto"/>
        <w:ind w:firstLine="420"/>
        <w:rPr>
          <w:sz w:val="21"/>
          <w:szCs w:val="21"/>
        </w:rPr>
      </w:pPr>
      <w:r>
        <w:rPr>
          <w:rFonts w:hint="eastAsia"/>
          <w:sz w:val="21"/>
          <w:szCs w:val="21"/>
        </w:rPr>
        <w:t xml:space="preserve">3、按照相关合同的约定，及时办理受托资产的清算、交割事宜； </w:t>
      </w:r>
    </w:p>
    <w:p w14:paraId="7C96222E">
      <w:pPr>
        <w:pStyle w:val="8"/>
        <w:spacing w:before="0" w:beforeAutospacing="0" w:after="0" w:afterAutospacing="0" w:line="360" w:lineRule="auto"/>
        <w:ind w:firstLine="420"/>
        <w:rPr>
          <w:sz w:val="21"/>
          <w:szCs w:val="21"/>
        </w:rPr>
      </w:pPr>
      <w:r>
        <w:rPr>
          <w:rFonts w:hint="eastAsia"/>
          <w:sz w:val="21"/>
          <w:szCs w:val="21"/>
        </w:rPr>
        <w:t xml:space="preserve">4、按照相关合同的约定和所适用国家、地区法律法规的规定，开设受托资产的资金账户以及证券账户； </w:t>
      </w:r>
    </w:p>
    <w:p w14:paraId="09AADA3F">
      <w:pPr>
        <w:pStyle w:val="8"/>
        <w:spacing w:before="0" w:beforeAutospacing="0" w:after="0" w:afterAutospacing="0" w:line="360" w:lineRule="auto"/>
        <w:ind w:firstLine="420"/>
        <w:rPr>
          <w:sz w:val="21"/>
          <w:szCs w:val="21"/>
        </w:rPr>
      </w:pPr>
      <w:r>
        <w:rPr>
          <w:rFonts w:hint="eastAsia"/>
          <w:sz w:val="21"/>
          <w:szCs w:val="21"/>
        </w:rPr>
        <w:t xml:space="preserve">5、按照相关合同的约定，提供与受托资产业务活动有关的会计记录、交易信息； </w:t>
      </w:r>
    </w:p>
    <w:p w14:paraId="1233C9E5">
      <w:pPr>
        <w:pStyle w:val="8"/>
        <w:spacing w:before="0" w:beforeAutospacing="0" w:after="0" w:afterAutospacing="0" w:line="360" w:lineRule="auto"/>
        <w:ind w:firstLine="420"/>
        <w:rPr>
          <w:sz w:val="21"/>
          <w:szCs w:val="21"/>
        </w:rPr>
      </w:pPr>
      <w:r>
        <w:rPr>
          <w:rFonts w:hint="eastAsia"/>
          <w:sz w:val="21"/>
          <w:szCs w:val="21"/>
        </w:rPr>
        <w:t xml:space="preserve">6、保存受托资产托管业务活动的记录、账册以及其他相关资料； </w:t>
      </w:r>
    </w:p>
    <w:p w14:paraId="002992D2">
      <w:pPr>
        <w:pStyle w:val="8"/>
        <w:spacing w:before="0" w:beforeAutospacing="0" w:after="0" w:afterAutospacing="0" w:line="360" w:lineRule="auto"/>
        <w:ind w:firstLine="420"/>
        <w:rPr>
          <w:sz w:val="21"/>
          <w:szCs w:val="21"/>
        </w:rPr>
      </w:pPr>
      <w:bookmarkStart w:id="185" w:name="chapter_level1_24_70427_section_1_end"/>
      <w:bookmarkEnd w:id="185"/>
      <w:r>
        <w:rPr>
          <w:rFonts w:hint="eastAsia"/>
          <w:sz w:val="21"/>
          <w:szCs w:val="21"/>
        </w:rPr>
        <w:t xml:space="preserve">7、其他由基金托管人委托其履行的职责。 </w:t>
      </w:r>
    </w:p>
    <w:p w14:paraId="6D7AEC87">
      <w:pPr>
        <w:widowControl/>
        <w:jc w:val="left"/>
        <w:rPr>
          <w:rFonts w:ascii="宋体" w:hAnsi="宋体" w:eastAsia="宋体"/>
        </w:rPr>
      </w:pPr>
      <w:r>
        <w:rPr>
          <w:rFonts w:ascii="宋体" w:hAnsi="宋体" w:eastAsia="宋体"/>
        </w:rPr>
        <w:br w:type="page"/>
      </w:r>
    </w:p>
    <w:p w14:paraId="03A448C1">
      <w:pPr>
        <w:pStyle w:val="2"/>
        <w:jc w:val="center"/>
        <w:rPr>
          <w:rFonts w:ascii="宋体" w:hAnsi="宋体" w:eastAsia="宋体"/>
          <w:sz w:val="30"/>
        </w:rPr>
      </w:pPr>
      <w:bookmarkStart w:id="186" w:name="_Toc209441856"/>
      <w:bookmarkStart w:id="187" w:name="chapter_level1_25_71"/>
      <w:r>
        <w:rPr>
          <w:rFonts w:hint="eastAsia" w:ascii="宋体" w:hAnsi="宋体" w:eastAsia="宋体"/>
          <w:sz w:val="30"/>
        </w:rPr>
        <w:t>第二十二部分  基金合同的内容摘要</w:t>
      </w:r>
      <w:bookmarkEnd w:id="186"/>
      <w:bookmarkEnd w:id="187"/>
    </w:p>
    <w:p w14:paraId="158684B0">
      <w:pPr>
        <w:pStyle w:val="8"/>
        <w:spacing w:before="0" w:beforeAutospacing="0" w:after="0" w:afterAutospacing="0" w:line="360" w:lineRule="auto"/>
        <w:ind w:firstLine="420"/>
        <w:rPr>
          <w:sz w:val="21"/>
          <w:szCs w:val="21"/>
        </w:rPr>
      </w:pPr>
      <w:bookmarkStart w:id="188" w:name="chapter_level1_25_71_section_1"/>
      <w:bookmarkEnd w:id="188"/>
      <w:r>
        <w:rPr>
          <w:rFonts w:hint="eastAsia"/>
          <w:b/>
          <w:bCs/>
          <w:sz w:val="21"/>
          <w:szCs w:val="21"/>
        </w:rPr>
        <w:t>一、基金份额持有人、基金管理人和基金托管人的权利、义务</w:t>
      </w:r>
    </w:p>
    <w:p w14:paraId="540A5CE7">
      <w:pPr>
        <w:pStyle w:val="8"/>
        <w:spacing w:before="0" w:beforeAutospacing="0" w:after="0" w:afterAutospacing="0" w:line="360" w:lineRule="auto"/>
        <w:ind w:firstLine="420"/>
        <w:rPr>
          <w:sz w:val="21"/>
          <w:szCs w:val="21"/>
        </w:rPr>
      </w:pPr>
      <w:r>
        <w:rPr>
          <w:rFonts w:hint="eastAsia"/>
          <w:sz w:val="21"/>
          <w:szCs w:val="21"/>
        </w:rPr>
        <w:t xml:space="preserve">（一）基金管理人的权利  </w:t>
      </w:r>
    </w:p>
    <w:p w14:paraId="39548411">
      <w:pPr>
        <w:pStyle w:val="8"/>
        <w:spacing w:before="0" w:beforeAutospacing="0" w:after="0" w:afterAutospacing="0" w:line="360" w:lineRule="auto"/>
        <w:ind w:firstLine="420"/>
        <w:rPr>
          <w:sz w:val="21"/>
          <w:szCs w:val="21"/>
        </w:rPr>
      </w:pPr>
      <w:r>
        <w:rPr>
          <w:rFonts w:hint="eastAsia"/>
          <w:sz w:val="21"/>
          <w:szCs w:val="21"/>
        </w:rPr>
        <w:t xml:space="preserve">根据《基金法》、《运作办法》及其他有关规定，基金管理人的权利包括但不限于： </w:t>
      </w:r>
    </w:p>
    <w:p w14:paraId="512B4B10">
      <w:pPr>
        <w:pStyle w:val="8"/>
        <w:spacing w:before="0" w:beforeAutospacing="0" w:after="0" w:afterAutospacing="0" w:line="360" w:lineRule="auto"/>
        <w:ind w:firstLine="420"/>
        <w:rPr>
          <w:sz w:val="21"/>
          <w:szCs w:val="21"/>
        </w:rPr>
      </w:pPr>
      <w:r>
        <w:rPr>
          <w:rFonts w:hint="eastAsia"/>
          <w:sz w:val="21"/>
          <w:szCs w:val="21"/>
        </w:rPr>
        <w:t xml:space="preserve">（1）依法募集基金； </w:t>
      </w:r>
    </w:p>
    <w:p w14:paraId="78EC500C">
      <w:pPr>
        <w:pStyle w:val="8"/>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7680747B">
      <w:pPr>
        <w:pStyle w:val="8"/>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182389F8">
      <w:pPr>
        <w:pStyle w:val="8"/>
        <w:spacing w:before="0" w:beforeAutospacing="0" w:after="0" w:afterAutospacing="0" w:line="360" w:lineRule="auto"/>
        <w:ind w:firstLine="420"/>
        <w:rPr>
          <w:sz w:val="21"/>
          <w:szCs w:val="21"/>
        </w:rPr>
      </w:pPr>
      <w:r>
        <w:rPr>
          <w:rFonts w:hint="eastAsia"/>
          <w:sz w:val="21"/>
          <w:szCs w:val="21"/>
        </w:rPr>
        <w:t xml:space="preserve">（4）销售基金份额； </w:t>
      </w:r>
    </w:p>
    <w:p w14:paraId="11C6F95B">
      <w:pPr>
        <w:pStyle w:val="8"/>
        <w:spacing w:before="0" w:beforeAutospacing="0" w:after="0" w:afterAutospacing="0" w:line="360" w:lineRule="auto"/>
        <w:ind w:firstLine="420"/>
        <w:rPr>
          <w:sz w:val="21"/>
          <w:szCs w:val="21"/>
        </w:rPr>
      </w:pPr>
      <w:r>
        <w:rPr>
          <w:rFonts w:hint="eastAsia"/>
          <w:sz w:val="21"/>
          <w:szCs w:val="21"/>
        </w:rPr>
        <w:t xml:space="preserve">（5）召集基金份额持有人大会； </w:t>
      </w:r>
    </w:p>
    <w:p w14:paraId="408BEDBB">
      <w:pPr>
        <w:pStyle w:val="8"/>
        <w:spacing w:before="0" w:beforeAutospacing="0" w:after="0" w:afterAutospacing="0" w:line="360" w:lineRule="auto"/>
        <w:ind w:firstLine="420"/>
        <w:rPr>
          <w:sz w:val="21"/>
          <w:szCs w:val="21"/>
        </w:rPr>
      </w:pPr>
      <w:r>
        <w:rPr>
          <w:rFonts w:hint="eastAsia"/>
          <w:sz w:val="21"/>
          <w:szCs w:val="21"/>
        </w:rPr>
        <w:t xml:space="preserve">（6）依据基金合同及有关法律法规规定监督基金托管人，如认为基金托管人违反了基金合同及国家有关法律法规规定，应呈报中国证监会和其他监管部门，并采取必要措施保护基金投资者的利益； </w:t>
      </w:r>
    </w:p>
    <w:p w14:paraId="1647B0E0">
      <w:pPr>
        <w:pStyle w:val="8"/>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080243B8">
      <w:pPr>
        <w:pStyle w:val="8"/>
        <w:spacing w:before="0" w:beforeAutospacing="0" w:after="0" w:afterAutospacing="0" w:line="360" w:lineRule="auto"/>
        <w:ind w:firstLine="420"/>
        <w:rPr>
          <w:sz w:val="21"/>
          <w:szCs w:val="21"/>
        </w:rPr>
      </w:pPr>
      <w:r>
        <w:rPr>
          <w:rFonts w:hint="eastAsia"/>
          <w:sz w:val="21"/>
          <w:szCs w:val="21"/>
        </w:rPr>
        <w:t xml:space="preserve">（8）选择、委托、更换基金代销机构，对基金代销机构的相关行为进行监督和处理；  </w:t>
      </w:r>
    </w:p>
    <w:p w14:paraId="7EA2230F">
      <w:pPr>
        <w:pStyle w:val="8"/>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（9）担任或委托其他符合条件的机构担任基金登记结算机构办理基金登记结算业务并获得基金合同规定的费用；  </w:t>
      </w:r>
    </w:p>
    <w:p w14:paraId="1C570872">
      <w:pPr>
        <w:pStyle w:val="8"/>
        <w:spacing w:before="0" w:beforeAutospacing="0" w:after="0" w:afterAutospacing="0" w:line="360" w:lineRule="auto"/>
        <w:ind w:firstLine="420"/>
        <w:rPr>
          <w:sz w:val="21"/>
          <w:szCs w:val="21"/>
        </w:rPr>
      </w:pPr>
      <w:r>
        <w:rPr>
          <w:rFonts w:hint="eastAsia"/>
          <w:sz w:val="21"/>
          <w:szCs w:val="21"/>
        </w:rPr>
        <w:t xml:space="preserve">（10）依据基金合同及有关法律法规规定决定基金收益的分配方案； </w:t>
      </w:r>
    </w:p>
    <w:p w14:paraId="41D46FAA">
      <w:pPr>
        <w:pStyle w:val="8"/>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（11）在基金合同约定的范围内，拒绝或暂停受理申购与赎回申请；  </w:t>
      </w:r>
    </w:p>
    <w:p w14:paraId="69AE1484">
      <w:pPr>
        <w:pStyle w:val="8"/>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08C85358">
      <w:pPr>
        <w:pStyle w:val="8"/>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  </w:t>
      </w:r>
    </w:p>
    <w:p w14:paraId="051E53D2">
      <w:pPr>
        <w:pStyle w:val="8"/>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5CA8B682">
      <w:pPr>
        <w:pStyle w:val="8"/>
        <w:spacing w:before="0" w:beforeAutospacing="0" w:after="0" w:afterAutospacing="0" w:line="360" w:lineRule="auto"/>
        <w:ind w:firstLine="420"/>
        <w:rPr>
          <w:sz w:val="21"/>
          <w:szCs w:val="21"/>
        </w:rPr>
      </w:pPr>
      <w:r>
        <w:rPr>
          <w:rFonts w:hint="eastAsia"/>
          <w:sz w:val="21"/>
          <w:szCs w:val="21"/>
        </w:rPr>
        <w:t xml:space="preserve">（15）选择、更换律师事务所、会计师事务所、证券经纪商或其他为基金提供服务的外部机构； </w:t>
      </w:r>
    </w:p>
    <w:p w14:paraId="0E694E78">
      <w:pPr>
        <w:pStyle w:val="8"/>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（16）在符合有关法律、法规的前提下，制订和调整有关基金认购、申购、赎回、转换和非交易过户的业务规则； </w:t>
      </w:r>
    </w:p>
    <w:p w14:paraId="419AA924">
      <w:pPr>
        <w:pStyle w:val="8"/>
        <w:spacing w:before="0" w:beforeAutospacing="0" w:after="0" w:afterAutospacing="0" w:line="360" w:lineRule="auto"/>
        <w:ind w:firstLine="420"/>
        <w:rPr>
          <w:sz w:val="21"/>
          <w:szCs w:val="21"/>
        </w:rPr>
      </w:pPr>
      <w:r>
        <w:rPr>
          <w:rFonts w:hint="eastAsia"/>
          <w:sz w:val="21"/>
          <w:szCs w:val="21"/>
        </w:rPr>
        <w:t xml:space="preserve">（17）选择、更换或撤销境外投资顾问； </w:t>
      </w:r>
    </w:p>
    <w:p w14:paraId="1DEC0F72">
      <w:pPr>
        <w:pStyle w:val="8"/>
        <w:spacing w:before="0" w:beforeAutospacing="0" w:after="0" w:afterAutospacing="0" w:line="360" w:lineRule="auto"/>
        <w:ind w:firstLine="420"/>
        <w:rPr>
          <w:sz w:val="21"/>
          <w:szCs w:val="21"/>
        </w:rPr>
      </w:pPr>
      <w:r>
        <w:rPr>
          <w:rFonts w:hint="eastAsia"/>
          <w:sz w:val="21"/>
          <w:szCs w:val="21"/>
        </w:rPr>
        <w:t xml:space="preserve">（18）法律法规和基金合同规定的其他权利。 </w:t>
      </w:r>
    </w:p>
    <w:p w14:paraId="1A14687C">
      <w:pPr>
        <w:pStyle w:val="8"/>
        <w:spacing w:before="0" w:beforeAutospacing="0" w:after="0" w:afterAutospacing="0" w:line="360" w:lineRule="auto"/>
        <w:ind w:firstLine="420"/>
        <w:rPr>
          <w:sz w:val="21"/>
          <w:szCs w:val="21"/>
        </w:rPr>
      </w:pPr>
      <w:r>
        <w:rPr>
          <w:rFonts w:hint="eastAsia"/>
          <w:sz w:val="21"/>
          <w:szCs w:val="21"/>
        </w:rPr>
        <w:t xml:space="preserve">（二）基金管理人的义务 </w:t>
      </w:r>
    </w:p>
    <w:p w14:paraId="4FC70350">
      <w:pPr>
        <w:pStyle w:val="8"/>
        <w:spacing w:before="0" w:beforeAutospacing="0" w:after="0" w:afterAutospacing="0" w:line="360" w:lineRule="auto"/>
        <w:ind w:firstLine="420"/>
        <w:rPr>
          <w:sz w:val="21"/>
          <w:szCs w:val="21"/>
        </w:rPr>
      </w:pPr>
      <w:r>
        <w:rPr>
          <w:rFonts w:hint="eastAsia"/>
          <w:sz w:val="21"/>
          <w:szCs w:val="21"/>
        </w:rPr>
        <w:t xml:space="preserve">根据《基金法》、《运作办法》及其他有关规定，基金管理人的义务包括但不限于： </w:t>
      </w:r>
    </w:p>
    <w:p w14:paraId="479B2B9F">
      <w:pPr>
        <w:pStyle w:val="8"/>
        <w:spacing w:before="0" w:beforeAutospacing="0" w:after="0" w:afterAutospacing="0" w:line="360" w:lineRule="auto"/>
        <w:ind w:firstLine="420"/>
        <w:rPr>
          <w:sz w:val="21"/>
          <w:szCs w:val="21"/>
        </w:rPr>
      </w:pPr>
      <w:r>
        <w:rPr>
          <w:rFonts w:hint="eastAsia"/>
          <w:sz w:val="21"/>
          <w:szCs w:val="21"/>
        </w:rPr>
        <w:t xml:space="preserve">（1）依法募集基金，办理或者委托经中国证监会认定的其他机构代为办理基金份额的发售、申购、赎回和登记事宜；  </w:t>
      </w:r>
    </w:p>
    <w:p w14:paraId="661968A2">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413BCE36">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（3）自基金合同生效之日起，以诚实信用、勤勉尽责的原则管理和运用基金财产； </w:t>
      </w:r>
    </w:p>
    <w:p w14:paraId="42912064">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4E0A76F4">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0CF1A40B">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388BBDF5">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2EB5D2CF">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（8）采取适当合理的措施使计算基金份额申购和赎回对价的方法符合基金合同等法律文件的规定，按有关规定计算并公告基金净值信息，确定基金份额申购、赎回的对价，编制申购赎回清单； </w:t>
      </w:r>
    </w:p>
    <w:p w14:paraId="3AF616EF">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11849C1A">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5D59A0D1">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34BF0E97">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0CC42ED0">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74C8F8D1">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（14）按规定受理申购与赎回申请，及时、足额支付赎回对价； </w:t>
      </w:r>
    </w:p>
    <w:p w14:paraId="1763B11E">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08E89F49">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7F28F57C">
      <w:pPr>
        <w:pStyle w:val="8"/>
        <w:spacing w:before="0" w:beforeAutospacing="0" w:after="0" w:afterAutospacing="0" w:line="360" w:lineRule="auto"/>
        <w:ind w:firstLine="420"/>
        <w:rPr>
          <w:sz w:val="21"/>
          <w:szCs w:val="21"/>
        </w:rPr>
      </w:pPr>
      <w:r>
        <w:rPr>
          <w:rFonts w:hint="eastAsia"/>
          <w:sz w:val="21"/>
          <w:szCs w:val="21"/>
        </w:rPr>
        <w:t xml:space="preserve">（17）确保需要向基金投资人提供的各项文件或资料在规定时间发出，并且保证投资人能够按照基金合同规定的时间和方式，随时查阅到与基金有关的公开资料，并在支付合理成本的条件下得到有关资料的复印件； </w:t>
      </w:r>
    </w:p>
    <w:p w14:paraId="26C8061E">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2F8DFC5C">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0F8A64D8">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0F3119E8">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28A88AF1">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301053B4">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24）基金管理人在募集期间未能达到基金的备案条件，基金合同不能生效，基金管理人承担因募集行为而产生的债务和费用，将已募集资金并加计银行同期活期存款利息在基金募集期结束后30日内退还基金认购人； </w:t>
      </w:r>
    </w:p>
    <w:p w14:paraId="3C9F04B5">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08380600">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12749518">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4F274596">
      <w:pPr>
        <w:pStyle w:val="8"/>
        <w:spacing w:before="0" w:beforeAutospacing="0" w:after="0" w:afterAutospacing="0" w:line="360" w:lineRule="auto"/>
        <w:ind w:firstLine="420"/>
        <w:rPr>
          <w:sz w:val="21"/>
          <w:szCs w:val="21"/>
        </w:rPr>
      </w:pPr>
      <w:r>
        <w:rPr>
          <w:rFonts w:hint="eastAsia"/>
          <w:sz w:val="21"/>
          <w:szCs w:val="21"/>
        </w:rPr>
        <w:t xml:space="preserve">（三）基金托管人的权利  </w:t>
      </w:r>
    </w:p>
    <w:p w14:paraId="286DFC1D">
      <w:pPr>
        <w:pStyle w:val="8"/>
        <w:spacing w:before="0" w:beforeAutospacing="0" w:after="0" w:afterAutospacing="0" w:line="360" w:lineRule="auto"/>
        <w:ind w:firstLine="420"/>
        <w:rPr>
          <w:sz w:val="21"/>
          <w:szCs w:val="21"/>
        </w:rPr>
      </w:pPr>
      <w:r>
        <w:rPr>
          <w:rFonts w:hint="eastAsia"/>
          <w:sz w:val="21"/>
          <w:szCs w:val="21"/>
        </w:rPr>
        <w:t xml:space="preserve">根据《基金法》、《运作办法》及其他有关规定，基金托管人的权利包括但不限于： </w:t>
      </w:r>
    </w:p>
    <w:p w14:paraId="0589DD1C">
      <w:pPr>
        <w:pStyle w:val="8"/>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655C4B1E">
      <w:pPr>
        <w:pStyle w:val="8"/>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（2）依基金合同约定获得基金托管费以及法律法规规定或监管部门批准的其他收入； </w:t>
      </w:r>
    </w:p>
    <w:p w14:paraId="7C897139">
      <w:pPr>
        <w:pStyle w:val="8"/>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5A070BE9">
      <w:pPr>
        <w:pStyle w:val="8"/>
        <w:spacing w:before="0" w:beforeAutospacing="0" w:after="0" w:afterAutospacing="0" w:line="360" w:lineRule="auto"/>
        <w:ind w:firstLine="420"/>
        <w:rPr>
          <w:sz w:val="21"/>
          <w:szCs w:val="21"/>
        </w:rPr>
      </w:pPr>
      <w:r>
        <w:rPr>
          <w:rFonts w:hint="eastAsia"/>
          <w:sz w:val="21"/>
          <w:szCs w:val="21"/>
        </w:rPr>
        <w:t xml:space="preserve">（4）选择、更换或撤销境外托管人并与之签署有关协议； </w:t>
      </w:r>
    </w:p>
    <w:p w14:paraId="30465F0F">
      <w:pPr>
        <w:pStyle w:val="8"/>
        <w:spacing w:before="0" w:beforeAutospacing="0" w:after="0" w:afterAutospacing="0" w:line="360" w:lineRule="auto"/>
        <w:ind w:firstLine="420"/>
        <w:rPr>
          <w:sz w:val="21"/>
          <w:szCs w:val="21"/>
        </w:rPr>
      </w:pPr>
      <w:r>
        <w:rPr>
          <w:rFonts w:hint="eastAsia"/>
          <w:sz w:val="21"/>
          <w:szCs w:val="21"/>
        </w:rPr>
        <w:t xml:space="preserve">（5）根据相关市场规则，为基金开设证券账户、为基金办理证券交易资金清算； </w:t>
      </w:r>
    </w:p>
    <w:p w14:paraId="115B0651">
      <w:pPr>
        <w:pStyle w:val="8"/>
        <w:spacing w:before="0" w:beforeAutospacing="0" w:after="0" w:afterAutospacing="0" w:line="360" w:lineRule="auto"/>
        <w:ind w:firstLine="420"/>
        <w:rPr>
          <w:sz w:val="21"/>
          <w:szCs w:val="21"/>
        </w:rPr>
      </w:pPr>
      <w:r>
        <w:rPr>
          <w:rFonts w:hint="eastAsia"/>
          <w:sz w:val="21"/>
          <w:szCs w:val="21"/>
        </w:rPr>
        <w:t xml:space="preserve">（6）提议召开或召集基金份额持有人大会； </w:t>
      </w:r>
    </w:p>
    <w:p w14:paraId="2B2B17FB">
      <w:pPr>
        <w:pStyle w:val="8"/>
        <w:spacing w:before="0" w:beforeAutospacing="0" w:after="0" w:afterAutospacing="0" w:line="360" w:lineRule="auto"/>
        <w:ind w:firstLine="420"/>
        <w:rPr>
          <w:sz w:val="21"/>
          <w:szCs w:val="21"/>
        </w:rPr>
      </w:pPr>
      <w:r>
        <w:rPr>
          <w:rFonts w:hint="eastAsia"/>
          <w:sz w:val="21"/>
          <w:szCs w:val="21"/>
        </w:rPr>
        <w:t xml:space="preserve">（7）在基金管理人更换时，提名新的基金管理人； </w:t>
      </w:r>
    </w:p>
    <w:p w14:paraId="5AC5C9DB">
      <w:pPr>
        <w:pStyle w:val="8"/>
        <w:spacing w:before="0" w:beforeAutospacing="0" w:after="0" w:afterAutospacing="0" w:line="360" w:lineRule="auto"/>
        <w:ind w:firstLine="420"/>
        <w:rPr>
          <w:sz w:val="21"/>
          <w:szCs w:val="21"/>
        </w:rPr>
      </w:pPr>
      <w:r>
        <w:rPr>
          <w:rFonts w:hint="eastAsia"/>
          <w:sz w:val="21"/>
          <w:szCs w:val="21"/>
        </w:rPr>
        <w:t xml:space="preserve">（8）法律法规和基金合同规定的其他权利。 </w:t>
      </w:r>
    </w:p>
    <w:p w14:paraId="77AA601E">
      <w:pPr>
        <w:pStyle w:val="8"/>
        <w:spacing w:before="0" w:beforeAutospacing="0" w:after="0" w:afterAutospacing="0" w:line="360" w:lineRule="auto"/>
        <w:ind w:firstLine="420"/>
        <w:rPr>
          <w:sz w:val="21"/>
          <w:szCs w:val="21"/>
        </w:rPr>
      </w:pPr>
      <w:r>
        <w:rPr>
          <w:rFonts w:hint="eastAsia"/>
          <w:sz w:val="21"/>
          <w:szCs w:val="21"/>
        </w:rPr>
        <w:t xml:space="preserve">（四）基金托管人的义务 </w:t>
      </w:r>
    </w:p>
    <w:p w14:paraId="0F3947AE">
      <w:pPr>
        <w:pStyle w:val="8"/>
        <w:spacing w:before="0" w:beforeAutospacing="0" w:after="0" w:afterAutospacing="0" w:line="360" w:lineRule="auto"/>
        <w:ind w:firstLine="420"/>
        <w:rPr>
          <w:sz w:val="21"/>
          <w:szCs w:val="21"/>
        </w:rPr>
      </w:pPr>
      <w:r>
        <w:rPr>
          <w:rFonts w:hint="eastAsia"/>
          <w:sz w:val="21"/>
          <w:szCs w:val="21"/>
        </w:rPr>
        <w:t xml:space="preserve">根据《基金法》、《运作办法》及其他有关规定，基金托管人的义务包括但不限于： </w:t>
      </w:r>
    </w:p>
    <w:p w14:paraId="59BF6FC6">
      <w:pPr>
        <w:pStyle w:val="8"/>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3C445F68">
      <w:pPr>
        <w:pStyle w:val="8"/>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03288C20">
      <w:pPr>
        <w:pStyle w:val="8"/>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固有财产以及不同的基金财产相互独立；对所托管的不同的基金分别设置账户，独立核算，分账管理，保证不同基金之间在名册登记、账户设置、资金划拨、账册记录等方面相互独立； </w:t>
      </w:r>
    </w:p>
    <w:p w14:paraId="54E695CA">
      <w:pPr>
        <w:pStyle w:val="8"/>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 </w:t>
      </w:r>
    </w:p>
    <w:p w14:paraId="5928F701">
      <w:pPr>
        <w:pStyle w:val="8"/>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5C506C53">
      <w:pPr>
        <w:pStyle w:val="8"/>
        <w:spacing w:before="0" w:beforeAutospacing="0" w:after="0" w:afterAutospacing="0" w:line="360" w:lineRule="auto"/>
        <w:ind w:firstLine="420"/>
        <w:rPr>
          <w:sz w:val="21"/>
          <w:szCs w:val="21"/>
        </w:rPr>
      </w:pPr>
      <w:r>
        <w:rPr>
          <w:rFonts w:hint="eastAsia"/>
          <w:sz w:val="21"/>
          <w:szCs w:val="21"/>
        </w:rPr>
        <w:t xml:space="preserve">（6）按规定开设基金财产的资金账户和证券账户,按照有关法律法规和基金合同的约定，根据基金管理人的投资指令，及时办理清算、交割事宜； </w:t>
      </w:r>
    </w:p>
    <w:p w14:paraId="45E88DB9">
      <w:pPr>
        <w:pStyle w:val="8"/>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15C95874">
      <w:pPr>
        <w:pStyle w:val="8"/>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（8）复核、审查基金管理人计算的基金资产净值、基金份额净值、基金份额申购、赎回对价； </w:t>
      </w:r>
    </w:p>
    <w:p w14:paraId="32848301">
      <w:pPr>
        <w:pStyle w:val="8"/>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5B1F614E">
      <w:pPr>
        <w:pStyle w:val="8"/>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6A0AFCDC">
      <w:pPr>
        <w:pStyle w:val="8"/>
        <w:spacing w:before="0" w:beforeAutospacing="0" w:after="0" w:afterAutospacing="0" w:line="360" w:lineRule="auto"/>
        <w:ind w:firstLine="420"/>
        <w:rPr>
          <w:sz w:val="21"/>
          <w:szCs w:val="21"/>
        </w:rPr>
      </w:pPr>
      <w:r>
        <w:rPr>
          <w:rFonts w:hint="eastAsia"/>
          <w:sz w:val="21"/>
          <w:szCs w:val="21"/>
        </w:rPr>
        <w:t xml:space="preserve">（11）基金管理人就管理本基金的资金汇出、汇入、兑换、收汇、付汇、资金往来、委托及成交记录等相关资料，其保存的时间应当不少于20年；其它基金托管业务活动的相关资料的保存时间应不少于15年； </w:t>
      </w:r>
    </w:p>
    <w:p w14:paraId="7A5B7A24">
      <w:pPr>
        <w:pStyle w:val="8"/>
        <w:spacing w:before="0" w:beforeAutospacing="0" w:after="0" w:afterAutospacing="0" w:line="360" w:lineRule="auto"/>
        <w:ind w:firstLine="420"/>
        <w:rPr>
          <w:sz w:val="21"/>
          <w:szCs w:val="21"/>
        </w:rPr>
      </w:pPr>
      <w:r>
        <w:rPr>
          <w:rFonts w:hint="eastAsia"/>
          <w:sz w:val="21"/>
          <w:szCs w:val="21"/>
        </w:rPr>
        <w:t xml:space="preserve">（12）保存基金份额持有人名册； </w:t>
      </w:r>
    </w:p>
    <w:p w14:paraId="0038C54D">
      <w:pPr>
        <w:pStyle w:val="8"/>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6CA00A35">
      <w:pPr>
        <w:pStyle w:val="8"/>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（14）依据基金管理人的指令或有关规定向基金份额持有人支付基金收益和赎回对价； </w:t>
      </w:r>
    </w:p>
    <w:p w14:paraId="7C60558E">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779D270E">
      <w:pPr>
        <w:pStyle w:val="8"/>
        <w:spacing w:before="0" w:beforeAutospacing="0" w:after="0" w:afterAutospacing="0" w:line="360" w:lineRule="auto"/>
        <w:ind w:firstLine="420"/>
        <w:rPr>
          <w:sz w:val="21"/>
          <w:szCs w:val="21"/>
        </w:rPr>
      </w:pPr>
      <w:r>
        <w:rPr>
          <w:rFonts w:hint="eastAsia"/>
          <w:sz w:val="21"/>
          <w:szCs w:val="21"/>
        </w:rPr>
        <w:t xml:space="preserve">（16）按照法律法规、基金合同和托管协议的规定监督基金管理人的投资运作； </w:t>
      </w:r>
    </w:p>
    <w:p w14:paraId="6C14C82F">
      <w:pPr>
        <w:pStyle w:val="8"/>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4CAEE0B0">
      <w:pPr>
        <w:pStyle w:val="8"/>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533B75AF">
      <w:pPr>
        <w:pStyle w:val="8"/>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65B39C55">
      <w:pPr>
        <w:pStyle w:val="8"/>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2015853C">
      <w:pPr>
        <w:pStyle w:val="8"/>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761D7888">
      <w:pPr>
        <w:pStyle w:val="8"/>
        <w:spacing w:before="0" w:beforeAutospacing="0" w:after="0" w:afterAutospacing="0" w:line="360" w:lineRule="auto"/>
        <w:ind w:firstLine="420"/>
        <w:rPr>
          <w:sz w:val="21"/>
          <w:szCs w:val="21"/>
        </w:rPr>
      </w:pPr>
      <w:r>
        <w:rPr>
          <w:rFonts w:hint="eastAsia"/>
          <w:sz w:val="21"/>
          <w:szCs w:val="21"/>
        </w:rPr>
        <w:t xml:space="preserve">（22）对基金的境外财产，基金托管人可授权境外托管人代为履行其承担的职责。境外托管人依据基金财产投资地法律法规、监管要求、证券交易所规则、市场惯例以及其与基金托管人之间的主次托管协议持有、保管基金财产，并履行资金清算等职责。境外托管人在履行职责过程中，因本身过错、疏忽原因而导致的基金财产受损的，基金托管人承担相应责任。在决定境外托管人是否有过错、疏忽等不当行为，应根据基金托管人与境外托管人之间的协议的适用法律及当地法律法规和市场惯例决定； </w:t>
      </w:r>
    </w:p>
    <w:p w14:paraId="0ED03378">
      <w:pPr>
        <w:pStyle w:val="8"/>
        <w:spacing w:before="0" w:beforeAutospacing="0" w:after="0" w:afterAutospacing="0" w:line="360" w:lineRule="auto"/>
        <w:ind w:firstLine="420"/>
        <w:rPr>
          <w:sz w:val="21"/>
          <w:szCs w:val="21"/>
        </w:rPr>
      </w:pPr>
      <w:r>
        <w:rPr>
          <w:rFonts w:hint="eastAsia"/>
          <w:sz w:val="21"/>
          <w:szCs w:val="21"/>
        </w:rPr>
        <w:t xml:space="preserve">（23）保护基金份额持有人利益，按照规定对基金日常投资行为和资金汇出入情况实施监督，如发现投资指令或资金汇出入违法、违规，应当及时向中国证监会、外管局报告； </w:t>
      </w:r>
    </w:p>
    <w:p w14:paraId="7EABA2F8">
      <w:pPr>
        <w:pStyle w:val="8"/>
        <w:spacing w:before="0" w:beforeAutospacing="0" w:after="0" w:afterAutospacing="0" w:line="360" w:lineRule="auto"/>
        <w:ind w:firstLine="420"/>
        <w:rPr>
          <w:sz w:val="21"/>
          <w:szCs w:val="21"/>
        </w:rPr>
      </w:pPr>
      <w:r>
        <w:rPr>
          <w:rFonts w:hint="eastAsia"/>
          <w:sz w:val="21"/>
          <w:szCs w:val="21"/>
        </w:rPr>
        <w:t xml:space="preserve">（24）安全保护基金财产，及时将公司行为信息通知基金管理人，确保基金及时收取所有应得收入； </w:t>
      </w:r>
    </w:p>
    <w:p w14:paraId="05E86FE3">
      <w:pPr>
        <w:pStyle w:val="8"/>
        <w:spacing w:before="0" w:beforeAutospacing="0" w:after="0" w:afterAutospacing="0" w:line="360" w:lineRule="auto"/>
        <w:ind w:firstLine="420"/>
        <w:rPr>
          <w:sz w:val="21"/>
          <w:szCs w:val="21"/>
        </w:rPr>
      </w:pPr>
      <w:r>
        <w:rPr>
          <w:rFonts w:hint="eastAsia"/>
          <w:sz w:val="21"/>
          <w:szCs w:val="21"/>
        </w:rPr>
        <w:t xml:space="preserve">（25）每月结束后7个工作日内，向中国证监会和外管局报告基金管理人境外投资情况，并按相关规定进行国际收支申报； </w:t>
      </w:r>
    </w:p>
    <w:p w14:paraId="51F051EA">
      <w:pPr>
        <w:pStyle w:val="8"/>
        <w:spacing w:before="0" w:beforeAutospacing="0" w:after="0" w:afterAutospacing="0" w:line="360" w:lineRule="auto"/>
        <w:ind w:firstLine="420"/>
        <w:rPr>
          <w:sz w:val="21"/>
          <w:szCs w:val="21"/>
        </w:rPr>
      </w:pPr>
      <w:r>
        <w:rPr>
          <w:rFonts w:hint="eastAsia"/>
          <w:sz w:val="21"/>
          <w:szCs w:val="21"/>
        </w:rPr>
        <w:t xml:space="preserve">（26）办理基金管理人就管理本基金的有关结汇、售汇、收汇、付汇和人民币资金结算业务。 </w:t>
      </w:r>
    </w:p>
    <w:p w14:paraId="0DC7F98A">
      <w:pPr>
        <w:pStyle w:val="8"/>
        <w:spacing w:before="0" w:beforeAutospacing="0" w:after="0" w:afterAutospacing="0" w:line="360" w:lineRule="auto"/>
        <w:ind w:firstLine="420"/>
        <w:rPr>
          <w:sz w:val="21"/>
          <w:szCs w:val="21"/>
        </w:rPr>
      </w:pPr>
      <w:r>
        <w:rPr>
          <w:rFonts w:hint="eastAsia"/>
          <w:sz w:val="21"/>
          <w:szCs w:val="21"/>
        </w:rPr>
        <w:t xml:space="preserve">（27）法律法规、基金合同规定的其他义务以及中国证监会和外管局根据审慎监管原则规定的基金托管人的其他职责。 </w:t>
      </w:r>
    </w:p>
    <w:p w14:paraId="28DD4AD8">
      <w:pPr>
        <w:pStyle w:val="8"/>
        <w:spacing w:before="0" w:beforeAutospacing="0" w:after="0" w:afterAutospacing="0" w:line="360" w:lineRule="auto"/>
        <w:ind w:firstLine="420"/>
        <w:rPr>
          <w:sz w:val="21"/>
          <w:szCs w:val="21"/>
        </w:rPr>
      </w:pPr>
      <w:r>
        <w:rPr>
          <w:rFonts w:hint="eastAsia"/>
          <w:sz w:val="21"/>
          <w:szCs w:val="21"/>
        </w:rPr>
        <w:t xml:space="preserve">（五）基金份额持有人的权利  </w:t>
      </w:r>
    </w:p>
    <w:p w14:paraId="57321920">
      <w:pPr>
        <w:pStyle w:val="8"/>
        <w:spacing w:before="0" w:beforeAutospacing="0" w:after="0" w:afterAutospacing="0" w:line="360" w:lineRule="auto"/>
        <w:ind w:firstLine="420"/>
        <w:rPr>
          <w:sz w:val="21"/>
          <w:szCs w:val="21"/>
        </w:rPr>
      </w:pPr>
      <w:r>
        <w:rPr>
          <w:rFonts w:hint="eastAsia"/>
          <w:sz w:val="21"/>
          <w:szCs w:val="21"/>
        </w:rPr>
        <w:t xml:space="preserve">根据《基金法》、《运作办法》及其他有关规定，基金份额持有人的权利包括但不限于： </w:t>
      </w:r>
    </w:p>
    <w:p w14:paraId="343BCDB2">
      <w:pPr>
        <w:pStyle w:val="8"/>
        <w:spacing w:before="0" w:beforeAutospacing="0" w:after="0" w:afterAutospacing="0" w:line="360" w:lineRule="auto"/>
        <w:ind w:firstLine="420"/>
        <w:rPr>
          <w:sz w:val="21"/>
          <w:szCs w:val="21"/>
        </w:rPr>
      </w:pPr>
      <w:r>
        <w:rPr>
          <w:rFonts w:hint="eastAsia"/>
          <w:sz w:val="21"/>
          <w:szCs w:val="21"/>
        </w:rPr>
        <w:t xml:space="preserve">（1）分享基金财产收益； </w:t>
      </w:r>
    </w:p>
    <w:p w14:paraId="0086CFE4">
      <w:pPr>
        <w:pStyle w:val="8"/>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0860DBEE">
      <w:pPr>
        <w:pStyle w:val="8"/>
        <w:spacing w:before="0" w:beforeAutospacing="0" w:after="0" w:afterAutospacing="0" w:line="360" w:lineRule="auto"/>
        <w:ind w:firstLine="420"/>
        <w:rPr>
          <w:sz w:val="21"/>
          <w:szCs w:val="21"/>
        </w:rPr>
      </w:pPr>
      <w:r>
        <w:rPr>
          <w:rFonts w:hint="eastAsia"/>
          <w:sz w:val="21"/>
          <w:szCs w:val="21"/>
        </w:rPr>
        <w:t xml:space="preserve">（3）依法转让或申请赎回其持有的基金份额； </w:t>
      </w:r>
    </w:p>
    <w:p w14:paraId="0C5261CF">
      <w:pPr>
        <w:pStyle w:val="8"/>
        <w:spacing w:before="0" w:beforeAutospacing="0" w:after="0" w:afterAutospacing="0" w:line="360" w:lineRule="auto"/>
        <w:ind w:firstLine="420"/>
        <w:rPr>
          <w:sz w:val="21"/>
          <w:szCs w:val="21"/>
        </w:rPr>
      </w:pPr>
      <w:r>
        <w:rPr>
          <w:rFonts w:hint="eastAsia"/>
          <w:sz w:val="21"/>
          <w:szCs w:val="21"/>
        </w:rPr>
        <w:t xml:space="preserve">（4）按照规定要求召开基金份额持有人大会； </w:t>
      </w:r>
    </w:p>
    <w:p w14:paraId="29DB6724">
      <w:pPr>
        <w:pStyle w:val="8"/>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3C937D26">
      <w:pPr>
        <w:pStyle w:val="8"/>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72439DBC">
      <w:pPr>
        <w:pStyle w:val="8"/>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675F81AB">
      <w:pPr>
        <w:pStyle w:val="8"/>
        <w:spacing w:before="0" w:beforeAutospacing="0" w:after="0" w:afterAutospacing="0" w:line="360" w:lineRule="auto"/>
        <w:ind w:firstLine="420"/>
        <w:rPr>
          <w:sz w:val="21"/>
          <w:szCs w:val="21"/>
        </w:rPr>
      </w:pPr>
      <w:r>
        <w:rPr>
          <w:rFonts w:hint="eastAsia"/>
          <w:sz w:val="21"/>
          <w:szCs w:val="21"/>
        </w:rPr>
        <w:t xml:space="preserve">（8）对基金管理人、基金托管人、基金销售机构损害其合法权益的行为依法提起诉讼； </w:t>
      </w:r>
    </w:p>
    <w:p w14:paraId="0E792E82">
      <w:pPr>
        <w:pStyle w:val="8"/>
        <w:spacing w:before="0" w:beforeAutospacing="0" w:after="0" w:afterAutospacing="0" w:line="360" w:lineRule="auto"/>
        <w:ind w:firstLine="420"/>
        <w:rPr>
          <w:sz w:val="21"/>
          <w:szCs w:val="21"/>
        </w:rPr>
      </w:pPr>
      <w:r>
        <w:rPr>
          <w:rFonts w:hint="eastAsia"/>
          <w:sz w:val="21"/>
          <w:szCs w:val="21"/>
        </w:rPr>
        <w:t xml:space="preserve">（9）法律法规和基金合同规定的其他权利。 </w:t>
      </w:r>
    </w:p>
    <w:p w14:paraId="77EA1AEB">
      <w:pPr>
        <w:pStyle w:val="8"/>
        <w:spacing w:before="0" w:beforeAutospacing="0" w:after="0" w:afterAutospacing="0" w:line="360" w:lineRule="auto"/>
        <w:ind w:firstLine="420"/>
        <w:rPr>
          <w:sz w:val="21"/>
          <w:szCs w:val="21"/>
        </w:rPr>
      </w:pPr>
      <w:r>
        <w:rPr>
          <w:rFonts w:hint="eastAsia"/>
          <w:sz w:val="21"/>
          <w:szCs w:val="21"/>
        </w:rPr>
        <w:t xml:space="preserve">（六）基金份额持有人的义务 </w:t>
      </w:r>
    </w:p>
    <w:p w14:paraId="54CD5543">
      <w:pPr>
        <w:pStyle w:val="8"/>
        <w:spacing w:before="0" w:beforeAutospacing="0" w:after="0" w:afterAutospacing="0" w:line="360" w:lineRule="auto"/>
        <w:ind w:firstLine="420"/>
        <w:rPr>
          <w:sz w:val="21"/>
          <w:szCs w:val="21"/>
        </w:rPr>
      </w:pPr>
      <w:r>
        <w:rPr>
          <w:rFonts w:hint="eastAsia"/>
          <w:sz w:val="21"/>
          <w:szCs w:val="21"/>
        </w:rPr>
        <w:t xml:space="preserve">根据《基金法》、《运作办法》及其他有关规定，基金份额持有人的义务包括但不限于： </w:t>
      </w:r>
    </w:p>
    <w:p w14:paraId="16E1546E">
      <w:pPr>
        <w:pStyle w:val="8"/>
        <w:spacing w:before="0" w:beforeAutospacing="0" w:after="0" w:afterAutospacing="0" w:line="360" w:lineRule="auto"/>
        <w:ind w:firstLine="420"/>
        <w:rPr>
          <w:sz w:val="21"/>
          <w:szCs w:val="21"/>
        </w:rPr>
      </w:pPr>
      <w:r>
        <w:rPr>
          <w:rFonts w:hint="eastAsia"/>
          <w:sz w:val="21"/>
          <w:szCs w:val="21"/>
        </w:rPr>
        <w:t xml:space="preserve">（1）认真阅读并遵守基金合同； </w:t>
      </w:r>
    </w:p>
    <w:p w14:paraId="7426BE70">
      <w:pPr>
        <w:pStyle w:val="8"/>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（2）了解所投资基金产品，了解自身风险承受能力，自行承担投资风险； </w:t>
      </w:r>
    </w:p>
    <w:p w14:paraId="15AC1930">
      <w:pPr>
        <w:pStyle w:val="8"/>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3ED008DB">
      <w:pPr>
        <w:pStyle w:val="8"/>
        <w:spacing w:before="0" w:beforeAutospacing="0" w:after="0" w:afterAutospacing="0" w:line="360" w:lineRule="auto"/>
        <w:ind w:firstLine="420"/>
        <w:rPr>
          <w:sz w:val="21"/>
          <w:szCs w:val="21"/>
        </w:rPr>
      </w:pPr>
      <w:r>
        <w:rPr>
          <w:rFonts w:hint="eastAsia"/>
          <w:sz w:val="21"/>
          <w:szCs w:val="21"/>
        </w:rPr>
        <w:t xml:space="preserve">（4）缴纳基金认购款项、应付申购、赎回对价及法律法规和基金合同所规定的费用； </w:t>
      </w:r>
    </w:p>
    <w:p w14:paraId="2136B634">
      <w:pPr>
        <w:pStyle w:val="8"/>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20493C9A">
      <w:pPr>
        <w:pStyle w:val="8"/>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4366CBDC">
      <w:pPr>
        <w:pStyle w:val="8"/>
        <w:spacing w:before="0" w:beforeAutospacing="0" w:after="0" w:afterAutospacing="0" w:line="360" w:lineRule="auto"/>
        <w:ind w:firstLine="420"/>
        <w:rPr>
          <w:sz w:val="21"/>
          <w:szCs w:val="21"/>
        </w:rPr>
      </w:pPr>
      <w:r>
        <w:rPr>
          <w:rFonts w:hint="eastAsia"/>
          <w:sz w:val="21"/>
          <w:szCs w:val="21"/>
        </w:rPr>
        <w:t xml:space="preserve">（7）执行生效的基金份额持有人大会的决定； </w:t>
      </w:r>
    </w:p>
    <w:p w14:paraId="36920EB0">
      <w:pPr>
        <w:pStyle w:val="8"/>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5BDCC398">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36599C41">
      <w:pPr>
        <w:pStyle w:val="8"/>
        <w:spacing w:before="0" w:beforeAutospacing="0" w:after="0" w:afterAutospacing="0" w:line="360" w:lineRule="auto"/>
        <w:ind w:firstLine="420"/>
        <w:rPr>
          <w:sz w:val="21"/>
          <w:szCs w:val="21"/>
        </w:rPr>
      </w:pPr>
      <w:r>
        <w:rPr>
          <w:rFonts w:hint="eastAsia"/>
          <w:b/>
          <w:bCs/>
          <w:sz w:val="21"/>
          <w:szCs w:val="21"/>
        </w:rPr>
        <w:t>二、基金份额持有人大会召集、议事及表决的程序和规则</w:t>
      </w:r>
    </w:p>
    <w:p w14:paraId="15850E10">
      <w:pPr>
        <w:pStyle w:val="8"/>
        <w:spacing w:before="0" w:beforeAutospacing="0" w:after="0" w:afterAutospacing="0" w:line="360" w:lineRule="auto"/>
        <w:ind w:firstLine="420"/>
        <w:rPr>
          <w:sz w:val="21"/>
          <w:szCs w:val="21"/>
        </w:rPr>
      </w:pPr>
      <w:r>
        <w:rPr>
          <w:rFonts w:hint="eastAsia"/>
          <w:sz w:val="21"/>
          <w:szCs w:val="21"/>
        </w:rPr>
        <w:t>（一）基金份额持有人大会由基金份额持有人或其合法授权代表共同组成，基金份额持有人的合法授权代表有权代表基金份额持有人出席会议并表决。基金份额持有人持有的每一基金份额拥有平等的投票权。</w:t>
      </w:r>
    </w:p>
    <w:p w14:paraId="5E7A8BCF">
      <w:pPr>
        <w:pStyle w:val="8"/>
        <w:spacing w:before="0" w:beforeAutospacing="0" w:after="0" w:afterAutospacing="0" w:line="360" w:lineRule="auto"/>
        <w:ind w:firstLine="420"/>
        <w:rPr>
          <w:sz w:val="21"/>
          <w:szCs w:val="21"/>
        </w:rPr>
      </w:pPr>
      <w:r>
        <w:rPr>
          <w:rFonts w:hint="eastAsia"/>
          <w:sz w:val="21"/>
          <w:szCs w:val="21"/>
        </w:rPr>
        <w:t xml:space="preserve">本基金联接基金（可能由基金管理人另行募集或由基金管理人已管理的其他证券投资基金转型而形成）的基金份额持有人可以凭所持有的联接基金份额出席或者委派代表出席本基金的份额持有人大会并参与表决，其持有的享有表决权的基金份额数和表决票数为，在本基金基金份额持有人大会的权益登记日，联接基金持有本基金份额的总数乘以该持有人所持有的联接基金份额占联接基金总份额的比例，计算结果按照四舍五入的方法，保留到整数位。 </w:t>
      </w:r>
    </w:p>
    <w:p w14:paraId="0B79AABE">
      <w:pPr>
        <w:pStyle w:val="8"/>
        <w:spacing w:before="0" w:beforeAutospacing="0" w:after="0" w:afterAutospacing="0" w:line="360" w:lineRule="auto"/>
        <w:ind w:firstLine="420"/>
        <w:rPr>
          <w:sz w:val="21"/>
          <w:szCs w:val="21"/>
        </w:rPr>
      </w:pPr>
      <w:r>
        <w:rPr>
          <w:rFonts w:hint="eastAsia"/>
          <w:sz w:val="21"/>
          <w:szCs w:val="21"/>
        </w:rPr>
        <w:t xml:space="preserve">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 </w:t>
      </w:r>
    </w:p>
    <w:p w14:paraId="5B372BA1">
      <w:pPr>
        <w:pStyle w:val="8"/>
        <w:spacing w:before="0" w:beforeAutospacing="0" w:after="0" w:afterAutospacing="0" w:line="360" w:lineRule="auto"/>
        <w:ind w:firstLine="420"/>
        <w:rPr>
          <w:sz w:val="21"/>
          <w:szCs w:val="21"/>
        </w:rPr>
      </w:pPr>
      <w:r>
        <w:rPr>
          <w:rFonts w:hint="eastAsia"/>
          <w:sz w:val="21"/>
          <w:szCs w:val="21"/>
        </w:rPr>
        <w:t xml:space="preserve">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 </w:t>
      </w:r>
    </w:p>
    <w:p w14:paraId="473FF1DD">
      <w:pPr>
        <w:pStyle w:val="8"/>
        <w:spacing w:before="0" w:beforeAutospacing="0" w:after="0" w:afterAutospacing="0" w:line="360" w:lineRule="auto"/>
        <w:ind w:firstLine="420"/>
        <w:rPr>
          <w:sz w:val="21"/>
          <w:szCs w:val="21"/>
        </w:rPr>
      </w:pPr>
      <w:r>
        <w:rPr>
          <w:rFonts w:hint="eastAsia"/>
          <w:sz w:val="21"/>
          <w:szCs w:val="21"/>
        </w:rPr>
        <w:t xml:space="preserve">（二）、召开事由 </w:t>
      </w:r>
    </w:p>
    <w:p w14:paraId="22F803F8">
      <w:pPr>
        <w:pStyle w:val="8"/>
        <w:spacing w:before="0" w:beforeAutospacing="0" w:after="0" w:afterAutospacing="0" w:line="360" w:lineRule="auto"/>
        <w:ind w:firstLine="420"/>
        <w:rPr>
          <w:sz w:val="21"/>
          <w:szCs w:val="21"/>
        </w:rPr>
      </w:pPr>
      <w:r>
        <w:rPr>
          <w:rFonts w:hint="eastAsia"/>
          <w:sz w:val="21"/>
          <w:szCs w:val="21"/>
        </w:rPr>
        <w:t xml:space="preserve">1、当出现或需要决定下列事由之一的，应当召开基金份额持有人大会： </w:t>
      </w:r>
    </w:p>
    <w:p w14:paraId="06052402">
      <w:pPr>
        <w:pStyle w:val="8"/>
        <w:spacing w:before="0" w:beforeAutospacing="0" w:after="0" w:afterAutospacing="0" w:line="360" w:lineRule="auto"/>
        <w:ind w:firstLine="420"/>
        <w:rPr>
          <w:sz w:val="21"/>
          <w:szCs w:val="21"/>
        </w:rPr>
      </w:pPr>
      <w:r>
        <w:rPr>
          <w:rFonts w:hint="eastAsia"/>
          <w:sz w:val="21"/>
          <w:szCs w:val="21"/>
        </w:rPr>
        <w:t xml:space="preserve">（1）终止基金合同； </w:t>
      </w:r>
    </w:p>
    <w:p w14:paraId="4DFE87BC">
      <w:pPr>
        <w:pStyle w:val="8"/>
        <w:spacing w:before="0" w:beforeAutospacing="0" w:after="0" w:afterAutospacing="0" w:line="360" w:lineRule="auto"/>
        <w:ind w:firstLine="420"/>
        <w:rPr>
          <w:sz w:val="21"/>
          <w:szCs w:val="21"/>
        </w:rPr>
      </w:pPr>
      <w:r>
        <w:rPr>
          <w:rFonts w:hint="eastAsia"/>
          <w:sz w:val="21"/>
          <w:szCs w:val="21"/>
        </w:rPr>
        <w:t xml:space="preserve">（2）更换基金管理人； </w:t>
      </w:r>
    </w:p>
    <w:p w14:paraId="1A34FC3B">
      <w:pPr>
        <w:pStyle w:val="8"/>
        <w:spacing w:before="0" w:beforeAutospacing="0" w:after="0" w:afterAutospacing="0" w:line="360" w:lineRule="auto"/>
        <w:ind w:firstLine="420"/>
        <w:rPr>
          <w:sz w:val="21"/>
          <w:szCs w:val="21"/>
        </w:rPr>
      </w:pPr>
      <w:r>
        <w:rPr>
          <w:rFonts w:hint="eastAsia"/>
          <w:sz w:val="21"/>
          <w:szCs w:val="21"/>
        </w:rPr>
        <w:t xml:space="preserve">（3）更换基金托管人； </w:t>
      </w:r>
    </w:p>
    <w:p w14:paraId="424B50E5">
      <w:pPr>
        <w:pStyle w:val="8"/>
        <w:spacing w:before="0" w:beforeAutospacing="0" w:after="0" w:afterAutospacing="0" w:line="360" w:lineRule="auto"/>
        <w:ind w:firstLine="420"/>
        <w:rPr>
          <w:sz w:val="21"/>
          <w:szCs w:val="21"/>
        </w:rPr>
      </w:pPr>
      <w:r>
        <w:rPr>
          <w:rFonts w:hint="eastAsia"/>
          <w:sz w:val="21"/>
          <w:szCs w:val="21"/>
        </w:rPr>
        <w:t xml:space="preserve">（4）转换基金运作方式； </w:t>
      </w:r>
    </w:p>
    <w:p w14:paraId="09708594">
      <w:pPr>
        <w:pStyle w:val="8"/>
        <w:spacing w:before="0" w:beforeAutospacing="0" w:after="0" w:afterAutospacing="0" w:line="360" w:lineRule="auto"/>
        <w:ind w:firstLine="420"/>
        <w:rPr>
          <w:sz w:val="21"/>
          <w:szCs w:val="21"/>
        </w:rPr>
      </w:pPr>
      <w:r>
        <w:rPr>
          <w:rFonts w:hint="eastAsia"/>
          <w:sz w:val="21"/>
          <w:szCs w:val="21"/>
        </w:rPr>
        <w:t xml:space="preserve">（5）提高基金管理人、基金托管人的报酬标准，但根据法律法规的要求提高该等报酬标准的除外； </w:t>
      </w:r>
    </w:p>
    <w:p w14:paraId="69024338">
      <w:pPr>
        <w:pStyle w:val="8"/>
        <w:spacing w:before="0" w:beforeAutospacing="0" w:after="0" w:afterAutospacing="0" w:line="360" w:lineRule="auto"/>
        <w:ind w:firstLine="420"/>
        <w:rPr>
          <w:sz w:val="21"/>
          <w:szCs w:val="21"/>
        </w:rPr>
      </w:pPr>
      <w:r>
        <w:rPr>
          <w:rFonts w:hint="eastAsia"/>
          <w:sz w:val="21"/>
          <w:szCs w:val="21"/>
        </w:rPr>
        <w:t xml:space="preserve">（6）变更基金类别； </w:t>
      </w:r>
    </w:p>
    <w:p w14:paraId="1AF1945D">
      <w:pPr>
        <w:pStyle w:val="8"/>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72C8CC31">
      <w:pPr>
        <w:pStyle w:val="8"/>
        <w:spacing w:before="0" w:beforeAutospacing="0" w:after="0" w:afterAutospacing="0" w:line="360" w:lineRule="auto"/>
        <w:ind w:firstLine="420"/>
        <w:rPr>
          <w:sz w:val="21"/>
          <w:szCs w:val="21"/>
        </w:rPr>
      </w:pPr>
      <w:r>
        <w:rPr>
          <w:rFonts w:hint="eastAsia"/>
          <w:sz w:val="21"/>
          <w:szCs w:val="21"/>
        </w:rPr>
        <w:t xml:space="preserve">（8）变更基金投资目标、范围或策略（法律法规和中国证监会另有规定的除外）；  </w:t>
      </w:r>
    </w:p>
    <w:p w14:paraId="54A269E0">
      <w:pPr>
        <w:pStyle w:val="8"/>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30E9D75F">
      <w:pPr>
        <w:pStyle w:val="8"/>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0FAF93C0">
      <w:pPr>
        <w:pStyle w:val="8"/>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79060371">
      <w:pPr>
        <w:pStyle w:val="8"/>
        <w:spacing w:before="0" w:beforeAutospacing="0" w:after="0" w:afterAutospacing="0" w:line="360" w:lineRule="auto"/>
        <w:ind w:firstLine="420"/>
        <w:rPr>
          <w:sz w:val="21"/>
          <w:szCs w:val="21"/>
        </w:rPr>
      </w:pPr>
      <w:r>
        <w:rPr>
          <w:rFonts w:hint="eastAsia"/>
          <w:sz w:val="21"/>
          <w:szCs w:val="21"/>
        </w:rPr>
        <w:t xml:space="preserve">（12）对基金当事人权利和义务产生重大影响的其他事项； </w:t>
      </w:r>
    </w:p>
    <w:p w14:paraId="510CADA8">
      <w:pPr>
        <w:pStyle w:val="8"/>
        <w:spacing w:before="0" w:beforeAutospacing="0" w:after="0" w:afterAutospacing="0" w:line="360" w:lineRule="auto"/>
        <w:ind w:firstLine="420"/>
        <w:rPr>
          <w:sz w:val="21"/>
          <w:szCs w:val="21"/>
        </w:rPr>
      </w:pPr>
      <w:r>
        <w:rPr>
          <w:rFonts w:hint="eastAsia"/>
          <w:sz w:val="21"/>
          <w:szCs w:val="21"/>
        </w:rPr>
        <w:t xml:space="preserve">（13）终止基金上市，但因基金不再具备上市条件而被上海证券交易所终止上市的除外； </w:t>
      </w:r>
    </w:p>
    <w:p w14:paraId="5FCD1E6C">
      <w:pPr>
        <w:pStyle w:val="8"/>
        <w:spacing w:before="0" w:beforeAutospacing="0" w:after="0" w:afterAutospacing="0" w:line="360" w:lineRule="auto"/>
        <w:ind w:firstLine="420"/>
        <w:rPr>
          <w:sz w:val="21"/>
          <w:szCs w:val="21"/>
        </w:rPr>
      </w:pPr>
      <w:r>
        <w:rPr>
          <w:rFonts w:hint="eastAsia"/>
          <w:sz w:val="21"/>
          <w:szCs w:val="21"/>
        </w:rPr>
        <w:t xml:space="preserve">（14）法律法规、基金合同或中国证监会规定的其他应当召开基金份额持有人大会的事项。 </w:t>
      </w:r>
    </w:p>
    <w:p w14:paraId="0445526F">
      <w:pPr>
        <w:pStyle w:val="8"/>
        <w:spacing w:before="0" w:beforeAutospacing="0" w:after="0" w:afterAutospacing="0" w:line="360" w:lineRule="auto"/>
        <w:ind w:firstLine="420"/>
        <w:rPr>
          <w:sz w:val="21"/>
          <w:szCs w:val="21"/>
        </w:rPr>
      </w:pPr>
      <w:r>
        <w:rPr>
          <w:rFonts w:hint="eastAsia"/>
          <w:sz w:val="21"/>
          <w:szCs w:val="21"/>
        </w:rPr>
        <w:t xml:space="preserve">2、以下情况可由基金管理人和基金托管人协商后修改，不需召开基金份额持有人大会： </w:t>
      </w:r>
    </w:p>
    <w:p w14:paraId="35F4EAB6">
      <w:pPr>
        <w:pStyle w:val="8"/>
        <w:spacing w:before="0" w:beforeAutospacing="0" w:after="0" w:afterAutospacing="0" w:line="360" w:lineRule="auto"/>
        <w:ind w:firstLine="420"/>
        <w:rPr>
          <w:sz w:val="21"/>
          <w:szCs w:val="21"/>
        </w:rPr>
      </w:pPr>
      <w:r>
        <w:rPr>
          <w:rFonts w:hint="eastAsia"/>
          <w:sz w:val="21"/>
          <w:szCs w:val="21"/>
        </w:rPr>
        <w:t xml:space="preserve">（1）调低基金管理费和基金托管费和其他应由基金承担的费用； </w:t>
      </w:r>
    </w:p>
    <w:p w14:paraId="2E13970B">
      <w:pPr>
        <w:pStyle w:val="8"/>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14:paraId="46577238">
      <w:pPr>
        <w:pStyle w:val="8"/>
        <w:spacing w:before="0" w:beforeAutospacing="0" w:after="0" w:afterAutospacing="0" w:line="360" w:lineRule="auto"/>
        <w:ind w:firstLine="420"/>
        <w:rPr>
          <w:sz w:val="21"/>
          <w:szCs w:val="21"/>
        </w:rPr>
      </w:pPr>
      <w:r>
        <w:rPr>
          <w:rFonts w:hint="eastAsia"/>
          <w:sz w:val="21"/>
          <w:szCs w:val="21"/>
        </w:rPr>
        <w:t xml:space="preserve">（3）在基金合同规定的范围内调整本基金的申购费率、降低赎回费率或变更收费方式； </w:t>
      </w:r>
    </w:p>
    <w:p w14:paraId="2E3A88C6">
      <w:pPr>
        <w:pStyle w:val="8"/>
        <w:spacing w:before="0" w:beforeAutospacing="0" w:after="0" w:afterAutospacing="0" w:line="360" w:lineRule="auto"/>
        <w:ind w:firstLine="420"/>
        <w:rPr>
          <w:sz w:val="21"/>
          <w:szCs w:val="21"/>
        </w:rPr>
      </w:pPr>
      <w:r>
        <w:rPr>
          <w:rFonts w:hint="eastAsia"/>
          <w:sz w:val="21"/>
          <w:szCs w:val="21"/>
        </w:rPr>
        <w:t xml:space="preserve">（4）因相应的法律法规、上海证券交易所或登记结算机构的相关业务规则发生变动而应当对基金合同进行修改； </w:t>
      </w:r>
    </w:p>
    <w:p w14:paraId="34982065">
      <w:pPr>
        <w:pStyle w:val="8"/>
        <w:spacing w:before="0" w:beforeAutospacing="0" w:after="0" w:afterAutospacing="0" w:line="360" w:lineRule="auto"/>
        <w:ind w:firstLine="420"/>
        <w:rPr>
          <w:sz w:val="21"/>
          <w:szCs w:val="21"/>
        </w:rPr>
      </w:pPr>
      <w:r>
        <w:rPr>
          <w:rFonts w:hint="eastAsia"/>
          <w:sz w:val="21"/>
          <w:szCs w:val="21"/>
        </w:rPr>
        <w:t xml:space="preserve">（5）基金合同的修改对基金份额持有人利益无实质性不利影响或修改不涉及基金合同当事人权利义务关系发生重大变化； </w:t>
      </w:r>
    </w:p>
    <w:p w14:paraId="53EC3932">
      <w:pPr>
        <w:pStyle w:val="8"/>
        <w:spacing w:before="0" w:beforeAutospacing="0" w:after="0" w:afterAutospacing="0" w:line="360" w:lineRule="auto"/>
        <w:ind w:firstLine="420"/>
        <w:rPr>
          <w:sz w:val="21"/>
          <w:szCs w:val="21"/>
        </w:rPr>
      </w:pPr>
      <w:r>
        <w:rPr>
          <w:rFonts w:hint="eastAsia"/>
          <w:sz w:val="21"/>
          <w:szCs w:val="21"/>
        </w:rPr>
        <w:t xml:space="preserve">（6）在不违反法律法规规定和不影响基金份额持有人利益的情况下，开通或终止人民币以外的其他币种的申购、赎回、上市交易及制定和调整相关业务规则或基金份额类别设置； </w:t>
      </w:r>
    </w:p>
    <w:p w14:paraId="6CC6D9A7">
      <w:pPr>
        <w:pStyle w:val="8"/>
        <w:spacing w:before="0" w:beforeAutospacing="0" w:after="0" w:afterAutospacing="0" w:line="360" w:lineRule="auto"/>
        <w:ind w:firstLine="420"/>
        <w:rPr>
          <w:sz w:val="21"/>
          <w:szCs w:val="21"/>
        </w:rPr>
      </w:pPr>
      <w:r>
        <w:rPr>
          <w:rFonts w:hint="eastAsia"/>
          <w:sz w:val="21"/>
          <w:szCs w:val="21"/>
        </w:rPr>
        <w:t xml:space="preserve">（7）经中国证监会允许，基金管理人、证券交易所和登记结算机构在法律法规、基金合同规定的范围内调整有关基金认购、申购、赎回、交易、转托管及非交易过户等业务的规则； </w:t>
      </w:r>
    </w:p>
    <w:p w14:paraId="72088422">
      <w:pPr>
        <w:pStyle w:val="8"/>
        <w:spacing w:before="0" w:beforeAutospacing="0" w:after="0" w:afterAutospacing="0" w:line="360" w:lineRule="auto"/>
        <w:ind w:firstLine="420"/>
        <w:rPr>
          <w:sz w:val="21"/>
          <w:szCs w:val="21"/>
        </w:rPr>
      </w:pPr>
      <w:r>
        <w:rPr>
          <w:rFonts w:hint="eastAsia"/>
          <w:sz w:val="21"/>
          <w:szCs w:val="21"/>
        </w:rPr>
        <w:t xml:space="preserve">（8）在不违反法律法规和不影响基金份额持有人利益的情况下，调整基金的申购赎回方式及申购对价、赎回对价组成； </w:t>
      </w:r>
    </w:p>
    <w:p w14:paraId="61B357A4">
      <w:pPr>
        <w:pStyle w:val="8"/>
        <w:spacing w:before="0" w:beforeAutospacing="0" w:after="0" w:afterAutospacing="0" w:line="360" w:lineRule="auto"/>
        <w:ind w:firstLine="420"/>
        <w:rPr>
          <w:sz w:val="21"/>
          <w:szCs w:val="21"/>
        </w:rPr>
      </w:pPr>
      <w:r>
        <w:rPr>
          <w:rFonts w:hint="eastAsia"/>
          <w:sz w:val="21"/>
          <w:szCs w:val="21"/>
        </w:rPr>
        <w:t xml:space="preserve">（9）依据本基金合同的相关约定，基金管理人决定增加分级基金份额类别的；  </w:t>
      </w:r>
    </w:p>
    <w:p w14:paraId="67DCEBB1">
      <w:pPr>
        <w:pStyle w:val="8"/>
        <w:spacing w:before="0" w:beforeAutospacing="0" w:after="0" w:afterAutospacing="0" w:line="360" w:lineRule="auto"/>
        <w:ind w:firstLine="420"/>
        <w:rPr>
          <w:sz w:val="21"/>
          <w:szCs w:val="21"/>
        </w:rPr>
      </w:pPr>
      <w:r>
        <w:rPr>
          <w:rFonts w:hint="eastAsia"/>
          <w:sz w:val="21"/>
          <w:szCs w:val="21"/>
        </w:rPr>
        <w:t xml:space="preserve">（10）按照法律法规和基金合同规定需召开基金份额持有人大会的以外的其他情形。  </w:t>
      </w:r>
    </w:p>
    <w:p w14:paraId="55767696">
      <w:pPr>
        <w:pStyle w:val="8"/>
        <w:spacing w:before="0" w:beforeAutospacing="0" w:after="0" w:afterAutospacing="0" w:line="360" w:lineRule="auto"/>
        <w:ind w:firstLine="420"/>
        <w:rPr>
          <w:sz w:val="21"/>
          <w:szCs w:val="21"/>
        </w:rPr>
      </w:pPr>
      <w:r>
        <w:rPr>
          <w:rFonts w:hint="eastAsia"/>
          <w:sz w:val="21"/>
          <w:szCs w:val="21"/>
        </w:rPr>
        <w:t xml:space="preserve">（三）、会议召集人及召集方式 </w:t>
      </w:r>
    </w:p>
    <w:p w14:paraId="76458AD7">
      <w:pPr>
        <w:pStyle w:val="8"/>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07D363AE">
      <w:pPr>
        <w:pStyle w:val="8"/>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3BDC2521">
      <w:pPr>
        <w:pStyle w:val="8"/>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 </w:t>
      </w:r>
    </w:p>
    <w:p w14:paraId="5698C9E8">
      <w:pPr>
        <w:pStyle w:val="8"/>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 </w:t>
      </w:r>
    </w:p>
    <w:p w14:paraId="6ABD7926">
      <w:pPr>
        <w:pStyle w:val="8"/>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1694668B">
      <w:pPr>
        <w:pStyle w:val="8"/>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50FBCB12">
      <w:pPr>
        <w:pStyle w:val="8"/>
        <w:spacing w:before="0" w:beforeAutospacing="0" w:after="0" w:afterAutospacing="0" w:line="360" w:lineRule="auto"/>
        <w:ind w:firstLine="420"/>
        <w:rPr>
          <w:sz w:val="21"/>
          <w:szCs w:val="21"/>
        </w:rPr>
      </w:pPr>
      <w:r>
        <w:rPr>
          <w:rFonts w:hint="eastAsia"/>
          <w:sz w:val="21"/>
          <w:szCs w:val="21"/>
        </w:rPr>
        <w:t xml:space="preserve">（四）召开基金份额持有人大会的通知时间、通知内容、通知方式  </w:t>
      </w:r>
    </w:p>
    <w:p w14:paraId="025025BB">
      <w:pPr>
        <w:pStyle w:val="8"/>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1、召开基金份额持有人大会，召集人应于会议召开前40天，在指定媒介公告。基金份额持有人大会通知应至少载明以下内容： </w:t>
      </w:r>
    </w:p>
    <w:p w14:paraId="52836A9F">
      <w:pPr>
        <w:pStyle w:val="8"/>
        <w:spacing w:before="0" w:beforeAutospacing="0" w:after="0" w:afterAutospacing="0" w:line="360" w:lineRule="auto"/>
        <w:ind w:firstLine="420"/>
        <w:rPr>
          <w:sz w:val="21"/>
          <w:szCs w:val="21"/>
        </w:rPr>
      </w:pPr>
      <w:r>
        <w:rPr>
          <w:rFonts w:hint="eastAsia"/>
          <w:sz w:val="21"/>
          <w:szCs w:val="21"/>
        </w:rPr>
        <w:t xml:space="preserve">（1）会议召开的时间、地点、方式和会议形式； </w:t>
      </w:r>
    </w:p>
    <w:p w14:paraId="18B2751F">
      <w:pPr>
        <w:pStyle w:val="8"/>
        <w:spacing w:before="0" w:beforeAutospacing="0" w:after="0" w:afterAutospacing="0" w:line="360" w:lineRule="auto"/>
        <w:ind w:firstLine="420"/>
        <w:rPr>
          <w:sz w:val="21"/>
          <w:szCs w:val="21"/>
        </w:rPr>
      </w:pPr>
      <w:r>
        <w:rPr>
          <w:rFonts w:hint="eastAsia"/>
          <w:sz w:val="21"/>
          <w:szCs w:val="21"/>
        </w:rPr>
        <w:t xml:space="preserve">（2）会议拟审议的事项、议事程序和表决形式； </w:t>
      </w:r>
    </w:p>
    <w:p w14:paraId="3DDB2BE7">
      <w:pPr>
        <w:pStyle w:val="8"/>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11DCECB8">
      <w:pPr>
        <w:pStyle w:val="8"/>
        <w:spacing w:before="0" w:beforeAutospacing="0" w:after="0" w:afterAutospacing="0" w:line="360" w:lineRule="auto"/>
        <w:ind w:firstLine="420"/>
        <w:rPr>
          <w:sz w:val="21"/>
          <w:szCs w:val="21"/>
        </w:rPr>
      </w:pPr>
      <w:r>
        <w:rPr>
          <w:rFonts w:hint="eastAsia"/>
          <w:sz w:val="21"/>
          <w:szCs w:val="21"/>
        </w:rPr>
        <w:t xml:space="preserve">（4）授权委托书的内容要求（包括但不限于代理人身份，代理权限和代理有效期限等）、送达时间和地点； </w:t>
      </w:r>
    </w:p>
    <w:p w14:paraId="36B31347">
      <w:pPr>
        <w:pStyle w:val="8"/>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47A49CFF">
      <w:pPr>
        <w:pStyle w:val="8"/>
        <w:spacing w:before="0" w:beforeAutospacing="0" w:after="0" w:afterAutospacing="0" w:line="360" w:lineRule="auto"/>
        <w:ind w:firstLine="420"/>
        <w:rPr>
          <w:sz w:val="21"/>
          <w:szCs w:val="21"/>
        </w:rPr>
      </w:pPr>
      <w:r>
        <w:rPr>
          <w:rFonts w:hint="eastAsia"/>
          <w:sz w:val="21"/>
          <w:szCs w:val="21"/>
        </w:rPr>
        <w:t xml:space="preserve">（6）出席会议者应准备的文件和必须履行的手续； </w:t>
      </w:r>
    </w:p>
    <w:p w14:paraId="5A09DC24">
      <w:pPr>
        <w:pStyle w:val="8"/>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2F33CE51">
      <w:pPr>
        <w:pStyle w:val="8"/>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书面表决意见寄交的截止时间和收取方式。 </w:t>
      </w:r>
    </w:p>
    <w:p w14:paraId="50B94580">
      <w:pPr>
        <w:pStyle w:val="8"/>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 不影响表决意见的计票结果。 </w:t>
      </w:r>
    </w:p>
    <w:p w14:paraId="34D00384">
      <w:pPr>
        <w:pStyle w:val="8"/>
        <w:spacing w:before="0" w:beforeAutospacing="0" w:after="0" w:afterAutospacing="0" w:line="360" w:lineRule="auto"/>
        <w:ind w:firstLine="420"/>
        <w:rPr>
          <w:sz w:val="21"/>
          <w:szCs w:val="21"/>
        </w:rPr>
      </w:pPr>
      <w:r>
        <w:rPr>
          <w:rFonts w:hint="eastAsia"/>
          <w:sz w:val="21"/>
          <w:szCs w:val="21"/>
        </w:rPr>
        <w:t xml:space="preserve">（五）基金份额持有人出席会议的方式  </w:t>
      </w:r>
    </w:p>
    <w:p w14:paraId="0BE60D16">
      <w:pPr>
        <w:pStyle w:val="8"/>
        <w:spacing w:before="0" w:beforeAutospacing="0" w:after="0" w:afterAutospacing="0" w:line="360" w:lineRule="auto"/>
        <w:ind w:firstLine="420"/>
        <w:rPr>
          <w:sz w:val="21"/>
          <w:szCs w:val="21"/>
        </w:rPr>
      </w:pPr>
      <w:r>
        <w:rPr>
          <w:rFonts w:hint="eastAsia"/>
          <w:sz w:val="21"/>
          <w:szCs w:val="21"/>
        </w:rPr>
        <w:t xml:space="preserve">基金份额持有人大会可通过现场开会方式或通讯开会方式或法律法规、中国证监会允许的其他方式召开。会议的召开方式由会议召集人确定。 </w:t>
      </w:r>
    </w:p>
    <w:p w14:paraId="60B3ECFF">
      <w:pPr>
        <w:pStyle w:val="8"/>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书委派代表出席，现场开会时基金管理人和基金托管人的授权代表应当列席基金份额持有人大会，基金管理人或托管人不派代表列席的，不影响表决效力。现场开会同时符合以下条件时，可以进行基金份额持有人大会议程： </w:t>
      </w:r>
    </w:p>
    <w:p w14:paraId="3FD5D25A">
      <w:pPr>
        <w:pStyle w:val="8"/>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书符合法律法规、基金合同和会议通知的规定，并且持有基金份额的凭证与基金管理人持有的登记资料相符； </w:t>
      </w:r>
    </w:p>
    <w:p w14:paraId="30C52A4E">
      <w:pPr>
        <w:pStyle w:val="8"/>
        <w:spacing w:before="0" w:beforeAutospacing="0" w:after="0" w:afterAutospacing="0" w:line="360" w:lineRule="auto"/>
        <w:ind w:firstLine="420"/>
        <w:rPr>
          <w:sz w:val="21"/>
          <w:szCs w:val="21"/>
        </w:rPr>
      </w:pPr>
      <w:r>
        <w:rPr>
          <w:rFonts w:hint="eastAsia"/>
          <w:sz w:val="21"/>
          <w:szCs w:val="21"/>
        </w:rPr>
        <w:t xml:space="preserve">（2）经核对，汇总到会者出示的在权利登记日持有基金份额的凭证显示，有效的基金份额不少于本基金在权益登记日基金总份额的50%（含50%）。 </w:t>
      </w:r>
    </w:p>
    <w:p w14:paraId="426A85AF">
      <w:pPr>
        <w:pStyle w:val="8"/>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2、通讯开会。通讯开会系指基金份额持有人将其对表决事项的投票以书面形式在表决截至日以前送达至召集人指定的地址。通讯开会应以书面方式进行表决。 </w:t>
      </w:r>
    </w:p>
    <w:p w14:paraId="5636CF30">
      <w:pPr>
        <w:pStyle w:val="8"/>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0A1FC6CF">
      <w:pPr>
        <w:pStyle w:val="8"/>
        <w:spacing w:before="0" w:beforeAutospacing="0" w:after="0" w:afterAutospacing="0" w:line="360" w:lineRule="auto"/>
        <w:ind w:firstLine="420"/>
        <w:rPr>
          <w:sz w:val="21"/>
          <w:szCs w:val="21"/>
        </w:rPr>
      </w:pPr>
      <w:r>
        <w:rPr>
          <w:rFonts w:hint="eastAsia"/>
          <w:sz w:val="21"/>
          <w:szCs w:val="21"/>
        </w:rPr>
        <w:t xml:space="preserve">（1）会议召集人按基金合同规定公布会议通知后，在2个工作日内连续公布相关提示性公告； </w:t>
      </w:r>
    </w:p>
    <w:p w14:paraId="5E436C8E">
      <w:pPr>
        <w:pStyle w:val="8"/>
        <w:spacing w:before="0" w:beforeAutospacing="0" w:after="0" w:afterAutospacing="0" w:line="360" w:lineRule="auto"/>
        <w:ind w:firstLine="420"/>
        <w:rPr>
          <w:sz w:val="21"/>
          <w:szCs w:val="21"/>
        </w:rPr>
      </w:pPr>
      <w:r>
        <w:rPr>
          <w:rFonts w:hint="eastAsia"/>
          <w:sz w:val="21"/>
          <w:szCs w:val="21"/>
        </w:rPr>
        <w:t xml:space="preserve">（2）会议召集人在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 </w:t>
      </w:r>
    </w:p>
    <w:p w14:paraId="53948A58">
      <w:pPr>
        <w:pStyle w:val="8"/>
        <w:spacing w:before="0" w:beforeAutospacing="0" w:after="0" w:afterAutospacing="0" w:line="360" w:lineRule="auto"/>
        <w:ind w:firstLine="420"/>
        <w:rPr>
          <w:sz w:val="21"/>
          <w:szCs w:val="21"/>
        </w:rPr>
      </w:pPr>
      <w:r>
        <w:rPr>
          <w:rFonts w:hint="eastAsia"/>
          <w:sz w:val="21"/>
          <w:szCs w:val="21"/>
        </w:rPr>
        <w:t xml:space="preserve">（3）本人直接出具书面意见或授权他人代表出具书面意见的，基金份额持有人所持有的基金份额不小于在权益登记日基金总份额的50%（含50%）； </w:t>
      </w:r>
    </w:p>
    <w:p w14:paraId="44F9A114">
      <w:pPr>
        <w:pStyle w:val="8"/>
        <w:spacing w:before="0" w:beforeAutospacing="0" w:after="0" w:afterAutospacing="0" w:line="360" w:lineRule="auto"/>
        <w:ind w:firstLine="420"/>
        <w:rPr>
          <w:sz w:val="21"/>
          <w:szCs w:val="21"/>
        </w:rPr>
      </w:pPr>
      <w:r>
        <w:rPr>
          <w:rFonts w:hint="eastAsia"/>
          <w:sz w:val="21"/>
          <w:szCs w:val="21"/>
        </w:rPr>
        <w:t xml:space="preserve">（4）上述第（3）项中直接出具书面意见的基金份额持有人或受托代表他人出具书面意见的代理人，同时提交的持有基金份额的凭证、受托出具书面意见的代理人出具的委托人持有基金份额的凭证及委托人的代理投票授权委托书符合法律法规、基金合同和会议通知的规定，并与基金登记注册机构记录相符，并且委托人出具的代理投票授权委托书符合法律法规、基金合同和会议通知的规定，并与基金登记注册机构记录相符； </w:t>
      </w:r>
    </w:p>
    <w:p w14:paraId="3EDADBF3">
      <w:pPr>
        <w:pStyle w:val="8"/>
        <w:spacing w:before="0" w:beforeAutospacing="0" w:after="0" w:afterAutospacing="0" w:line="360" w:lineRule="auto"/>
        <w:ind w:firstLine="420"/>
        <w:rPr>
          <w:sz w:val="21"/>
          <w:szCs w:val="21"/>
        </w:rPr>
      </w:pPr>
      <w:r>
        <w:rPr>
          <w:rFonts w:hint="eastAsia"/>
          <w:sz w:val="21"/>
          <w:szCs w:val="21"/>
        </w:rPr>
        <w:t xml:space="preserve">（5）会议通知公布前报中国证监会备案。 </w:t>
      </w:r>
    </w:p>
    <w:p w14:paraId="197B3C2D">
      <w:pPr>
        <w:pStyle w:val="8"/>
        <w:spacing w:before="0" w:beforeAutospacing="0" w:after="0" w:afterAutospacing="0" w:line="360" w:lineRule="auto"/>
        <w:ind w:firstLine="420"/>
        <w:rPr>
          <w:sz w:val="21"/>
          <w:szCs w:val="21"/>
        </w:rPr>
      </w:pPr>
      <w:r>
        <w:rPr>
          <w:rFonts w:hint="eastAsia"/>
          <w:sz w:val="21"/>
          <w:szCs w:val="21"/>
        </w:rPr>
        <w:t xml:space="preserve">3、在法律法规或监管机关允许的情况下，本基金亦可采用网络、电话等其他非书面方式由基金份额持有人向其授权代表进行授权。 </w:t>
      </w:r>
    </w:p>
    <w:p w14:paraId="236E7E1C">
      <w:pPr>
        <w:pStyle w:val="8"/>
        <w:spacing w:before="0" w:beforeAutospacing="0" w:after="0" w:afterAutospacing="0" w:line="360" w:lineRule="auto"/>
        <w:ind w:firstLine="420"/>
        <w:rPr>
          <w:sz w:val="21"/>
          <w:szCs w:val="21"/>
        </w:rPr>
      </w:pPr>
      <w:r>
        <w:rPr>
          <w:rFonts w:hint="eastAsia"/>
          <w:sz w:val="21"/>
          <w:szCs w:val="21"/>
        </w:rPr>
        <w:t xml:space="preserve">4、在法律法规和监管机关允许的情况下，本基金亦可采用网络、电话等其他非现场方式或者以非现场方式与现场方式结合的方式召开基金份额持有人大会，会议程序比照现场开会和通讯方式开会的程序进行。 </w:t>
      </w:r>
    </w:p>
    <w:p w14:paraId="6F829A26">
      <w:pPr>
        <w:pStyle w:val="8"/>
        <w:spacing w:before="0" w:beforeAutospacing="0" w:after="0" w:afterAutospacing="0" w:line="360" w:lineRule="auto"/>
        <w:ind w:firstLine="420"/>
        <w:rPr>
          <w:sz w:val="21"/>
          <w:szCs w:val="21"/>
        </w:rPr>
      </w:pPr>
      <w:r>
        <w:rPr>
          <w:rFonts w:hint="eastAsia"/>
          <w:sz w:val="21"/>
          <w:szCs w:val="21"/>
        </w:rPr>
        <w:t xml:space="preserve">（六）议事内容与程序  </w:t>
      </w:r>
    </w:p>
    <w:p w14:paraId="119A088A">
      <w:pPr>
        <w:pStyle w:val="8"/>
        <w:spacing w:before="0" w:beforeAutospacing="0" w:after="0" w:afterAutospacing="0" w:line="360" w:lineRule="auto"/>
        <w:ind w:firstLine="420"/>
        <w:rPr>
          <w:sz w:val="21"/>
          <w:szCs w:val="21"/>
        </w:rPr>
      </w:pPr>
      <w:r>
        <w:rPr>
          <w:rFonts w:hint="eastAsia"/>
          <w:sz w:val="21"/>
          <w:szCs w:val="21"/>
        </w:rPr>
        <w:t xml:space="preserve">1、议事内容及提案权 </w:t>
      </w:r>
    </w:p>
    <w:p w14:paraId="637E0924">
      <w:pPr>
        <w:pStyle w:val="8"/>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1E105C31">
      <w:pPr>
        <w:pStyle w:val="8"/>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12B3F2BF">
      <w:pPr>
        <w:pStyle w:val="8"/>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5F99FE6F">
      <w:pPr>
        <w:pStyle w:val="8"/>
        <w:spacing w:before="0" w:beforeAutospacing="0" w:after="0" w:afterAutospacing="0" w:line="360" w:lineRule="auto"/>
        <w:ind w:firstLine="420"/>
        <w:rPr>
          <w:sz w:val="21"/>
          <w:szCs w:val="21"/>
        </w:rPr>
      </w:pPr>
      <w:r>
        <w:rPr>
          <w:rFonts w:hint="eastAsia"/>
          <w:sz w:val="21"/>
          <w:szCs w:val="21"/>
        </w:rPr>
        <w:t xml:space="preserve">2、议事程序 </w:t>
      </w:r>
    </w:p>
    <w:p w14:paraId="56B7C76E">
      <w:pPr>
        <w:pStyle w:val="8"/>
        <w:spacing w:before="0" w:beforeAutospacing="0" w:after="0" w:afterAutospacing="0" w:line="360" w:lineRule="auto"/>
        <w:ind w:firstLine="420"/>
        <w:rPr>
          <w:sz w:val="21"/>
          <w:szCs w:val="21"/>
        </w:rPr>
      </w:pPr>
      <w:r>
        <w:rPr>
          <w:rFonts w:hint="eastAsia"/>
          <w:sz w:val="21"/>
          <w:szCs w:val="21"/>
        </w:rPr>
        <w:t xml:space="preserve">（1）现场开会 </w:t>
      </w:r>
    </w:p>
    <w:p w14:paraId="4AD9244B">
      <w:pPr>
        <w:pStyle w:val="8"/>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八）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所持表决权的50%以上（含50%）选举产生一名基金份额持有人作为该次基金份额持有人大会的主持人。基金管理人和基金托管人不出席或主持基金份额持有人大会，不影响基金份额持有人大会作出的决议的效力。 </w:t>
      </w:r>
    </w:p>
    <w:p w14:paraId="2045001D">
      <w:pPr>
        <w:pStyle w:val="8"/>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会议召集人应当制作出席会议人员的签名册。签名册载明参加会议人员姓名（或单位名称）、身份证号码、持有或代表有表决权的基金份额、委托人姓名（或单位名称）等事项。 </w:t>
      </w:r>
    </w:p>
    <w:p w14:paraId="74AEE7F3">
      <w:pPr>
        <w:pStyle w:val="8"/>
        <w:spacing w:before="0" w:beforeAutospacing="0" w:after="0" w:afterAutospacing="0" w:line="360" w:lineRule="auto"/>
        <w:ind w:firstLine="420"/>
        <w:rPr>
          <w:sz w:val="21"/>
          <w:szCs w:val="21"/>
        </w:rPr>
      </w:pPr>
      <w:r>
        <w:rPr>
          <w:rFonts w:hint="eastAsia"/>
          <w:sz w:val="21"/>
          <w:szCs w:val="21"/>
        </w:rPr>
        <w:t xml:space="preserve">（2）通讯开会 </w:t>
      </w:r>
    </w:p>
    <w:p w14:paraId="70FD5A54">
      <w:pPr>
        <w:pStyle w:val="8"/>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7C8A382A">
      <w:pPr>
        <w:pStyle w:val="8"/>
        <w:spacing w:before="0" w:beforeAutospacing="0" w:after="0" w:afterAutospacing="0" w:line="360" w:lineRule="auto"/>
        <w:ind w:firstLine="420"/>
        <w:rPr>
          <w:sz w:val="21"/>
          <w:szCs w:val="21"/>
        </w:rPr>
      </w:pPr>
      <w:r>
        <w:rPr>
          <w:rFonts w:hint="eastAsia"/>
          <w:sz w:val="21"/>
          <w:szCs w:val="21"/>
        </w:rPr>
        <w:t xml:space="preserve">(七)、表决 </w:t>
      </w:r>
    </w:p>
    <w:p w14:paraId="1965621D">
      <w:pPr>
        <w:pStyle w:val="8"/>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490870FD">
      <w:pPr>
        <w:pStyle w:val="8"/>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46AC6C02">
      <w:pPr>
        <w:pStyle w:val="8"/>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1、一般决议，一般决议须经参加大会的基金份额持有人或其代理人所持表决权的50%以上（含50%）通过方为有效；除下列第2项所规定的须以特别决议通过事项以外的其他事项均以一般决议的方式通过。 </w:t>
      </w:r>
    </w:p>
    <w:p w14:paraId="0BBD640F">
      <w:pPr>
        <w:pStyle w:val="8"/>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转换基金运作方式、更换基金管理人或者基金托管人、终止基金合同以特别决议通过方为有效。 </w:t>
      </w:r>
    </w:p>
    <w:p w14:paraId="147F1496">
      <w:pPr>
        <w:pStyle w:val="8"/>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5F1A4112">
      <w:pPr>
        <w:pStyle w:val="8"/>
        <w:spacing w:before="0" w:beforeAutospacing="0" w:after="0" w:afterAutospacing="0" w:line="360" w:lineRule="auto"/>
        <w:ind w:firstLine="420"/>
        <w:rPr>
          <w:sz w:val="21"/>
          <w:szCs w:val="21"/>
        </w:rPr>
      </w:pPr>
      <w:r>
        <w:rPr>
          <w:rFonts w:hint="eastAsia"/>
          <w:sz w:val="21"/>
          <w:szCs w:val="21"/>
        </w:rPr>
        <w:t xml:space="preserve">采取通讯方式进行表决时，除非在计票时有充分的相反证据证明，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 </w:t>
      </w:r>
    </w:p>
    <w:p w14:paraId="35421204">
      <w:pPr>
        <w:pStyle w:val="8"/>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323FD43A">
      <w:pPr>
        <w:pStyle w:val="8"/>
        <w:spacing w:before="0" w:beforeAutospacing="0" w:after="0" w:afterAutospacing="0" w:line="360" w:lineRule="auto"/>
        <w:ind w:firstLine="420"/>
        <w:rPr>
          <w:sz w:val="21"/>
          <w:szCs w:val="21"/>
        </w:rPr>
      </w:pPr>
      <w:r>
        <w:rPr>
          <w:rFonts w:hint="eastAsia"/>
          <w:sz w:val="21"/>
          <w:szCs w:val="21"/>
        </w:rPr>
        <w:t xml:space="preserve">(八)、计票 </w:t>
      </w:r>
    </w:p>
    <w:p w14:paraId="221E4A4A">
      <w:pPr>
        <w:pStyle w:val="8"/>
        <w:spacing w:before="0" w:beforeAutospacing="0" w:after="0" w:afterAutospacing="0" w:line="360" w:lineRule="auto"/>
        <w:ind w:firstLine="420"/>
        <w:rPr>
          <w:sz w:val="21"/>
          <w:szCs w:val="21"/>
        </w:rPr>
      </w:pPr>
      <w:r>
        <w:rPr>
          <w:rFonts w:hint="eastAsia"/>
          <w:sz w:val="21"/>
          <w:szCs w:val="21"/>
        </w:rPr>
        <w:t xml:space="preserve">1、现场开会 </w:t>
      </w:r>
    </w:p>
    <w:p w14:paraId="0079957F">
      <w:pPr>
        <w:pStyle w:val="8"/>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005C7E6A">
      <w:pPr>
        <w:pStyle w:val="8"/>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3BD8ABF2">
      <w:pPr>
        <w:pStyle w:val="8"/>
        <w:spacing w:before="0" w:beforeAutospacing="0" w:after="0" w:afterAutospacing="0" w:line="360" w:lineRule="auto"/>
        <w:ind w:firstLine="420"/>
        <w:rPr>
          <w:sz w:val="21"/>
          <w:szCs w:val="21"/>
        </w:rPr>
      </w:pPr>
      <w:r>
        <w:rPr>
          <w:rFonts w:hint="eastAsia"/>
          <w:sz w:val="21"/>
          <w:szCs w:val="21"/>
        </w:rPr>
        <w:t xml:space="preserve">（3）如果会议主持人或基金份额持有人对于提交的表决结果有怀疑，可以在宣布表决结果后立即对所投票数要求进行重新清点。监票人应当进行重新清点，重新清点以一次为限。重新清点后，大会主持人应当当场公布重新清点结果。 </w:t>
      </w:r>
    </w:p>
    <w:p w14:paraId="110E1124">
      <w:pPr>
        <w:pStyle w:val="8"/>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33A23800">
      <w:pPr>
        <w:pStyle w:val="8"/>
        <w:spacing w:before="0" w:beforeAutospacing="0" w:after="0" w:afterAutospacing="0" w:line="360" w:lineRule="auto"/>
        <w:ind w:firstLine="420"/>
        <w:rPr>
          <w:sz w:val="21"/>
          <w:szCs w:val="21"/>
        </w:rPr>
      </w:pPr>
      <w:r>
        <w:rPr>
          <w:rFonts w:hint="eastAsia"/>
          <w:sz w:val="21"/>
          <w:szCs w:val="21"/>
        </w:rPr>
        <w:t xml:space="preserve">2、通讯开会 </w:t>
      </w:r>
    </w:p>
    <w:p w14:paraId="7BB00DD5">
      <w:pPr>
        <w:pStyle w:val="8"/>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  </w:t>
      </w:r>
    </w:p>
    <w:p w14:paraId="6E72C7DE">
      <w:pPr>
        <w:pStyle w:val="8"/>
        <w:spacing w:before="0" w:beforeAutospacing="0" w:after="0" w:afterAutospacing="0" w:line="360" w:lineRule="auto"/>
        <w:ind w:firstLine="420"/>
        <w:rPr>
          <w:sz w:val="21"/>
          <w:szCs w:val="21"/>
        </w:rPr>
      </w:pPr>
      <w:r>
        <w:rPr>
          <w:rFonts w:hint="eastAsia"/>
          <w:sz w:val="21"/>
          <w:szCs w:val="21"/>
        </w:rPr>
        <w:t xml:space="preserve">(九)、生效与公告 </w:t>
      </w:r>
    </w:p>
    <w:p w14:paraId="4072C9AC">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基金份额持有人大会的决议，召集人应当自通过之日起5日内报中国证监会核准或者备案。 </w:t>
      </w:r>
    </w:p>
    <w:p w14:paraId="6AB996F3">
      <w:pPr>
        <w:pStyle w:val="8"/>
        <w:spacing w:before="0" w:beforeAutospacing="0" w:after="0" w:afterAutospacing="0" w:line="360" w:lineRule="auto"/>
        <w:ind w:firstLine="420"/>
        <w:rPr>
          <w:sz w:val="21"/>
          <w:szCs w:val="21"/>
        </w:rPr>
      </w:pPr>
      <w:r>
        <w:rPr>
          <w:rFonts w:hint="eastAsia"/>
          <w:sz w:val="21"/>
          <w:szCs w:val="21"/>
        </w:rPr>
        <w:t xml:space="preserve">基金份额持有人大会决定的事项自中国证监会依法核准或者出具无异议意见之日起生效。 </w:t>
      </w:r>
    </w:p>
    <w:p w14:paraId="5F83E903">
      <w:pPr>
        <w:pStyle w:val="8"/>
        <w:spacing w:before="0" w:beforeAutospacing="0" w:after="0" w:afterAutospacing="0" w:line="360" w:lineRule="auto"/>
        <w:ind w:firstLine="420"/>
        <w:rPr>
          <w:sz w:val="21"/>
          <w:szCs w:val="21"/>
        </w:rPr>
      </w:pPr>
      <w:r>
        <w:rPr>
          <w:rFonts w:hint="eastAsia"/>
          <w:sz w:val="21"/>
          <w:szCs w:val="21"/>
        </w:rPr>
        <w:t xml:space="preserve">基金份额持有人大会决议自生效之日起2日内在指定媒介公告。如果采用通讯方式进行表决，在公告基金份额持有人大会决议时，必须将公证书全文、公证机构、公证员姓名等一同公告。 </w:t>
      </w:r>
    </w:p>
    <w:p w14:paraId="6001AF4C">
      <w:pPr>
        <w:pStyle w:val="8"/>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47533908">
      <w:pPr>
        <w:pStyle w:val="8"/>
        <w:spacing w:before="0" w:beforeAutospacing="0" w:after="0" w:afterAutospacing="0" w:line="360" w:lineRule="auto"/>
        <w:ind w:firstLine="420"/>
        <w:rPr>
          <w:sz w:val="21"/>
          <w:szCs w:val="21"/>
        </w:rPr>
      </w:pPr>
      <w:r>
        <w:rPr>
          <w:rFonts w:hint="eastAsia"/>
          <w:b/>
          <w:bCs/>
          <w:sz w:val="21"/>
          <w:szCs w:val="21"/>
        </w:rPr>
        <w:t>三、基金合同解除和终止的事由、程序</w:t>
      </w:r>
    </w:p>
    <w:p w14:paraId="69B0DB5A">
      <w:pPr>
        <w:pStyle w:val="8"/>
        <w:spacing w:before="0" w:beforeAutospacing="0" w:after="0" w:afterAutospacing="0" w:line="360" w:lineRule="auto"/>
        <w:ind w:firstLine="420"/>
        <w:rPr>
          <w:sz w:val="21"/>
          <w:szCs w:val="21"/>
        </w:rPr>
      </w:pPr>
      <w:r>
        <w:rPr>
          <w:rFonts w:hint="eastAsia"/>
          <w:sz w:val="21"/>
          <w:szCs w:val="21"/>
        </w:rPr>
        <w:t xml:space="preserve">（一）基金合同的变更 </w:t>
      </w:r>
    </w:p>
    <w:p w14:paraId="030E4D92">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本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14:paraId="045B34BA">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2、关于基金合同变更的基金份额持有人大会决议经中国证监会核准或出具无异议意见后方可执行，自决议生效之日起在指定媒介上公告。 </w:t>
      </w:r>
    </w:p>
    <w:p w14:paraId="536D20B4">
      <w:pPr>
        <w:pStyle w:val="8"/>
        <w:spacing w:before="0" w:beforeAutospacing="0" w:after="0" w:afterAutospacing="0" w:line="360" w:lineRule="auto"/>
        <w:ind w:firstLine="420"/>
        <w:rPr>
          <w:sz w:val="21"/>
          <w:szCs w:val="21"/>
        </w:rPr>
      </w:pPr>
      <w:r>
        <w:rPr>
          <w:rFonts w:hint="eastAsia"/>
          <w:sz w:val="21"/>
          <w:szCs w:val="21"/>
        </w:rPr>
        <w:t xml:space="preserve">(二)、基金合同的终止 </w:t>
      </w:r>
    </w:p>
    <w:p w14:paraId="5F968065">
      <w:pPr>
        <w:pStyle w:val="8"/>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0D171E35">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131DC27C">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255A1DF3">
      <w:pPr>
        <w:pStyle w:val="8"/>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2961212F">
      <w:pPr>
        <w:pStyle w:val="8"/>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431CDA85">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14:paraId="4B413C70">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360B4E1D">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48017B21">
      <w:pPr>
        <w:pStyle w:val="8"/>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0BD195C0">
      <w:pPr>
        <w:pStyle w:val="8"/>
        <w:spacing w:before="0" w:beforeAutospacing="0" w:after="0" w:afterAutospacing="0" w:line="360" w:lineRule="auto"/>
        <w:ind w:firstLine="420"/>
        <w:rPr>
          <w:sz w:val="21"/>
          <w:szCs w:val="21"/>
        </w:rPr>
      </w:pPr>
      <w:r>
        <w:rPr>
          <w:rFonts w:hint="eastAsia"/>
          <w:sz w:val="21"/>
          <w:szCs w:val="21"/>
        </w:rPr>
        <w:t xml:space="preserve">4、基金财产清算程序： </w:t>
      </w:r>
    </w:p>
    <w:p w14:paraId="16B5450C">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582F424C">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76FA47DD">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2D767BFE">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09901816">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5A41784E">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32F121AE">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04C406D1">
      <w:pPr>
        <w:pStyle w:val="8"/>
        <w:spacing w:before="0" w:beforeAutospacing="0" w:after="0" w:afterAutospacing="0" w:line="360" w:lineRule="auto"/>
        <w:ind w:firstLine="420"/>
        <w:rPr>
          <w:sz w:val="21"/>
          <w:szCs w:val="21"/>
        </w:rPr>
      </w:pPr>
      <w:r>
        <w:rPr>
          <w:rFonts w:hint="eastAsia"/>
          <w:sz w:val="21"/>
          <w:szCs w:val="21"/>
        </w:rPr>
        <w:t xml:space="preserve">5、基金财产清算的期限为6个月。 </w:t>
      </w:r>
    </w:p>
    <w:p w14:paraId="27FE8DF0">
      <w:pPr>
        <w:pStyle w:val="8"/>
        <w:spacing w:before="0" w:beforeAutospacing="0" w:after="0" w:afterAutospacing="0" w:line="360" w:lineRule="auto"/>
        <w:ind w:firstLine="420"/>
        <w:rPr>
          <w:sz w:val="21"/>
          <w:szCs w:val="21"/>
        </w:rPr>
      </w:pPr>
      <w:r>
        <w:rPr>
          <w:rFonts w:hint="eastAsia"/>
          <w:sz w:val="21"/>
          <w:szCs w:val="21"/>
        </w:rPr>
        <w:t xml:space="preserve">（四）、清算费用 </w:t>
      </w:r>
    </w:p>
    <w:p w14:paraId="0A047C7F">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清算费用是指基金财产清算小组在进行基金财产清算过程中发生的所有合理费用，清算费用由基金财产清算小组优先从基金财产中支付。 </w:t>
      </w:r>
    </w:p>
    <w:p w14:paraId="31983950">
      <w:pPr>
        <w:pStyle w:val="8"/>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3863F120">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591AB45C">
      <w:pPr>
        <w:pStyle w:val="8"/>
        <w:spacing w:before="0" w:beforeAutospacing="0" w:after="0" w:afterAutospacing="0" w:line="360" w:lineRule="auto"/>
        <w:ind w:firstLine="420"/>
        <w:rPr>
          <w:sz w:val="21"/>
          <w:szCs w:val="21"/>
        </w:rPr>
      </w:pPr>
      <w:r>
        <w:rPr>
          <w:rFonts w:hint="eastAsia"/>
          <w:sz w:val="21"/>
          <w:szCs w:val="21"/>
        </w:rPr>
        <w:t xml:space="preserve">(六)、基金财产清算的公告 </w:t>
      </w:r>
    </w:p>
    <w:p w14:paraId="7AE71916">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的会计师事务所审计并由律师事务所出具法律意见书后报中国证监会备案并公告。基金财产清算报告于基金合同终止并报中国证监会备案后5个工作日内由基金财产清算小组进行公告。 </w:t>
      </w:r>
    </w:p>
    <w:p w14:paraId="450BE75D">
      <w:pPr>
        <w:pStyle w:val="8"/>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578E58B4">
      <w:pPr>
        <w:pStyle w:val="8"/>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75265483">
      <w:pPr>
        <w:pStyle w:val="8"/>
        <w:spacing w:before="0" w:beforeAutospacing="0" w:after="0" w:afterAutospacing="0" w:line="360" w:lineRule="auto"/>
        <w:ind w:firstLine="420"/>
        <w:rPr>
          <w:sz w:val="21"/>
          <w:szCs w:val="21"/>
        </w:rPr>
      </w:pPr>
      <w:r>
        <w:rPr>
          <w:rFonts w:hint="eastAsia"/>
          <w:b/>
          <w:bCs/>
          <w:sz w:val="21"/>
          <w:szCs w:val="21"/>
        </w:rPr>
        <w:t>四、争议的处理</w:t>
      </w:r>
    </w:p>
    <w:p w14:paraId="7387A4CF">
      <w:pPr>
        <w:pStyle w:val="8"/>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经友好协商未能解决的，应提交中国国际经济贸易仲裁委员会根据该会当时有效的仲裁规则进行仲裁，仲裁地点为北京，仲裁裁决是终局性的并对各方当事人具有约束力，仲裁费由败诉方承担。 </w:t>
      </w:r>
    </w:p>
    <w:p w14:paraId="3E0BBE7F">
      <w:pPr>
        <w:pStyle w:val="8"/>
        <w:spacing w:before="0" w:beforeAutospacing="0" w:after="0" w:afterAutospacing="0" w:line="360" w:lineRule="auto"/>
        <w:ind w:firstLine="420"/>
        <w:rPr>
          <w:sz w:val="21"/>
          <w:szCs w:val="21"/>
        </w:rPr>
      </w:pPr>
      <w:r>
        <w:rPr>
          <w:rFonts w:hint="eastAsia"/>
          <w:sz w:val="21"/>
          <w:szCs w:val="21"/>
        </w:rPr>
        <w:t xml:space="preserve">基金合同受中国法律管辖。 </w:t>
      </w:r>
    </w:p>
    <w:p w14:paraId="5DFB36D6">
      <w:pPr>
        <w:pStyle w:val="8"/>
        <w:spacing w:before="0" w:beforeAutospacing="0" w:after="0" w:afterAutospacing="0" w:line="360" w:lineRule="auto"/>
        <w:ind w:firstLine="420"/>
        <w:rPr>
          <w:sz w:val="21"/>
          <w:szCs w:val="21"/>
        </w:rPr>
      </w:pPr>
      <w:r>
        <w:rPr>
          <w:rFonts w:hint="eastAsia"/>
          <w:b/>
          <w:bCs/>
          <w:sz w:val="21"/>
          <w:szCs w:val="21"/>
        </w:rPr>
        <w:t>五、基金合同存放地和投资者取得基金合同的方式</w:t>
      </w:r>
    </w:p>
    <w:p w14:paraId="3071FCFC">
      <w:pPr>
        <w:pStyle w:val="8"/>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基金合同可印制成册，供投资者在基金管理人、基金托管人、基金代销机构的办公场所</w:t>
      </w:r>
      <w:bookmarkStart w:id="189" w:name="chapter_level1_25_71_section_1_end"/>
      <w:bookmarkEnd w:id="189"/>
      <w:r>
        <w:rPr>
          <w:rFonts w:hint="eastAsia"/>
          <w:sz w:val="21"/>
          <w:szCs w:val="21"/>
        </w:rPr>
        <w:t xml:space="preserve">和营业场所查阅。  </w:t>
      </w:r>
    </w:p>
    <w:p w14:paraId="18B3DC7E">
      <w:pPr>
        <w:widowControl/>
        <w:jc w:val="left"/>
        <w:rPr>
          <w:rFonts w:ascii="宋体" w:hAnsi="宋体" w:eastAsia="宋体"/>
        </w:rPr>
      </w:pPr>
      <w:r>
        <w:rPr>
          <w:rFonts w:ascii="宋体" w:hAnsi="宋体" w:eastAsia="宋体"/>
        </w:rPr>
        <w:br w:type="page"/>
      </w:r>
    </w:p>
    <w:p w14:paraId="0832B817">
      <w:pPr>
        <w:pStyle w:val="2"/>
        <w:jc w:val="center"/>
        <w:rPr>
          <w:rFonts w:ascii="宋体" w:hAnsi="宋体" w:eastAsia="宋体"/>
          <w:sz w:val="30"/>
        </w:rPr>
      </w:pPr>
      <w:bookmarkStart w:id="190" w:name="_Toc209441857"/>
      <w:bookmarkStart w:id="191" w:name="chapter_level1_26_72"/>
      <w:r>
        <w:rPr>
          <w:rFonts w:hint="eastAsia" w:ascii="宋体" w:hAnsi="宋体" w:eastAsia="宋体"/>
          <w:sz w:val="30"/>
        </w:rPr>
        <w:t>第二十三部分  基金托管协议的内容摘要</w:t>
      </w:r>
      <w:bookmarkEnd w:id="190"/>
      <w:bookmarkEnd w:id="191"/>
    </w:p>
    <w:p w14:paraId="7521DECB">
      <w:pPr>
        <w:pStyle w:val="8"/>
        <w:spacing w:before="0" w:beforeAutospacing="0" w:after="0" w:afterAutospacing="0" w:line="360" w:lineRule="auto"/>
        <w:ind w:firstLine="420"/>
        <w:rPr>
          <w:sz w:val="21"/>
          <w:szCs w:val="21"/>
        </w:rPr>
      </w:pPr>
      <w:bookmarkStart w:id="192" w:name="chapter_level1_26_72_section_1"/>
      <w:bookmarkEnd w:id="192"/>
      <w:r>
        <w:rPr>
          <w:rFonts w:hint="eastAsia"/>
          <w:b/>
          <w:bCs/>
          <w:sz w:val="21"/>
          <w:szCs w:val="21"/>
        </w:rPr>
        <w:t>一、托管协议当事人</w:t>
      </w:r>
    </w:p>
    <w:p w14:paraId="17C798D7">
      <w:pPr>
        <w:pStyle w:val="8"/>
        <w:spacing w:before="0" w:beforeAutospacing="0" w:after="0" w:afterAutospacing="0" w:line="360" w:lineRule="auto"/>
        <w:ind w:firstLine="420"/>
        <w:rPr>
          <w:sz w:val="21"/>
          <w:szCs w:val="21"/>
        </w:rPr>
      </w:pPr>
      <w:r>
        <w:rPr>
          <w:rFonts w:hint="eastAsia"/>
          <w:sz w:val="21"/>
          <w:szCs w:val="21"/>
        </w:rPr>
        <w:t xml:space="preserve">（一）基金管理人  </w:t>
      </w:r>
    </w:p>
    <w:p w14:paraId="56274074">
      <w:pPr>
        <w:pStyle w:val="8"/>
        <w:spacing w:before="0" w:beforeAutospacing="0" w:after="0" w:afterAutospacing="0" w:line="360" w:lineRule="auto"/>
        <w:ind w:firstLine="420"/>
        <w:rPr>
          <w:sz w:val="21"/>
          <w:szCs w:val="21"/>
        </w:rPr>
      </w:pPr>
      <w:r>
        <w:rPr>
          <w:rFonts w:hint="eastAsia"/>
          <w:sz w:val="21"/>
          <w:szCs w:val="21"/>
        </w:rPr>
        <w:t xml:space="preserve">名称：博时基金管理有限公司 </w:t>
      </w:r>
    </w:p>
    <w:p w14:paraId="6EC5811F">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5EDAE076">
      <w:pPr>
        <w:pStyle w:val="8"/>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3A2BC20C">
      <w:pPr>
        <w:pStyle w:val="8"/>
        <w:spacing w:before="0" w:beforeAutospacing="0" w:after="0" w:afterAutospacing="0" w:line="360" w:lineRule="auto"/>
        <w:ind w:firstLine="420"/>
        <w:rPr>
          <w:sz w:val="21"/>
          <w:szCs w:val="21"/>
        </w:rPr>
      </w:pPr>
      <w:r>
        <w:rPr>
          <w:rFonts w:hint="eastAsia"/>
          <w:sz w:val="21"/>
          <w:szCs w:val="21"/>
        </w:rPr>
        <w:t xml:space="preserve">法定代表人：江向阳 </w:t>
      </w:r>
    </w:p>
    <w:p w14:paraId="0D2134A8">
      <w:pPr>
        <w:pStyle w:val="8"/>
        <w:spacing w:before="0" w:beforeAutospacing="0" w:after="0" w:afterAutospacing="0" w:line="360" w:lineRule="auto"/>
        <w:ind w:firstLine="420"/>
        <w:rPr>
          <w:sz w:val="21"/>
          <w:szCs w:val="21"/>
        </w:rPr>
      </w:pPr>
      <w:r>
        <w:rPr>
          <w:rFonts w:hint="eastAsia"/>
          <w:sz w:val="21"/>
          <w:szCs w:val="21"/>
        </w:rPr>
        <w:t xml:space="preserve">成立时间：1998年7月13日 </w:t>
      </w:r>
    </w:p>
    <w:p w14:paraId="5816A9B6">
      <w:pPr>
        <w:pStyle w:val="8"/>
        <w:spacing w:before="0" w:beforeAutospacing="0" w:after="0" w:afterAutospacing="0" w:line="360" w:lineRule="auto"/>
        <w:ind w:firstLine="420"/>
        <w:rPr>
          <w:sz w:val="21"/>
          <w:szCs w:val="21"/>
        </w:rPr>
      </w:pPr>
      <w:r>
        <w:rPr>
          <w:rFonts w:hint="eastAsia"/>
          <w:sz w:val="21"/>
          <w:szCs w:val="21"/>
        </w:rPr>
        <w:t xml:space="preserve">批准设立机关及批准设立文号：中国证券监督管理委员会证监基字[1998]26号 </w:t>
      </w:r>
    </w:p>
    <w:p w14:paraId="6ABE0448">
      <w:pPr>
        <w:pStyle w:val="8"/>
        <w:spacing w:before="0" w:beforeAutospacing="0" w:after="0" w:afterAutospacing="0" w:line="360" w:lineRule="auto"/>
        <w:ind w:firstLine="420"/>
        <w:rPr>
          <w:sz w:val="21"/>
          <w:szCs w:val="21"/>
        </w:rPr>
      </w:pPr>
      <w:r>
        <w:rPr>
          <w:rFonts w:hint="eastAsia"/>
          <w:sz w:val="21"/>
          <w:szCs w:val="21"/>
        </w:rPr>
        <w:t xml:space="preserve">注册资本：2.5亿元  </w:t>
      </w:r>
    </w:p>
    <w:p w14:paraId="52BE0BCB">
      <w:pPr>
        <w:pStyle w:val="8"/>
        <w:spacing w:before="0" w:beforeAutospacing="0" w:after="0" w:afterAutospacing="0" w:line="360" w:lineRule="auto"/>
        <w:ind w:firstLine="420"/>
        <w:rPr>
          <w:sz w:val="21"/>
          <w:szCs w:val="21"/>
        </w:rPr>
      </w:pPr>
      <w:r>
        <w:rPr>
          <w:rFonts w:hint="eastAsia"/>
          <w:sz w:val="21"/>
          <w:szCs w:val="21"/>
        </w:rPr>
        <w:t xml:space="preserve">组织形式: 有限责任公司 </w:t>
      </w:r>
    </w:p>
    <w:p w14:paraId="1D7C8CDA">
      <w:pPr>
        <w:pStyle w:val="8"/>
        <w:spacing w:before="0" w:beforeAutospacing="0" w:after="0" w:afterAutospacing="0" w:line="360" w:lineRule="auto"/>
        <w:ind w:firstLine="420"/>
        <w:rPr>
          <w:sz w:val="21"/>
          <w:szCs w:val="21"/>
        </w:rPr>
      </w:pPr>
      <w:r>
        <w:rPr>
          <w:rFonts w:hint="eastAsia"/>
          <w:sz w:val="21"/>
          <w:szCs w:val="21"/>
        </w:rPr>
        <w:t xml:space="preserve">经营范围：基金募集；基金销售；资产管理；中国证监会许可的其他业务 </w:t>
      </w:r>
    </w:p>
    <w:p w14:paraId="7269B230">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2A638BAB">
      <w:pPr>
        <w:pStyle w:val="8"/>
        <w:spacing w:before="0" w:beforeAutospacing="0" w:after="0" w:afterAutospacing="0" w:line="360" w:lineRule="auto"/>
        <w:ind w:firstLine="420"/>
        <w:rPr>
          <w:sz w:val="21"/>
          <w:szCs w:val="21"/>
        </w:rPr>
      </w:pPr>
      <w:r>
        <w:rPr>
          <w:rFonts w:hint="eastAsia"/>
          <w:sz w:val="21"/>
          <w:szCs w:val="21"/>
        </w:rPr>
        <w:t xml:space="preserve">电话：0755-83169999 </w:t>
      </w:r>
    </w:p>
    <w:p w14:paraId="1D1CFBC8">
      <w:pPr>
        <w:pStyle w:val="8"/>
        <w:spacing w:before="0" w:beforeAutospacing="0" w:after="0" w:afterAutospacing="0" w:line="360" w:lineRule="auto"/>
        <w:ind w:firstLine="420"/>
        <w:rPr>
          <w:sz w:val="21"/>
          <w:szCs w:val="21"/>
        </w:rPr>
      </w:pPr>
      <w:r>
        <w:rPr>
          <w:rFonts w:hint="eastAsia"/>
          <w:sz w:val="21"/>
          <w:szCs w:val="21"/>
        </w:rPr>
        <w:t xml:space="preserve">传真：0755-83195140 </w:t>
      </w:r>
    </w:p>
    <w:p w14:paraId="449878C9">
      <w:pPr>
        <w:pStyle w:val="8"/>
        <w:spacing w:before="0" w:beforeAutospacing="0" w:after="0" w:afterAutospacing="0" w:line="360" w:lineRule="auto"/>
        <w:ind w:firstLine="420"/>
        <w:rPr>
          <w:sz w:val="21"/>
          <w:szCs w:val="21"/>
        </w:rPr>
      </w:pPr>
      <w:r>
        <w:rPr>
          <w:rFonts w:hint="eastAsia"/>
          <w:sz w:val="21"/>
          <w:szCs w:val="21"/>
        </w:rPr>
        <w:t xml:space="preserve">联系人：韩强 </w:t>
      </w:r>
    </w:p>
    <w:p w14:paraId="6F181C5C">
      <w:pPr>
        <w:pStyle w:val="8"/>
        <w:spacing w:before="0" w:beforeAutospacing="0" w:after="0" w:afterAutospacing="0" w:line="360" w:lineRule="auto"/>
        <w:ind w:firstLine="420"/>
        <w:rPr>
          <w:sz w:val="21"/>
          <w:szCs w:val="21"/>
        </w:rPr>
      </w:pPr>
      <w:r>
        <w:rPr>
          <w:rFonts w:hint="eastAsia"/>
          <w:sz w:val="21"/>
          <w:szCs w:val="21"/>
        </w:rPr>
        <w:t xml:space="preserve">（二）基金托管人  </w:t>
      </w:r>
    </w:p>
    <w:p w14:paraId="051A9A4D">
      <w:pPr>
        <w:pStyle w:val="8"/>
        <w:spacing w:before="0" w:beforeAutospacing="0" w:after="0" w:afterAutospacing="0" w:line="360" w:lineRule="auto"/>
        <w:ind w:firstLine="420"/>
        <w:rPr>
          <w:sz w:val="21"/>
          <w:szCs w:val="21"/>
        </w:rPr>
      </w:pPr>
      <w:r>
        <w:rPr>
          <w:rFonts w:hint="eastAsia"/>
          <w:sz w:val="21"/>
          <w:szCs w:val="21"/>
        </w:rPr>
        <w:t xml:space="preserve">名称：中国工商银行股份有限公司 </w:t>
      </w:r>
    </w:p>
    <w:p w14:paraId="6D023DC7">
      <w:pPr>
        <w:pStyle w:val="8"/>
        <w:spacing w:before="0" w:beforeAutospacing="0" w:after="0" w:afterAutospacing="0" w:line="360" w:lineRule="auto"/>
        <w:ind w:firstLine="420"/>
        <w:rPr>
          <w:sz w:val="21"/>
          <w:szCs w:val="21"/>
        </w:rPr>
      </w:pPr>
      <w:r>
        <w:rPr>
          <w:rFonts w:hint="eastAsia"/>
          <w:sz w:val="21"/>
          <w:szCs w:val="21"/>
        </w:rPr>
        <w:t xml:space="preserve">住所：北京市西城区复兴门内大街55号（100140）  </w:t>
      </w:r>
    </w:p>
    <w:p w14:paraId="5290AB43">
      <w:pPr>
        <w:pStyle w:val="8"/>
        <w:spacing w:before="0" w:beforeAutospacing="0" w:after="0" w:afterAutospacing="0" w:line="360" w:lineRule="auto"/>
        <w:ind w:firstLine="420"/>
        <w:rPr>
          <w:sz w:val="21"/>
          <w:szCs w:val="21"/>
        </w:rPr>
      </w:pPr>
      <w:r>
        <w:rPr>
          <w:rFonts w:hint="eastAsia"/>
          <w:sz w:val="21"/>
          <w:szCs w:val="21"/>
        </w:rPr>
        <w:t xml:space="preserve">法定代表人：陈四清 </w:t>
      </w:r>
    </w:p>
    <w:p w14:paraId="16018194">
      <w:pPr>
        <w:pStyle w:val="8"/>
        <w:spacing w:before="0" w:beforeAutospacing="0" w:after="0" w:afterAutospacing="0" w:line="360" w:lineRule="auto"/>
        <w:ind w:firstLine="420"/>
        <w:rPr>
          <w:sz w:val="21"/>
          <w:szCs w:val="21"/>
        </w:rPr>
      </w:pPr>
      <w:r>
        <w:rPr>
          <w:rFonts w:hint="eastAsia"/>
          <w:sz w:val="21"/>
          <w:szCs w:val="21"/>
        </w:rPr>
        <w:t xml:space="preserve">电话：（010）66105799 </w:t>
      </w:r>
    </w:p>
    <w:p w14:paraId="6273DF16">
      <w:pPr>
        <w:pStyle w:val="8"/>
        <w:spacing w:before="0" w:beforeAutospacing="0" w:after="0" w:afterAutospacing="0" w:line="360" w:lineRule="auto"/>
        <w:ind w:firstLine="420"/>
        <w:rPr>
          <w:sz w:val="21"/>
          <w:szCs w:val="21"/>
        </w:rPr>
      </w:pPr>
      <w:r>
        <w:rPr>
          <w:rFonts w:hint="eastAsia"/>
          <w:sz w:val="21"/>
          <w:szCs w:val="21"/>
        </w:rPr>
        <w:t xml:space="preserve">传真：（010）66105798 </w:t>
      </w:r>
    </w:p>
    <w:p w14:paraId="6899973A">
      <w:pPr>
        <w:pStyle w:val="8"/>
        <w:spacing w:before="0" w:beforeAutospacing="0" w:after="0" w:afterAutospacing="0" w:line="360" w:lineRule="auto"/>
        <w:ind w:firstLine="420"/>
        <w:rPr>
          <w:sz w:val="21"/>
          <w:szCs w:val="21"/>
        </w:rPr>
      </w:pPr>
      <w:r>
        <w:rPr>
          <w:rFonts w:hint="eastAsia"/>
          <w:sz w:val="21"/>
          <w:szCs w:val="21"/>
        </w:rPr>
        <w:t xml:space="preserve">联系人：郭明 </w:t>
      </w:r>
    </w:p>
    <w:p w14:paraId="50AC626C">
      <w:pPr>
        <w:pStyle w:val="8"/>
        <w:spacing w:before="0" w:beforeAutospacing="0" w:after="0" w:afterAutospacing="0" w:line="360" w:lineRule="auto"/>
        <w:ind w:firstLine="420"/>
        <w:rPr>
          <w:sz w:val="21"/>
          <w:szCs w:val="21"/>
        </w:rPr>
      </w:pPr>
      <w:r>
        <w:rPr>
          <w:rFonts w:hint="eastAsia"/>
          <w:sz w:val="21"/>
          <w:szCs w:val="21"/>
        </w:rPr>
        <w:t xml:space="preserve">成立时间：1984年1月1日  </w:t>
      </w:r>
    </w:p>
    <w:p w14:paraId="2E8251DF">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5A98EC45">
      <w:pPr>
        <w:pStyle w:val="8"/>
        <w:spacing w:before="0" w:beforeAutospacing="0" w:after="0" w:afterAutospacing="0" w:line="360" w:lineRule="auto"/>
        <w:ind w:firstLine="420"/>
        <w:rPr>
          <w:sz w:val="21"/>
          <w:szCs w:val="21"/>
        </w:rPr>
      </w:pPr>
      <w:r>
        <w:rPr>
          <w:rFonts w:hint="eastAsia"/>
          <w:sz w:val="21"/>
          <w:szCs w:val="21"/>
        </w:rPr>
        <w:t xml:space="preserve">批准设立机关及批准设立文号：国务院《关于中国人民银行专门行使中央银行职能的决定》（国发[1983]146 号） </w:t>
      </w:r>
    </w:p>
    <w:p w14:paraId="1D5C2CD8">
      <w:pPr>
        <w:pStyle w:val="8"/>
        <w:spacing w:before="0" w:beforeAutospacing="0" w:after="0" w:afterAutospacing="0" w:line="360" w:lineRule="auto"/>
        <w:ind w:firstLine="420"/>
        <w:rPr>
          <w:sz w:val="21"/>
          <w:szCs w:val="21"/>
        </w:rPr>
      </w:pPr>
      <w:r>
        <w:rPr>
          <w:rFonts w:hint="eastAsia"/>
          <w:sz w:val="21"/>
          <w:szCs w:val="21"/>
        </w:rPr>
        <w:t xml:space="preserve">注册资本：人民币35,640,625.7089万元  </w:t>
      </w:r>
    </w:p>
    <w:p w14:paraId="1E9AF63B">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4C7CE30B">
      <w:pPr>
        <w:pStyle w:val="8"/>
        <w:spacing w:before="0" w:beforeAutospacing="0" w:after="0" w:afterAutospacing="0" w:line="360" w:lineRule="auto"/>
        <w:ind w:firstLine="420"/>
        <w:rPr>
          <w:sz w:val="21"/>
          <w:szCs w:val="21"/>
        </w:rPr>
      </w:pPr>
      <w:r>
        <w:rPr>
          <w:rFonts w:hint="eastAsia"/>
          <w:sz w:val="21"/>
          <w:szCs w:val="21"/>
        </w:rPr>
        <w:t xml:space="preserve">基金托管资格批文及文号：中国证监会和中国人民银行证监基字【1998】3号 </w:t>
      </w:r>
    </w:p>
    <w:p w14:paraId="09F62644">
      <w:pPr>
        <w:pStyle w:val="8"/>
        <w:spacing w:before="0" w:beforeAutospacing="0" w:after="0" w:afterAutospacing="0" w:line="360" w:lineRule="auto"/>
        <w:ind w:firstLine="420"/>
        <w:rPr>
          <w:sz w:val="21"/>
          <w:szCs w:val="21"/>
        </w:rPr>
      </w:pPr>
      <w:r>
        <w:rPr>
          <w:rFonts w:hint="eastAsia"/>
          <w:sz w:val="21"/>
          <w:szCs w:val="21"/>
        </w:rPr>
        <w:t xml:space="preserve">经营范围：办理人民币存款、贷款、同业拆借业务；国内外结算；办理票据承兑、贴现、转贴现、各类汇兑业务；代理资金清算；提供信用证服务及担保；代理销售业务；代理发行、代理承销、代理兑付政府债券；代收代付业务；代理证券投资基金清算业务（银证转账）；保险代理业务；代理政策性银行、外国政府和国际金融机构贷款业务；保管箱服务；发行金融债券；买卖政府债券、金融债券；证券投资基金、企业年金托管业务；企业年金受托管理服务；年金账户管理服务；开放式基金的注册登记、认购、申购和赎回业务；资信调查、咨询、见证业务；贷款承诺；企业、个人财务顾问服务；组织或参加银团贷款；外汇存款；外汇贷款；外币兑换；出口托收及进口代收；外汇票据承兑和贴现；外汇借款；外汇担保；发行、代理发行、买卖或代理买卖股票以外的外币有价证券；自营、代客外汇买卖；外汇金融衍生业务；银行卡业务；电话银行、网上银行、手机银行业务；办理结汇、售汇业务；经国务院银行业监督管理机构批准的其他业务。 </w:t>
      </w:r>
    </w:p>
    <w:p w14:paraId="2E9DCA9D">
      <w:pPr>
        <w:pStyle w:val="8"/>
        <w:spacing w:before="0" w:beforeAutospacing="0" w:after="0" w:afterAutospacing="0" w:line="360" w:lineRule="auto"/>
        <w:ind w:firstLine="420"/>
        <w:rPr>
          <w:sz w:val="21"/>
          <w:szCs w:val="21"/>
        </w:rPr>
      </w:pPr>
      <w:r>
        <w:rPr>
          <w:rFonts w:hint="eastAsia"/>
          <w:b/>
          <w:bCs/>
          <w:sz w:val="21"/>
          <w:szCs w:val="21"/>
        </w:rPr>
        <w:t>二、基金托管人对基金管理人的业务监督和核查</w:t>
      </w:r>
    </w:p>
    <w:p w14:paraId="4DA6CAE2">
      <w:pPr>
        <w:pStyle w:val="8"/>
        <w:spacing w:before="0" w:beforeAutospacing="0" w:after="0" w:afterAutospacing="0" w:line="360" w:lineRule="auto"/>
        <w:ind w:firstLine="420"/>
        <w:rPr>
          <w:sz w:val="21"/>
          <w:szCs w:val="21"/>
        </w:rPr>
      </w:pPr>
      <w:r>
        <w:rPr>
          <w:rFonts w:hint="eastAsia"/>
          <w:sz w:val="21"/>
          <w:szCs w:val="21"/>
        </w:rPr>
        <w:t xml:space="preserve">1、基金托管人根据有关法律法规的规定和《基金合同》的约定，对下述基金投资范围、投资对象进行监督。 </w:t>
      </w:r>
    </w:p>
    <w:p w14:paraId="14070C0F">
      <w:pPr>
        <w:pStyle w:val="8"/>
        <w:spacing w:before="0" w:beforeAutospacing="0" w:after="0" w:afterAutospacing="0" w:line="360" w:lineRule="auto"/>
        <w:ind w:firstLine="420"/>
        <w:rPr>
          <w:sz w:val="21"/>
          <w:szCs w:val="21"/>
        </w:rPr>
      </w:pPr>
      <w:r>
        <w:rPr>
          <w:rFonts w:hint="eastAsia"/>
          <w:sz w:val="21"/>
          <w:szCs w:val="21"/>
        </w:rPr>
        <w:t xml:space="preserve">本基金将投资于以下金融工具： </w:t>
      </w:r>
    </w:p>
    <w:p w14:paraId="21BACCED">
      <w:pPr>
        <w:pStyle w:val="8"/>
        <w:spacing w:before="0" w:beforeAutospacing="0" w:after="0" w:afterAutospacing="0" w:line="360" w:lineRule="auto"/>
        <w:ind w:firstLine="420"/>
        <w:rPr>
          <w:sz w:val="21"/>
          <w:szCs w:val="21"/>
        </w:rPr>
      </w:pPr>
      <w:r>
        <w:rPr>
          <w:rFonts w:hint="eastAsia"/>
          <w:sz w:val="21"/>
          <w:szCs w:val="21"/>
        </w:rPr>
        <w:t xml:space="preserve">本基金主要投资于标的指数成份股、备选成份股、境外上市交易的跟踪同一标的指数的公募基金。 </w:t>
      </w:r>
    </w:p>
    <w:p w14:paraId="2D3D75FD">
      <w:pPr>
        <w:pStyle w:val="8"/>
        <w:spacing w:before="0" w:beforeAutospacing="0" w:after="0" w:afterAutospacing="0" w:line="360" w:lineRule="auto"/>
        <w:ind w:firstLine="420"/>
        <w:rPr>
          <w:sz w:val="21"/>
          <w:szCs w:val="21"/>
        </w:rPr>
      </w:pPr>
      <w:r>
        <w:rPr>
          <w:rFonts w:hint="eastAsia"/>
          <w:sz w:val="21"/>
          <w:szCs w:val="21"/>
        </w:rPr>
        <w:t xml:space="preserve">为了更好地实现投资目标，本基金还可投资于依法发行或上市的其他股票、固定收益类证券、银行存款、货币市场工具、跟踪同一标的指数的股指期货等金融衍生工具、法律法规或中国证监会允许基金投资的其他金融工具，但须符合中国证监会的相关规定。其中，本基金投资于标的指数成份股及备选成份股的比例不低于基金资产净值的90%。 </w:t>
      </w:r>
    </w:p>
    <w:p w14:paraId="674AE15C">
      <w:pPr>
        <w:pStyle w:val="8"/>
        <w:spacing w:before="0" w:beforeAutospacing="0" w:after="0" w:afterAutospacing="0" w:line="360" w:lineRule="auto"/>
        <w:ind w:firstLine="420"/>
        <w:rPr>
          <w:sz w:val="21"/>
          <w:szCs w:val="21"/>
        </w:rPr>
      </w:pPr>
      <w:r>
        <w:rPr>
          <w:rFonts w:hint="eastAsia"/>
          <w:sz w:val="21"/>
          <w:szCs w:val="21"/>
        </w:rPr>
        <w:t xml:space="preserve">本基金根据相关法律法规或中国证监会要求履行相关手续后，还可以投资于法律法规或中国证监会未来允许基金投资的其他金融工具，但须符合中国证监会的相关规定。 </w:t>
      </w:r>
    </w:p>
    <w:p w14:paraId="42D78052">
      <w:pPr>
        <w:pStyle w:val="8"/>
        <w:spacing w:before="0" w:beforeAutospacing="0" w:after="0" w:afterAutospacing="0" w:line="360" w:lineRule="auto"/>
        <w:ind w:firstLine="420"/>
        <w:rPr>
          <w:sz w:val="21"/>
          <w:szCs w:val="21"/>
        </w:rPr>
      </w:pPr>
      <w:r>
        <w:rPr>
          <w:rFonts w:hint="eastAsia"/>
          <w:sz w:val="21"/>
          <w:szCs w:val="21"/>
        </w:rPr>
        <w:t xml:space="preserve">2、基金托管人根据有关法律法规的规定及《基金合同》的约定对下述基金投融资比例进行监督： </w:t>
      </w:r>
    </w:p>
    <w:p w14:paraId="676374A2">
      <w:pPr>
        <w:pStyle w:val="8"/>
        <w:spacing w:before="0" w:beforeAutospacing="0" w:after="0" w:afterAutospacing="0" w:line="360" w:lineRule="auto"/>
        <w:ind w:firstLine="420"/>
        <w:rPr>
          <w:sz w:val="21"/>
          <w:szCs w:val="21"/>
        </w:rPr>
      </w:pPr>
      <w:r>
        <w:rPr>
          <w:rFonts w:hint="eastAsia"/>
          <w:sz w:val="21"/>
          <w:szCs w:val="21"/>
        </w:rPr>
        <w:t xml:space="preserve">（1）按法律法规的规定及《基金合同》的约定，本基金的投资资产配置比例为：本基金投资于标的指数成份股及备选成份股的比例不低于基金资产净值的90%。 </w:t>
      </w:r>
    </w:p>
    <w:p w14:paraId="3C28C8BF">
      <w:pPr>
        <w:pStyle w:val="8"/>
        <w:spacing w:before="0" w:beforeAutospacing="0" w:after="0" w:afterAutospacing="0" w:line="360" w:lineRule="auto"/>
        <w:ind w:firstLine="420"/>
        <w:rPr>
          <w:sz w:val="21"/>
          <w:szCs w:val="21"/>
        </w:rPr>
      </w:pPr>
      <w:r>
        <w:rPr>
          <w:rFonts w:hint="eastAsia"/>
          <w:sz w:val="21"/>
          <w:szCs w:val="21"/>
        </w:rPr>
        <w:t xml:space="preserve">（2）根据法律法规的规定及《基金合同》的约定，本基金投资组合遵循以下投资限制： </w:t>
      </w:r>
    </w:p>
    <w:p w14:paraId="76F44AAF">
      <w:pPr>
        <w:pStyle w:val="8"/>
        <w:spacing w:before="0" w:beforeAutospacing="0" w:after="0" w:afterAutospacing="0" w:line="360" w:lineRule="auto"/>
        <w:ind w:firstLine="420"/>
        <w:rPr>
          <w:sz w:val="21"/>
          <w:szCs w:val="21"/>
        </w:rPr>
      </w:pPr>
      <w:r>
        <w:rPr>
          <w:rFonts w:hint="eastAsia"/>
          <w:sz w:val="21"/>
          <w:szCs w:val="21"/>
        </w:rPr>
        <w:t xml:space="preserve">1)本基金持有同一家银行的存款不得超过基金净值的20%，其中银行应当是中资商业银行在境外设立的分行或在最近一个会计年度达到中国证监会认可的信用评级机构评级的境外银行，但在基金托管账户的存款可以不受上述限制。 </w:t>
      </w:r>
    </w:p>
    <w:p w14:paraId="412A5981">
      <w:pPr>
        <w:pStyle w:val="8"/>
        <w:spacing w:before="0" w:beforeAutospacing="0" w:after="0" w:afterAutospacing="0" w:line="360" w:lineRule="auto"/>
        <w:ind w:firstLine="420"/>
        <w:rPr>
          <w:sz w:val="21"/>
          <w:szCs w:val="21"/>
        </w:rPr>
      </w:pPr>
      <w:r>
        <w:rPr>
          <w:rFonts w:hint="eastAsia"/>
          <w:sz w:val="21"/>
          <w:szCs w:val="21"/>
        </w:rPr>
        <w:t xml:space="preserve">2)本基金持有同一机构（政府、国际金融组织除外）发行的证券市值不得超过基金资产净值的10%。但标的指数成份股不受此限。 </w:t>
      </w:r>
    </w:p>
    <w:p w14:paraId="266F3A1F">
      <w:pPr>
        <w:pStyle w:val="8"/>
        <w:spacing w:before="0" w:beforeAutospacing="0" w:after="0" w:afterAutospacing="0" w:line="360" w:lineRule="auto"/>
        <w:ind w:firstLine="420"/>
        <w:rPr>
          <w:sz w:val="21"/>
          <w:szCs w:val="21"/>
        </w:rPr>
      </w:pPr>
      <w:r>
        <w:rPr>
          <w:rFonts w:hint="eastAsia"/>
          <w:sz w:val="21"/>
          <w:szCs w:val="21"/>
        </w:rPr>
        <w:t xml:space="preserve">3)本基金持有与中国证监会签署双边监管合作谅解备忘录国家或地区以外的其他国家或地区证券市场挂牌交易的证券资产不得超过基金资产净值的10%，其中持有任一国家或地区市场的证券资产不得超过基金资产净值的3%。 </w:t>
      </w:r>
    </w:p>
    <w:p w14:paraId="0C8CE09C">
      <w:pPr>
        <w:pStyle w:val="8"/>
        <w:spacing w:before="0" w:beforeAutospacing="0" w:after="0" w:afterAutospacing="0" w:line="360" w:lineRule="auto"/>
        <w:ind w:firstLine="420"/>
        <w:rPr>
          <w:sz w:val="21"/>
          <w:szCs w:val="21"/>
        </w:rPr>
      </w:pPr>
      <w:r>
        <w:rPr>
          <w:rFonts w:hint="eastAsia"/>
          <w:sz w:val="21"/>
          <w:szCs w:val="21"/>
        </w:rPr>
        <w:t xml:space="preserve">4）、基金不得购买证券用于控制或影响发行该证券的机构或其管理层。同一基金管理人管理的全部基金不得持有同一机构10%以上具有投票权的证券发行总量。但标的指数成份股不受此限。 </w:t>
      </w:r>
    </w:p>
    <w:p w14:paraId="2C75266F">
      <w:pPr>
        <w:pStyle w:val="8"/>
        <w:spacing w:before="0" w:beforeAutospacing="0" w:after="0" w:afterAutospacing="0" w:line="360" w:lineRule="auto"/>
        <w:ind w:firstLine="420"/>
        <w:rPr>
          <w:sz w:val="21"/>
          <w:szCs w:val="21"/>
        </w:rPr>
      </w:pPr>
      <w:r>
        <w:rPr>
          <w:rFonts w:hint="eastAsia"/>
          <w:sz w:val="21"/>
          <w:szCs w:val="21"/>
        </w:rPr>
        <w:t xml:space="preserve">前项投资比例限制应当合并计算同一机构境内外上市的总股本，同时应当一并计算全球存托凭证和美国存托凭证所代表的基础证券，并假设对持有的股本权证行使转换。 </w:t>
      </w:r>
    </w:p>
    <w:p w14:paraId="76F337A8">
      <w:pPr>
        <w:pStyle w:val="8"/>
        <w:spacing w:before="0" w:beforeAutospacing="0" w:after="0" w:afterAutospacing="0" w:line="360" w:lineRule="auto"/>
        <w:ind w:firstLine="420"/>
        <w:rPr>
          <w:sz w:val="21"/>
          <w:szCs w:val="21"/>
        </w:rPr>
      </w:pPr>
      <w:r>
        <w:rPr>
          <w:rFonts w:hint="eastAsia"/>
          <w:sz w:val="21"/>
          <w:szCs w:val="21"/>
        </w:rPr>
        <w:t xml:space="preserve">5）本基金持有非流动性资产市值不得超过基金资产净值的10%。 </w:t>
      </w:r>
    </w:p>
    <w:p w14:paraId="03E386F2">
      <w:pPr>
        <w:pStyle w:val="8"/>
        <w:spacing w:before="0" w:beforeAutospacing="0" w:after="0" w:afterAutospacing="0" w:line="360" w:lineRule="auto"/>
        <w:ind w:firstLine="420"/>
        <w:rPr>
          <w:sz w:val="21"/>
          <w:szCs w:val="21"/>
        </w:rPr>
      </w:pPr>
      <w:r>
        <w:rPr>
          <w:rFonts w:hint="eastAsia"/>
          <w:sz w:val="21"/>
          <w:szCs w:val="21"/>
        </w:rPr>
        <w:t xml:space="preserve">上述非流动性资产是指法律或基金合同规定的流通受限证券以及中国证监会认定的其他资产。 </w:t>
      </w:r>
    </w:p>
    <w:p w14:paraId="6EB2BC76">
      <w:pPr>
        <w:pStyle w:val="8"/>
        <w:spacing w:before="0" w:beforeAutospacing="0" w:after="0" w:afterAutospacing="0" w:line="360" w:lineRule="auto"/>
        <w:ind w:firstLine="420"/>
        <w:rPr>
          <w:sz w:val="21"/>
          <w:szCs w:val="21"/>
        </w:rPr>
      </w:pPr>
      <w:r>
        <w:rPr>
          <w:rFonts w:hint="eastAsia"/>
          <w:sz w:val="21"/>
          <w:szCs w:val="21"/>
        </w:rPr>
        <w:t xml:space="preserve">6）本基金持有境外基金的市值合计不得超过基金资产净值的10%，但持有货币市场基金不受此限制。 </w:t>
      </w:r>
    </w:p>
    <w:p w14:paraId="03BB7731">
      <w:pPr>
        <w:pStyle w:val="8"/>
        <w:spacing w:before="0" w:beforeAutospacing="0" w:after="0" w:afterAutospacing="0" w:line="360" w:lineRule="auto"/>
        <w:ind w:firstLine="420"/>
        <w:rPr>
          <w:sz w:val="21"/>
          <w:szCs w:val="21"/>
        </w:rPr>
      </w:pPr>
      <w:r>
        <w:rPr>
          <w:rFonts w:hint="eastAsia"/>
          <w:sz w:val="21"/>
          <w:szCs w:val="21"/>
        </w:rPr>
        <w:t xml:space="preserve">7）为应付赎回、交易清算等临时用途借入现金的比例不得超过基金资产净值的10%。 </w:t>
      </w:r>
    </w:p>
    <w:p w14:paraId="35EA7C33">
      <w:pPr>
        <w:pStyle w:val="8"/>
        <w:spacing w:before="0" w:beforeAutospacing="0" w:after="0" w:afterAutospacing="0" w:line="360" w:lineRule="auto"/>
        <w:ind w:firstLine="420"/>
        <w:rPr>
          <w:sz w:val="21"/>
          <w:szCs w:val="21"/>
        </w:rPr>
      </w:pPr>
      <w:r>
        <w:rPr>
          <w:rFonts w:hint="eastAsia"/>
          <w:sz w:val="21"/>
          <w:szCs w:val="21"/>
        </w:rPr>
        <w:t xml:space="preserve">8）本基金如果参与境内投资，还应当遵守以下限制：  </w:t>
      </w:r>
    </w:p>
    <w:p w14:paraId="7B635528">
      <w:pPr>
        <w:pStyle w:val="8"/>
        <w:spacing w:before="0" w:beforeAutospacing="0" w:after="0" w:afterAutospacing="0" w:line="360" w:lineRule="auto"/>
        <w:ind w:firstLine="420"/>
        <w:rPr>
          <w:sz w:val="21"/>
          <w:szCs w:val="21"/>
        </w:rPr>
      </w:pPr>
      <w:r>
        <w:rPr>
          <w:rFonts w:hint="eastAsia"/>
          <w:sz w:val="21"/>
          <w:szCs w:val="21"/>
        </w:rPr>
        <w:t xml:space="preserve">A.本基金主动投资于流动性受限资产的市值合计不得超过本基金资产净值的15%。  </w:t>
      </w:r>
    </w:p>
    <w:p w14:paraId="4FBC417B">
      <w:pPr>
        <w:pStyle w:val="8"/>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1DC1CFEA">
      <w:pPr>
        <w:pStyle w:val="8"/>
        <w:spacing w:before="0" w:beforeAutospacing="0" w:after="0" w:afterAutospacing="0" w:line="360" w:lineRule="auto"/>
        <w:ind w:firstLine="420"/>
        <w:rPr>
          <w:sz w:val="21"/>
          <w:szCs w:val="21"/>
        </w:rPr>
      </w:pPr>
      <w:r>
        <w:rPr>
          <w:rFonts w:hint="eastAsia"/>
          <w:sz w:val="21"/>
          <w:szCs w:val="21"/>
        </w:rPr>
        <w:t xml:space="preserve">B.本基金与私募类证券资管产品及中国证监会认定的其他主体为交易对手开展逆回购交易的，可接受质押品的资质要求应当与基金合同约定的投资范围保持一致。  </w:t>
      </w:r>
    </w:p>
    <w:p w14:paraId="70F54B8B">
      <w:pPr>
        <w:pStyle w:val="8"/>
        <w:spacing w:before="0" w:beforeAutospacing="0" w:after="0" w:afterAutospacing="0" w:line="360" w:lineRule="auto"/>
        <w:ind w:firstLine="420"/>
        <w:rPr>
          <w:sz w:val="21"/>
          <w:szCs w:val="21"/>
        </w:rPr>
      </w:pPr>
      <w:r>
        <w:rPr>
          <w:rFonts w:hint="eastAsia"/>
          <w:sz w:val="21"/>
          <w:szCs w:val="21"/>
        </w:rPr>
        <w:t xml:space="preserve">除上述第8）条外，若基金超过上述项投资比例限制，应当在超过比例后30个工作日内采用合理的商业措施减仓以符合投资比例限制要求。法律法规另有规定的，从其规定。 </w:t>
      </w:r>
    </w:p>
    <w:p w14:paraId="67C43D09">
      <w:pPr>
        <w:pStyle w:val="8"/>
        <w:spacing w:before="0" w:beforeAutospacing="0" w:after="0" w:afterAutospacing="0" w:line="360" w:lineRule="auto"/>
        <w:ind w:firstLine="420"/>
        <w:rPr>
          <w:sz w:val="21"/>
          <w:szCs w:val="21"/>
        </w:rPr>
      </w:pPr>
      <w:r>
        <w:rPr>
          <w:rFonts w:hint="eastAsia"/>
          <w:sz w:val="21"/>
          <w:szCs w:val="21"/>
        </w:rPr>
        <w:t xml:space="preserve">（3）关于金融衍生品投资的限制  </w:t>
      </w:r>
    </w:p>
    <w:p w14:paraId="13BE7A20">
      <w:pPr>
        <w:pStyle w:val="8"/>
        <w:spacing w:before="0" w:beforeAutospacing="0" w:after="0" w:afterAutospacing="0" w:line="360" w:lineRule="auto"/>
        <w:ind w:firstLine="420"/>
        <w:rPr>
          <w:sz w:val="21"/>
          <w:szCs w:val="21"/>
        </w:rPr>
      </w:pPr>
      <w:r>
        <w:rPr>
          <w:rFonts w:hint="eastAsia"/>
          <w:sz w:val="21"/>
          <w:szCs w:val="21"/>
        </w:rPr>
        <w:t xml:space="preserve">本基金投资衍生品应当仅限于投资组合避险或有效管理，不得用于投机或放大交易，同时应当严格遵守下列规定： </w:t>
      </w:r>
    </w:p>
    <w:p w14:paraId="2D8018C7">
      <w:pPr>
        <w:pStyle w:val="8"/>
        <w:spacing w:before="0" w:beforeAutospacing="0" w:after="0" w:afterAutospacing="0" w:line="360" w:lineRule="auto"/>
        <w:ind w:firstLine="420"/>
        <w:rPr>
          <w:sz w:val="21"/>
          <w:szCs w:val="21"/>
        </w:rPr>
      </w:pPr>
      <w:r>
        <w:rPr>
          <w:rFonts w:hint="eastAsia"/>
          <w:sz w:val="21"/>
          <w:szCs w:val="21"/>
        </w:rPr>
        <w:t xml:space="preserve">A.本基金的金融衍生品全部敞口不得高于基金资产净值的100％。 </w:t>
      </w:r>
    </w:p>
    <w:p w14:paraId="6C36377C">
      <w:pPr>
        <w:pStyle w:val="8"/>
        <w:spacing w:before="0" w:beforeAutospacing="0" w:after="0" w:afterAutospacing="0" w:line="360" w:lineRule="auto"/>
        <w:ind w:firstLine="420"/>
        <w:rPr>
          <w:sz w:val="21"/>
          <w:szCs w:val="21"/>
        </w:rPr>
      </w:pPr>
      <w:r>
        <w:rPr>
          <w:rFonts w:hint="eastAsia"/>
          <w:sz w:val="21"/>
          <w:szCs w:val="21"/>
        </w:rPr>
        <w:t xml:space="preserve">B.本基金投资期货支付的初始保证金、投资期权支付或收取的期权费、投资柜台交易衍生品支付的初始费用的总额不得高于基金资产净值的10％。 </w:t>
      </w:r>
    </w:p>
    <w:p w14:paraId="499BEB18">
      <w:pPr>
        <w:pStyle w:val="8"/>
        <w:spacing w:before="0" w:beforeAutospacing="0" w:after="0" w:afterAutospacing="0" w:line="360" w:lineRule="auto"/>
        <w:ind w:firstLine="420"/>
        <w:rPr>
          <w:sz w:val="21"/>
          <w:szCs w:val="21"/>
        </w:rPr>
      </w:pPr>
      <w:r>
        <w:rPr>
          <w:rFonts w:hint="eastAsia"/>
          <w:sz w:val="21"/>
          <w:szCs w:val="21"/>
        </w:rPr>
        <w:t xml:space="preserve">C.本基金投资于远期合约、互换等柜台交易金融衍生品，应当符合以下要求： </w:t>
      </w:r>
    </w:p>
    <w:p w14:paraId="121CE4AF">
      <w:pPr>
        <w:pStyle w:val="8"/>
        <w:spacing w:before="0" w:beforeAutospacing="0" w:after="0" w:afterAutospacing="0" w:line="360" w:lineRule="auto"/>
        <w:ind w:firstLine="420"/>
        <w:rPr>
          <w:sz w:val="21"/>
          <w:szCs w:val="21"/>
        </w:rPr>
      </w:pPr>
      <w:r>
        <w:rPr>
          <w:rFonts w:hint="eastAsia"/>
          <w:sz w:val="21"/>
          <w:szCs w:val="21"/>
        </w:rPr>
        <w:t xml:space="preserve">a.所有参与交易的对手方（中资商业银行除外）应当具有不低于中国证监会认可的信用评级机构评级； </w:t>
      </w:r>
    </w:p>
    <w:p w14:paraId="399564AF">
      <w:pPr>
        <w:pStyle w:val="8"/>
        <w:spacing w:before="0" w:beforeAutospacing="0" w:after="0" w:afterAutospacing="0" w:line="360" w:lineRule="auto"/>
        <w:ind w:firstLine="420"/>
        <w:rPr>
          <w:sz w:val="21"/>
          <w:szCs w:val="21"/>
        </w:rPr>
      </w:pPr>
      <w:r>
        <w:rPr>
          <w:rFonts w:hint="eastAsia"/>
          <w:sz w:val="21"/>
          <w:szCs w:val="21"/>
        </w:rPr>
        <w:t xml:space="preserve">b.交易对手方应当至少每个工作日对交易进行估值，并且基金可在任何时候以公允价值终止交易； </w:t>
      </w:r>
    </w:p>
    <w:p w14:paraId="15534A89">
      <w:pPr>
        <w:pStyle w:val="8"/>
        <w:spacing w:before="0" w:beforeAutospacing="0" w:after="0" w:afterAutospacing="0" w:line="360" w:lineRule="auto"/>
        <w:ind w:firstLine="420"/>
        <w:rPr>
          <w:sz w:val="21"/>
          <w:szCs w:val="21"/>
        </w:rPr>
      </w:pPr>
      <w:r>
        <w:rPr>
          <w:rFonts w:hint="eastAsia"/>
          <w:sz w:val="21"/>
          <w:szCs w:val="21"/>
        </w:rPr>
        <w:t xml:space="preserve">c.任一交易对手方的市值计价敞口不得超过基金资产净值的20％； </w:t>
      </w:r>
    </w:p>
    <w:p w14:paraId="25574AF3">
      <w:pPr>
        <w:pStyle w:val="8"/>
        <w:spacing w:before="0" w:beforeAutospacing="0" w:after="0" w:afterAutospacing="0" w:line="360" w:lineRule="auto"/>
        <w:ind w:firstLine="420"/>
        <w:rPr>
          <w:sz w:val="21"/>
          <w:szCs w:val="21"/>
        </w:rPr>
      </w:pPr>
      <w:r>
        <w:rPr>
          <w:rFonts w:hint="eastAsia"/>
          <w:sz w:val="21"/>
          <w:szCs w:val="21"/>
        </w:rPr>
        <w:t xml:space="preserve">D、基金管理人应当在本基金会计年度结束后60个工作日内向中国证监会提交包括衍生品头寸及风险分析年度报告。 </w:t>
      </w:r>
    </w:p>
    <w:p w14:paraId="724A9BE1">
      <w:pPr>
        <w:pStyle w:val="8"/>
        <w:spacing w:before="0" w:beforeAutospacing="0" w:after="0" w:afterAutospacing="0" w:line="360" w:lineRule="auto"/>
        <w:ind w:firstLine="420"/>
        <w:rPr>
          <w:sz w:val="21"/>
          <w:szCs w:val="21"/>
        </w:rPr>
      </w:pPr>
      <w:r>
        <w:rPr>
          <w:rFonts w:hint="eastAsia"/>
          <w:sz w:val="21"/>
          <w:szCs w:val="21"/>
        </w:rPr>
        <w:t xml:space="preserve">E、本基金不得直接投资与实物商品相关的衍生品。  </w:t>
      </w:r>
    </w:p>
    <w:p w14:paraId="0E3774C9">
      <w:pPr>
        <w:pStyle w:val="8"/>
        <w:spacing w:before="0" w:beforeAutospacing="0" w:after="0" w:afterAutospacing="0" w:line="360" w:lineRule="auto"/>
        <w:ind w:firstLine="420"/>
        <w:rPr>
          <w:sz w:val="21"/>
          <w:szCs w:val="21"/>
        </w:rPr>
      </w:pPr>
      <w:r>
        <w:rPr>
          <w:rFonts w:hint="eastAsia"/>
          <w:sz w:val="21"/>
          <w:szCs w:val="21"/>
        </w:rPr>
        <w:t xml:space="preserve">（4）本基金可以参与证券借贷交易，并且应当遵守下列规定：  </w:t>
      </w:r>
    </w:p>
    <w:p w14:paraId="1A7238FB">
      <w:pPr>
        <w:pStyle w:val="8"/>
        <w:spacing w:before="0" w:beforeAutospacing="0" w:after="0" w:afterAutospacing="0" w:line="360" w:lineRule="auto"/>
        <w:ind w:firstLine="420"/>
        <w:rPr>
          <w:sz w:val="21"/>
          <w:szCs w:val="21"/>
        </w:rPr>
      </w:pPr>
      <w:r>
        <w:rPr>
          <w:rFonts w:hint="eastAsia"/>
          <w:sz w:val="21"/>
          <w:szCs w:val="21"/>
        </w:rPr>
        <w:t xml:space="preserve">A.所有参与交易的对手方（中资商业银行除外）应当具有中国证监会认可的信用评级机构评级。 </w:t>
      </w:r>
    </w:p>
    <w:p w14:paraId="3BF519E3">
      <w:pPr>
        <w:pStyle w:val="8"/>
        <w:spacing w:before="0" w:beforeAutospacing="0" w:after="0" w:afterAutospacing="0" w:line="360" w:lineRule="auto"/>
        <w:ind w:firstLine="420"/>
        <w:rPr>
          <w:sz w:val="21"/>
          <w:szCs w:val="21"/>
        </w:rPr>
      </w:pPr>
      <w:r>
        <w:rPr>
          <w:rFonts w:hint="eastAsia"/>
          <w:sz w:val="21"/>
          <w:szCs w:val="21"/>
        </w:rPr>
        <w:t xml:space="preserve">B.应当采取市值计价制度进行调整以确保担保物市值不低于已借出证券市值的102％。 </w:t>
      </w:r>
    </w:p>
    <w:p w14:paraId="20E3BCB6">
      <w:pPr>
        <w:pStyle w:val="8"/>
        <w:spacing w:before="0" w:beforeAutospacing="0" w:after="0" w:afterAutospacing="0" w:line="360" w:lineRule="auto"/>
        <w:ind w:firstLine="420"/>
        <w:rPr>
          <w:sz w:val="21"/>
          <w:szCs w:val="21"/>
        </w:rPr>
      </w:pPr>
      <w:r>
        <w:rPr>
          <w:rFonts w:hint="eastAsia"/>
          <w:sz w:val="21"/>
          <w:szCs w:val="21"/>
        </w:rPr>
        <w:t xml:space="preserve">C.借方应当在交易期内及时向本基金支付已借出证券产生的所有股息、利息和分红。一旦借方违约，本基金根据协议和有关法律有权保留和处置担保物以满足索赔需要。 </w:t>
      </w:r>
    </w:p>
    <w:p w14:paraId="6B805FAE">
      <w:pPr>
        <w:pStyle w:val="8"/>
        <w:spacing w:before="0" w:beforeAutospacing="0" w:after="0" w:afterAutospacing="0" w:line="360" w:lineRule="auto"/>
        <w:ind w:firstLine="420"/>
        <w:rPr>
          <w:sz w:val="21"/>
          <w:szCs w:val="21"/>
        </w:rPr>
      </w:pPr>
      <w:r>
        <w:rPr>
          <w:rFonts w:hint="eastAsia"/>
          <w:sz w:val="21"/>
          <w:szCs w:val="21"/>
        </w:rPr>
        <w:t xml:space="preserve">D.除中国证监会另有规定外，担保物可以是以下金融工具或品种： </w:t>
      </w:r>
    </w:p>
    <w:p w14:paraId="03E9F671">
      <w:pPr>
        <w:pStyle w:val="8"/>
        <w:spacing w:before="0" w:beforeAutospacing="0" w:after="0" w:afterAutospacing="0" w:line="360" w:lineRule="auto"/>
        <w:ind w:firstLine="420"/>
        <w:rPr>
          <w:sz w:val="21"/>
          <w:szCs w:val="21"/>
        </w:rPr>
      </w:pPr>
      <w:r>
        <w:rPr>
          <w:rFonts w:hint="eastAsia"/>
          <w:sz w:val="21"/>
          <w:szCs w:val="21"/>
        </w:rPr>
        <w:t xml:space="preserve">a.现金； </w:t>
      </w:r>
    </w:p>
    <w:p w14:paraId="145E7710">
      <w:pPr>
        <w:pStyle w:val="8"/>
        <w:spacing w:before="0" w:beforeAutospacing="0" w:after="0" w:afterAutospacing="0" w:line="360" w:lineRule="auto"/>
        <w:ind w:firstLine="420"/>
        <w:rPr>
          <w:sz w:val="21"/>
          <w:szCs w:val="21"/>
        </w:rPr>
      </w:pPr>
      <w:r>
        <w:rPr>
          <w:rFonts w:hint="eastAsia"/>
          <w:sz w:val="21"/>
          <w:szCs w:val="21"/>
        </w:rPr>
        <w:t xml:space="preserve">b.存款证明； </w:t>
      </w:r>
    </w:p>
    <w:p w14:paraId="72DC7384">
      <w:pPr>
        <w:pStyle w:val="8"/>
        <w:spacing w:before="0" w:beforeAutospacing="0" w:after="0" w:afterAutospacing="0" w:line="360" w:lineRule="auto"/>
        <w:ind w:firstLine="420"/>
        <w:rPr>
          <w:sz w:val="21"/>
          <w:szCs w:val="21"/>
        </w:rPr>
      </w:pPr>
      <w:r>
        <w:rPr>
          <w:rFonts w:hint="eastAsia"/>
          <w:sz w:val="21"/>
          <w:szCs w:val="21"/>
        </w:rPr>
        <w:t xml:space="preserve">c.商业票据； </w:t>
      </w:r>
    </w:p>
    <w:p w14:paraId="2D036A19">
      <w:pPr>
        <w:pStyle w:val="8"/>
        <w:spacing w:before="0" w:beforeAutospacing="0" w:after="0" w:afterAutospacing="0" w:line="360" w:lineRule="auto"/>
        <w:ind w:firstLine="420"/>
        <w:rPr>
          <w:sz w:val="21"/>
          <w:szCs w:val="21"/>
        </w:rPr>
      </w:pPr>
      <w:r>
        <w:rPr>
          <w:rFonts w:hint="eastAsia"/>
          <w:sz w:val="21"/>
          <w:szCs w:val="21"/>
        </w:rPr>
        <w:t xml:space="preserve">d.政府债券； </w:t>
      </w:r>
    </w:p>
    <w:p w14:paraId="6A5ECDB8">
      <w:pPr>
        <w:pStyle w:val="8"/>
        <w:spacing w:before="0" w:beforeAutospacing="0" w:after="0" w:afterAutospacing="0" w:line="360" w:lineRule="auto"/>
        <w:ind w:firstLine="420"/>
        <w:rPr>
          <w:sz w:val="21"/>
          <w:szCs w:val="21"/>
        </w:rPr>
      </w:pPr>
      <w:r>
        <w:rPr>
          <w:rFonts w:hint="eastAsia"/>
          <w:sz w:val="21"/>
          <w:szCs w:val="21"/>
        </w:rPr>
        <w:t xml:space="preserve">e.中资商业银行或由不低于中国证监会认可的信用评级机构评级的境外金融机构（作为交易对手方或其关联方的除外）出具的不可撤销信用证。 </w:t>
      </w:r>
    </w:p>
    <w:p w14:paraId="4D71C6C5">
      <w:pPr>
        <w:pStyle w:val="8"/>
        <w:spacing w:before="0" w:beforeAutospacing="0" w:after="0" w:afterAutospacing="0" w:line="360" w:lineRule="auto"/>
        <w:ind w:firstLine="420"/>
        <w:rPr>
          <w:sz w:val="21"/>
          <w:szCs w:val="21"/>
        </w:rPr>
      </w:pPr>
      <w:r>
        <w:rPr>
          <w:rFonts w:hint="eastAsia"/>
          <w:sz w:val="21"/>
          <w:szCs w:val="21"/>
        </w:rPr>
        <w:t xml:space="preserve">E.本基金有权在任何时候终止证券借贷交易并在正常市场惯例的合理期限内要求归还任一或所有已借出的证券。 </w:t>
      </w:r>
    </w:p>
    <w:p w14:paraId="7CEECBBB">
      <w:pPr>
        <w:pStyle w:val="8"/>
        <w:spacing w:before="0" w:beforeAutospacing="0" w:after="0" w:afterAutospacing="0" w:line="360" w:lineRule="auto"/>
        <w:ind w:firstLine="420"/>
        <w:rPr>
          <w:sz w:val="21"/>
          <w:szCs w:val="21"/>
        </w:rPr>
      </w:pPr>
      <w:r>
        <w:rPr>
          <w:rFonts w:hint="eastAsia"/>
          <w:sz w:val="21"/>
          <w:szCs w:val="21"/>
        </w:rPr>
        <w:t xml:space="preserve">（5）基金可以根据正常市场惯例参与正回购交易、逆回购交易，并且应当遵守下列规定：  </w:t>
      </w:r>
    </w:p>
    <w:p w14:paraId="58CDAC75">
      <w:pPr>
        <w:pStyle w:val="8"/>
        <w:spacing w:before="0" w:beforeAutospacing="0" w:after="0" w:afterAutospacing="0" w:line="360" w:lineRule="auto"/>
        <w:ind w:firstLine="420"/>
        <w:rPr>
          <w:sz w:val="21"/>
          <w:szCs w:val="21"/>
        </w:rPr>
      </w:pPr>
      <w:r>
        <w:rPr>
          <w:rFonts w:hint="eastAsia"/>
          <w:sz w:val="21"/>
          <w:szCs w:val="21"/>
        </w:rPr>
        <w:t xml:space="preserve">A.所有参与正回购交易的对手方（中资商业银行除外）应当具有中国证监会认可的信用评级机构信用评级。 </w:t>
      </w:r>
    </w:p>
    <w:p w14:paraId="2D1880B2">
      <w:pPr>
        <w:pStyle w:val="8"/>
        <w:spacing w:before="0" w:beforeAutospacing="0" w:after="0" w:afterAutospacing="0" w:line="360" w:lineRule="auto"/>
        <w:ind w:firstLine="420"/>
        <w:rPr>
          <w:sz w:val="21"/>
          <w:szCs w:val="21"/>
        </w:rPr>
      </w:pPr>
      <w:r>
        <w:rPr>
          <w:rFonts w:hint="eastAsia"/>
          <w:sz w:val="21"/>
          <w:szCs w:val="21"/>
        </w:rPr>
        <w:t xml:space="preserve">B.参与正回购交易，应当采取市值计价制度对卖出收益进行调整以确保现金不低于已售出证券市值的102％。一旦买方违约，本基金根据协议和有关法律有权保留或处置卖出收益以满足索赔需要。 </w:t>
      </w:r>
    </w:p>
    <w:p w14:paraId="4D4BAA1B">
      <w:pPr>
        <w:pStyle w:val="8"/>
        <w:spacing w:before="0" w:beforeAutospacing="0" w:after="0" w:afterAutospacing="0" w:line="360" w:lineRule="auto"/>
        <w:ind w:firstLine="420"/>
        <w:rPr>
          <w:sz w:val="21"/>
          <w:szCs w:val="21"/>
        </w:rPr>
      </w:pPr>
      <w:r>
        <w:rPr>
          <w:rFonts w:hint="eastAsia"/>
          <w:sz w:val="21"/>
          <w:szCs w:val="21"/>
        </w:rPr>
        <w:t xml:space="preserve">C.买方应当在正回购交易期内及时向本基金支付售出证券产生的所有股息、利息和分红。 </w:t>
      </w:r>
    </w:p>
    <w:p w14:paraId="5AAEDDF1">
      <w:pPr>
        <w:pStyle w:val="8"/>
        <w:spacing w:before="0" w:beforeAutospacing="0" w:after="0" w:afterAutospacing="0" w:line="360" w:lineRule="auto"/>
        <w:ind w:firstLine="420"/>
        <w:rPr>
          <w:sz w:val="21"/>
          <w:szCs w:val="21"/>
        </w:rPr>
      </w:pPr>
      <w:r>
        <w:rPr>
          <w:rFonts w:hint="eastAsia"/>
          <w:sz w:val="21"/>
          <w:szCs w:val="21"/>
        </w:rPr>
        <w:t xml:space="preserve">D.参与逆回购交易，应当对购入证券采取市值计价制度进行调整以确保已购入证券市值不低于支付现金的102％。一旦卖方违约，本基金根据协议和有关法律有权保留或处置已购入证券以满足索赔需要。 </w:t>
      </w:r>
    </w:p>
    <w:p w14:paraId="106AE67B">
      <w:pPr>
        <w:pStyle w:val="8"/>
        <w:spacing w:before="0" w:beforeAutospacing="0" w:after="0" w:afterAutospacing="0" w:line="360" w:lineRule="auto"/>
        <w:ind w:firstLine="420"/>
        <w:rPr>
          <w:sz w:val="21"/>
          <w:szCs w:val="21"/>
        </w:rPr>
      </w:pPr>
      <w:r>
        <w:rPr>
          <w:rFonts w:hint="eastAsia"/>
          <w:sz w:val="21"/>
          <w:szCs w:val="21"/>
        </w:rPr>
        <w:t xml:space="preserve">E.基金参与证券借贷交易、正回购交易，所有已借出而未归还证券总市值或所有已售出而未回购证券总市值均不得超过基金总资产的50％。 </w:t>
      </w:r>
    </w:p>
    <w:p w14:paraId="7552BBF7">
      <w:pPr>
        <w:pStyle w:val="8"/>
        <w:spacing w:before="0" w:beforeAutospacing="0" w:after="0" w:afterAutospacing="0" w:line="360" w:lineRule="auto"/>
        <w:ind w:firstLine="420"/>
        <w:rPr>
          <w:sz w:val="21"/>
          <w:szCs w:val="21"/>
        </w:rPr>
      </w:pPr>
      <w:r>
        <w:rPr>
          <w:rFonts w:hint="eastAsia"/>
          <w:sz w:val="21"/>
          <w:szCs w:val="21"/>
        </w:rPr>
        <w:t xml:space="preserve">前项比例限制计算，基金因参与证券借贷交易、正回购交易而持有的担保物、现金不得计入基金总资产。 </w:t>
      </w:r>
    </w:p>
    <w:p w14:paraId="7DE4F91B">
      <w:pPr>
        <w:pStyle w:val="8"/>
        <w:spacing w:before="0" w:beforeAutospacing="0" w:after="0" w:afterAutospacing="0" w:line="360" w:lineRule="auto"/>
        <w:ind w:firstLine="420"/>
        <w:rPr>
          <w:sz w:val="21"/>
          <w:szCs w:val="21"/>
        </w:rPr>
      </w:pPr>
      <w:r>
        <w:rPr>
          <w:rFonts w:hint="eastAsia"/>
          <w:sz w:val="21"/>
          <w:szCs w:val="21"/>
        </w:rPr>
        <w:t xml:space="preserve">（6）若法律法规或中国证监会的相关规定发生修改或变更，致使现行法律法规的投资禁止行为和投资组合比例限制被修改或取消，在经基金托管人书面同意并履行适当程序后，本基金可相应调整禁止行为和投资限制规定。  </w:t>
      </w:r>
    </w:p>
    <w:p w14:paraId="280E49AA">
      <w:pPr>
        <w:pStyle w:val="8"/>
        <w:spacing w:before="0" w:beforeAutospacing="0" w:after="0" w:afterAutospacing="0" w:line="360" w:lineRule="auto"/>
        <w:ind w:firstLine="420"/>
        <w:rPr>
          <w:sz w:val="21"/>
          <w:szCs w:val="21"/>
        </w:rPr>
      </w:pPr>
      <w:r>
        <w:rPr>
          <w:rFonts w:hint="eastAsia"/>
          <w:sz w:val="21"/>
          <w:szCs w:val="21"/>
        </w:rPr>
        <w:t xml:space="preserve">（7）基金管理人应当自基金合同生效之日起6个月内使基金的投资组合比例符合基金合同的约定。若基金投资不符合基金合同约定的投资比例规定的，基金管理人应当在30个工作日内采用合理的商业措施进行调整。法律法规另有规定时，从其规定。 </w:t>
      </w:r>
    </w:p>
    <w:p w14:paraId="7C1056A5">
      <w:pPr>
        <w:pStyle w:val="8"/>
        <w:spacing w:before="0" w:beforeAutospacing="0" w:after="0" w:afterAutospacing="0" w:line="360" w:lineRule="auto"/>
        <w:ind w:firstLine="420"/>
        <w:rPr>
          <w:sz w:val="21"/>
          <w:szCs w:val="21"/>
        </w:rPr>
      </w:pPr>
      <w:r>
        <w:rPr>
          <w:rFonts w:hint="eastAsia"/>
          <w:sz w:val="21"/>
          <w:szCs w:val="21"/>
        </w:rPr>
        <w:t xml:space="preserve">除投资资产配置外，基金托管人对基金的投资的监督和检查自基金财产划转至托管账户之日起开始。 </w:t>
      </w:r>
    </w:p>
    <w:p w14:paraId="262F6320">
      <w:pPr>
        <w:pStyle w:val="8"/>
        <w:spacing w:before="0" w:beforeAutospacing="0" w:after="0" w:afterAutospacing="0" w:line="360" w:lineRule="auto"/>
        <w:ind w:firstLine="420"/>
        <w:rPr>
          <w:sz w:val="21"/>
          <w:szCs w:val="21"/>
        </w:rPr>
      </w:pPr>
      <w:r>
        <w:rPr>
          <w:rFonts w:hint="eastAsia"/>
          <w:sz w:val="21"/>
          <w:szCs w:val="21"/>
        </w:rPr>
        <w:t xml:space="preserve">3、基金托管人根据有关法律法规的规定及《基金合同》的约定对下述基金投资禁止行为进行监督： </w:t>
      </w:r>
    </w:p>
    <w:p w14:paraId="4B39756C">
      <w:pPr>
        <w:pStyle w:val="8"/>
        <w:spacing w:before="0" w:beforeAutospacing="0" w:after="0" w:afterAutospacing="0" w:line="360" w:lineRule="auto"/>
        <w:ind w:firstLine="420"/>
        <w:rPr>
          <w:sz w:val="21"/>
          <w:szCs w:val="21"/>
        </w:rPr>
      </w:pPr>
      <w:r>
        <w:rPr>
          <w:rFonts w:hint="eastAsia"/>
          <w:sz w:val="21"/>
          <w:szCs w:val="21"/>
        </w:rPr>
        <w:t xml:space="preserve">根据法律法规的规定及《基金合同》的约定，本基金禁止从事下列行为： </w:t>
      </w:r>
    </w:p>
    <w:p w14:paraId="7229C477">
      <w:pPr>
        <w:pStyle w:val="8"/>
        <w:spacing w:before="0" w:beforeAutospacing="0" w:after="0" w:afterAutospacing="0" w:line="360" w:lineRule="auto"/>
        <w:ind w:firstLine="420"/>
        <w:rPr>
          <w:sz w:val="21"/>
          <w:szCs w:val="21"/>
        </w:rPr>
      </w:pPr>
      <w:r>
        <w:rPr>
          <w:rFonts w:hint="eastAsia"/>
          <w:sz w:val="21"/>
          <w:szCs w:val="21"/>
        </w:rPr>
        <w:t xml:space="preserve">（1）承销证券； </w:t>
      </w:r>
    </w:p>
    <w:p w14:paraId="1D90D2CC">
      <w:pPr>
        <w:pStyle w:val="8"/>
        <w:spacing w:before="0" w:beforeAutospacing="0" w:after="0" w:afterAutospacing="0" w:line="360" w:lineRule="auto"/>
        <w:ind w:firstLine="420"/>
        <w:rPr>
          <w:sz w:val="21"/>
          <w:szCs w:val="21"/>
        </w:rPr>
      </w:pPr>
      <w:r>
        <w:rPr>
          <w:rFonts w:hint="eastAsia"/>
          <w:sz w:val="21"/>
          <w:szCs w:val="21"/>
        </w:rPr>
        <w:t xml:space="preserve">（2）向他人贷款或提供担保； </w:t>
      </w:r>
    </w:p>
    <w:p w14:paraId="26C06C8F">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0DB37A03">
      <w:pPr>
        <w:pStyle w:val="8"/>
        <w:spacing w:before="0" w:beforeAutospacing="0" w:after="0" w:afterAutospacing="0" w:line="360" w:lineRule="auto"/>
        <w:ind w:firstLine="420"/>
        <w:rPr>
          <w:sz w:val="21"/>
          <w:szCs w:val="21"/>
        </w:rPr>
      </w:pPr>
      <w:r>
        <w:rPr>
          <w:rFonts w:hint="eastAsia"/>
          <w:sz w:val="21"/>
          <w:szCs w:val="21"/>
        </w:rPr>
        <w:t xml:space="preserve">（4）购买不动产； </w:t>
      </w:r>
    </w:p>
    <w:p w14:paraId="75532AD6">
      <w:pPr>
        <w:pStyle w:val="8"/>
        <w:spacing w:before="0" w:beforeAutospacing="0" w:after="0" w:afterAutospacing="0" w:line="360" w:lineRule="auto"/>
        <w:ind w:firstLine="420"/>
        <w:rPr>
          <w:sz w:val="21"/>
          <w:szCs w:val="21"/>
        </w:rPr>
      </w:pPr>
      <w:r>
        <w:rPr>
          <w:rFonts w:hint="eastAsia"/>
          <w:sz w:val="21"/>
          <w:szCs w:val="21"/>
        </w:rPr>
        <w:t xml:space="preserve">（5）购买房地产抵押按揭； </w:t>
      </w:r>
    </w:p>
    <w:p w14:paraId="639754CE">
      <w:pPr>
        <w:pStyle w:val="8"/>
        <w:spacing w:before="0" w:beforeAutospacing="0" w:after="0" w:afterAutospacing="0" w:line="360" w:lineRule="auto"/>
        <w:ind w:firstLine="420"/>
        <w:rPr>
          <w:sz w:val="21"/>
          <w:szCs w:val="21"/>
        </w:rPr>
      </w:pPr>
      <w:r>
        <w:rPr>
          <w:rFonts w:hint="eastAsia"/>
          <w:sz w:val="21"/>
          <w:szCs w:val="21"/>
        </w:rPr>
        <w:t xml:space="preserve">（6）购买贵重金属或代表贵重金属的凭证； </w:t>
      </w:r>
    </w:p>
    <w:p w14:paraId="5B1F9EB4">
      <w:pPr>
        <w:pStyle w:val="8"/>
        <w:spacing w:before="0" w:beforeAutospacing="0" w:after="0" w:afterAutospacing="0" w:line="360" w:lineRule="auto"/>
        <w:ind w:firstLine="420"/>
        <w:rPr>
          <w:sz w:val="21"/>
          <w:szCs w:val="21"/>
        </w:rPr>
      </w:pPr>
      <w:r>
        <w:rPr>
          <w:rFonts w:hint="eastAsia"/>
          <w:sz w:val="21"/>
          <w:szCs w:val="21"/>
        </w:rPr>
        <w:t xml:space="preserve">（7）购买实物商品； </w:t>
      </w:r>
    </w:p>
    <w:p w14:paraId="14CCEE46">
      <w:pPr>
        <w:pStyle w:val="8"/>
        <w:spacing w:before="0" w:beforeAutospacing="0" w:after="0" w:afterAutospacing="0" w:line="360" w:lineRule="auto"/>
        <w:ind w:firstLine="420"/>
        <w:rPr>
          <w:sz w:val="21"/>
          <w:szCs w:val="21"/>
        </w:rPr>
      </w:pPr>
      <w:r>
        <w:rPr>
          <w:rFonts w:hint="eastAsia"/>
          <w:sz w:val="21"/>
          <w:szCs w:val="21"/>
        </w:rPr>
        <w:t xml:space="preserve">（8）除应付赎回、交易清算等临时用途以外，借入现金。该临时用途借入现金的比例不得超过基金资产净值的10％； </w:t>
      </w:r>
    </w:p>
    <w:p w14:paraId="46C042DE">
      <w:pPr>
        <w:pStyle w:val="8"/>
        <w:spacing w:before="0" w:beforeAutospacing="0" w:after="0" w:afterAutospacing="0" w:line="360" w:lineRule="auto"/>
        <w:ind w:firstLine="420"/>
        <w:rPr>
          <w:sz w:val="21"/>
          <w:szCs w:val="21"/>
        </w:rPr>
      </w:pPr>
      <w:r>
        <w:rPr>
          <w:rFonts w:hint="eastAsia"/>
          <w:sz w:val="21"/>
          <w:szCs w:val="21"/>
        </w:rPr>
        <w:t xml:space="preserve">（9）利用融资购买证券，但投资金融衍生品除外； </w:t>
      </w:r>
    </w:p>
    <w:p w14:paraId="7B8C57B9">
      <w:pPr>
        <w:pStyle w:val="8"/>
        <w:spacing w:before="0" w:beforeAutospacing="0" w:after="0" w:afterAutospacing="0" w:line="360" w:lineRule="auto"/>
        <w:ind w:firstLine="420"/>
        <w:rPr>
          <w:sz w:val="21"/>
          <w:szCs w:val="21"/>
        </w:rPr>
      </w:pPr>
      <w:r>
        <w:rPr>
          <w:rFonts w:hint="eastAsia"/>
          <w:sz w:val="21"/>
          <w:szCs w:val="21"/>
        </w:rPr>
        <w:t xml:space="preserve">（10）参与未持有基础资产的卖空交易； </w:t>
      </w:r>
    </w:p>
    <w:p w14:paraId="345D6610">
      <w:pPr>
        <w:pStyle w:val="8"/>
        <w:spacing w:before="0" w:beforeAutospacing="0" w:after="0" w:afterAutospacing="0" w:line="360" w:lineRule="auto"/>
        <w:ind w:firstLine="420"/>
        <w:rPr>
          <w:sz w:val="21"/>
          <w:szCs w:val="21"/>
        </w:rPr>
      </w:pPr>
      <w:r>
        <w:rPr>
          <w:rFonts w:hint="eastAsia"/>
          <w:sz w:val="21"/>
          <w:szCs w:val="21"/>
        </w:rPr>
        <w:t xml:space="preserve">（11）购买证券用于控制或影响发行该证券的机构或其管理层； </w:t>
      </w:r>
    </w:p>
    <w:p w14:paraId="4088309F">
      <w:pPr>
        <w:pStyle w:val="8"/>
        <w:spacing w:before="0" w:beforeAutospacing="0" w:after="0" w:afterAutospacing="0" w:line="360" w:lineRule="auto"/>
        <w:ind w:firstLine="420"/>
        <w:rPr>
          <w:sz w:val="21"/>
          <w:szCs w:val="21"/>
        </w:rPr>
      </w:pPr>
      <w:r>
        <w:rPr>
          <w:rFonts w:hint="eastAsia"/>
          <w:sz w:val="21"/>
          <w:szCs w:val="21"/>
        </w:rPr>
        <w:t xml:space="preserve">（12）直接投资与实物商品相关的衍生品； </w:t>
      </w:r>
    </w:p>
    <w:p w14:paraId="3C1E5DA6">
      <w:pPr>
        <w:pStyle w:val="8"/>
        <w:spacing w:before="0" w:beforeAutospacing="0" w:after="0" w:afterAutospacing="0" w:line="360" w:lineRule="auto"/>
        <w:ind w:firstLine="420"/>
        <w:rPr>
          <w:sz w:val="21"/>
          <w:szCs w:val="21"/>
        </w:rPr>
      </w:pPr>
      <w:r>
        <w:rPr>
          <w:rFonts w:hint="eastAsia"/>
          <w:sz w:val="21"/>
          <w:szCs w:val="21"/>
        </w:rPr>
        <w:t xml:space="preserve">（13）向基金管理人、基金托管人出资从事内幕交易、操纵证券价格及其他不正当的证券交易活动； </w:t>
      </w:r>
    </w:p>
    <w:p w14:paraId="0B8DAD5B">
      <w:pPr>
        <w:pStyle w:val="8"/>
        <w:spacing w:before="0" w:beforeAutospacing="0" w:after="0" w:afterAutospacing="0" w:line="360" w:lineRule="auto"/>
        <w:ind w:firstLine="420"/>
        <w:rPr>
          <w:sz w:val="21"/>
          <w:szCs w:val="21"/>
        </w:rPr>
      </w:pPr>
      <w:r>
        <w:rPr>
          <w:rFonts w:hint="eastAsia"/>
          <w:sz w:val="21"/>
          <w:szCs w:val="21"/>
        </w:rPr>
        <w:t xml:space="preserve">（14）当时有效的法律法规、中国证监会及基金合同规定禁止从事的其他行为。  </w:t>
      </w:r>
    </w:p>
    <w:p w14:paraId="65979BDC">
      <w:pPr>
        <w:pStyle w:val="8"/>
        <w:spacing w:before="0" w:beforeAutospacing="0" w:after="0" w:afterAutospacing="0" w:line="360" w:lineRule="auto"/>
        <w:ind w:firstLine="420"/>
        <w:rPr>
          <w:sz w:val="21"/>
          <w:szCs w:val="21"/>
        </w:rPr>
      </w:pPr>
      <w:r>
        <w:rPr>
          <w:rFonts w:hint="eastAsia"/>
          <w:sz w:val="21"/>
          <w:szCs w:val="21"/>
        </w:rPr>
        <w:t xml:space="preserve">如法律法规或监管部门取消上述禁止性规定，本基金管理人在履行适当程序后可不受上述规定的限制。 </w:t>
      </w:r>
    </w:p>
    <w:p w14:paraId="6D3E4291">
      <w:pPr>
        <w:pStyle w:val="8"/>
        <w:spacing w:before="0" w:beforeAutospacing="0" w:after="0" w:afterAutospacing="0" w:line="360" w:lineRule="auto"/>
        <w:ind w:firstLine="420"/>
        <w:rPr>
          <w:sz w:val="21"/>
          <w:szCs w:val="21"/>
        </w:rPr>
      </w:pPr>
      <w:r>
        <w:rPr>
          <w:rFonts w:hint="eastAsia"/>
          <w:sz w:val="21"/>
          <w:szCs w:val="21"/>
        </w:rPr>
        <w:t xml:space="preserve">4、基金托管人应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4BFC450B">
      <w:pPr>
        <w:pStyle w:val="8"/>
        <w:spacing w:before="0" w:beforeAutospacing="0" w:after="0" w:afterAutospacing="0" w:line="360" w:lineRule="auto"/>
        <w:ind w:firstLine="420"/>
        <w:rPr>
          <w:sz w:val="21"/>
          <w:szCs w:val="21"/>
        </w:rPr>
      </w:pPr>
      <w:r>
        <w:rPr>
          <w:rFonts w:hint="eastAsia"/>
          <w:sz w:val="21"/>
          <w:szCs w:val="21"/>
        </w:rPr>
        <w:t xml:space="preserve">5、对于承诺监督的事项，基金托管人发现基金管理人或其授权境外投资顾问的投资运作和投资指令违反法律法规或《基金合同》的规定，应及时以书面或电话或双方认可的其他方式通知基金管理人，由基金管理人限期纠正；基金管理人收到通知后应及时进行核对确认并回函；在限期内，基金托管人有权对通知事项进行复查，如基金管理人未予纠正，基金托管人应报告监管部门。  </w:t>
      </w:r>
    </w:p>
    <w:p w14:paraId="323D8DBD">
      <w:pPr>
        <w:pStyle w:val="8"/>
        <w:spacing w:before="0" w:beforeAutospacing="0" w:after="0" w:afterAutospacing="0" w:line="360" w:lineRule="auto"/>
        <w:ind w:firstLine="420"/>
        <w:rPr>
          <w:sz w:val="21"/>
          <w:szCs w:val="21"/>
        </w:rPr>
      </w:pPr>
      <w:r>
        <w:rPr>
          <w:rFonts w:hint="eastAsia"/>
          <w:sz w:val="21"/>
          <w:szCs w:val="21"/>
        </w:rPr>
        <w:t xml:space="preserve">对于承诺监督的事项，基金托管人发现基金管理人或其授权投资机构有重大违法违规行为，应立即报告有关监管机构，同时通知基金管理人；由基金管理人限期纠正，并将纠正结果报告有关监管机构。 </w:t>
      </w:r>
    </w:p>
    <w:p w14:paraId="422BD41E">
      <w:pPr>
        <w:pStyle w:val="8"/>
        <w:spacing w:before="0" w:beforeAutospacing="0" w:after="0" w:afterAutospacing="0" w:line="360" w:lineRule="auto"/>
        <w:ind w:firstLine="420"/>
        <w:rPr>
          <w:sz w:val="21"/>
          <w:szCs w:val="21"/>
        </w:rPr>
      </w:pPr>
      <w:r>
        <w:rPr>
          <w:rFonts w:hint="eastAsia"/>
          <w:sz w:val="21"/>
          <w:szCs w:val="21"/>
        </w:rPr>
        <w:t xml:space="preserve">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基金管理人无正当理由，拒绝、阻挠基金托管人根据本协议规定行使监督权，或采取拖延、欺诈等手段妨碍基金托管人进行有效监督，情节严重或经基金托管人提出警告仍不改正的，基金托管人应报告中国证监会。 </w:t>
      </w:r>
    </w:p>
    <w:p w14:paraId="0A86267E">
      <w:pPr>
        <w:pStyle w:val="8"/>
        <w:spacing w:before="0" w:beforeAutospacing="0" w:after="0" w:afterAutospacing="0" w:line="360" w:lineRule="auto"/>
        <w:ind w:firstLine="420"/>
        <w:rPr>
          <w:sz w:val="21"/>
          <w:szCs w:val="21"/>
        </w:rPr>
      </w:pPr>
      <w:r>
        <w:rPr>
          <w:rFonts w:hint="eastAsia"/>
          <w:sz w:val="21"/>
          <w:szCs w:val="21"/>
        </w:rPr>
        <w:t xml:space="preserve">6、基金管理人认可，基金托管人及其境外托管人的合规监管系统的准确性和完整性受限于基金管理人、经纪人及其他中介机构提供用于该系统的数据和信息。基金托管人及其境外托管人对这些机构的信息的准确性和完整性不作任何担保、暗示或表示，并对这些机构的信息的准确性和完整性所引起的损失不负任何责任。  </w:t>
      </w:r>
    </w:p>
    <w:p w14:paraId="72EF536F">
      <w:pPr>
        <w:pStyle w:val="8"/>
        <w:spacing w:before="0" w:beforeAutospacing="0" w:after="0" w:afterAutospacing="0" w:line="360" w:lineRule="auto"/>
        <w:ind w:firstLine="420"/>
        <w:rPr>
          <w:sz w:val="21"/>
          <w:szCs w:val="21"/>
        </w:rPr>
      </w:pPr>
      <w:r>
        <w:rPr>
          <w:rFonts w:hint="eastAsia"/>
          <w:b/>
          <w:bCs/>
          <w:sz w:val="21"/>
          <w:szCs w:val="21"/>
        </w:rPr>
        <w:t>三、基金管理人对基金托管人的业务监督、核查</w:t>
      </w:r>
    </w:p>
    <w:p w14:paraId="4D08FC27">
      <w:pPr>
        <w:pStyle w:val="8"/>
        <w:spacing w:before="0" w:beforeAutospacing="0" w:after="0" w:afterAutospacing="0" w:line="360" w:lineRule="auto"/>
        <w:ind w:firstLine="420"/>
        <w:rPr>
          <w:sz w:val="21"/>
          <w:szCs w:val="21"/>
        </w:rPr>
      </w:pPr>
      <w:r>
        <w:rPr>
          <w:rFonts w:hint="eastAsia"/>
          <w:sz w:val="21"/>
          <w:szCs w:val="21"/>
        </w:rPr>
        <w:t xml:space="preserve">1、在本协议有效期内，在不违反公平、合理原则，以及不导致基金托管人的接受基金管理人监督与检查与相关法律法规及其行业监管要求相冲突的基础上，基金管理人有权对基金托管人履行本协议的情况进行必要的监督与检查。基金管理人对基金托管人履行托管职责情况进行核查，核查事项包括但不限于基金托管人安全保管基金财产、开设基金财产的资金账户和证券账户、复核基金管理人计算的基金资产净值和基金份额净值、根据管理人指令办理清算交收、相关信息披露和监督基金投资运作等行为。  </w:t>
      </w:r>
    </w:p>
    <w:p w14:paraId="0F561D21">
      <w:pPr>
        <w:pStyle w:val="8"/>
        <w:spacing w:before="0" w:beforeAutospacing="0" w:after="0" w:afterAutospacing="0" w:line="360" w:lineRule="auto"/>
        <w:ind w:firstLine="420"/>
        <w:rPr>
          <w:sz w:val="21"/>
          <w:szCs w:val="21"/>
        </w:rPr>
      </w:pPr>
      <w:r>
        <w:rPr>
          <w:rFonts w:hint="eastAsia"/>
          <w:sz w:val="21"/>
          <w:szCs w:val="21"/>
        </w:rPr>
        <w:t xml:space="preserve">2、基金管理人发现基金托管人擅自挪用基金财产、未对基金财产实行分账管理、未执行或无故延迟执行基金管理人资金划拨指令、泄露基金投资信息等违反《基金法》、《基金合同》、本托管协议及其他有关规定时，基金管理人须向基金托管人作出书面提示；基金托管人在接到提示后，应及时对提示内容予以确认，如无异议，应在基金管理人给定的合理期限内改进，如有异议，应作出书面解释。  </w:t>
      </w:r>
    </w:p>
    <w:p w14:paraId="7FC56273">
      <w:pPr>
        <w:pStyle w:val="8"/>
        <w:spacing w:before="0" w:beforeAutospacing="0" w:after="0" w:afterAutospacing="0" w:line="360" w:lineRule="auto"/>
        <w:ind w:firstLine="420"/>
        <w:rPr>
          <w:sz w:val="21"/>
          <w:szCs w:val="21"/>
        </w:rPr>
      </w:pPr>
      <w:r>
        <w:rPr>
          <w:rFonts w:hint="eastAsia"/>
          <w:sz w:val="21"/>
          <w:szCs w:val="21"/>
        </w:rPr>
        <w:t xml:space="preserve">3、基金托管人应积极配合基金管理人的核查行为，包括但不限于：提交相关资料以供基金管理人核查托管财产的完整性和真实性，在规定时间内答复基金管理人并改正。  </w:t>
      </w:r>
    </w:p>
    <w:p w14:paraId="1218A59F">
      <w:pPr>
        <w:pStyle w:val="8"/>
        <w:spacing w:before="0" w:beforeAutospacing="0" w:after="0" w:afterAutospacing="0" w:line="360" w:lineRule="auto"/>
        <w:ind w:firstLine="420"/>
        <w:rPr>
          <w:sz w:val="21"/>
          <w:szCs w:val="21"/>
        </w:rPr>
      </w:pPr>
      <w:r>
        <w:rPr>
          <w:rFonts w:hint="eastAsia"/>
          <w:sz w:val="21"/>
          <w:szCs w:val="21"/>
        </w:rPr>
        <w:t xml:space="preserve">4、基金管理人须尽其最大努力保证其对基金托管人的业务核查不影响基金托管人的正常营业活动。  </w:t>
      </w:r>
    </w:p>
    <w:p w14:paraId="47BA33B0">
      <w:pPr>
        <w:pStyle w:val="8"/>
        <w:spacing w:before="0" w:beforeAutospacing="0" w:after="0" w:afterAutospacing="0" w:line="360" w:lineRule="auto"/>
        <w:ind w:firstLine="420"/>
        <w:rPr>
          <w:sz w:val="21"/>
          <w:szCs w:val="21"/>
        </w:rPr>
      </w:pPr>
      <w:r>
        <w:rPr>
          <w:rFonts w:hint="eastAsia"/>
          <w:b/>
          <w:bCs/>
          <w:sz w:val="21"/>
          <w:szCs w:val="21"/>
        </w:rPr>
        <w:t>四、基金财产的保管</w:t>
      </w:r>
    </w:p>
    <w:p w14:paraId="0061FF92">
      <w:pPr>
        <w:pStyle w:val="8"/>
        <w:spacing w:before="0" w:beforeAutospacing="0" w:after="0" w:afterAutospacing="0" w:line="360" w:lineRule="auto"/>
        <w:ind w:firstLine="420"/>
        <w:rPr>
          <w:sz w:val="21"/>
          <w:szCs w:val="21"/>
        </w:rPr>
      </w:pPr>
      <w:r>
        <w:rPr>
          <w:rFonts w:hint="eastAsia"/>
          <w:sz w:val="21"/>
          <w:szCs w:val="21"/>
        </w:rPr>
        <w:t xml:space="preserve">（一）、基金财产保管的原则 </w:t>
      </w:r>
    </w:p>
    <w:p w14:paraId="53E9EB29">
      <w:pPr>
        <w:pStyle w:val="8"/>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14:paraId="4F23545C">
      <w:pPr>
        <w:pStyle w:val="8"/>
        <w:spacing w:before="0" w:beforeAutospacing="0" w:after="0" w:afterAutospacing="0" w:line="360" w:lineRule="auto"/>
        <w:ind w:firstLine="420"/>
        <w:rPr>
          <w:sz w:val="21"/>
          <w:szCs w:val="21"/>
        </w:rPr>
      </w:pPr>
      <w:r>
        <w:rPr>
          <w:rFonts w:hint="eastAsia"/>
          <w:sz w:val="21"/>
          <w:szCs w:val="21"/>
        </w:rPr>
        <w:t xml:space="preserve">2、基金托管人应安全保管基金财产；基金托管人按照规定开设基金财产的资金账户、证券账户及投资所需的其他账户。境外托管人根据基金财产所在地法律法规、证券交易所规则、市场惯例以及其与基金托管人签订的主次托管协议为本基金在境外开立资金账户、证券账户以及投资所需的其他专用账户。 </w:t>
      </w:r>
    </w:p>
    <w:p w14:paraId="1FFF7B2C">
      <w:pPr>
        <w:pStyle w:val="8"/>
        <w:spacing w:before="0" w:beforeAutospacing="0" w:after="0" w:afterAutospacing="0" w:line="360" w:lineRule="auto"/>
        <w:ind w:firstLine="420"/>
        <w:rPr>
          <w:sz w:val="21"/>
          <w:szCs w:val="21"/>
        </w:rPr>
      </w:pPr>
      <w:r>
        <w:rPr>
          <w:rFonts w:hint="eastAsia"/>
          <w:sz w:val="21"/>
          <w:szCs w:val="21"/>
        </w:rPr>
        <w:t xml:space="preserve">3、基金托管人对所托管的不同基金财产分别设置账户，确保基金财产的完整与独立； </w:t>
      </w:r>
    </w:p>
    <w:p w14:paraId="102A9216">
      <w:pPr>
        <w:pStyle w:val="8"/>
        <w:spacing w:before="0" w:beforeAutospacing="0" w:after="0" w:afterAutospacing="0" w:line="360" w:lineRule="auto"/>
        <w:ind w:firstLine="420"/>
        <w:rPr>
          <w:sz w:val="21"/>
          <w:szCs w:val="21"/>
        </w:rPr>
      </w:pPr>
      <w:r>
        <w:rPr>
          <w:rFonts w:hint="eastAsia"/>
          <w:sz w:val="21"/>
          <w:szCs w:val="21"/>
        </w:rPr>
        <w:t xml:space="preserve">4、境外托管人根据基金财产所在地法律法规、证券交易所规则、市场惯例及其与基金托管签订的主次托管协议持有并保管基金财产。但基金托管人应根据基金管理人的指令采取措施进行追偿，基金管理人配合基金托管人进行追偿。除非基金管理人、基金托管人及其境外托管人存在过失、疏忽、欺诈或故意不当行为，基金管理人、基金托管人不对境外托管人依据当地法律法规、证券交易所规则、市场惯例的作为或不作为承担责任； </w:t>
      </w:r>
    </w:p>
    <w:p w14:paraId="74796026">
      <w:pPr>
        <w:pStyle w:val="8"/>
        <w:spacing w:before="0" w:beforeAutospacing="0" w:after="0" w:afterAutospacing="0" w:line="360" w:lineRule="auto"/>
        <w:ind w:firstLine="420"/>
        <w:rPr>
          <w:sz w:val="21"/>
          <w:szCs w:val="21"/>
        </w:rPr>
      </w:pPr>
      <w:r>
        <w:rPr>
          <w:rFonts w:hint="eastAsia"/>
          <w:sz w:val="21"/>
          <w:szCs w:val="21"/>
        </w:rPr>
        <w:t xml:space="preserve">5、基金托管人确保境外托管人不得自行运用、处分、分配托管证券，否则应承担由此导致的损失； </w:t>
      </w:r>
    </w:p>
    <w:p w14:paraId="225F7BCD">
      <w:pPr>
        <w:pStyle w:val="8"/>
        <w:spacing w:before="0" w:beforeAutospacing="0" w:after="0" w:afterAutospacing="0" w:line="360" w:lineRule="auto"/>
        <w:ind w:firstLine="420"/>
        <w:rPr>
          <w:sz w:val="21"/>
          <w:szCs w:val="21"/>
        </w:rPr>
      </w:pPr>
      <w:r>
        <w:rPr>
          <w:rFonts w:hint="eastAsia"/>
          <w:sz w:val="21"/>
          <w:szCs w:val="21"/>
        </w:rPr>
        <w:t xml:space="preserve">6、除非根据基金管理人书面同意，基金托管人应确保境外托管人不得在任何基金资产上设立任何担保权利，包括但不限于抵押、质押、留置等，否则应承担由此导致的损失，但根据基金财产所在地法律法规的规定而产生的担保权利除外； </w:t>
      </w:r>
    </w:p>
    <w:p w14:paraId="5AED7EF3">
      <w:pPr>
        <w:pStyle w:val="8"/>
        <w:spacing w:before="0" w:beforeAutospacing="0" w:after="0" w:afterAutospacing="0" w:line="360" w:lineRule="auto"/>
        <w:ind w:firstLine="420"/>
        <w:rPr>
          <w:sz w:val="21"/>
          <w:szCs w:val="21"/>
        </w:rPr>
      </w:pPr>
      <w:r>
        <w:rPr>
          <w:rFonts w:hint="eastAsia"/>
          <w:sz w:val="21"/>
          <w:szCs w:val="21"/>
        </w:rPr>
        <w:t xml:space="preserve">7、对于因为基金管理人进行本协议项下基金投资产生的应收资产，应由基金管理人负责与有关当事人确定到账日期并通知基金托管人。如因基金持有的资产所产生的应收资产，并由基金托管人作为资产持有人，基金托管人应负责与有关当事人确定到账日期并通知基金管理人。到账日没有到达托管账户的，基金托管人应及时通知并配合基金管理人采取措施进行催收，由此给基金造成损失的，基金管理人应负责向有关当事人追偿基金的损失。 </w:t>
      </w:r>
    </w:p>
    <w:p w14:paraId="1512BE4E">
      <w:pPr>
        <w:pStyle w:val="8"/>
        <w:spacing w:before="0" w:beforeAutospacing="0" w:after="0" w:afterAutospacing="0" w:line="360" w:lineRule="auto"/>
        <w:ind w:firstLine="420"/>
        <w:rPr>
          <w:sz w:val="21"/>
          <w:szCs w:val="21"/>
        </w:rPr>
      </w:pPr>
      <w:r>
        <w:rPr>
          <w:rFonts w:hint="eastAsia"/>
          <w:sz w:val="21"/>
          <w:szCs w:val="21"/>
        </w:rPr>
        <w:t xml:space="preserve">（二）、募集资金的验资与划转  </w:t>
      </w:r>
    </w:p>
    <w:p w14:paraId="1ECC7FF8">
      <w:pPr>
        <w:pStyle w:val="8"/>
        <w:spacing w:before="0" w:beforeAutospacing="0" w:after="0" w:afterAutospacing="0" w:line="360" w:lineRule="auto"/>
        <w:ind w:firstLine="420"/>
        <w:rPr>
          <w:sz w:val="21"/>
          <w:szCs w:val="21"/>
        </w:rPr>
      </w:pPr>
      <w:r>
        <w:rPr>
          <w:rFonts w:hint="eastAsia"/>
          <w:sz w:val="21"/>
          <w:szCs w:val="21"/>
        </w:rPr>
        <w:t xml:space="preserve">1、基金募集期满或基金管理人依据法律法规及招募说明书决定停止基金发售，募集的基金份额总额、基金募集金额、基金份额持有人人数符合《基金法》、《运作办法》等有关规定后，由基金管理人聘请具有从事证券业务资格的会计师事务所进行验资，出具验资报告，出具的验资报告应由参加验资的2名以上（含2名）中国注册会计师签字有效。 </w:t>
      </w:r>
    </w:p>
    <w:p w14:paraId="2ED925B9">
      <w:pPr>
        <w:pStyle w:val="8"/>
        <w:spacing w:before="0" w:beforeAutospacing="0" w:after="0" w:afterAutospacing="0" w:line="360" w:lineRule="auto"/>
        <w:ind w:firstLine="420"/>
        <w:rPr>
          <w:sz w:val="21"/>
          <w:szCs w:val="21"/>
        </w:rPr>
      </w:pPr>
      <w:r>
        <w:rPr>
          <w:rFonts w:hint="eastAsia"/>
          <w:sz w:val="21"/>
          <w:szCs w:val="21"/>
        </w:rPr>
        <w:t xml:space="preserve">2、验资完成，基金管理人应将募集的属于本基金财产的全部资金划入基金托管人为基金开立的资产托管专户中。基金托管人自基金财产划入资产托管专户之日起履行本协议项下托管职责。 </w:t>
      </w:r>
    </w:p>
    <w:p w14:paraId="14A9ECDF">
      <w:pPr>
        <w:pStyle w:val="8"/>
        <w:spacing w:before="0" w:beforeAutospacing="0" w:after="0" w:afterAutospacing="0" w:line="360" w:lineRule="auto"/>
        <w:ind w:firstLine="420"/>
        <w:rPr>
          <w:sz w:val="21"/>
          <w:szCs w:val="21"/>
        </w:rPr>
      </w:pPr>
      <w:r>
        <w:rPr>
          <w:rFonts w:hint="eastAsia"/>
          <w:sz w:val="21"/>
          <w:szCs w:val="21"/>
        </w:rPr>
        <w:t xml:space="preserve">（三）、资产保管内容和约定事项 </w:t>
      </w:r>
    </w:p>
    <w:p w14:paraId="0A3009FF">
      <w:pPr>
        <w:pStyle w:val="8"/>
        <w:spacing w:before="0" w:beforeAutospacing="0" w:after="0" w:afterAutospacing="0" w:line="360" w:lineRule="auto"/>
        <w:ind w:firstLine="420"/>
        <w:rPr>
          <w:sz w:val="21"/>
          <w:szCs w:val="21"/>
        </w:rPr>
      </w:pPr>
      <w:r>
        <w:rPr>
          <w:rFonts w:hint="eastAsia"/>
          <w:sz w:val="21"/>
          <w:szCs w:val="21"/>
        </w:rPr>
        <w:t xml:space="preserve">基金管理人同意，资金账户中的资金将由基金托管人或其境外托管人以基金托管人或其境外托管人的银行身份持有。  </w:t>
      </w:r>
    </w:p>
    <w:p w14:paraId="737A939E">
      <w:pPr>
        <w:pStyle w:val="8"/>
        <w:spacing w:before="0" w:beforeAutospacing="0" w:after="0" w:afterAutospacing="0" w:line="360" w:lineRule="auto"/>
        <w:ind w:firstLine="420"/>
        <w:rPr>
          <w:sz w:val="21"/>
          <w:szCs w:val="21"/>
        </w:rPr>
      </w:pPr>
      <w:r>
        <w:rPr>
          <w:rFonts w:hint="eastAsia"/>
          <w:sz w:val="21"/>
          <w:szCs w:val="21"/>
        </w:rPr>
        <w:t xml:space="preserve">除非基金管理人按指令程序发送的指令另有规定，否则，基金托管人和其境外托管人应在收到基金管理人的指令后，按下述方式收付现金、或收付证券：(a)按照交易发生的司法管辖区或市场的有关惯常和既定惯例和程序作出；或(b)就通过证券系统进行的买卖而言，按照管辖该系统运营的规则、条例和条件作出。基金托管人和其境外托管人应不时将该等有关惯例、程序、规则、条例和条件及时通知基金管理人。 </w:t>
      </w:r>
    </w:p>
    <w:p w14:paraId="783CA10B">
      <w:pPr>
        <w:pStyle w:val="8"/>
        <w:spacing w:before="0" w:beforeAutospacing="0" w:after="0" w:afterAutospacing="0" w:line="360" w:lineRule="auto"/>
        <w:ind w:firstLine="420"/>
        <w:rPr>
          <w:sz w:val="21"/>
          <w:szCs w:val="21"/>
        </w:rPr>
      </w:pPr>
      <w:r>
        <w:rPr>
          <w:rFonts w:hint="eastAsia"/>
          <w:sz w:val="21"/>
          <w:szCs w:val="21"/>
        </w:rPr>
        <w:t xml:space="preserve">基金托管人在因依法解散、被依法撤销或者被依法宣告清盘或破产等原因进行终止清算时，不得将基金财产归入其清算财产。基金托管人应确保其境外托管人建立安全的数据管理机制，安全完整地保存基金管理人与基金财产相关的业务数据和信息，否则应承担由此导致的损失。 </w:t>
      </w:r>
    </w:p>
    <w:p w14:paraId="2F0B99CB">
      <w:pPr>
        <w:pStyle w:val="8"/>
        <w:spacing w:before="0" w:beforeAutospacing="0" w:after="0" w:afterAutospacing="0" w:line="360" w:lineRule="auto"/>
        <w:ind w:firstLine="420"/>
        <w:rPr>
          <w:sz w:val="21"/>
          <w:szCs w:val="21"/>
        </w:rPr>
      </w:pPr>
      <w:r>
        <w:rPr>
          <w:rFonts w:hint="eastAsia"/>
          <w:sz w:val="21"/>
          <w:szCs w:val="21"/>
        </w:rPr>
        <w:t xml:space="preserve">（四）、基金资金账户的开立和管理 </w:t>
      </w:r>
    </w:p>
    <w:p w14:paraId="52578065">
      <w:pPr>
        <w:pStyle w:val="8"/>
        <w:spacing w:before="0" w:beforeAutospacing="0" w:after="0" w:afterAutospacing="0" w:line="360" w:lineRule="auto"/>
        <w:ind w:firstLine="420"/>
        <w:rPr>
          <w:sz w:val="21"/>
          <w:szCs w:val="21"/>
        </w:rPr>
      </w:pPr>
      <w:r>
        <w:rPr>
          <w:rFonts w:hint="eastAsia"/>
          <w:sz w:val="21"/>
          <w:szCs w:val="21"/>
        </w:rPr>
        <w:t xml:space="preserve">1、基金托管人应以本基金的名义在其营业机构或其境外托管人处开立基金的资金账户，并根据基金管理人合法合规的指令办理资金收付。基金资金账户的银行预留印鉴由基金托管人或其境外托管人的营业机构保管和使用。 </w:t>
      </w:r>
    </w:p>
    <w:p w14:paraId="69D25980">
      <w:pPr>
        <w:pStyle w:val="8"/>
        <w:spacing w:before="0" w:beforeAutospacing="0" w:after="0" w:afterAutospacing="0" w:line="360" w:lineRule="auto"/>
        <w:ind w:firstLine="420"/>
        <w:rPr>
          <w:sz w:val="21"/>
          <w:szCs w:val="21"/>
        </w:rPr>
      </w:pPr>
      <w:r>
        <w:rPr>
          <w:rFonts w:hint="eastAsia"/>
          <w:sz w:val="21"/>
          <w:szCs w:val="21"/>
        </w:rPr>
        <w:t xml:space="preserve">2、基金资金账户的开立和使用，限于满足开展基金业务的需要。基金托管人、基金管理人不得假借基金的名义开立任何其他银行账户；亦不得使用基金的任何账户进行基金业务以外的活动。 </w:t>
      </w:r>
    </w:p>
    <w:p w14:paraId="5054F06C">
      <w:pPr>
        <w:pStyle w:val="8"/>
        <w:spacing w:before="0" w:beforeAutospacing="0" w:after="0" w:afterAutospacing="0" w:line="360" w:lineRule="auto"/>
        <w:ind w:firstLine="420"/>
        <w:rPr>
          <w:sz w:val="21"/>
          <w:szCs w:val="21"/>
        </w:rPr>
      </w:pPr>
      <w:r>
        <w:rPr>
          <w:rFonts w:hint="eastAsia"/>
          <w:sz w:val="21"/>
          <w:szCs w:val="21"/>
        </w:rPr>
        <w:t xml:space="preserve">3、基金资金账户的开立和管理应符合账户所在国家或地区相关监管机构的有关规定。 </w:t>
      </w:r>
    </w:p>
    <w:p w14:paraId="6D49EC6D">
      <w:pPr>
        <w:pStyle w:val="8"/>
        <w:spacing w:before="0" w:beforeAutospacing="0" w:after="0" w:afterAutospacing="0" w:line="360" w:lineRule="auto"/>
        <w:ind w:firstLine="420"/>
        <w:rPr>
          <w:sz w:val="21"/>
          <w:szCs w:val="21"/>
        </w:rPr>
      </w:pPr>
      <w:r>
        <w:rPr>
          <w:rFonts w:hint="eastAsia"/>
          <w:sz w:val="21"/>
          <w:szCs w:val="21"/>
        </w:rPr>
        <w:t xml:space="preserve">（五）、基金证券账户的开立和管理 </w:t>
      </w:r>
    </w:p>
    <w:p w14:paraId="5A8451A9">
      <w:pPr>
        <w:pStyle w:val="8"/>
        <w:spacing w:before="0" w:beforeAutospacing="0" w:after="0" w:afterAutospacing="0" w:line="360" w:lineRule="auto"/>
        <w:ind w:firstLine="420"/>
        <w:rPr>
          <w:sz w:val="21"/>
          <w:szCs w:val="21"/>
        </w:rPr>
      </w:pPr>
      <w:r>
        <w:rPr>
          <w:rFonts w:hint="eastAsia"/>
          <w:sz w:val="21"/>
          <w:szCs w:val="21"/>
        </w:rPr>
        <w:t xml:space="preserve">1、基金托管人按照投资地法律法规要求或行业惯例需要，在基金所投资市场或证券交易所适用的登记结算机构为基金开立基金名义或基金托管人名义或境外托管人名义或境外托管人的代理人名义，或以上任何一方与基金联名名义的证券账户。由基金托管人或其境外托管人负责办理与开立证券账户有关的手续，基金管理人提供所有必要协助。 </w:t>
      </w:r>
    </w:p>
    <w:p w14:paraId="071D6847">
      <w:pPr>
        <w:pStyle w:val="8"/>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基金业务的需要。基金托管人和基金管理人以及境外托管人均不得出借或未经基金托管人、基金管理人双方同意擅自转让基金的任何证券账户，亦不得使用基金的任何账户进行基金业务以外的活动。 </w:t>
      </w:r>
    </w:p>
    <w:p w14:paraId="02720CEF">
      <w:pPr>
        <w:pStyle w:val="8"/>
        <w:spacing w:before="0" w:beforeAutospacing="0" w:after="0" w:afterAutospacing="0" w:line="360" w:lineRule="auto"/>
        <w:ind w:firstLine="420"/>
        <w:rPr>
          <w:sz w:val="21"/>
          <w:szCs w:val="21"/>
        </w:rPr>
      </w:pPr>
      <w:r>
        <w:rPr>
          <w:rFonts w:hint="eastAsia"/>
          <w:sz w:val="21"/>
          <w:szCs w:val="21"/>
        </w:rPr>
        <w:t xml:space="preserve">3、基金证券账户的开立和证券账户相关证明文件的保管由基金托管人负责，账户资产的管理和运用由基金管理人负责。 </w:t>
      </w:r>
    </w:p>
    <w:p w14:paraId="3728B948">
      <w:pPr>
        <w:pStyle w:val="8"/>
        <w:spacing w:before="0" w:beforeAutospacing="0" w:after="0" w:afterAutospacing="0" w:line="360" w:lineRule="auto"/>
        <w:ind w:firstLine="420"/>
        <w:rPr>
          <w:sz w:val="21"/>
          <w:szCs w:val="21"/>
        </w:rPr>
      </w:pPr>
      <w:r>
        <w:rPr>
          <w:rFonts w:hint="eastAsia"/>
          <w:sz w:val="21"/>
          <w:szCs w:val="21"/>
        </w:rPr>
        <w:t xml:space="preserve">4、基金管理人投资于合法合规、符合基金合同的其他非交易所市场的投资品种时，基金托管人或其境外托管人根据投资所在市场以及国家或地区的相关规定，开立进行基金的投资活动所需要的各类证券和结算账户，并协助办理与各类证券和结算账户相关的投资资格。 </w:t>
      </w:r>
    </w:p>
    <w:p w14:paraId="6EA72F4B">
      <w:pPr>
        <w:pStyle w:val="8"/>
        <w:spacing w:before="0" w:beforeAutospacing="0" w:after="0" w:afterAutospacing="0" w:line="360" w:lineRule="auto"/>
        <w:ind w:firstLine="420"/>
        <w:rPr>
          <w:sz w:val="21"/>
          <w:szCs w:val="21"/>
        </w:rPr>
      </w:pPr>
      <w:r>
        <w:rPr>
          <w:rFonts w:hint="eastAsia"/>
          <w:sz w:val="21"/>
          <w:szCs w:val="21"/>
        </w:rPr>
        <w:t xml:space="preserve">5、 基金证券账户的开立和管理应符合账户所在国家或地区有关法律的规定。 </w:t>
      </w:r>
    </w:p>
    <w:p w14:paraId="58D6E84B">
      <w:pPr>
        <w:pStyle w:val="8"/>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6B33F269">
      <w:pPr>
        <w:pStyle w:val="8"/>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1、因业务发展需要而开立的其他账户，可以根据投资市场所在国家或地区法律法规和基金合同的规定，由基金托管人或其境外托管人负责开立，基金管理人应提供所有必要协助。 </w:t>
      </w:r>
    </w:p>
    <w:p w14:paraId="3BAAF51A">
      <w:pPr>
        <w:pStyle w:val="8"/>
        <w:spacing w:before="0" w:beforeAutospacing="0" w:after="0" w:afterAutospacing="0" w:line="360" w:lineRule="auto"/>
        <w:ind w:firstLine="420"/>
        <w:rPr>
          <w:sz w:val="21"/>
          <w:szCs w:val="21"/>
        </w:rPr>
      </w:pPr>
      <w:r>
        <w:rPr>
          <w:rFonts w:hint="eastAsia"/>
          <w:sz w:val="21"/>
          <w:szCs w:val="21"/>
        </w:rPr>
        <w:t xml:space="preserve">2、投资市场所在国家或地区法律法规等有关规定对相关账户的开立和管理另有规定的，从其规定办理。 </w:t>
      </w:r>
    </w:p>
    <w:p w14:paraId="39E42436">
      <w:pPr>
        <w:pStyle w:val="8"/>
        <w:spacing w:before="0" w:beforeAutospacing="0" w:after="0" w:afterAutospacing="0" w:line="360" w:lineRule="auto"/>
        <w:ind w:firstLine="420"/>
        <w:rPr>
          <w:sz w:val="21"/>
          <w:szCs w:val="21"/>
        </w:rPr>
      </w:pPr>
      <w:r>
        <w:rPr>
          <w:rFonts w:hint="eastAsia"/>
          <w:sz w:val="21"/>
          <w:szCs w:val="21"/>
        </w:rPr>
        <w:t xml:space="preserve">（七）、证券登记 </w:t>
      </w:r>
    </w:p>
    <w:p w14:paraId="7EBFFA7F">
      <w:pPr>
        <w:pStyle w:val="8"/>
        <w:spacing w:before="0" w:beforeAutospacing="0" w:after="0" w:afterAutospacing="0" w:line="360" w:lineRule="auto"/>
        <w:ind w:firstLine="420"/>
        <w:rPr>
          <w:sz w:val="21"/>
          <w:szCs w:val="21"/>
        </w:rPr>
      </w:pPr>
      <w:r>
        <w:rPr>
          <w:rFonts w:hint="eastAsia"/>
          <w:sz w:val="21"/>
          <w:szCs w:val="21"/>
        </w:rPr>
        <w:t xml:space="preserve">1、境外证券的注册登记方式应符合投资当地市场的有关法律、法规和市场惯例。 </w:t>
      </w:r>
    </w:p>
    <w:p w14:paraId="05B20090">
      <w:pPr>
        <w:pStyle w:val="8"/>
        <w:spacing w:before="0" w:beforeAutospacing="0" w:after="0" w:afterAutospacing="0" w:line="360" w:lineRule="auto"/>
        <w:ind w:firstLine="420"/>
        <w:rPr>
          <w:sz w:val="21"/>
          <w:szCs w:val="21"/>
        </w:rPr>
      </w:pPr>
      <w:r>
        <w:rPr>
          <w:rFonts w:hint="eastAsia"/>
          <w:sz w:val="21"/>
          <w:szCs w:val="21"/>
        </w:rPr>
        <w:t xml:space="preserve">2、基金托管人应确保基金管理人所管理的基金或基金份额持有人始终是以所有证券的实益所有人的方式持有基金财产中的所有证券。 </w:t>
      </w:r>
    </w:p>
    <w:p w14:paraId="3849A38D">
      <w:pPr>
        <w:pStyle w:val="8"/>
        <w:spacing w:before="0" w:beforeAutospacing="0" w:after="0" w:afterAutospacing="0" w:line="360" w:lineRule="auto"/>
        <w:ind w:firstLine="420"/>
        <w:rPr>
          <w:sz w:val="21"/>
          <w:szCs w:val="21"/>
        </w:rPr>
      </w:pPr>
      <w:r>
        <w:rPr>
          <w:rFonts w:hint="eastAsia"/>
          <w:sz w:val="21"/>
          <w:szCs w:val="21"/>
        </w:rPr>
        <w:t xml:space="preserve">3、基金托管人应该：(a)在其账目和记录中单独列记属于本基金的证券，并且(b)要求和尽商业上的合理努力确保其境外托管人在其账目和记录中单独清楚列记证券不属于境外托管人，不论证券以何人的名义登记。而且，若证券由基金托管人、境外托管人以无记名方式实际持有，要求和尽商业上的合理努力确保其境外托管人将这些证券和基金托管人、其境外托管人自有资产分别独立存放。 </w:t>
      </w:r>
    </w:p>
    <w:p w14:paraId="5A7A7B2D">
      <w:pPr>
        <w:pStyle w:val="8"/>
        <w:spacing w:before="0" w:beforeAutospacing="0" w:after="0" w:afterAutospacing="0" w:line="360" w:lineRule="auto"/>
        <w:ind w:firstLine="420"/>
        <w:rPr>
          <w:sz w:val="21"/>
          <w:szCs w:val="21"/>
        </w:rPr>
      </w:pPr>
      <w:r>
        <w:rPr>
          <w:rFonts w:hint="eastAsia"/>
          <w:sz w:val="21"/>
          <w:szCs w:val="21"/>
        </w:rPr>
        <w:t xml:space="preserve">5、基金托管人及其境外托管人应指示存放在证券系统的证券为基金的实益所有人持有，但须遵守管辖该系统运营的规则、条例和条件。 </w:t>
      </w:r>
    </w:p>
    <w:p w14:paraId="6E19B1ED">
      <w:pPr>
        <w:pStyle w:val="8"/>
        <w:spacing w:before="0" w:beforeAutospacing="0" w:after="0" w:afterAutospacing="0" w:line="360" w:lineRule="auto"/>
        <w:ind w:firstLine="420"/>
        <w:rPr>
          <w:sz w:val="21"/>
          <w:szCs w:val="21"/>
        </w:rPr>
      </w:pPr>
      <w:r>
        <w:rPr>
          <w:rFonts w:hint="eastAsia"/>
          <w:sz w:val="21"/>
          <w:szCs w:val="21"/>
        </w:rPr>
        <w:t xml:space="preserve">6、由基金托管人及其境外托管人为基金的利益而持有的证券(无记名证券和在证券系统持有的证券除外)应按本协议约定登记，投资当地市场的有关法律、法规和市场惯例另有规定的除外。 </w:t>
      </w:r>
    </w:p>
    <w:p w14:paraId="4348A3C7">
      <w:pPr>
        <w:pStyle w:val="8"/>
        <w:spacing w:before="0" w:beforeAutospacing="0" w:after="0" w:afterAutospacing="0" w:line="360" w:lineRule="auto"/>
        <w:ind w:firstLine="420"/>
        <w:rPr>
          <w:sz w:val="21"/>
          <w:szCs w:val="21"/>
        </w:rPr>
      </w:pPr>
      <w:r>
        <w:rPr>
          <w:rFonts w:hint="eastAsia"/>
          <w:sz w:val="21"/>
          <w:szCs w:val="21"/>
        </w:rPr>
        <w:t xml:space="preserve">7、基金托管人及其境外托管人应就其为基金利益而持有证券的市场有关证券登记方式的重大改变通知基金管理人。若基金管理人要求改变本协议约定的证券登记方式，基金托管人及其境外托管人应就此予以充分配合。 </w:t>
      </w:r>
    </w:p>
    <w:p w14:paraId="72F02006">
      <w:pPr>
        <w:pStyle w:val="8"/>
        <w:spacing w:before="0" w:beforeAutospacing="0" w:after="0" w:afterAutospacing="0" w:line="360" w:lineRule="auto"/>
        <w:ind w:firstLine="420"/>
        <w:rPr>
          <w:sz w:val="21"/>
          <w:szCs w:val="21"/>
        </w:rPr>
      </w:pPr>
      <w:r>
        <w:rPr>
          <w:rFonts w:hint="eastAsia"/>
          <w:sz w:val="21"/>
          <w:szCs w:val="21"/>
        </w:rPr>
        <w:t xml:space="preserve">（八）、基金财产投资的有关实物证券、银行定期存款存单等有价凭证的保管 </w:t>
      </w:r>
    </w:p>
    <w:p w14:paraId="396CD65A">
      <w:pPr>
        <w:pStyle w:val="8"/>
        <w:spacing w:before="0" w:beforeAutospacing="0" w:after="0" w:afterAutospacing="0" w:line="360" w:lineRule="auto"/>
        <w:ind w:firstLine="420"/>
        <w:rPr>
          <w:sz w:val="21"/>
          <w:szCs w:val="21"/>
        </w:rPr>
      </w:pPr>
      <w:r>
        <w:rPr>
          <w:rFonts w:hint="eastAsia"/>
          <w:sz w:val="21"/>
          <w:szCs w:val="21"/>
        </w:rPr>
        <w:t xml:space="preserve">基金财产投资的有关实物证券可存放于基金托管人或其境外托管人的保管库或其他机构。实物证券的购买和转让，由基金托管人根据基金管理人（或其授权的境外投资顾问）的指令办理。属于基金托管人及其境外托管人实际有效控制下的实物证券在基金托管人保管期间的损坏、灭失，由此产生的责任应由基金托管人承担。基金托管人对基金托管人及其境外托管人以外机构实际有效控制的证券不承担保管责任。 </w:t>
      </w:r>
    </w:p>
    <w:p w14:paraId="3334BD1C">
      <w:pPr>
        <w:pStyle w:val="8"/>
        <w:spacing w:before="0" w:beforeAutospacing="0" w:after="0" w:afterAutospacing="0" w:line="360" w:lineRule="auto"/>
        <w:ind w:firstLine="420"/>
        <w:rPr>
          <w:sz w:val="21"/>
          <w:szCs w:val="21"/>
        </w:rPr>
      </w:pPr>
      <w:r>
        <w:rPr>
          <w:rFonts w:hint="eastAsia"/>
          <w:sz w:val="21"/>
          <w:szCs w:val="21"/>
        </w:rPr>
        <w:t xml:space="preserve">（九）、与基金财产有关的重大合同的保管 </w:t>
      </w:r>
    </w:p>
    <w:p w14:paraId="5F6B71B5">
      <w:pPr>
        <w:pStyle w:val="8"/>
        <w:spacing w:before="0" w:beforeAutospacing="0" w:after="0" w:afterAutospacing="0" w:line="360" w:lineRule="auto"/>
        <w:ind w:firstLine="420"/>
        <w:rPr>
          <w:sz w:val="21"/>
          <w:szCs w:val="21"/>
        </w:rPr>
      </w:pPr>
      <w:r>
        <w:rPr>
          <w:rFonts w:hint="eastAsia"/>
          <w:sz w:val="21"/>
          <w:szCs w:val="21"/>
        </w:rPr>
        <w:t xml:space="preserve">基金管理人应及时向基金托管人提供涉及基金财产投资运作的书面协议的副本或相关证明文件。 </w:t>
      </w:r>
    </w:p>
    <w:p w14:paraId="3451EFDA">
      <w:pPr>
        <w:pStyle w:val="8"/>
        <w:spacing w:before="0" w:beforeAutospacing="0" w:after="0" w:afterAutospacing="0" w:line="360" w:lineRule="auto"/>
        <w:ind w:firstLine="420"/>
        <w:rPr>
          <w:sz w:val="21"/>
          <w:szCs w:val="21"/>
        </w:rPr>
      </w:pPr>
      <w:r>
        <w:rPr>
          <w:rFonts w:hint="eastAsia"/>
          <w:sz w:val="21"/>
          <w:szCs w:val="21"/>
        </w:rPr>
        <w:t xml:space="preserve">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合同原件应存放于基金管理人和基金托管人各自文件保管部门，保存时间应符合相关法律、法规要求。 </w:t>
      </w:r>
    </w:p>
    <w:p w14:paraId="693DB389">
      <w:pPr>
        <w:pStyle w:val="8"/>
        <w:spacing w:before="0" w:beforeAutospacing="0" w:after="0" w:afterAutospacing="0" w:line="360" w:lineRule="auto"/>
        <w:ind w:firstLine="420"/>
        <w:rPr>
          <w:sz w:val="21"/>
          <w:szCs w:val="21"/>
        </w:rPr>
      </w:pPr>
      <w:r>
        <w:rPr>
          <w:rFonts w:hint="eastAsia"/>
          <w:b/>
          <w:bCs/>
          <w:sz w:val="21"/>
          <w:szCs w:val="21"/>
        </w:rPr>
        <w:t>五、基金资产净值计算和会计核算</w:t>
      </w:r>
    </w:p>
    <w:p w14:paraId="18839407">
      <w:pPr>
        <w:pStyle w:val="8"/>
        <w:spacing w:before="0" w:beforeAutospacing="0" w:after="0" w:afterAutospacing="0" w:line="360" w:lineRule="auto"/>
        <w:ind w:firstLine="420"/>
        <w:rPr>
          <w:sz w:val="21"/>
          <w:szCs w:val="21"/>
        </w:rPr>
      </w:pPr>
      <w:r>
        <w:rPr>
          <w:rFonts w:hint="eastAsia"/>
          <w:sz w:val="21"/>
          <w:szCs w:val="21"/>
        </w:rPr>
        <w:t xml:space="preserve">（一）基金资产估值方法和特殊情形的处理  </w:t>
      </w:r>
    </w:p>
    <w:p w14:paraId="79D734A4">
      <w:pPr>
        <w:pStyle w:val="8"/>
        <w:spacing w:before="0" w:beforeAutospacing="0" w:after="0" w:afterAutospacing="0" w:line="360" w:lineRule="auto"/>
        <w:ind w:firstLine="420"/>
        <w:rPr>
          <w:sz w:val="21"/>
          <w:szCs w:val="21"/>
        </w:rPr>
      </w:pPr>
      <w:r>
        <w:rPr>
          <w:rFonts w:hint="eastAsia"/>
          <w:sz w:val="21"/>
          <w:szCs w:val="21"/>
        </w:rPr>
        <w:t xml:space="preserve">1、基金资产估值方法 </w:t>
      </w:r>
    </w:p>
    <w:p w14:paraId="6B909CF1">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09E9EE30">
      <w:pPr>
        <w:pStyle w:val="8"/>
        <w:spacing w:before="0" w:beforeAutospacing="0" w:after="0" w:afterAutospacing="0" w:line="360" w:lineRule="auto"/>
        <w:ind w:firstLine="420"/>
        <w:rPr>
          <w:sz w:val="21"/>
          <w:szCs w:val="21"/>
        </w:rPr>
      </w:pPr>
      <w:r>
        <w:rPr>
          <w:rFonts w:hint="eastAsia"/>
          <w:sz w:val="21"/>
          <w:szCs w:val="21"/>
        </w:rPr>
        <w:t xml:space="preserve">1）交易所上市的有价证券（包括股票、权证、存托凭证、ETF基金等），以其估值日在证券交易所挂牌的市价（收盘价）估值；估值日无交易的，以最近交易日的市价（收盘价）估值。 </w:t>
      </w:r>
    </w:p>
    <w:p w14:paraId="72C72B60">
      <w:pPr>
        <w:pStyle w:val="8"/>
        <w:spacing w:before="0" w:beforeAutospacing="0" w:after="0" w:afterAutospacing="0" w:line="360" w:lineRule="auto"/>
        <w:ind w:firstLine="420"/>
        <w:rPr>
          <w:sz w:val="21"/>
          <w:szCs w:val="21"/>
        </w:rPr>
      </w:pPr>
      <w:r>
        <w:rPr>
          <w:rFonts w:hint="eastAsia"/>
          <w:sz w:val="21"/>
          <w:szCs w:val="21"/>
        </w:rPr>
        <w:t xml:space="preserve">2）交易所上市实行净价交易的债券按估值日收盘价估值，估值日没有交易的，按最近交易日的收盘价估值。交易所上市未实行净价交易的债券按估值日收盘价减去债券收盘价中所含的债券应收利息得到的净价进行估值；估值日没有交易的，按最近交易日债券收盘价减去债券收盘价中所含的债券应收利息得到的净价进行估值。如最近交易日后经济环境发生了重大变化的，可参考类似投资品种的现行市价及重大变化因素，调整最近交易市价，确定公允价格。 </w:t>
      </w:r>
    </w:p>
    <w:p w14:paraId="6A301D5B">
      <w:pPr>
        <w:pStyle w:val="8"/>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26AB8927">
      <w:pPr>
        <w:pStyle w:val="8"/>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1）送股、转增股、配股和公开增发的新股，按估值日在证券交易所挂牌的同一股票的市价（收盘价）估值；该日无交易的，以最近一日的市价（收盘价）估值； </w:t>
      </w:r>
    </w:p>
    <w:p w14:paraId="367CC0DE">
      <w:pPr>
        <w:pStyle w:val="8"/>
        <w:spacing w:before="0" w:beforeAutospacing="0" w:after="0" w:afterAutospacing="0" w:line="360" w:lineRule="auto"/>
        <w:ind w:firstLine="420"/>
        <w:rPr>
          <w:sz w:val="21"/>
          <w:szCs w:val="21"/>
        </w:rPr>
      </w:pPr>
      <w:r>
        <w:rPr>
          <w:rFonts w:hint="eastAsia"/>
          <w:sz w:val="21"/>
          <w:szCs w:val="21"/>
        </w:rPr>
        <w:t xml:space="preserve">2）首次公开发行未上市的股票、债券和权证等按成本估值。 </w:t>
      </w:r>
    </w:p>
    <w:p w14:paraId="6A7066EF">
      <w:pPr>
        <w:pStyle w:val="8"/>
        <w:spacing w:before="0" w:beforeAutospacing="0" w:after="0" w:afterAutospacing="0" w:line="360" w:lineRule="auto"/>
        <w:ind w:firstLine="420"/>
        <w:rPr>
          <w:sz w:val="21"/>
          <w:szCs w:val="21"/>
        </w:rPr>
      </w:pPr>
      <w:r>
        <w:rPr>
          <w:rFonts w:hint="eastAsia"/>
          <w:sz w:val="21"/>
          <w:szCs w:val="21"/>
        </w:rPr>
        <w:t xml:space="preserve">（3）因持有股票而享有的配股权证，从配股除权日起到配股确认日止，若配股权证可以在交易所交易，则按照1中确定的方法进行估值；不能在交易所交易的配股权证，如果收盘价高于配股价，则按收盘价和配股价的差额进行估值，如果收盘价低于或等于配股价，则估值为零。 </w:t>
      </w:r>
    </w:p>
    <w:p w14:paraId="793963D1">
      <w:pPr>
        <w:pStyle w:val="8"/>
        <w:spacing w:before="0" w:beforeAutospacing="0" w:after="0" w:afterAutospacing="0" w:line="360" w:lineRule="auto"/>
        <w:ind w:firstLine="420"/>
        <w:rPr>
          <w:sz w:val="21"/>
          <w:szCs w:val="21"/>
        </w:rPr>
      </w:pPr>
      <w:r>
        <w:rPr>
          <w:rFonts w:hint="eastAsia"/>
          <w:sz w:val="21"/>
          <w:szCs w:val="21"/>
        </w:rPr>
        <w:t xml:space="preserve">（4）对于非上市证券，采用公允价值进行估值，具体可采用行业通用权威的报价系统提供的报价进行估值。  </w:t>
      </w:r>
    </w:p>
    <w:p w14:paraId="4CDE0769">
      <w:pPr>
        <w:pStyle w:val="8"/>
        <w:spacing w:before="0" w:beforeAutospacing="0" w:after="0" w:afterAutospacing="0" w:line="360" w:lineRule="auto"/>
        <w:ind w:firstLine="420"/>
        <w:rPr>
          <w:sz w:val="21"/>
          <w:szCs w:val="21"/>
        </w:rPr>
      </w:pPr>
      <w:r>
        <w:rPr>
          <w:rFonts w:hint="eastAsia"/>
          <w:sz w:val="21"/>
          <w:szCs w:val="21"/>
        </w:rPr>
        <w:t xml:space="preserve">（5）开放式基金的估值以其在估值日公布的净值进行估值，开放式基金未公布估值日的净值的，以估值日前最新公布的净值进行估值。  </w:t>
      </w:r>
    </w:p>
    <w:p w14:paraId="3CA7E979">
      <w:pPr>
        <w:pStyle w:val="8"/>
        <w:spacing w:before="0" w:beforeAutospacing="0" w:after="0" w:afterAutospacing="0" w:line="360" w:lineRule="auto"/>
        <w:ind w:firstLine="420"/>
        <w:rPr>
          <w:sz w:val="21"/>
          <w:szCs w:val="21"/>
        </w:rPr>
      </w:pPr>
      <w:r>
        <w:rPr>
          <w:rFonts w:hint="eastAsia"/>
          <w:sz w:val="21"/>
          <w:szCs w:val="21"/>
        </w:rPr>
        <w:t xml:space="preserve">（6）基金持有的衍生工具等其他有价证券，上市交易的有价证券按估值日的收盘价估值；估值日没有交易的，按最近交易日的收盘价估值；未上市交易的，采用估值技术确定公允价值，在估值技术难以可靠计量的情况下，按成本估值；停止交易、但未行权的有价证券，采用估值技术确定公允价值。  </w:t>
      </w:r>
    </w:p>
    <w:p w14:paraId="4A39B4B0">
      <w:pPr>
        <w:pStyle w:val="8"/>
        <w:spacing w:before="0" w:beforeAutospacing="0" w:after="0" w:afterAutospacing="0" w:line="360" w:lineRule="auto"/>
        <w:ind w:firstLine="420"/>
        <w:rPr>
          <w:sz w:val="21"/>
          <w:szCs w:val="21"/>
        </w:rPr>
      </w:pPr>
      <w:r>
        <w:rPr>
          <w:rFonts w:hint="eastAsia"/>
          <w:sz w:val="21"/>
          <w:szCs w:val="21"/>
        </w:rPr>
        <w:t xml:space="preserve">（7）外汇汇率  </w:t>
      </w:r>
    </w:p>
    <w:p w14:paraId="6277FC7D">
      <w:pPr>
        <w:pStyle w:val="8"/>
        <w:spacing w:before="0" w:beforeAutospacing="0" w:after="0" w:afterAutospacing="0" w:line="360" w:lineRule="auto"/>
        <w:ind w:firstLine="420"/>
        <w:rPr>
          <w:sz w:val="21"/>
          <w:szCs w:val="21"/>
        </w:rPr>
      </w:pPr>
      <w:r>
        <w:rPr>
          <w:rFonts w:hint="eastAsia"/>
          <w:sz w:val="21"/>
          <w:szCs w:val="21"/>
        </w:rPr>
        <w:t xml:space="preserve">1）估值计算中涉及美元、港币、日元、英镑、欧元五种主要货币的汇率，将依据估值日中国人民银行或其授权机构公布的人民币与主要货币的中间价为准。 </w:t>
      </w:r>
    </w:p>
    <w:p w14:paraId="0596FC09">
      <w:pPr>
        <w:pStyle w:val="8"/>
        <w:spacing w:before="0" w:beforeAutospacing="0" w:after="0" w:afterAutospacing="0" w:line="360" w:lineRule="auto"/>
        <w:ind w:firstLine="420"/>
        <w:rPr>
          <w:sz w:val="21"/>
          <w:szCs w:val="21"/>
        </w:rPr>
      </w:pPr>
      <w:r>
        <w:rPr>
          <w:rFonts w:hint="eastAsia"/>
          <w:sz w:val="21"/>
          <w:szCs w:val="21"/>
        </w:rPr>
        <w:t xml:space="preserve">2）其他货币采用美元作为中间货币进行换算，与美元的汇率来源详见基金招募说明书。 </w:t>
      </w:r>
    </w:p>
    <w:p w14:paraId="0893CB2C">
      <w:pPr>
        <w:pStyle w:val="8"/>
        <w:spacing w:before="0" w:beforeAutospacing="0" w:after="0" w:afterAutospacing="0" w:line="360" w:lineRule="auto"/>
        <w:ind w:firstLine="420"/>
        <w:rPr>
          <w:sz w:val="21"/>
          <w:szCs w:val="21"/>
        </w:rPr>
      </w:pPr>
      <w:r>
        <w:rPr>
          <w:rFonts w:hint="eastAsia"/>
          <w:sz w:val="21"/>
          <w:szCs w:val="21"/>
        </w:rPr>
        <w:t xml:space="preserve">若无法取得上述汇率价格信息时，以基金管理人和基金托管人共同认可的其他第三方汇率报价为准。 </w:t>
      </w:r>
    </w:p>
    <w:p w14:paraId="7D194E72">
      <w:pPr>
        <w:pStyle w:val="8"/>
        <w:spacing w:before="0" w:beforeAutospacing="0" w:after="0" w:afterAutospacing="0" w:line="360" w:lineRule="auto"/>
        <w:ind w:firstLine="420"/>
        <w:rPr>
          <w:sz w:val="21"/>
          <w:szCs w:val="21"/>
        </w:rPr>
      </w:pPr>
      <w:r>
        <w:rPr>
          <w:rFonts w:hint="eastAsia"/>
          <w:sz w:val="21"/>
          <w:szCs w:val="21"/>
        </w:rPr>
        <w:t xml:space="preserve">（8）对于按照中国法律法规和基金投资所在地的法律法规规定应交纳的各项税金，本基金将按权责发生制原则进行估值；对于因税收规定调整或其他原因导致基金实际交纳税金与估算的应交税金有差异的，基金将在相关税金实际支付日进行相应的估值调整。  </w:t>
      </w:r>
    </w:p>
    <w:p w14:paraId="35EF60CE">
      <w:pPr>
        <w:pStyle w:val="8"/>
        <w:spacing w:before="0" w:beforeAutospacing="0" w:after="0" w:afterAutospacing="0" w:line="360" w:lineRule="auto"/>
        <w:ind w:firstLine="420"/>
        <w:rPr>
          <w:sz w:val="21"/>
          <w:szCs w:val="21"/>
        </w:rPr>
      </w:pPr>
      <w:r>
        <w:rPr>
          <w:rFonts w:hint="eastAsia"/>
          <w:sz w:val="21"/>
          <w:szCs w:val="21"/>
        </w:rPr>
        <w:t xml:space="preserve">（9）在任何情况下，基金管理人如果采用本项1-8中规定的方法对基金资产进行估值，均应被认为采用了适当的估值方法。但是，如有确凿证据表明按上述方法进行估值不能客观反映其公允价值的，基金管理人可根据具体情况与基金托管人商定后，按最能反映公允价值的价格估值。 </w:t>
      </w:r>
    </w:p>
    <w:p w14:paraId="5E5F3B69">
      <w:pPr>
        <w:pStyle w:val="8"/>
        <w:spacing w:before="0" w:beforeAutospacing="0" w:after="0" w:afterAutospacing="0" w:line="360" w:lineRule="auto"/>
        <w:ind w:firstLine="420"/>
        <w:rPr>
          <w:sz w:val="21"/>
          <w:szCs w:val="21"/>
        </w:rPr>
      </w:pPr>
      <w:r>
        <w:rPr>
          <w:rFonts w:hint="eastAsia"/>
          <w:sz w:val="21"/>
          <w:szCs w:val="21"/>
        </w:rPr>
        <w:t xml:space="preserve">（10）相关法律法规以及监管部门有强制规定的，从其规定。如有新增事项，按国家最新规定估值。  </w:t>
      </w:r>
    </w:p>
    <w:p w14:paraId="480FEE73">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4AA42604">
      <w:pPr>
        <w:pStyle w:val="8"/>
        <w:spacing w:before="0" w:beforeAutospacing="0" w:after="0" w:afterAutospacing="0" w:line="360" w:lineRule="auto"/>
        <w:ind w:firstLine="420"/>
        <w:rPr>
          <w:sz w:val="21"/>
          <w:szCs w:val="21"/>
        </w:rPr>
      </w:pPr>
      <w:r>
        <w:rPr>
          <w:rFonts w:hint="eastAsia"/>
          <w:sz w:val="21"/>
          <w:szCs w:val="21"/>
        </w:rPr>
        <w:t xml:space="preserve">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6CB53349">
      <w:pPr>
        <w:pStyle w:val="8"/>
        <w:spacing w:before="0" w:beforeAutospacing="0" w:after="0" w:afterAutospacing="0" w:line="360" w:lineRule="auto"/>
        <w:ind w:firstLine="420"/>
        <w:rPr>
          <w:sz w:val="21"/>
          <w:szCs w:val="21"/>
        </w:rPr>
      </w:pPr>
      <w:r>
        <w:rPr>
          <w:rFonts w:hint="eastAsia"/>
          <w:sz w:val="21"/>
          <w:szCs w:val="21"/>
        </w:rPr>
        <w:t xml:space="preserve">2、特殊情况的处理  </w:t>
      </w:r>
    </w:p>
    <w:p w14:paraId="39E2546D">
      <w:pPr>
        <w:pStyle w:val="8"/>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1、基金管理人或基金托管人按估值方法的第9项进行估值时，所造成的误差不作为基金资产估值错误处理。  </w:t>
      </w:r>
    </w:p>
    <w:p w14:paraId="3864FD60">
      <w:pPr>
        <w:pStyle w:val="8"/>
        <w:spacing w:before="0" w:beforeAutospacing="0" w:after="0" w:afterAutospacing="0" w:line="360" w:lineRule="auto"/>
        <w:ind w:firstLine="420"/>
        <w:rPr>
          <w:sz w:val="21"/>
          <w:szCs w:val="21"/>
        </w:rPr>
      </w:pPr>
      <w:r>
        <w:rPr>
          <w:rFonts w:hint="eastAsia"/>
          <w:sz w:val="21"/>
          <w:szCs w:val="21"/>
        </w:rPr>
        <w:t xml:space="preserve">2、由于不可抗力原因，或由于证券交易所或登记结算机构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1BC346B0">
      <w:pPr>
        <w:pStyle w:val="8"/>
        <w:spacing w:before="0" w:beforeAutospacing="0" w:after="0" w:afterAutospacing="0" w:line="360" w:lineRule="auto"/>
        <w:ind w:firstLine="420"/>
        <w:rPr>
          <w:sz w:val="21"/>
          <w:szCs w:val="21"/>
        </w:rPr>
      </w:pPr>
      <w:r>
        <w:rPr>
          <w:rFonts w:hint="eastAsia"/>
          <w:b/>
          <w:bCs/>
          <w:sz w:val="21"/>
          <w:szCs w:val="21"/>
        </w:rPr>
        <w:t>六、基金份额持有人名册的登记与保管</w:t>
      </w:r>
    </w:p>
    <w:p w14:paraId="64118787">
      <w:pPr>
        <w:pStyle w:val="8"/>
        <w:spacing w:before="0" w:beforeAutospacing="0" w:after="0" w:afterAutospacing="0" w:line="360" w:lineRule="auto"/>
        <w:ind w:firstLine="420"/>
        <w:rPr>
          <w:sz w:val="21"/>
          <w:szCs w:val="21"/>
        </w:rPr>
      </w:pPr>
      <w:r>
        <w:rPr>
          <w:rFonts w:hint="eastAsia"/>
          <w:sz w:val="21"/>
          <w:szCs w:val="21"/>
        </w:rPr>
        <w:t xml:space="preserve">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 </w:t>
      </w:r>
    </w:p>
    <w:p w14:paraId="2F920AE3">
      <w:pPr>
        <w:pStyle w:val="8"/>
        <w:spacing w:before="0" w:beforeAutospacing="0" w:after="0" w:afterAutospacing="0" w:line="360" w:lineRule="auto"/>
        <w:ind w:firstLine="420"/>
        <w:rPr>
          <w:sz w:val="21"/>
          <w:szCs w:val="21"/>
        </w:rPr>
      </w:pPr>
      <w:r>
        <w:rPr>
          <w:rFonts w:hint="eastAsia"/>
          <w:sz w:val="21"/>
          <w:szCs w:val="21"/>
        </w:rPr>
        <w:t xml:space="preserve">基金份额持有人名册由基金的基金登记结算机构根据基金管理人的指令编制和保管，至少应包括基金份额持有人的名称和持有的基金份额，基金管理人和基金托管人应按照目前相关规则分别保管基金份额持有人名册。保管方式可以采用电子或文档的形式。保管期限为法律法规规定的期限。 </w:t>
      </w:r>
    </w:p>
    <w:p w14:paraId="1C9C8F77">
      <w:pPr>
        <w:pStyle w:val="8"/>
        <w:spacing w:before="0" w:beforeAutospacing="0" w:after="0" w:afterAutospacing="0" w:line="360" w:lineRule="auto"/>
        <w:ind w:firstLine="420"/>
        <w:rPr>
          <w:sz w:val="21"/>
          <w:szCs w:val="21"/>
        </w:rPr>
      </w:pPr>
      <w:r>
        <w:rPr>
          <w:rFonts w:hint="eastAsia"/>
          <w:sz w:val="21"/>
          <w:szCs w:val="21"/>
        </w:rPr>
        <w:t xml:space="preserve">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等涉及到基金重要事项日期的基金份额持有人名册应于发生日后十个工作日内提交。 </w:t>
      </w:r>
    </w:p>
    <w:p w14:paraId="3647D35D">
      <w:pPr>
        <w:pStyle w:val="8"/>
        <w:spacing w:before="0" w:beforeAutospacing="0" w:after="0" w:afterAutospacing="0" w:line="360" w:lineRule="auto"/>
        <w:ind w:firstLine="420"/>
        <w:rPr>
          <w:sz w:val="21"/>
          <w:szCs w:val="21"/>
        </w:rPr>
      </w:pPr>
      <w:r>
        <w:rPr>
          <w:rFonts w:hint="eastAsia"/>
          <w:sz w:val="21"/>
          <w:szCs w:val="21"/>
        </w:rPr>
        <w:t xml:space="preserve">基金管理人和基金托管人对基金份额持有人名册负有保密义务。除法律法规、《基金合同》和本协议另有规定外，基金管理人或基金托管人不得将基金份额持有人名册及其中的任何信息以任何方式向任何第三方披露，基金管理人或基金托管人应将基金份额持有人名册及其中的信息限制在为履行《基金合同》和本协议之目的而需要了解该等信息的人员范围之内。基金管理人或基金托管人未能妥善保存基金份额持有人名册，造成基金份额持有人名册毁损、灭失，或向第三方泄露了基金份额持有人信息的，基金管理人或基金托管人应对此承担法律责任，赔偿基金份额持有人和基金托管人（或基金管理人）遭受的全部直接损失。 </w:t>
      </w:r>
    </w:p>
    <w:p w14:paraId="49D59430">
      <w:pPr>
        <w:pStyle w:val="8"/>
        <w:spacing w:before="0" w:beforeAutospacing="0" w:after="0" w:afterAutospacing="0" w:line="360" w:lineRule="auto"/>
        <w:ind w:firstLine="420"/>
        <w:rPr>
          <w:sz w:val="21"/>
          <w:szCs w:val="21"/>
        </w:rPr>
      </w:pPr>
      <w:r>
        <w:rPr>
          <w:rFonts w:hint="eastAsia"/>
          <w:sz w:val="21"/>
          <w:szCs w:val="21"/>
        </w:rPr>
        <w:t xml:space="preserve">若基金管理人或基金托管人由于自身原因无法妥善保管基金份额持有人名册，应按有关法规规定各自承担相应的责任。 </w:t>
      </w:r>
    </w:p>
    <w:p w14:paraId="486F4367">
      <w:pPr>
        <w:pStyle w:val="8"/>
        <w:spacing w:before="0" w:beforeAutospacing="0" w:after="0" w:afterAutospacing="0" w:line="360" w:lineRule="auto"/>
        <w:ind w:firstLine="420"/>
        <w:rPr>
          <w:sz w:val="21"/>
          <w:szCs w:val="21"/>
        </w:rPr>
      </w:pPr>
      <w:r>
        <w:rPr>
          <w:rFonts w:hint="eastAsia"/>
          <w:b/>
          <w:bCs/>
          <w:sz w:val="21"/>
          <w:szCs w:val="21"/>
        </w:rPr>
        <w:t>七、争议解决方式</w:t>
      </w:r>
    </w:p>
    <w:p w14:paraId="4E715541">
      <w:pPr>
        <w:pStyle w:val="8"/>
        <w:spacing w:before="0" w:beforeAutospacing="0" w:after="0" w:afterAutospacing="0" w:line="360" w:lineRule="auto"/>
        <w:ind w:firstLine="420"/>
        <w:rPr>
          <w:sz w:val="21"/>
          <w:szCs w:val="21"/>
        </w:rPr>
      </w:pPr>
      <w:r>
        <w:rPr>
          <w:rFonts w:hint="eastAsia"/>
          <w:sz w:val="21"/>
          <w:szCs w:val="21"/>
        </w:rPr>
        <w:t xml:space="preserve">托管协议适用中华人民共和国法律并依照其解释。相关各方当事人同意，因本协议而产生的或与本协议有关的一切争议，除经友好协商可以解决的，均应提交中国国际经济贸易仲裁委员会在北京仲裁，按照申请仲裁时该会现行有效的仲裁规则进行仲裁。仲裁裁决是终局的，对双方均有约束力，仲裁费用由败诉方承担。 </w:t>
      </w:r>
    </w:p>
    <w:p w14:paraId="52414065">
      <w:pPr>
        <w:pStyle w:val="8"/>
        <w:spacing w:before="0" w:beforeAutospacing="0" w:after="0" w:afterAutospacing="0" w:line="360" w:lineRule="auto"/>
        <w:ind w:firstLine="420"/>
        <w:rPr>
          <w:sz w:val="21"/>
          <w:szCs w:val="21"/>
        </w:rPr>
      </w:pPr>
      <w:r>
        <w:rPr>
          <w:rFonts w:hint="eastAsia"/>
          <w:sz w:val="21"/>
          <w:szCs w:val="21"/>
        </w:rPr>
        <w:t xml:space="preserve">当任何争议发生或任何争议正在进行仲裁时，除争议事项外，双方仍有权行使本协议项下的其它权利并应履行本协议项下的其它义务。 </w:t>
      </w:r>
    </w:p>
    <w:p w14:paraId="5CEDFE43">
      <w:pPr>
        <w:pStyle w:val="8"/>
        <w:spacing w:before="0" w:beforeAutospacing="0" w:after="0" w:afterAutospacing="0" w:line="360" w:lineRule="auto"/>
        <w:ind w:firstLine="420"/>
        <w:rPr>
          <w:sz w:val="21"/>
          <w:szCs w:val="21"/>
        </w:rPr>
      </w:pPr>
      <w:r>
        <w:rPr>
          <w:rFonts w:hint="eastAsia"/>
          <w:b/>
          <w:bCs/>
          <w:sz w:val="21"/>
          <w:szCs w:val="21"/>
        </w:rPr>
        <w:t>八、托管协议的修改与终止</w:t>
      </w:r>
    </w:p>
    <w:p w14:paraId="5B045C5C">
      <w:pPr>
        <w:pStyle w:val="8"/>
        <w:spacing w:before="0" w:beforeAutospacing="0" w:after="0" w:afterAutospacing="0" w:line="360" w:lineRule="auto"/>
        <w:ind w:firstLine="420"/>
        <w:rPr>
          <w:sz w:val="21"/>
          <w:szCs w:val="21"/>
        </w:rPr>
      </w:pPr>
      <w:r>
        <w:rPr>
          <w:rFonts w:hint="eastAsia"/>
          <w:sz w:val="21"/>
          <w:szCs w:val="21"/>
        </w:rPr>
        <w:t xml:space="preserve">（一）托管协议的变更程序  </w:t>
      </w:r>
    </w:p>
    <w:p w14:paraId="3DDDF314">
      <w:pPr>
        <w:pStyle w:val="8"/>
        <w:spacing w:before="0" w:beforeAutospacing="0" w:after="0" w:afterAutospacing="0" w:line="360" w:lineRule="auto"/>
        <w:ind w:firstLine="420"/>
        <w:rPr>
          <w:sz w:val="21"/>
          <w:szCs w:val="21"/>
        </w:rPr>
      </w:pPr>
      <w:r>
        <w:rPr>
          <w:rFonts w:hint="eastAsia"/>
          <w:sz w:val="21"/>
          <w:szCs w:val="21"/>
        </w:rPr>
        <w:t xml:space="preserve">本协议双方当事人经协商一致，可以书面形式对本协议进行修改。修改后的新协议，其内容不得与《基金合同》的规定有任何冲突。托管协议的修改和变更应报送中国证监会核准。 </w:t>
      </w:r>
    </w:p>
    <w:p w14:paraId="79FA9A92">
      <w:pPr>
        <w:pStyle w:val="8"/>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778E17D9">
      <w:pPr>
        <w:pStyle w:val="8"/>
        <w:spacing w:before="0" w:beforeAutospacing="0" w:after="0" w:afterAutospacing="0" w:line="360" w:lineRule="auto"/>
        <w:ind w:firstLine="420"/>
        <w:rPr>
          <w:sz w:val="21"/>
          <w:szCs w:val="21"/>
        </w:rPr>
      </w:pPr>
      <w:r>
        <w:rPr>
          <w:rFonts w:hint="eastAsia"/>
          <w:sz w:val="21"/>
          <w:szCs w:val="21"/>
        </w:rPr>
        <w:t xml:space="preserve">1、《基金合同》终止； </w:t>
      </w:r>
    </w:p>
    <w:p w14:paraId="77F391CF">
      <w:pPr>
        <w:pStyle w:val="8"/>
        <w:spacing w:before="0" w:beforeAutospacing="0" w:after="0" w:afterAutospacing="0" w:line="360" w:lineRule="auto"/>
        <w:ind w:firstLine="420"/>
        <w:rPr>
          <w:sz w:val="21"/>
          <w:szCs w:val="21"/>
        </w:rPr>
      </w:pPr>
      <w:r>
        <w:rPr>
          <w:rFonts w:hint="eastAsia"/>
          <w:sz w:val="21"/>
          <w:szCs w:val="21"/>
        </w:rPr>
        <w:t xml:space="preserve">2、基金管理人或基金托管人解散、依法被撤销、破产或有其他基金托管人接管基金资产； </w:t>
      </w:r>
    </w:p>
    <w:p w14:paraId="6A40072C">
      <w:pPr>
        <w:pStyle w:val="8"/>
        <w:spacing w:before="0" w:beforeAutospacing="0" w:after="0" w:afterAutospacing="0" w:line="360" w:lineRule="auto"/>
        <w:ind w:firstLine="420"/>
        <w:rPr>
          <w:sz w:val="21"/>
          <w:szCs w:val="21"/>
        </w:rPr>
      </w:pPr>
      <w:bookmarkStart w:id="193" w:name="chapter_level1_26_72_section_1_end"/>
      <w:bookmarkEnd w:id="193"/>
      <w:r>
        <w:rPr>
          <w:rFonts w:hint="eastAsia"/>
          <w:sz w:val="21"/>
          <w:szCs w:val="21"/>
        </w:rPr>
        <w:t xml:space="preserve">3、中国证监会规定的其他终止情形。 </w:t>
      </w:r>
    </w:p>
    <w:p w14:paraId="5493CC4A">
      <w:pPr>
        <w:widowControl/>
        <w:jc w:val="left"/>
        <w:rPr>
          <w:rFonts w:ascii="宋体" w:hAnsi="宋体" w:eastAsia="宋体"/>
        </w:rPr>
      </w:pPr>
      <w:r>
        <w:rPr>
          <w:rFonts w:ascii="宋体" w:hAnsi="宋体" w:eastAsia="宋体"/>
        </w:rPr>
        <w:br w:type="page"/>
      </w:r>
    </w:p>
    <w:p w14:paraId="0375B35F">
      <w:pPr>
        <w:pStyle w:val="2"/>
        <w:jc w:val="center"/>
        <w:rPr>
          <w:rFonts w:ascii="宋体" w:hAnsi="宋体" w:eastAsia="宋体"/>
          <w:sz w:val="30"/>
        </w:rPr>
      </w:pPr>
      <w:bookmarkStart w:id="194" w:name="chapter_level1_27_75"/>
      <w:bookmarkStart w:id="195" w:name="_Toc209441858"/>
      <w:r>
        <w:rPr>
          <w:rFonts w:hint="eastAsia" w:ascii="宋体" w:hAnsi="宋体" w:eastAsia="宋体"/>
          <w:sz w:val="30"/>
        </w:rPr>
        <w:t>第二十四部分  对基金份额持有人的服务</w:t>
      </w:r>
      <w:bookmarkEnd w:id="194"/>
      <w:bookmarkEnd w:id="195"/>
    </w:p>
    <w:p w14:paraId="7B11ABC7">
      <w:pPr>
        <w:pStyle w:val="8"/>
        <w:spacing w:before="0" w:beforeAutospacing="0" w:after="0" w:afterAutospacing="0" w:line="360" w:lineRule="auto"/>
        <w:ind w:firstLine="420"/>
        <w:rPr>
          <w:sz w:val="21"/>
          <w:szCs w:val="21"/>
        </w:rPr>
      </w:pPr>
      <w:bookmarkStart w:id="196" w:name="chapter_level1_27_75_section_1"/>
      <w:bookmarkEnd w:id="196"/>
      <w:r>
        <w:rPr>
          <w:rFonts w:hint="eastAsia"/>
          <w:sz w:val="21"/>
          <w:szCs w:val="21"/>
        </w:rPr>
        <w:t xml:space="preserve">对本基金份额持有人的服务主要由基金管理人、发售代理机构、申购赎回代理券商提供。基金管理人承诺为基金份额持有人提供一系列的服务，以下是主要的服务内容。基金管理人根据基金份额持有人的需要和市场的变化，有权增加和修改服务项目。  </w:t>
      </w:r>
    </w:p>
    <w:p w14:paraId="793B99E7">
      <w:pPr>
        <w:pStyle w:val="8"/>
        <w:spacing w:before="0" w:beforeAutospacing="0" w:after="0" w:afterAutospacing="0" w:line="360" w:lineRule="auto"/>
        <w:ind w:firstLine="420"/>
        <w:rPr>
          <w:sz w:val="21"/>
          <w:szCs w:val="21"/>
        </w:rPr>
      </w:pPr>
      <w:r>
        <w:rPr>
          <w:rFonts w:hint="eastAsia"/>
          <w:sz w:val="21"/>
          <w:szCs w:val="21"/>
        </w:rPr>
        <w:t xml:space="preserve">基金管理人提供的服务内容如下： </w:t>
      </w:r>
    </w:p>
    <w:p w14:paraId="241973DC">
      <w:pPr>
        <w:pStyle w:val="8"/>
        <w:spacing w:before="0" w:beforeAutospacing="0" w:after="0" w:afterAutospacing="0" w:line="360" w:lineRule="auto"/>
        <w:ind w:firstLine="420"/>
        <w:rPr>
          <w:sz w:val="21"/>
          <w:szCs w:val="21"/>
        </w:rPr>
      </w:pPr>
      <w:r>
        <w:rPr>
          <w:rStyle w:val="12"/>
          <w:rFonts w:hint="eastAsia"/>
          <w:sz w:val="21"/>
          <w:szCs w:val="21"/>
        </w:rPr>
        <w:t>一、客户服务电话</w:t>
      </w:r>
    </w:p>
    <w:p w14:paraId="4A044198">
      <w:pPr>
        <w:pStyle w:val="8"/>
        <w:spacing w:before="0" w:beforeAutospacing="0" w:after="0" w:afterAutospacing="0" w:line="360" w:lineRule="auto"/>
        <w:ind w:firstLine="420"/>
        <w:rPr>
          <w:sz w:val="21"/>
          <w:szCs w:val="21"/>
        </w:rPr>
      </w:pPr>
      <w:r>
        <w:rPr>
          <w:rFonts w:hint="eastAsia"/>
          <w:sz w:val="21"/>
          <w:szCs w:val="21"/>
        </w:rPr>
        <w:t xml:space="preserve">客户服务中心自动语音系统提供每周七天、每天24小时的自动语音服务和查询服务，客户可以通过电话查询基金份额净值。同时，客服中心提供工作日每天9:00-21:00、节假日（十一和春节除外）9:00-17:00的电话人工服务。 </w:t>
      </w:r>
    </w:p>
    <w:p w14:paraId="68C37115">
      <w:pPr>
        <w:pStyle w:val="8"/>
        <w:spacing w:before="0" w:beforeAutospacing="0" w:after="0" w:afterAutospacing="0" w:line="360" w:lineRule="auto"/>
        <w:ind w:firstLine="420"/>
        <w:rPr>
          <w:sz w:val="21"/>
          <w:szCs w:val="21"/>
        </w:rPr>
      </w:pPr>
      <w:r>
        <w:rPr>
          <w:rFonts w:hint="eastAsia"/>
          <w:sz w:val="21"/>
          <w:szCs w:val="21"/>
        </w:rPr>
        <w:t xml:space="preserve">博时一线通：95105568（免长途话费） </w:t>
      </w:r>
    </w:p>
    <w:p w14:paraId="5D08CCFA">
      <w:pPr>
        <w:pStyle w:val="8"/>
        <w:spacing w:before="0" w:beforeAutospacing="0" w:after="0" w:afterAutospacing="0" w:line="360" w:lineRule="auto"/>
        <w:ind w:firstLine="420"/>
        <w:rPr>
          <w:sz w:val="21"/>
          <w:szCs w:val="21"/>
        </w:rPr>
      </w:pPr>
      <w:r>
        <w:rPr>
          <w:rStyle w:val="12"/>
          <w:rFonts w:hint="eastAsia"/>
          <w:sz w:val="21"/>
          <w:szCs w:val="21"/>
        </w:rPr>
        <w:t>二、网上客户服务中心</w:t>
      </w:r>
    </w:p>
    <w:p w14:paraId="6F21F413">
      <w:pPr>
        <w:pStyle w:val="8"/>
        <w:spacing w:before="0" w:beforeAutospacing="0" w:after="0" w:afterAutospacing="0" w:line="360" w:lineRule="auto"/>
        <w:ind w:firstLine="420"/>
        <w:rPr>
          <w:sz w:val="21"/>
          <w:szCs w:val="21"/>
        </w:rPr>
      </w:pPr>
      <w:r>
        <w:rPr>
          <w:rFonts w:hint="eastAsia"/>
          <w:sz w:val="21"/>
          <w:szCs w:val="21"/>
        </w:rPr>
        <w:t xml:space="preserve">网上客户服务为投资人提供查询服务、资讯服务以及在线咨询的平台。登陆网站后，投资人可以查询基金相关信息，享受资讯服务；投资人还可以使用“在线客服”功能进行在线咨询以及查询热点问题及其解答，并提交投诉与建议。 </w:t>
      </w:r>
    </w:p>
    <w:p w14:paraId="59300C65">
      <w:pPr>
        <w:pStyle w:val="8"/>
        <w:spacing w:before="0" w:beforeAutospacing="0" w:after="0" w:afterAutospacing="0" w:line="360" w:lineRule="auto"/>
        <w:ind w:firstLine="420"/>
        <w:rPr>
          <w:sz w:val="21"/>
          <w:szCs w:val="21"/>
        </w:rPr>
      </w:pPr>
      <w:r>
        <w:rPr>
          <w:rFonts w:hint="eastAsia"/>
          <w:sz w:val="21"/>
          <w:szCs w:val="21"/>
        </w:rPr>
        <w:t>基金管理人网址：</w:t>
      </w:r>
      <w:r>
        <w:fldChar w:fldCharType="begin"/>
      </w:r>
      <w:r>
        <w:instrText xml:space="preserve"> HYPERLINK "http://www.bosera.com/" </w:instrText>
      </w:r>
      <w:r>
        <w:fldChar w:fldCharType="separate"/>
      </w:r>
      <w:r>
        <w:rPr>
          <w:rStyle w:val="13"/>
          <w:rFonts w:hint="eastAsia"/>
          <w:sz w:val="21"/>
          <w:szCs w:val="21"/>
        </w:rPr>
        <w:t>www.bosera.com</w:t>
      </w:r>
      <w:r>
        <w:rPr>
          <w:rStyle w:val="13"/>
          <w:rFonts w:hint="eastAsia"/>
          <w:sz w:val="21"/>
          <w:szCs w:val="21"/>
        </w:rPr>
        <w:fldChar w:fldCharType="end"/>
      </w:r>
    </w:p>
    <w:p w14:paraId="097C6F5F">
      <w:pPr>
        <w:pStyle w:val="8"/>
        <w:spacing w:before="0" w:beforeAutospacing="0" w:after="0" w:afterAutospacing="0" w:line="360" w:lineRule="auto"/>
        <w:ind w:firstLine="420"/>
        <w:rPr>
          <w:sz w:val="21"/>
          <w:szCs w:val="21"/>
        </w:rPr>
      </w:pPr>
      <w:r>
        <w:rPr>
          <w:rFonts w:hint="eastAsia"/>
          <w:sz w:val="21"/>
          <w:szCs w:val="21"/>
        </w:rPr>
        <w:t>电子邮箱：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p>
    <w:p w14:paraId="6BEF6148">
      <w:pPr>
        <w:pStyle w:val="8"/>
        <w:spacing w:before="0" w:beforeAutospacing="0" w:after="0" w:afterAutospacing="0" w:line="360" w:lineRule="auto"/>
        <w:ind w:firstLine="420"/>
        <w:rPr>
          <w:sz w:val="21"/>
          <w:szCs w:val="21"/>
        </w:rPr>
      </w:pPr>
      <w:r>
        <w:rPr>
          <w:rStyle w:val="12"/>
          <w:rFonts w:hint="eastAsia"/>
          <w:sz w:val="21"/>
          <w:szCs w:val="21"/>
        </w:rPr>
        <w:t>三、客户投诉处理</w:t>
      </w:r>
    </w:p>
    <w:p w14:paraId="7D5F1828">
      <w:pPr>
        <w:pStyle w:val="8"/>
        <w:spacing w:before="0" w:beforeAutospacing="0" w:after="0" w:afterAutospacing="0" w:line="360" w:lineRule="auto"/>
        <w:ind w:firstLine="420"/>
        <w:rPr>
          <w:sz w:val="21"/>
          <w:szCs w:val="21"/>
        </w:rPr>
      </w:pPr>
      <w:r>
        <w:rPr>
          <w:rFonts w:hint="eastAsia"/>
          <w:sz w:val="21"/>
          <w:szCs w:val="21"/>
        </w:rPr>
        <w:t xml:space="preserve">投资者可以通过博时基金网站、客服中心IVR自动语音留言、客服中心电话人工坐席、书信、电子邮件、传真等渠道对基金管理人提供的服务进行投诉。投资者还可以通过发售代理机构、申购赎回代理券商的服务电话对该代理机构提供的服务进行投诉。 </w:t>
      </w:r>
    </w:p>
    <w:p w14:paraId="22CA0BA0">
      <w:pPr>
        <w:pStyle w:val="8"/>
        <w:spacing w:before="0" w:beforeAutospacing="0" w:after="0" w:afterAutospacing="0" w:line="360" w:lineRule="auto"/>
        <w:ind w:firstLine="420"/>
        <w:rPr>
          <w:sz w:val="21"/>
          <w:szCs w:val="21"/>
        </w:rPr>
      </w:pPr>
      <w:r>
        <w:rPr>
          <w:rFonts w:hint="eastAsia"/>
          <w:sz w:val="21"/>
          <w:szCs w:val="21"/>
        </w:rPr>
        <w:t>如本招募说明书存在任何您/贵机构无法理解的内容，请通过上述方式联系基金管理人。</w:t>
      </w:r>
      <w:bookmarkStart w:id="197" w:name="chapter_level1_27_75_section_1_end"/>
      <w:bookmarkEnd w:id="197"/>
      <w:r>
        <w:rPr>
          <w:rFonts w:hint="eastAsia"/>
          <w:sz w:val="21"/>
          <w:szCs w:val="21"/>
        </w:rPr>
        <w:t xml:space="preserve">请确保投资前，您/贵机构已经全面理解了本招募说明书。 </w:t>
      </w:r>
    </w:p>
    <w:p w14:paraId="3F8728B1">
      <w:pPr>
        <w:widowControl/>
        <w:jc w:val="left"/>
        <w:rPr>
          <w:rFonts w:ascii="宋体" w:hAnsi="宋体" w:eastAsia="宋体"/>
        </w:rPr>
      </w:pPr>
      <w:r>
        <w:rPr>
          <w:rFonts w:ascii="宋体" w:hAnsi="宋体" w:eastAsia="宋体"/>
        </w:rPr>
        <w:br w:type="page"/>
      </w:r>
    </w:p>
    <w:p w14:paraId="50D59C3B">
      <w:pPr>
        <w:pStyle w:val="2"/>
        <w:jc w:val="center"/>
        <w:rPr>
          <w:rFonts w:ascii="宋体" w:hAnsi="宋体" w:eastAsia="宋体"/>
          <w:sz w:val="30"/>
        </w:rPr>
      </w:pPr>
      <w:bookmarkStart w:id="198" w:name="_Toc209441859"/>
      <w:bookmarkStart w:id="199" w:name="chapter_level1_28_3499"/>
      <w:r>
        <w:rPr>
          <w:rFonts w:hint="eastAsia" w:ascii="宋体" w:hAnsi="宋体" w:eastAsia="宋体"/>
          <w:sz w:val="30"/>
        </w:rPr>
        <w:t>第二十五部分 其他应披露的事项</w:t>
      </w:r>
      <w:bookmarkEnd w:id="198"/>
      <w:bookmarkEnd w:id="199"/>
    </w:p>
    <w:p w14:paraId="5F43931D">
      <w:pPr>
        <w:pStyle w:val="8"/>
        <w:spacing w:before="0" w:beforeAutospacing="0" w:after="0" w:afterAutospacing="0" w:line="360" w:lineRule="auto"/>
        <w:ind w:firstLine="420"/>
        <w:rPr>
          <w:sz w:val="21"/>
          <w:szCs w:val="21"/>
        </w:rPr>
      </w:pPr>
      <w:bookmarkStart w:id="200" w:name="chapter_level1_28_3499_section_1"/>
      <w:bookmarkEnd w:id="200"/>
      <w:bookmarkStart w:id="201" w:name="field_0_bsrevealinfo_1_start"/>
      <w:bookmarkEnd w:id="201"/>
      <w:r>
        <w:rPr>
          <w:rFonts w:hint="eastAsia"/>
          <w:sz w:val="21"/>
          <w:szCs w:val="21"/>
        </w:rPr>
        <w:t>（一）、2025年8月29日，我公司公告了《博时标普500交易型开放式指数证券投资基金暂停赎回业务的公告》、《博时标普500交易型开放式指数证券投资基金2025年中期报告》；</w:t>
      </w:r>
    </w:p>
    <w:p w14:paraId="5CEAC47E">
      <w:pPr>
        <w:pStyle w:val="8"/>
        <w:spacing w:before="0" w:beforeAutospacing="0" w:after="0" w:afterAutospacing="0" w:line="360" w:lineRule="auto"/>
        <w:ind w:firstLine="420"/>
        <w:rPr>
          <w:sz w:val="21"/>
          <w:szCs w:val="21"/>
        </w:rPr>
      </w:pPr>
      <w:r>
        <w:rPr>
          <w:rFonts w:hint="eastAsia"/>
          <w:sz w:val="21"/>
          <w:szCs w:val="21"/>
        </w:rPr>
        <w:t>（二）、2025年8月28日，我公司公告了《博时标普500交易型开放式指数证券投资基金暂停申购业务的公告》；</w:t>
      </w:r>
    </w:p>
    <w:p w14:paraId="3A35E223">
      <w:pPr>
        <w:pStyle w:val="8"/>
        <w:spacing w:before="0" w:beforeAutospacing="0" w:after="0" w:afterAutospacing="0" w:line="360" w:lineRule="auto"/>
        <w:ind w:firstLine="420"/>
        <w:rPr>
          <w:sz w:val="21"/>
          <w:szCs w:val="21"/>
        </w:rPr>
      </w:pPr>
      <w:r>
        <w:rPr>
          <w:rFonts w:hint="eastAsia"/>
          <w:sz w:val="21"/>
          <w:szCs w:val="21"/>
        </w:rPr>
        <w:t>（三）、2025年7月21日，我公司公告了《博时标普500交易型开放式指数证券投资基金2025年第2季度报告》；</w:t>
      </w:r>
    </w:p>
    <w:p w14:paraId="1502DC89">
      <w:pPr>
        <w:pStyle w:val="8"/>
        <w:spacing w:before="0" w:beforeAutospacing="0" w:after="0" w:afterAutospacing="0" w:line="360" w:lineRule="auto"/>
        <w:ind w:firstLine="420"/>
        <w:rPr>
          <w:sz w:val="21"/>
          <w:szCs w:val="21"/>
        </w:rPr>
      </w:pPr>
      <w:r>
        <w:rPr>
          <w:rFonts w:hint="eastAsia"/>
          <w:sz w:val="21"/>
          <w:szCs w:val="21"/>
        </w:rPr>
        <w:t>（四）、2025年7月3日，我公司公告了《博时标普500交易型开放式指数证券投资基金暂停申购、赎回业务的公告》；</w:t>
      </w:r>
    </w:p>
    <w:p w14:paraId="71230044">
      <w:pPr>
        <w:pStyle w:val="8"/>
        <w:spacing w:before="0" w:beforeAutospacing="0" w:after="0" w:afterAutospacing="0" w:line="360" w:lineRule="auto"/>
        <w:ind w:firstLine="420"/>
        <w:rPr>
          <w:sz w:val="21"/>
          <w:szCs w:val="21"/>
        </w:rPr>
      </w:pPr>
      <w:r>
        <w:rPr>
          <w:rFonts w:hint="eastAsia"/>
          <w:sz w:val="21"/>
          <w:szCs w:val="21"/>
        </w:rPr>
        <w:t>（五）、2025年6月26日，我公司公告了《博时标普500交易型开放式指数证券投资基金基金产品资料概要更新》；</w:t>
      </w:r>
    </w:p>
    <w:p w14:paraId="4D7C397A">
      <w:pPr>
        <w:pStyle w:val="8"/>
        <w:spacing w:before="0" w:beforeAutospacing="0" w:after="0" w:afterAutospacing="0" w:line="360" w:lineRule="auto"/>
        <w:ind w:firstLine="420"/>
        <w:rPr>
          <w:sz w:val="21"/>
          <w:szCs w:val="21"/>
        </w:rPr>
      </w:pPr>
      <w:r>
        <w:rPr>
          <w:rFonts w:hint="eastAsia"/>
          <w:sz w:val="21"/>
          <w:szCs w:val="21"/>
        </w:rPr>
        <w:t>（六）、2025年6月18日，我公司公告了《博时标普500交易型开放式指数证券投资基金暂停申购、赎回业务的公告》；</w:t>
      </w:r>
    </w:p>
    <w:p w14:paraId="22E9EC9C">
      <w:pPr>
        <w:pStyle w:val="8"/>
        <w:spacing w:before="0" w:beforeAutospacing="0" w:after="0" w:afterAutospacing="0" w:line="360" w:lineRule="auto"/>
        <w:ind w:firstLine="420"/>
        <w:rPr>
          <w:sz w:val="21"/>
          <w:szCs w:val="21"/>
        </w:rPr>
      </w:pPr>
      <w:r>
        <w:rPr>
          <w:rFonts w:hint="eastAsia"/>
          <w:sz w:val="21"/>
          <w:szCs w:val="21"/>
        </w:rPr>
        <w:t>（七）、2025年6月6日，我公司公告了《博时基金管理有限公司关于旗下基金持有的长期停牌股票调整估值方法的公告-20250606》；</w:t>
      </w:r>
    </w:p>
    <w:p w14:paraId="28F270B1">
      <w:pPr>
        <w:pStyle w:val="8"/>
        <w:spacing w:before="0" w:beforeAutospacing="0" w:after="0" w:afterAutospacing="0" w:line="360" w:lineRule="auto"/>
        <w:ind w:firstLine="420"/>
        <w:rPr>
          <w:sz w:val="21"/>
          <w:szCs w:val="21"/>
        </w:rPr>
      </w:pPr>
      <w:r>
        <w:rPr>
          <w:rFonts w:hint="eastAsia"/>
          <w:sz w:val="21"/>
          <w:szCs w:val="21"/>
        </w:rPr>
        <w:t>（八）、2025年6月3日，我公司公告了《博时基金管理有限公司关于旗下基金持有的长期停牌股票调整估值方法的公告-20250603》；</w:t>
      </w:r>
    </w:p>
    <w:p w14:paraId="73AF3BFE">
      <w:pPr>
        <w:pStyle w:val="8"/>
        <w:spacing w:before="0" w:beforeAutospacing="0" w:after="0" w:afterAutospacing="0" w:line="360" w:lineRule="auto"/>
        <w:ind w:firstLine="420"/>
        <w:rPr>
          <w:sz w:val="21"/>
          <w:szCs w:val="21"/>
        </w:rPr>
      </w:pPr>
      <w:r>
        <w:rPr>
          <w:rFonts w:hint="eastAsia"/>
          <w:sz w:val="21"/>
          <w:szCs w:val="21"/>
        </w:rPr>
        <w:t>（九）、2025年5月23日，我公司公告了《博时标普500交易型开放式指数证券投资基金暂停申购、赎回业务的公告》；</w:t>
      </w:r>
    </w:p>
    <w:p w14:paraId="1227C506">
      <w:pPr>
        <w:pStyle w:val="8"/>
        <w:spacing w:before="0" w:beforeAutospacing="0" w:after="0" w:afterAutospacing="0" w:line="360" w:lineRule="auto"/>
        <w:ind w:firstLine="420"/>
        <w:rPr>
          <w:sz w:val="21"/>
          <w:szCs w:val="21"/>
        </w:rPr>
      </w:pPr>
      <w:r>
        <w:rPr>
          <w:rFonts w:hint="eastAsia"/>
          <w:sz w:val="21"/>
          <w:szCs w:val="21"/>
        </w:rPr>
        <w:t>（十）、2025年4月25日，我公司公告了《关于博时基金管理有限公司旗下部分基金新增万和证券股份有限公司为申购、赎回代办券商的公告》；</w:t>
      </w:r>
    </w:p>
    <w:p w14:paraId="0616F05C">
      <w:pPr>
        <w:pStyle w:val="8"/>
        <w:spacing w:before="0" w:beforeAutospacing="0" w:after="0" w:afterAutospacing="0" w:line="360" w:lineRule="auto"/>
        <w:ind w:firstLine="420"/>
        <w:rPr>
          <w:sz w:val="21"/>
          <w:szCs w:val="21"/>
        </w:rPr>
      </w:pPr>
      <w:r>
        <w:rPr>
          <w:rFonts w:hint="eastAsia"/>
          <w:sz w:val="21"/>
          <w:szCs w:val="21"/>
        </w:rPr>
        <w:t>（十一）、2025年4月22日，我公司公告了《博时标普500交易型开放式指数证券投资基金2025年第1季度报告》；</w:t>
      </w:r>
    </w:p>
    <w:p w14:paraId="44E7681B">
      <w:pPr>
        <w:pStyle w:val="8"/>
        <w:spacing w:before="0" w:beforeAutospacing="0" w:after="0" w:afterAutospacing="0" w:line="360" w:lineRule="auto"/>
        <w:ind w:firstLine="420"/>
        <w:rPr>
          <w:sz w:val="21"/>
          <w:szCs w:val="21"/>
        </w:rPr>
      </w:pPr>
      <w:r>
        <w:rPr>
          <w:rFonts w:hint="eastAsia"/>
          <w:sz w:val="21"/>
          <w:szCs w:val="21"/>
        </w:rPr>
        <w:t>（十二）、2025年4月17日，我公司公告了《博时标普500交易型开放式指数证券投资基金暂停申购、赎回业务的公告》；</w:t>
      </w:r>
    </w:p>
    <w:p w14:paraId="498AB9F9">
      <w:pPr>
        <w:pStyle w:val="8"/>
        <w:spacing w:before="0" w:beforeAutospacing="0" w:after="0" w:afterAutospacing="0" w:line="360" w:lineRule="auto"/>
        <w:ind w:firstLine="420"/>
        <w:rPr>
          <w:sz w:val="21"/>
          <w:szCs w:val="21"/>
        </w:rPr>
      </w:pPr>
      <w:r>
        <w:rPr>
          <w:rFonts w:hint="eastAsia"/>
          <w:sz w:val="21"/>
          <w:szCs w:val="21"/>
        </w:rPr>
        <w:t>（十三）、2025年4月8日，我公司公告了《博时基金管理有限公司关于运用公司固有资金投资旗下公募基金的公告》、《博时标普500交易型开放式指数证券投资基金溢价风险提示公告》、《博时基金管理有限公司关于旗下基金持有的长期停牌股票调整估值方法的公告-20250408》；</w:t>
      </w:r>
    </w:p>
    <w:p w14:paraId="3BC6ABA1">
      <w:pPr>
        <w:pStyle w:val="8"/>
        <w:spacing w:before="0" w:beforeAutospacing="0" w:after="0" w:afterAutospacing="0" w:line="360" w:lineRule="auto"/>
        <w:ind w:firstLine="420"/>
        <w:rPr>
          <w:sz w:val="21"/>
          <w:szCs w:val="21"/>
        </w:rPr>
      </w:pPr>
      <w:r>
        <w:rPr>
          <w:rFonts w:hint="eastAsia"/>
          <w:sz w:val="21"/>
          <w:szCs w:val="21"/>
        </w:rPr>
        <w:t>（十四）、2025年3月31日，我公司公告了《博时基金管理有限公司旗下公募基金通过证券公司证券交易及佣金支付情况（2024年度）》、《博时标普500交易型开放式指数证券投资基金2024年年度报告》；</w:t>
      </w:r>
    </w:p>
    <w:p w14:paraId="25543251">
      <w:pPr>
        <w:pStyle w:val="8"/>
        <w:spacing w:before="0" w:beforeAutospacing="0" w:after="0" w:afterAutospacing="0" w:line="360" w:lineRule="auto"/>
        <w:ind w:firstLine="420"/>
        <w:rPr>
          <w:sz w:val="21"/>
          <w:szCs w:val="21"/>
        </w:rPr>
      </w:pPr>
      <w:r>
        <w:rPr>
          <w:rFonts w:hint="eastAsia"/>
          <w:sz w:val="21"/>
          <w:szCs w:val="21"/>
        </w:rPr>
        <w:t>（十五）、2025年3月25日，我公司公告了《博时标普500交易型开放式指数证券投资基金溢价风险提示公告》、《关于博时基金管理有限公司旗下部分基金新增江海证券为申购、赎回代办券商的公告》、《博时基金管理有限公司关于旗下基金持有的长期停牌股票调整估值方法的公告-20250325》；</w:t>
      </w:r>
    </w:p>
    <w:p w14:paraId="1E75FB70">
      <w:pPr>
        <w:pStyle w:val="8"/>
        <w:spacing w:before="0" w:beforeAutospacing="0" w:after="0" w:afterAutospacing="0" w:line="360" w:lineRule="auto"/>
        <w:ind w:firstLine="420"/>
        <w:rPr>
          <w:sz w:val="21"/>
          <w:szCs w:val="21"/>
        </w:rPr>
      </w:pPr>
      <w:r>
        <w:rPr>
          <w:rFonts w:hint="eastAsia"/>
          <w:sz w:val="21"/>
          <w:szCs w:val="21"/>
        </w:rPr>
        <w:t>（十六）、2025年3月24日，我公司公告了《博时标普500交易型开放式指数证券投资基金溢价风险提示公告》；</w:t>
      </w:r>
    </w:p>
    <w:p w14:paraId="225E2989">
      <w:pPr>
        <w:pStyle w:val="8"/>
        <w:spacing w:before="0" w:beforeAutospacing="0" w:after="0" w:afterAutospacing="0" w:line="360" w:lineRule="auto"/>
        <w:ind w:firstLine="420"/>
        <w:rPr>
          <w:sz w:val="21"/>
          <w:szCs w:val="21"/>
        </w:rPr>
      </w:pPr>
      <w:r>
        <w:rPr>
          <w:rFonts w:hint="eastAsia"/>
          <w:sz w:val="21"/>
          <w:szCs w:val="21"/>
        </w:rPr>
        <w:t>（十七）、2025年3月22日，我公司公告了《博时标普500交易型开放式指数证券投资基金基金产品资料概要更新》；</w:t>
      </w:r>
    </w:p>
    <w:p w14:paraId="23539EAE">
      <w:pPr>
        <w:pStyle w:val="8"/>
        <w:spacing w:before="0" w:beforeAutospacing="0" w:after="0" w:afterAutospacing="0" w:line="360" w:lineRule="auto"/>
        <w:ind w:firstLine="420"/>
        <w:rPr>
          <w:sz w:val="21"/>
          <w:szCs w:val="21"/>
        </w:rPr>
      </w:pPr>
      <w:r>
        <w:rPr>
          <w:rFonts w:hint="eastAsia"/>
          <w:sz w:val="21"/>
          <w:szCs w:val="21"/>
        </w:rPr>
        <w:t>（十八）、2025年3月21日，我公司公告了《博时标普500交易型开放式指数证券投资基金更新招募说明书》；</w:t>
      </w:r>
    </w:p>
    <w:p w14:paraId="5FBD9A18">
      <w:pPr>
        <w:pStyle w:val="8"/>
        <w:spacing w:before="0" w:beforeAutospacing="0" w:after="0" w:afterAutospacing="0" w:line="360" w:lineRule="auto"/>
        <w:ind w:firstLine="420"/>
        <w:rPr>
          <w:sz w:val="21"/>
          <w:szCs w:val="21"/>
        </w:rPr>
      </w:pPr>
      <w:r>
        <w:rPr>
          <w:rFonts w:hint="eastAsia"/>
          <w:sz w:val="21"/>
          <w:szCs w:val="21"/>
        </w:rPr>
        <w:t>（十九）、2025年3月19日，我公司公告了《博时标普500交易型开放式指数证券投资基金基金合同》、《博时标普500交易型开放式指数证券投资基金托管协议》、《关于博时基金管理有限公司旗下部分指数基金指数使用费调整为基金管理人承担并修订基金合同的公告》；</w:t>
      </w:r>
    </w:p>
    <w:p w14:paraId="0D50F458">
      <w:pPr>
        <w:pStyle w:val="8"/>
        <w:spacing w:before="0" w:beforeAutospacing="0" w:after="0" w:afterAutospacing="0" w:line="360" w:lineRule="auto"/>
        <w:ind w:firstLine="420"/>
        <w:rPr>
          <w:sz w:val="21"/>
          <w:szCs w:val="21"/>
        </w:rPr>
      </w:pPr>
      <w:r>
        <w:rPr>
          <w:rFonts w:hint="eastAsia"/>
          <w:sz w:val="21"/>
          <w:szCs w:val="21"/>
        </w:rPr>
        <w:t>（二十）、2025年3月7日，我公司公告了《博时标普500交易型开放式指数证券投资基金溢价风险提示公告》；</w:t>
      </w:r>
    </w:p>
    <w:p w14:paraId="0BCA7116">
      <w:pPr>
        <w:pStyle w:val="8"/>
        <w:spacing w:before="0" w:beforeAutospacing="0" w:after="0" w:afterAutospacing="0" w:line="360" w:lineRule="auto"/>
        <w:ind w:firstLine="420"/>
        <w:rPr>
          <w:sz w:val="21"/>
          <w:szCs w:val="21"/>
        </w:rPr>
      </w:pPr>
      <w:r>
        <w:rPr>
          <w:rFonts w:hint="eastAsia"/>
          <w:sz w:val="21"/>
          <w:szCs w:val="21"/>
        </w:rPr>
        <w:t>（二十一）、2025年3月5日，我公司公告了《博时标普500交易型开放式指数证券投资基金溢价风险提示公告》；</w:t>
      </w:r>
    </w:p>
    <w:p w14:paraId="13E35F75">
      <w:pPr>
        <w:pStyle w:val="8"/>
        <w:spacing w:before="0" w:beforeAutospacing="0" w:after="0" w:afterAutospacing="0" w:line="360" w:lineRule="auto"/>
        <w:ind w:firstLine="420"/>
        <w:rPr>
          <w:sz w:val="21"/>
          <w:szCs w:val="21"/>
        </w:rPr>
      </w:pPr>
      <w:r>
        <w:rPr>
          <w:rFonts w:hint="eastAsia"/>
          <w:sz w:val="21"/>
          <w:szCs w:val="21"/>
        </w:rPr>
        <w:t>（二十二）、2025年2月27日，我公司公告了《博时标普500交易型开放式指数证券投资基金溢价风险提示公告》；</w:t>
      </w:r>
    </w:p>
    <w:p w14:paraId="2B6F6E57">
      <w:pPr>
        <w:pStyle w:val="8"/>
        <w:spacing w:before="0" w:beforeAutospacing="0" w:after="0" w:afterAutospacing="0" w:line="360" w:lineRule="auto"/>
        <w:ind w:firstLine="420"/>
        <w:rPr>
          <w:sz w:val="21"/>
          <w:szCs w:val="21"/>
        </w:rPr>
      </w:pPr>
      <w:r>
        <w:rPr>
          <w:rFonts w:hint="eastAsia"/>
          <w:sz w:val="21"/>
          <w:szCs w:val="21"/>
        </w:rPr>
        <w:t>（二十三）、2025年2月26日，我公司公告了《博时标普500交易型开放式指数证券投资基金溢价风险提示公告》；</w:t>
      </w:r>
    </w:p>
    <w:p w14:paraId="648229CB">
      <w:pPr>
        <w:pStyle w:val="8"/>
        <w:spacing w:before="0" w:beforeAutospacing="0" w:after="0" w:afterAutospacing="0" w:line="360" w:lineRule="auto"/>
        <w:ind w:firstLine="420"/>
        <w:rPr>
          <w:sz w:val="21"/>
          <w:szCs w:val="21"/>
        </w:rPr>
      </w:pPr>
      <w:r>
        <w:rPr>
          <w:rFonts w:hint="eastAsia"/>
          <w:sz w:val="21"/>
          <w:szCs w:val="21"/>
        </w:rPr>
        <w:t>（二十四）、2025年2月25日，我公司公告了《博时标普500交易型开放式指数证券投资基金溢价风险提示公告》；</w:t>
      </w:r>
    </w:p>
    <w:p w14:paraId="2434B357">
      <w:pPr>
        <w:pStyle w:val="8"/>
        <w:spacing w:before="0" w:beforeAutospacing="0" w:after="0" w:afterAutospacing="0" w:line="360" w:lineRule="auto"/>
        <w:ind w:firstLine="420"/>
        <w:rPr>
          <w:sz w:val="21"/>
          <w:szCs w:val="21"/>
        </w:rPr>
      </w:pPr>
      <w:r>
        <w:rPr>
          <w:rFonts w:hint="eastAsia"/>
          <w:sz w:val="21"/>
          <w:szCs w:val="21"/>
        </w:rPr>
        <w:t>（二十五）、2025年2月24日，我公司公告了《博时标普500交易型开放式指数证券投资基金溢价风险提示公告》；</w:t>
      </w:r>
    </w:p>
    <w:p w14:paraId="4037CDF0">
      <w:pPr>
        <w:pStyle w:val="8"/>
        <w:spacing w:before="0" w:beforeAutospacing="0" w:after="0" w:afterAutospacing="0" w:line="360" w:lineRule="auto"/>
        <w:ind w:firstLine="420"/>
        <w:rPr>
          <w:sz w:val="21"/>
          <w:szCs w:val="21"/>
        </w:rPr>
      </w:pPr>
      <w:r>
        <w:rPr>
          <w:rFonts w:hint="eastAsia"/>
          <w:sz w:val="21"/>
          <w:szCs w:val="21"/>
        </w:rPr>
        <w:t>（二十六）、2025年2月21日，我公司公告了《博时标普500交易型开放式指数证券投资基金溢价风险提示公告》；</w:t>
      </w:r>
    </w:p>
    <w:p w14:paraId="76D209AD">
      <w:pPr>
        <w:pStyle w:val="8"/>
        <w:spacing w:before="0" w:beforeAutospacing="0" w:after="0" w:afterAutospacing="0" w:line="360" w:lineRule="auto"/>
        <w:ind w:firstLine="420"/>
        <w:rPr>
          <w:sz w:val="21"/>
          <w:szCs w:val="21"/>
        </w:rPr>
      </w:pPr>
      <w:r>
        <w:rPr>
          <w:rFonts w:hint="eastAsia"/>
          <w:sz w:val="21"/>
          <w:szCs w:val="21"/>
        </w:rPr>
        <w:t>（二十七）、2025年2月20日，我公司公告了《博时标普500交易型开放式指数证券投资基金溢价风险提示公告》、《关于博时基金管理有限公司旗下部分基金新增国新证券为申购、赎回代办券商的公告》；</w:t>
      </w:r>
    </w:p>
    <w:p w14:paraId="55060E9B">
      <w:pPr>
        <w:pStyle w:val="8"/>
        <w:spacing w:before="0" w:beforeAutospacing="0" w:after="0" w:afterAutospacing="0" w:line="360" w:lineRule="auto"/>
        <w:ind w:firstLine="420"/>
        <w:rPr>
          <w:sz w:val="21"/>
          <w:szCs w:val="21"/>
        </w:rPr>
      </w:pPr>
      <w:r>
        <w:rPr>
          <w:rFonts w:hint="eastAsia"/>
          <w:sz w:val="21"/>
          <w:szCs w:val="21"/>
        </w:rPr>
        <w:t>（二十八）、2025年2月19日，我公司公告了《博时标普500交易型开放式指数证券投资基金溢价风险提示公告》、《博时标普500交易型开放式指数证券投资基金恢复申购业务的公告》、《博时标普500交易型开放式指数证券投资基金溢价风险提示公告》；</w:t>
      </w:r>
    </w:p>
    <w:p w14:paraId="09D0C604">
      <w:pPr>
        <w:pStyle w:val="8"/>
        <w:spacing w:before="0" w:beforeAutospacing="0" w:after="0" w:afterAutospacing="0" w:line="360" w:lineRule="auto"/>
        <w:ind w:firstLine="420"/>
        <w:rPr>
          <w:sz w:val="21"/>
          <w:szCs w:val="21"/>
        </w:rPr>
      </w:pPr>
      <w:r>
        <w:rPr>
          <w:rFonts w:hint="eastAsia"/>
          <w:sz w:val="21"/>
          <w:szCs w:val="21"/>
        </w:rPr>
        <w:t>（二十九）、2025年2月18日，我公司公告了《博时标普500交易型开放式指数证券投资基金溢价风险提示公告》；</w:t>
      </w:r>
    </w:p>
    <w:p w14:paraId="65F2C1E8">
      <w:pPr>
        <w:pStyle w:val="8"/>
        <w:spacing w:before="0" w:beforeAutospacing="0" w:after="0" w:afterAutospacing="0" w:line="360" w:lineRule="auto"/>
        <w:ind w:firstLine="420"/>
        <w:rPr>
          <w:sz w:val="21"/>
          <w:szCs w:val="21"/>
        </w:rPr>
      </w:pPr>
      <w:r>
        <w:rPr>
          <w:rFonts w:hint="eastAsia"/>
          <w:sz w:val="21"/>
          <w:szCs w:val="21"/>
        </w:rPr>
        <w:t>（三十）、2025年2月17日，我公司公告了《博时标普500交易型开放式指数证券投资基金溢价风险提示公告》；</w:t>
      </w:r>
    </w:p>
    <w:p w14:paraId="6AA373DA">
      <w:pPr>
        <w:pStyle w:val="8"/>
        <w:spacing w:before="0" w:beforeAutospacing="0" w:after="0" w:afterAutospacing="0" w:line="360" w:lineRule="auto"/>
        <w:ind w:firstLine="420"/>
        <w:rPr>
          <w:sz w:val="21"/>
          <w:szCs w:val="21"/>
        </w:rPr>
      </w:pPr>
      <w:r>
        <w:rPr>
          <w:rFonts w:hint="eastAsia"/>
          <w:sz w:val="21"/>
          <w:szCs w:val="21"/>
        </w:rPr>
        <w:t>（三十一）、2025年2月14日，我公司公告了《博时标普500交易型开放式指数证券投资基金溢价风险提示公告》、《博时标普500交易型开放式指数证券投资基金溢价风险提示公告》、《博时标普500交易型开放式指数证券投资基金暂停赎回业务的公告》；</w:t>
      </w:r>
    </w:p>
    <w:p w14:paraId="151D3DB0">
      <w:pPr>
        <w:pStyle w:val="8"/>
        <w:spacing w:before="0" w:beforeAutospacing="0" w:after="0" w:afterAutospacing="0" w:line="360" w:lineRule="auto"/>
        <w:ind w:firstLine="420"/>
        <w:rPr>
          <w:sz w:val="21"/>
          <w:szCs w:val="21"/>
        </w:rPr>
      </w:pPr>
      <w:r>
        <w:rPr>
          <w:rFonts w:hint="eastAsia"/>
          <w:sz w:val="21"/>
          <w:szCs w:val="21"/>
        </w:rPr>
        <w:t>（三十二）、2025年2月13日，我公司公告了《博时标普500交易型开放式指数证券投资基金溢价风险提示公告》、《博时标普500交易型开放式指数证券投资基金溢价风险提示公告》；</w:t>
      </w:r>
    </w:p>
    <w:p w14:paraId="241B18E8">
      <w:pPr>
        <w:pStyle w:val="8"/>
        <w:spacing w:before="0" w:beforeAutospacing="0" w:after="0" w:afterAutospacing="0" w:line="360" w:lineRule="auto"/>
        <w:ind w:firstLine="420"/>
        <w:rPr>
          <w:sz w:val="21"/>
          <w:szCs w:val="21"/>
        </w:rPr>
      </w:pPr>
      <w:r>
        <w:rPr>
          <w:rFonts w:hint="eastAsia"/>
          <w:sz w:val="21"/>
          <w:szCs w:val="21"/>
        </w:rPr>
        <w:t>（三十三）、2025年2月12日，我公司公告了《博时标普500交易型开放式指数证券投资基金溢价风险提示公告》、《博时标普500交易型开放式指数证券投资基金溢价风险提示公告》；</w:t>
      </w:r>
    </w:p>
    <w:p w14:paraId="4CACA1E6">
      <w:pPr>
        <w:pStyle w:val="8"/>
        <w:spacing w:before="0" w:beforeAutospacing="0" w:after="0" w:afterAutospacing="0" w:line="360" w:lineRule="auto"/>
        <w:ind w:firstLine="420"/>
        <w:rPr>
          <w:sz w:val="21"/>
          <w:szCs w:val="21"/>
        </w:rPr>
      </w:pPr>
      <w:r>
        <w:rPr>
          <w:rFonts w:hint="eastAsia"/>
          <w:sz w:val="21"/>
          <w:szCs w:val="21"/>
        </w:rPr>
        <w:t>（三十四）、2025年2月11日，我公司公告了《博时标普500交易型开放式指数证券投资基金溢价风险提示公告》、《博时标普500交易型开放式指数证券投资基金溢价风险提示公告》；</w:t>
      </w:r>
    </w:p>
    <w:p w14:paraId="1A5D4D09">
      <w:pPr>
        <w:pStyle w:val="8"/>
        <w:spacing w:before="0" w:beforeAutospacing="0" w:after="0" w:afterAutospacing="0" w:line="360" w:lineRule="auto"/>
        <w:ind w:firstLine="420"/>
        <w:rPr>
          <w:sz w:val="21"/>
          <w:szCs w:val="21"/>
        </w:rPr>
      </w:pPr>
      <w:r>
        <w:rPr>
          <w:rFonts w:hint="eastAsia"/>
          <w:sz w:val="21"/>
          <w:szCs w:val="21"/>
        </w:rPr>
        <w:t>（三十五）、2025年2月10日，我公司公告了《博时标普500交易型开放式指数证券投资基金溢价风险提示公告》、《博时标普500交易型开放式指数证券投资基金溢价风险提示公告》；</w:t>
      </w:r>
    </w:p>
    <w:p w14:paraId="0A0843B2">
      <w:pPr>
        <w:pStyle w:val="8"/>
        <w:spacing w:before="0" w:beforeAutospacing="0" w:after="0" w:afterAutospacing="0" w:line="360" w:lineRule="auto"/>
        <w:ind w:firstLine="420"/>
        <w:rPr>
          <w:sz w:val="21"/>
          <w:szCs w:val="21"/>
        </w:rPr>
      </w:pPr>
      <w:r>
        <w:rPr>
          <w:rFonts w:hint="eastAsia"/>
          <w:sz w:val="21"/>
          <w:szCs w:val="21"/>
        </w:rPr>
        <w:t>（三十六）、2025年2月7日，我公司公告了《博时标普500交易型开放式指数证券投资基金溢价风险提示公告》、《博时标普500交易型开放式指数证券投资基金溢价风险提示公告》；</w:t>
      </w:r>
    </w:p>
    <w:p w14:paraId="7EE699BA">
      <w:pPr>
        <w:pStyle w:val="8"/>
        <w:spacing w:before="0" w:beforeAutospacing="0" w:after="0" w:afterAutospacing="0" w:line="360" w:lineRule="auto"/>
        <w:ind w:firstLine="420"/>
        <w:rPr>
          <w:sz w:val="21"/>
          <w:szCs w:val="21"/>
        </w:rPr>
      </w:pPr>
      <w:r>
        <w:rPr>
          <w:rFonts w:hint="eastAsia"/>
          <w:sz w:val="21"/>
          <w:szCs w:val="21"/>
        </w:rPr>
        <w:t>（三十七）、2025年2月6日，我公司公告了《博时标普500交易型开放式指数证券投资基金溢价风险提示公告》、《博时标普500交易型开放式指数证券投资基金溢价风险提示公告》；</w:t>
      </w:r>
    </w:p>
    <w:p w14:paraId="007AD9A7">
      <w:pPr>
        <w:pStyle w:val="8"/>
        <w:spacing w:before="0" w:beforeAutospacing="0" w:after="0" w:afterAutospacing="0" w:line="360" w:lineRule="auto"/>
        <w:ind w:firstLine="420"/>
        <w:rPr>
          <w:sz w:val="21"/>
          <w:szCs w:val="21"/>
        </w:rPr>
      </w:pPr>
      <w:r>
        <w:rPr>
          <w:rFonts w:hint="eastAsia"/>
          <w:sz w:val="21"/>
          <w:szCs w:val="21"/>
        </w:rPr>
        <w:t>（三十八）、2025年2月5日，我公司公告了《博时标普500交易型开放式指数证券投资基金溢价风险提示公告》、《博时标普500交易型开放式指数证券投资基金溢价风险提示公告》；</w:t>
      </w:r>
    </w:p>
    <w:p w14:paraId="4447FD14">
      <w:pPr>
        <w:pStyle w:val="8"/>
        <w:spacing w:before="0" w:beforeAutospacing="0" w:after="0" w:afterAutospacing="0" w:line="360" w:lineRule="auto"/>
        <w:ind w:firstLine="420"/>
        <w:rPr>
          <w:sz w:val="21"/>
          <w:szCs w:val="21"/>
        </w:rPr>
      </w:pPr>
      <w:r>
        <w:rPr>
          <w:rFonts w:hint="eastAsia"/>
          <w:sz w:val="21"/>
          <w:szCs w:val="21"/>
        </w:rPr>
        <w:t>（三十九）、2025年1月27日，我公司公告了《博时标普500交易型开放式指数证券投资基金溢价风险提示公告》、《博时标普500交易型开放式指数证券投资基金托管协议》、《博时标普500交易型开放式指数证券投资基金更新招募说明书》、《博时标普500交易型开放式指数证券投资基金基金合同》、《博时标普500交易型开放式指数证券投资基金基金产品资料概要更新》、《博时基金管理有限公司关于调低旗下部分基金费率及修订基金合同及托管协议的公告》、《博时标普500交易型开放式指数证券投资基金溢价风险提示公告》；</w:t>
      </w:r>
    </w:p>
    <w:p w14:paraId="5D962A57">
      <w:pPr>
        <w:pStyle w:val="8"/>
        <w:spacing w:before="0" w:beforeAutospacing="0" w:after="0" w:afterAutospacing="0" w:line="360" w:lineRule="auto"/>
        <w:ind w:firstLine="420"/>
        <w:rPr>
          <w:sz w:val="21"/>
          <w:szCs w:val="21"/>
        </w:rPr>
      </w:pPr>
      <w:r>
        <w:rPr>
          <w:rFonts w:hint="eastAsia"/>
          <w:sz w:val="21"/>
          <w:szCs w:val="21"/>
        </w:rPr>
        <w:t>（四十）、2025年1月24日，我公司公告了《博时标普500交易型开放式指数证券投资基金溢价风险提示公告》、《博时标普500交易型开放式指数证券投资基金溢价风险提示公告》；</w:t>
      </w:r>
    </w:p>
    <w:p w14:paraId="14E95DA3">
      <w:pPr>
        <w:pStyle w:val="8"/>
        <w:spacing w:before="0" w:beforeAutospacing="0" w:after="0" w:afterAutospacing="0" w:line="360" w:lineRule="auto"/>
        <w:ind w:firstLine="420"/>
        <w:rPr>
          <w:sz w:val="21"/>
          <w:szCs w:val="21"/>
        </w:rPr>
      </w:pPr>
      <w:r>
        <w:rPr>
          <w:rFonts w:hint="eastAsia"/>
          <w:sz w:val="21"/>
          <w:szCs w:val="21"/>
        </w:rPr>
        <w:t>（四十一）、2025年1月23日，我公司公告了《博时标普500交易型开放式指数证券投资基金溢价风险提示公告》、《博时标普500交易型开放式指数证券投资基金溢价风险提示公告》；</w:t>
      </w:r>
    </w:p>
    <w:p w14:paraId="6D9CE8EE">
      <w:pPr>
        <w:pStyle w:val="8"/>
        <w:spacing w:before="0" w:beforeAutospacing="0" w:after="0" w:afterAutospacing="0" w:line="360" w:lineRule="auto"/>
        <w:ind w:firstLine="420"/>
        <w:rPr>
          <w:sz w:val="21"/>
          <w:szCs w:val="21"/>
        </w:rPr>
      </w:pPr>
      <w:r>
        <w:rPr>
          <w:rFonts w:hint="eastAsia"/>
          <w:sz w:val="21"/>
          <w:szCs w:val="21"/>
        </w:rPr>
        <w:t>（四十二）、2025年1月22日，我公司公告了《博时标普500交易型开放式指数证券投资基金溢价风险提示公告》、《博时标普500交易型开放式指数证券投资基金溢价风险提示公告》、《博时标普500交易型开放式指数证券投资基金2024年第4季度报告》；</w:t>
      </w:r>
    </w:p>
    <w:p w14:paraId="75EF0BC7">
      <w:pPr>
        <w:pStyle w:val="8"/>
        <w:spacing w:before="0" w:beforeAutospacing="0" w:after="0" w:afterAutospacing="0" w:line="360" w:lineRule="auto"/>
        <w:ind w:firstLine="420"/>
        <w:rPr>
          <w:sz w:val="21"/>
          <w:szCs w:val="21"/>
        </w:rPr>
      </w:pPr>
      <w:r>
        <w:rPr>
          <w:rFonts w:hint="eastAsia"/>
          <w:sz w:val="21"/>
          <w:szCs w:val="21"/>
        </w:rPr>
        <w:t>（四十三）、2025年1月21日，我公司公告了《博时标普500交易型开放式指数证券投资基金溢价风险提示公告》、《博时标普500交易型开放式指数证券投资基金溢价风险提示公告》；</w:t>
      </w:r>
    </w:p>
    <w:p w14:paraId="33AA7A38">
      <w:pPr>
        <w:pStyle w:val="8"/>
        <w:spacing w:before="0" w:beforeAutospacing="0" w:after="0" w:afterAutospacing="0" w:line="360" w:lineRule="auto"/>
        <w:ind w:firstLine="420"/>
        <w:rPr>
          <w:sz w:val="21"/>
          <w:szCs w:val="21"/>
        </w:rPr>
      </w:pPr>
      <w:r>
        <w:rPr>
          <w:rFonts w:hint="eastAsia"/>
          <w:sz w:val="21"/>
          <w:szCs w:val="21"/>
        </w:rPr>
        <w:t>（四十四）、2025年1月20日，我公司公告了《博时标普500交易型开放式指数证券投资基金溢价风险提示公告》、《博时标普500交易型开放式指数证券投资基金溢价风险提示公告》；</w:t>
      </w:r>
    </w:p>
    <w:p w14:paraId="37FDF3A4">
      <w:pPr>
        <w:pStyle w:val="8"/>
        <w:spacing w:before="0" w:beforeAutospacing="0" w:after="0" w:afterAutospacing="0" w:line="360" w:lineRule="auto"/>
        <w:ind w:firstLine="420"/>
        <w:rPr>
          <w:sz w:val="21"/>
          <w:szCs w:val="21"/>
        </w:rPr>
      </w:pPr>
      <w:r>
        <w:rPr>
          <w:rFonts w:hint="eastAsia"/>
          <w:sz w:val="21"/>
          <w:szCs w:val="21"/>
        </w:rPr>
        <w:t>（四十五）、2025年1月17日，我公司公告了《博时标普500交易型开放式指数证券投资基金溢价风险提示公告》、《博时标普500交易型开放式指数证券投资基金溢价风险提示公告》、《博时标普500交易型开放式指数证券投资基金暂停赎回业务的公告》；</w:t>
      </w:r>
    </w:p>
    <w:p w14:paraId="6F1CE260">
      <w:pPr>
        <w:pStyle w:val="8"/>
        <w:spacing w:before="0" w:beforeAutospacing="0" w:after="0" w:afterAutospacing="0" w:line="360" w:lineRule="auto"/>
        <w:ind w:firstLine="420"/>
        <w:rPr>
          <w:sz w:val="21"/>
          <w:szCs w:val="21"/>
        </w:rPr>
      </w:pPr>
      <w:r>
        <w:rPr>
          <w:rFonts w:hint="eastAsia"/>
          <w:sz w:val="21"/>
          <w:szCs w:val="21"/>
        </w:rPr>
        <w:t>（四十六）、2025年1月16日，我公司公告了《博时标普500交易型开放式指数证券投资基金溢价风险提示公告》、《博时标普500交易型开放式指数证券投资基金溢价风险提示公告》；</w:t>
      </w:r>
    </w:p>
    <w:p w14:paraId="3173184D">
      <w:pPr>
        <w:pStyle w:val="8"/>
        <w:spacing w:before="0" w:beforeAutospacing="0" w:after="0" w:afterAutospacing="0" w:line="360" w:lineRule="auto"/>
        <w:ind w:firstLine="420"/>
        <w:rPr>
          <w:sz w:val="21"/>
          <w:szCs w:val="21"/>
        </w:rPr>
      </w:pPr>
      <w:r>
        <w:rPr>
          <w:rFonts w:hint="eastAsia"/>
          <w:sz w:val="21"/>
          <w:szCs w:val="21"/>
        </w:rPr>
        <w:t>（四十七）、2025年1月15日，我公司公告了《博时标普500交易型开放式指数证券投资基金溢价风险提示公告》、《博时标普500交易型开放式指数证券投资基金溢价风险提示公告》；</w:t>
      </w:r>
    </w:p>
    <w:p w14:paraId="4F9A387F">
      <w:pPr>
        <w:pStyle w:val="8"/>
        <w:spacing w:before="0" w:beforeAutospacing="0" w:after="0" w:afterAutospacing="0" w:line="360" w:lineRule="auto"/>
        <w:ind w:firstLine="420"/>
        <w:rPr>
          <w:sz w:val="21"/>
          <w:szCs w:val="21"/>
        </w:rPr>
      </w:pPr>
      <w:r>
        <w:rPr>
          <w:rFonts w:hint="eastAsia"/>
          <w:sz w:val="21"/>
          <w:szCs w:val="21"/>
        </w:rPr>
        <w:t>（四十八）、2025年1月14日，我公司公告了《博时标普500交易型开放式指数证券投资基金溢价风险提示公告》、《博时标普500交易型开放式指数证券投资基金溢价风险提示公告》；</w:t>
      </w:r>
    </w:p>
    <w:p w14:paraId="349F721A">
      <w:pPr>
        <w:pStyle w:val="8"/>
        <w:spacing w:before="0" w:beforeAutospacing="0" w:after="0" w:afterAutospacing="0" w:line="360" w:lineRule="auto"/>
        <w:ind w:firstLine="420"/>
        <w:rPr>
          <w:sz w:val="21"/>
          <w:szCs w:val="21"/>
        </w:rPr>
      </w:pPr>
      <w:r>
        <w:rPr>
          <w:rFonts w:hint="eastAsia"/>
          <w:sz w:val="21"/>
          <w:szCs w:val="21"/>
        </w:rPr>
        <w:t>（四十九）、2025年1月13日，我公司公告了《博时标普500交易型开放式指数证券投资基金溢价风险提示公告》、《博时标普500交易型开放式指数证券投资基金溢价风险提示公告》；</w:t>
      </w:r>
    </w:p>
    <w:p w14:paraId="00377642">
      <w:pPr>
        <w:pStyle w:val="8"/>
        <w:spacing w:before="0" w:beforeAutospacing="0" w:after="0" w:afterAutospacing="0" w:line="360" w:lineRule="auto"/>
        <w:ind w:firstLine="420"/>
        <w:rPr>
          <w:sz w:val="21"/>
          <w:szCs w:val="21"/>
        </w:rPr>
      </w:pPr>
      <w:r>
        <w:rPr>
          <w:rFonts w:hint="eastAsia"/>
          <w:sz w:val="21"/>
          <w:szCs w:val="21"/>
        </w:rPr>
        <w:t>（五十）、2025年1月10日，我公司公告了《博时标普500交易型开放式指数证券投资基金溢价风险提示公告》、《博时标普500交易型开放式指数证券投资基金溢价风险提示公告》、《博时标普500交易型开放式指数证券投资基金暂停申购业务的公告》；</w:t>
      </w:r>
    </w:p>
    <w:p w14:paraId="0E8ED0D4">
      <w:pPr>
        <w:pStyle w:val="8"/>
        <w:spacing w:before="0" w:beforeAutospacing="0" w:after="0" w:afterAutospacing="0" w:line="360" w:lineRule="auto"/>
        <w:ind w:firstLine="420"/>
        <w:rPr>
          <w:sz w:val="21"/>
          <w:szCs w:val="21"/>
        </w:rPr>
      </w:pPr>
      <w:r>
        <w:rPr>
          <w:rFonts w:hint="eastAsia"/>
          <w:sz w:val="21"/>
          <w:szCs w:val="21"/>
        </w:rPr>
        <w:t>（五十一）、2025年1月9日，我公司公告了《博时标普500交易型开放式指数证券投资基金溢价风险提示公告》、《博时标普500交易型开放式指数证券投资基金溢价风险提示公告》；</w:t>
      </w:r>
    </w:p>
    <w:p w14:paraId="0A545D89">
      <w:pPr>
        <w:pStyle w:val="8"/>
        <w:spacing w:before="0" w:beforeAutospacing="0" w:after="0" w:afterAutospacing="0" w:line="360" w:lineRule="auto"/>
        <w:ind w:firstLine="420"/>
        <w:rPr>
          <w:sz w:val="21"/>
          <w:szCs w:val="21"/>
        </w:rPr>
      </w:pPr>
      <w:r>
        <w:rPr>
          <w:rFonts w:hint="eastAsia"/>
          <w:sz w:val="21"/>
          <w:szCs w:val="21"/>
        </w:rPr>
        <w:t>（五十二）、2025年1月8日，我公司公告了《博时标普500交易型开放式指数证券投资基金溢价风险提示公告》、《博时标普500交易型开放式指数证券投资基金暂停申购、赎回业务的公告》、《博时标普500交易型开放式指数证券投资基金溢价风险提示公告》、《博时标普500交易型开放式指数证券投资基金2025年境外主要市场节假日暂停申购、赎回等交易类业务的公告》；</w:t>
      </w:r>
    </w:p>
    <w:p w14:paraId="40AF6DF0">
      <w:pPr>
        <w:pStyle w:val="8"/>
        <w:spacing w:before="0" w:beforeAutospacing="0" w:after="0" w:afterAutospacing="0" w:line="360" w:lineRule="auto"/>
        <w:ind w:firstLine="420"/>
        <w:rPr>
          <w:sz w:val="21"/>
          <w:szCs w:val="21"/>
        </w:rPr>
      </w:pPr>
      <w:r>
        <w:rPr>
          <w:rFonts w:hint="eastAsia"/>
          <w:sz w:val="21"/>
          <w:szCs w:val="21"/>
        </w:rPr>
        <w:t>（五十三）、2025年1月7日，我公司公告了《博时标普500交易型开放式指数证券投资基金溢价风险提示公告》、《博时标普500交易型开放式指数证券投资基金溢价风险提示公告》；</w:t>
      </w:r>
    </w:p>
    <w:p w14:paraId="3F477DA2">
      <w:pPr>
        <w:pStyle w:val="8"/>
        <w:spacing w:before="0" w:beforeAutospacing="0" w:after="0" w:afterAutospacing="0" w:line="360" w:lineRule="auto"/>
        <w:ind w:firstLine="420"/>
        <w:rPr>
          <w:sz w:val="21"/>
          <w:szCs w:val="21"/>
        </w:rPr>
      </w:pPr>
      <w:r>
        <w:rPr>
          <w:rFonts w:hint="eastAsia"/>
          <w:sz w:val="21"/>
          <w:szCs w:val="21"/>
        </w:rPr>
        <w:t>（五十四）、2025年1月6日，我公司公告了《博时标普500交易型开放式指数证券投资基金溢价风险提示公告》、《博时标普500交易型开放式指数证券投资基金溢价风险提示公告》；</w:t>
      </w:r>
    </w:p>
    <w:p w14:paraId="469382C8">
      <w:pPr>
        <w:pStyle w:val="8"/>
        <w:spacing w:before="0" w:beforeAutospacing="0" w:after="0" w:afterAutospacing="0" w:line="360" w:lineRule="auto"/>
        <w:ind w:firstLine="420"/>
        <w:rPr>
          <w:sz w:val="21"/>
          <w:szCs w:val="21"/>
        </w:rPr>
      </w:pPr>
      <w:r>
        <w:rPr>
          <w:rFonts w:hint="eastAsia"/>
          <w:sz w:val="21"/>
          <w:szCs w:val="21"/>
        </w:rPr>
        <w:t>（五十五）、2025年1月3日，我公司公告了《博时标普500交易型开放式指数证券投资基金溢价风险提示公告》、《博时标普500交易型开放式指数证券投资基金溢价风险提示公告》；</w:t>
      </w:r>
    </w:p>
    <w:p w14:paraId="4A33407A">
      <w:pPr>
        <w:pStyle w:val="8"/>
        <w:spacing w:before="0" w:beforeAutospacing="0" w:after="0" w:afterAutospacing="0" w:line="360" w:lineRule="auto"/>
        <w:ind w:firstLine="420"/>
        <w:rPr>
          <w:sz w:val="21"/>
          <w:szCs w:val="21"/>
        </w:rPr>
      </w:pPr>
      <w:r>
        <w:rPr>
          <w:rFonts w:hint="eastAsia"/>
          <w:sz w:val="21"/>
          <w:szCs w:val="21"/>
        </w:rPr>
        <w:t>（五十六）、2025年1月2日，我公司公告了《博时标普500交易型开放式指数证券投资基金溢价风险提示公告》、《博时标普500交易型开放式指数证券投资基金溢价风险提示公告》；</w:t>
      </w:r>
    </w:p>
    <w:p w14:paraId="19D17D66">
      <w:pPr>
        <w:pStyle w:val="8"/>
        <w:spacing w:before="0" w:beforeAutospacing="0" w:after="0" w:afterAutospacing="0" w:line="360" w:lineRule="auto"/>
        <w:ind w:firstLine="420"/>
        <w:rPr>
          <w:sz w:val="21"/>
          <w:szCs w:val="21"/>
        </w:rPr>
      </w:pPr>
      <w:r>
        <w:rPr>
          <w:rFonts w:hint="eastAsia"/>
          <w:sz w:val="21"/>
          <w:szCs w:val="21"/>
        </w:rPr>
        <w:t>（五十七）、2024年12月31日，我公司公告了《博时标普500交易型开放式指数证券投资基金溢价风险提示公告》、《博时标普500交易型开放式指数证券投资基金溢价风险提示公告》；</w:t>
      </w:r>
    </w:p>
    <w:p w14:paraId="3B160A7A">
      <w:pPr>
        <w:pStyle w:val="8"/>
        <w:spacing w:before="0" w:beforeAutospacing="0" w:after="0" w:afterAutospacing="0" w:line="360" w:lineRule="auto"/>
        <w:ind w:firstLine="420"/>
        <w:rPr>
          <w:sz w:val="21"/>
          <w:szCs w:val="21"/>
        </w:rPr>
      </w:pPr>
      <w:r>
        <w:rPr>
          <w:rFonts w:hint="eastAsia"/>
          <w:sz w:val="21"/>
          <w:szCs w:val="21"/>
        </w:rPr>
        <w:t>（五十八）、2024年12月30日，我公司公告了《博时标普500交易型开放式指数证券投资基金溢价风险提示公告》、《博时标普500交易型开放式指数证券投资基金溢价风险提示公告》；</w:t>
      </w:r>
    </w:p>
    <w:p w14:paraId="30396345">
      <w:pPr>
        <w:pStyle w:val="8"/>
        <w:spacing w:before="0" w:beforeAutospacing="0" w:after="0" w:afterAutospacing="0" w:line="360" w:lineRule="auto"/>
        <w:ind w:firstLine="420"/>
        <w:rPr>
          <w:sz w:val="21"/>
          <w:szCs w:val="21"/>
        </w:rPr>
      </w:pPr>
      <w:r>
        <w:rPr>
          <w:rFonts w:hint="eastAsia"/>
          <w:sz w:val="21"/>
          <w:szCs w:val="21"/>
        </w:rPr>
        <w:t>（五十九）、2024年12月27日，我公司公告了《博时标普500交易型开放式指数证券投资基金溢价风险提示公告》、《博时标普500交易型开放式指数证券投资基金溢价风险提示公告》、《博时基金管理有限公司关于旗下193只基金改聘会计师事务所的公告》；</w:t>
      </w:r>
    </w:p>
    <w:p w14:paraId="0D456408">
      <w:pPr>
        <w:pStyle w:val="8"/>
        <w:spacing w:before="0" w:beforeAutospacing="0" w:after="0" w:afterAutospacing="0" w:line="360" w:lineRule="auto"/>
        <w:ind w:firstLine="420"/>
        <w:rPr>
          <w:sz w:val="21"/>
          <w:szCs w:val="21"/>
        </w:rPr>
      </w:pPr>
      <w:r>
        <w:rPr>
          <w:rFonts w:hint="eastAsia"/>
          <w:sz w:val="21"/>
          <w:szCs w:val="21"/>
        </w:rPr>
        <w:t>（六十）、2024年12月26日，我公司公告了《博时标普500交易型开放式指数证券投资基金溢价风险提示公告》、《博时标普500交易型开放式指数证券投资基金溢价风险提示公告》；</w:t>
      </w:r>
    </w:p>
    <w:p w14:paraId="61A3285E">
      <w:pPr>
        <w:pStyle w:val="8"/>
        <w:spacing w:before="0" w:beforeAutospacing="0" w:after="0" w:afterAutospacing="0" w:line="360" w:lineRule="auto"/>
        <w:ind w:firstLine="420"/>
        <w:rPr>
          <w:sz w:val="21"/>
          <w:szCs w:val="21"/>
        </w:rPr>
      </w:pPr>
      <w:r>
        <w:rPr>
          <w:rFonts w:hint="eastAsia"/>
          <w:sz w:val="21"/>
          <w:szCs w:val="21"/>
        </w:rPr>
        <w:t>（六十一）、2024年12月25日，我公司公告了《博时标普500交易型开放式指数证券投资基金溢价风险提示公告》、《博时标普500交易型开放式指数证券投资基金溢价风险提示公告》；</w:t>
      </w:r>
    </w:p>
    <w:p w14:paraId="4AE9148B">
      <w:pPr>
        <w:pStyle w:val="8"/>
        <w:spacing w:before="0" w:beforeAutospacing="0" w:after="0" w:afterAutospacing="0" w:line="360" w:lineRule="auto"/>
        <w:ind w:firstLine="420"/>
        <w:rPr>
          <w:sz w:val="21"/>
          <w:szCs w:val="21"/>
        </w:rPr>
      </w:pPr>
      <w:r>
        <w:rPr>
          <w:rFonts w:hint="eastAsia"/>
          <w:sz w:val="21"/>
          <w:szCs w:val="21"/>
        </w:rPr>
        <w:t>（六十二）、2024年12月24日，我公司公告了《博时标普500交易型开放式指数证券投资基金溢价风险提示公告》、《博时标普500交易型开放式指数证券投资基金溢价风险提示公告》、《博时标普500交易型开放式指数证券投资基金暂停申购、赎回业务的公告》；</w:t>
      </w:r>
    </w:p>
    <w:p w14:paraId="1C8B2F56">
      <w:pPr>
        <w:pStyle w:val="8"/>
        <w:spacing w:before="0" w:beforeAutospacing="0" w:after="0" w:afterAutospacing="0" w:line="360" w:lineRule="auto"/>
        <w:ind w:firstLine="420"/>
        <w:rPr>
          <w:sz w:val="21"/>
          <w:szCs w:val="21"/>
        </w:rPr>
      </w:pPr>
      <w:r>
        <w:rPr>
          <w:rFonts w:hint="eastAsia"/>
          <w:sz w:val="21"/>
          <w:szCs w:val="21"/>
        </w:rPr>
        <w:t>（六十三）、2024年12月23日，我公司公告了《博时标普500交易型开放式指数证券投资基金溢价风险提示公告》、《博时标普500交易型开放式指数证券投资基金溢价风险提示公告》；</w:t>
      </w:r>
    </w:p>
    <w:p w14:paraId="1D2476B2">
      <w:pPr>
        <w:pStyle w:val="8"/>
        <w:spacing w:before="0" w:beforeAutospacing="0" w:after="0" w:afterAutospacing="0" w:line="360" w:lineRule="auto"/>
        <w:ind w:firstLine="420"/>
        <w:rPr>
          <w:sz w:val="21"/>
          <w:szCs w:val="21"/>
        </w:rPr>
      </w:pPr>
      <w:r>
        <w:rPr>
          <w:rFonts w:hint="eastAsia"/>
          <w:sz w:val="21"/>
          <w:szCs w:val="21"/>
        </w:rPr>
        <w:t>（六十四）、2024年12月20日，我公司公告了《博时标普500交易型开放式指数证券投资基金溢价风险提示公告》、《博时标普500交易型开放式指数证券投资基金溢价风险提示公告》；</w:t>
      </w:r>
    </w:p>
    <w:p w14:paraId="1A5D98CB">
      <w:pPr>
        <w:pStyle w:val="8"/>
        <w:spacing w:before="0" w:beforeAutospacing="0" w:after="0" w:afterAutospacing="0" w:line="360" w:lineRule="auto"/>
        <w:ind w:firstLine="420"/>
        <w:rPr>
          <w:sz w:val="21"/>
          <w:szCs w:val="21"/>
        </w:rPr>
      </w:pPr>
      <w:r>
        <w:rPr>
          <w:rFonts w:hint="eastAsia"/>
          <w:sz w:val="21"/>
          <w:szCs w:val="21"/>
        </w:rPr>
        <w:t>（六十五）、2024年12月19日，我公司公告了《博时标普500交易型开放式指数证券投资基金溢价风险提示公告》、《博时标普500交易型开放式指数证券投资基金溢价风险提示公告》；</w:t>
      </w:r>
    </w:p>
    <w:p w14:paraId="3E6FE3A5">
      <w:pPr>
        <w:pStyle w:val="8"/>
        <w:spacing w:before="0" w:beforeAutospacing="0" w:after="0" w:afterAutospacing="0" w:line="360" w:lineRule="auto"/>
        <w:ind w:firstLine="420"/>
        <w:rPr>
          <w:sz w:val="21"/>
          <w:szCs w:val="21"/>
        </w:rPr>
      </w:pPr>
      <w:r>
        <w:rPr>
          <w:rFonts w:hint="eastAsia"/>
          <w:sz w:val="21"/>
          <w:szCs w:val="21"/>
        </w:rPr>
        <w:t>（六十六）、2024年12月18日，我公司公告了《博时标普500交易型开放式指数证券投资基金溢价风险提示公告》；</w:t>
      </w:r>
    </w:p>
    <w:p w14:paraId="088D9CD9">
      <w:pPr>
        <w:pStyle w:val="8"/>
        <w:spacing w:before="0" w:beforeAutospacing="0" w:after="0" w:afterAutospacing="0" w:line="360" w:lineRule="auto"/>
        <w:ind w:firstLine="420"/>
        <w:rPr>
          <w:sz w:val="21"/>
          <w:szCs w:val="21"/>
        </w:rPr>
      </w:pPr>
      <w:r>
        <w:rPr>
          <w:rFonts w:hint="eastAsia"/>
          <w:sz w:val="21"/>
          <w:szCs w:val="21"/>
        </w:rPr>
        <w:t>（六十七）、2024年12月17日，我公司公告了《博时标普500交易型开放式指数证券投资基金溢价风险提示及停复牌公告》；</w:t>
      </w:r>
    </w:p>
    <w:p w14:paraId="1705830D">
      <w:pPr>
        <w:pStyle w:val="8"/>
        <w:spacing w:before="0" w:beforeAutospacing="0" w:after="0" w:afterAutospacing="0" w:line="360" w:lineRule="auto"/>
        <w:ind w:firstLine="420"/>
        <w:rPr>
          <w:sz w:val="21"/>
          <w:szCs w:val="21"/>
        </w:rPr>
      </w:pPr>
      <w:r>
        <w:rPr>
          <w:rFonts w:hint="eastAsia"/>
          <w:sz w:val="21"/>
          <w:szCs w:val="21"/>
        </w:rPr>
        <w:t>（六十八）、2024年12月16日，我公司公告了《博时标普500交易型开放式指数证券投资基金溢价风险提示公告》；</w:t>
      </w:r>
    </w:p>
    <w:p w14:paraId="35720BB3">
      <w:pPr>
        <w:pStyle w:val="8"/>
        <w:spacing w:before="0" w:beforeAutospacing="0" w:after="0" w:afterAutospacing="0" w:line="360" w:lineRule="auto"/>
        <w:ind w:firstLine="420"/>
        <w:rPr>
          <w:sz w:val="21"/>
          <w:szCs w:val="21"/>
        </w:rPr>
      </w:pPr>
      <w:r>
        <w:rPr>
          <w:rFonts w:hint="eastAsia"/>
          <w:sz w:val="21"/>
          <w:szCs w:val="21"/>
        </w:rPr>
        <w:t>（六十九）、2024年12月13日，我公司公告了《关于博时基金管理有限公司旗下部分基金新增联储证券为申购、赎回代办券商的公告》、《博时标普500交易型开放式指数证券投资基金溢价风险提示公告》；</w:t>
      </w:r>
    </w:p>
    <w:p w14:paraId="45B9ADDE">
      <w:pPr>
        <w:pStyle w:val="8"/>
        <w:spacing w:before="0" w:beforeAutospacing="0" w:after="0" w:afterAutospacing="0" w:line="360" w:lineRule="auto"/>
        <w:ind w:firstLine="420"/>
        <w:rPr>
          <w:sz w:val="21"/>
          <w:szCs w:val="21"/>
        </w:rPr>
      </w:pPr>
      <w:r>
        <w:rPr>
          <w:rFonts w:hint="eastAsia"/>
          <w:sz w:val="21"/>
          <w:szCs w:val="21"/>
        </w:rPr>
        <w:t>（七十）、2024年12月12日，我公司公告了《博时标普500交易型开放式指数证券投资基金溢价风险提示公告》；</w:t>
      </w:r>
    </w:p>
    <w:p w14:paraId="50F8FF46">
      <w:pPr>
        <w:pStyle w:val="8"/>
        <w:spacing w:before="0" w:beforeAutospacing="0" w:after="0" w:afterAutospacing="0" w:line="360" w:lineRule="auto"/>
        <w:ind w:firstLine="420"/>
        <w:rPr>
          <w:sz w:val="21"/>
          <w:szCs w:val="21"/>
        </w:rPr>
      </w:pPr>
      <w:r>
        <w:rPr>
          <w:rFonts w:hint="eastAsia"/>
          <w:sz w:val="21"/>
          <w:szCs w:val="21"/>
        </w:rPr>
        <w:t>（七十一）、2024年12月11日，我公司公告了《博时标普500交易型开放式指数证券投资基金溢价风险提示公告》；</w:t>
      </w:r>
    </w:p>
    <w:p w14:paraId="66DC35EA">
      <w:pPr>
        <w:pStyle w:val="8"/>
        <w:spacing w:before="0" w:beforeAutospacing="0" w:after="0" w:afterAutospacing="0" w:line="360" w:lineRule="auto"/>
        <w:ind w:firstLine="420"/>
        <w:rPr>
          <w:sz w:val="21"/>
          <w:szCs w:val="21"/>
        </w:rPr>
      </w:pPr>
      <w:r>
        <w:rPr>
          <w:rFonts w:hint="eastAsia"/>
          <w:sz w:val="21"/>
          <w:szCs w:val="21"/>
        </w:rPr>
        <w:t>（七十二）、2024年12月10日，我公司公告了《博时标普500交易型开放式指数证券投资基金溢价风险提示公告》；</w:t>
      </w:r>
    </w:p>
    <w:p w14:paraId="43292812">
      <w:pPr>
        <w:pStyle w:val="8"/>
        <w:spacing w:before="0" w:beforeAutospacing="0" w:after="0" w:afterAutospacing="0" w:line="360" w:lineRule="auto"/>
        <w:ind w:firstLine="420"/>
        <w:rPr>
          <w:sz w:val="21"/>
          <w:szCs w:val="21"/>
        </w:rPr>
      </w:pPr>
      <w:r>
        <w:rPr>
          <w:rFonts w:hint="eastAsia"/>
          <w:sz w:val="21"/>
          <w:szCs w:val="21"/>
        </w:rPr>
        <w:t>（七十三）、2024年12月9日，我公司公告了《博时标普500交易型开放式指数证券投资基金溢价风险提示公告》；</w:t>
      </w:r>
    </w:p>
    <w:p w14:paraId="432A912A">
      <w:pPr>
        <w:pStyle w:val="8"/>
        <w:spacing w:before="0" w:beforeAutospacing="0" w:after="0" w:afterAutospacing="0" w:line="360" w:lineRule="auto"/>
        <w:ind w:firstLine="420"/>
        <w:rPr>
          <w:sz w:val="21"/>
          <w:szCs w:val="21"/>
        </w:rPr>
      </w:pPr>
      <w:r>
        <w:rPr>
          <w:rFonts w:hint="eastAsia"/>
          <w:sz w:val="21"/>
          <w:szCs w:val="21"/>
        </w:rPr>
        <w:t>（七十四）、2024年12月7日，我公司公告了《博时基金管理有限公司关于高级管理人员变更的公告》；</w:t>
      </w:r>
    </w:p>
    <w:p w14:paraId="39824459">
      <w:pPr>
        <w:pStyle w:val="8"/>
        <w:spacing w:before="0" w:beforeAutospacing="0" w:after="0" w:afterAutospacing="0" w:line="360" w:lineRule="auto"/>
        <w:ind w:firstLine="420"/>
        <w:rPr>
          <w:sz w:val="21"/>
          <w:szCs w:val="21"/>
        </w:rPr>
      </w:pPr>
      <w:r>
        <w:rPr>
          <w:rFonts w:hint="eastAsia"/>
          <w:sz w:val="21"/>
          <w:szCs w:val="21"/>
        </w:rPr>
        <w:t>（七十五）、2024年12月6日，我公司公告了《博时标普500交易型开放式指数证券投资基金溢价风险提示公告》；</w:t>
      </w:r>
    </w:p>
    <w:p w14:paraId="35FF4AEE">
      <w:pPr>
        <w:pStyle w:val="8"/>
        <w:spacing w:before="0" w:beforeAutospacing="0" w:after="0" w:afterAutospacing="0" w:line="360" w:lineRule="auto"/>
        <w:ind w:firstLine="420"/>
        <w:rPr>
          <w:sz w:val="21"/>
          <w:szCs w:val="21"/>
        </w:rPr>
      </w:pPr>
      <w:r>
        <w:rPr>
          <w:rFonts w:hint="eastAsia"/>
          <w:sz w:val="21"/>
          <w:szCs w:val="21"/>
        </w:rPr>
        <w:t>（七十六）、2024年12月5日，我公司公告了《博时标普500交易型开放式指数证券投资基金溢价风险提示公告》；</w:t>
      </w:r>
    </w:p>
    <w:p w14:paraId="19924AAA">
      <w:pPr>
        <w:pStyle w:val="8"/>
        <w:spacing w:before="0" w:beforeAutospacing="0" w:after="0" w:afterAutospacing="0" w:line="360" w:lineRule="auto"/>
        <w:ind w:firstLine="420"/>
        <w:rPr>
          <w:sz w:val="21"/>
          <w:szCs w:val="21"/>
        </w:rPr>
      </w:pPr>
      <w:r>
        <w:rPr>
          <w:rFonts w:hint="eastAsia"/>
          <w:sz w:val="21"/>
          <w:szCs w:val="21"/>
        </w:rPr>
        <w:t>（七十七）、2024年12月4日，我公司公告了《博时标普500交易型开放式指数证券投资基金溢价风险提示公告》；</w:t>
      </w:r>
    </w:p>
    <w:p w14:paraId="56E343AD">
      <w:pPr>
        <w:pStyle w:val="8"/>
        <w:spacing w:before="0" w:beforeAutospacing="0" w:after="0" w:afterAutospacing="0" w:line="360" w:lineRule="auto"/>
        <w:ind w:firstLine="420"/>
        <w:rPr>
          <w:sz w:val="21"/>
          <w:szCs w:val="21"/>
        </w:rPr>
      </w:pPr>
      <w:r>
        <w:rPr>
          <w:rFonts w:hint="eastAsia"/>
          <w:sz w:val="21"/>
          <w:szCs w:val="21"/>
        </w:rPr>
        <w:t>（七十八）、2024年12月3日，我公司公告了《博时标普500交易型开放式指数证券投资基金溢价风险提示公告》；</w:t>
      </w:r>
    </w:p>
    <w:p w14:paraId="77AC39F2">
      <w:pPr>
        <w:pStyle w:val="8"/>
        <w:spacing w:before="0" w:beforeAutospacing="0" w:after="0" w:afterAutospacing="0" w:line="360" w:lineRule="auto"/>
        <w:ind w:firstLine="420"/>
        <w:rPr>
          <w:sz w:val="21"/>
          <w:szCs w:val="21"/>
        </w:rPr>
      </w:pPr>
      <w:r>
        <w:rPr>
          <w:rFonts w:hint="eastAsia"/>
          <w:sz w:val="21"/>
          <w:szCs w:val="21"/>
        </w:rPr>
        <w:t>（七十九）、2024年12月2日，我公司公告了《博时标普500交易型开放式指数证券投资基金溢价风险提示公告》；</w:t>
      </w:r>
    </w:p>
    <w:p w14:paraId="28A11D59">
      <w:pPr>
        <w:pStyle w:val="8"/>
        <w:spacing w:before="0" w:beforeAutospacing="0" w:after="0" w:afterAutospacing="0" w:line="360" w:lineRule="auto"/>
        <w:ind w:firstLine="420"/>
        <w:rPr>
          <w:sz w:val="21"/>
          <w:szCs w:val="21"/>
        </w:rPr>
      </w:pPr>
      <w:r>
        <w:rPr>
          <w:rFonts w:hint="eastAsia"/>
          <w:sz w:val="21"/>
          <w:szCs w:val="21"/>
        </w:rPr>
        <w:t>（八十）、2024年11月29日，我公司公告了《博时标普500交易型开放式指数证券投资基金溢价风险提示公告》；</w:t>
      </w:r>
    </w:p>
    <w:p w14:paraId="088B1859">
      <w:pPr>
        <w:pStyle w:val="8"/>
        <w:spacing w:before="0" w:beforeAutospacing="0" w:after="0" w:afterAutospacing="0" w:line="360" w:lineRule="auto"/>
        <w:ind w:firstLine="420"/>
        <w:rPr>
          <w:sz w:val="21"/>
          <w:szCs w:val="21"/>
        </w:rPr>
      </w:pPr>
      <w:r>
        <w:rPr>
          <w:rFonts w:hint="eastAsia"/>
          <w:sz w:val="21"/>
          <w:szCs w:val="21"/>
        </w:rPr>
        <w:t>（八十一）、2024年11月28日，我公司公告了《博时标普500交易型开放式指数证券投资基金溢价风险提示公告》；</w:t>
      </w:r>
    </w:p>
    <w:p w14:paraId="73524B3C">
      <w:pPr>
        <w:pStyle w:val="8"/>
        <w:spacing w:before="0" w:beforeAutospacing="0" w:after="0" w:afterAutospacing="0" w:line="360" w:lineRule="auto"/>
        <w:ind w:firstLine="420"/>
        <w:rPr>
          <w:sz w:val="21"/>
          <w:szCs w:val="21"/>
        </w:rPr>
      </w:pPr>
      <w:r>
        <w:rPr>
          <w:rFonts w:hint="eastAsia"/>
          <w:sz w:val="21"/>
          <w:szCs w:val="21"/>
        </w:rPr>
        <w:t>（八十二）、2024年11月27日，我公司公告了《博时标普500交易型开放式指数证券投资基金恢复申购业务的公告》、《博时标普500交易型开放式指数证券投资基金暂停申购、赎回业务的公告》、《博时标普500交易型开放式指数证券投资基金溢价风险提示公告》；</w:t>
      </w:r>
    </w:p>
    <w:p w14:paraId="370B3C74">
      <w:pPr>
        <w:pStyle w:val="8"/>
        <w:spacing w:before="0" w:beforeAutospacing="0" w:after="0" w:afterAutospacing="0" w:line="360" w:lineRule="auto"/>
        <w:ind w:firstLine="420"/>
        <w:rPr>
          <w:sz w:val="21"/>
          <w:szCs w:val="21"/>
        </w:rPr>
      </w:pPr>
      <w:r>
        <w:rPr>
          <w:rFonts w:hint="eastAsia"/>
          <w:sz w:val="21"/>
          <w:szCs w:val="21"/>
        </w:rPr>
        <w:t>（八十三）、2024年11月26日，我公司公告了《博时标普500交易型开放式指数证券投资基金溢价风险提示公告》；</w:t>
      </w:r>
    </w:p>
    <w:p w14:paraId="1FBF421C">
      <w:pPr>
        <w:pStyle w:val="8"/>
        <w:spacing w:before="0" w:beforeAutospacing="0" w:after="0" w:afterAutospacing="0" w:line="360" w:lineRule="auto"/>
        <w:ind w:firstLine="420"/>
        <w:rPr>
          <w:sz w:val="21"/>
          <w:szCs w:val="21"/>
        </w:rPr>
      </w:pPr>
      <w:r>
        <w:rPr>
          <w:rFonts w:hint="eastAsia"/>
          <w:sz w:val="21"/>
          <w:szCs w:val="21"/>
        </w:rPr>
        <w:t>（八十四）、2024年11月25日，我公司公告了《博时标普500交易型开放式指数证券投资基金溢价风险提示公告》；</w:t>
      </w:r>
    </w:p>
    <w:p w14:paraId="0251EFD3">
      <w:pPr>
        <w:pStyle w:val="8"/>
        <w:spacing w:before="0" w:beforeAutospacing="0" w:after="0" w:afterAutospacing="0" w:line="360" w:lineRule="auto"/>
        <w:ind w:firstLine="420"/>
        <w:rPr>
          <w:sz w:val="21"/>
          <w:szCs w:val="21"/>
        </w:rPr>
      </w:pPr>
      <w:r>
        <w:rPr>
          <w:rFonts w:hint="eastAsia"/>
          <w:sz w:val="21"/>
          <w:szCs w:val="21"/>
        </w:rPr>
        <w:t>（八十五）、2024年11月21日，我公司公告了《博时标普500交易型开放式指数证券投资基金溢价风险提示公告》、《博时标普500交易型开放式指数证券投资基金暂停申购业务的公告》；</w:t>
      </w:r>
    </w:p>
    <w:p w14:paraId="07572341">
      <w:pPr>
        <w:pStyle w:val="8"/>
        <w:spacing w:before="0" w:beforeAutospacing="0" w:after="0" w:afterAutospacing="0" w:line="360" w:lineRule="auto"/>
        <w:ind w:firstLine="420"/>
        <w:rPr>
          <w:sz w:val="21"/>
          <w:szCs w:val="21"/>
        </w:rPr>
      </w:pPr>
      <w:r>
        <w:rPr>
          <w:rFonts w:hint="eastAsia"/>
          <w:sz w:val="21"/>
          <w:szCs w:val="21"/>
        </w:rPr>
        <w:t>（八十六）、2024年11月20日，我公司公告了《博时标普500交易型开放式指数证券投资基金溢价风险提示公告》；</w:t>
      </w:r>
    </w:p>
    <w:p w14:paraId="5E6F143E">
      <w:pPr>
        <w:pStyle w:val="8"/>
        <w:spacing w:before="0" w:beforeAutospacing="0" w:after="0" w:afterAutospacing="0" w:line="360" w:lineRule="auto"/>
        <w:ind w:firstLine="420"/>
        <w:rPr>
          <w:sz w:val="21"/>
          <w:szCs w:val="21"/>
        </w:rPr>
      </w:pPr>
      <w:r>
        <w:rPr>
          <w:rFonts w:hint="eastAsia"/>
          <w:sz w:val="21"/>
          <w:szCs w:val="21"/>
        </w:rPr>
        <w:t>（八十七）、2024年11月19日，我公司公告了《博时标普500交易型开放式指数证券投资基金溢价风险提示公告》；</w:t>
      </w:r>
    </w:p>
    <w:p w14:paraId="775C0FEB">
      <w:pPr>
        <w:pStyle w:val="8"/>
        <w:spacing w:before="0" w:beforeAutospacing="0" w:after="0" w:afterAutospacing="0" w:line="360" w:lineRule="auto"/>
        <w:ind w:firstLine="420"/>
        <w:rPr>
          <w:sz w:val="21"/>
          <w:szCs w:val="21"/>
        </w:rPr>
      </w:pPr>
      <w:r>
        <w:rPr>
          <w:rFonts w:hint="eastAsia"/>
          <w:sz w:val="21"/>
          <w:szCs w:val="21"/>
        </w:rPr>
        <w:t>（八十八）、2024年11月18日，我公司公告了《博时基金管理有限公司关于终止乾道基金销售有限公司办理旗下基金销售业务的公告》；</w:t>
      </w:r>
    </w:p>
    <w:p w14:paraId="7C020C52">
      <w:pPr>
        <w:pStyle w:val="8"/>
        <w:spacing w:before="0" w:beforeAutospacing="0" w:after="0" w:afterAutospacing="0" w:line="360" w:lineRule="auto"/>
        <w:ind w:firstLine="420"/>
        <w:rPr>
          <w:sz w:val="21"/>
          <w:szCs w:val="21"/>
        </w:rPr>
      </w:pPr>
      <w:r>
        <w:rPr>
          <w:rFonts w:hint="eastAsia"/>
          <w:sz w:val="21"/>
          <w:szCs w:val="21"/>
        </w:rPr>
        <w:t>（八十九）、2024年11月6日，我公司公告了《博时基金管理有限公司关于旗下基金持有的长期停牌股票调整估值方法的公告-20241106》；</w:t>
      </w:r>
    </w:p>
    <w:p w14:paraId="5F4CD168">
      <w:pPr>
        <w:pStyle w:val="8"/>
        <w:spacing w:before="0" w:beforeAutospacing="0" w:after="0" w:afterAutospacing="0" w:line="360" w:lineRule="auto"/>
        <w:ind w:firstLine="420"/>
        <w:rPr>
          <w:sz w:val="21"/>
          <w:szCs w:val="21"/>
        </w:rPr>
      </w:pPr>
      <w:r>
        <w:rPr>
          <w:rFonts w:hint="eastAsia"/>
          <w:sz w:val="21"/>
          <w:szCs w:val="21"/>
        </w:rPr>
        <w:t>（九十）、2024年11月1日，我公司公告了《关于博时标普500交易型开放式指数证券投资基金新增粤开证券为申购、赎回代办券商的公告》；</w:t>
      </w:r>
    </w:p>
    <w:p w14:paraId="58A23A3D">
      <w:pPr>
        <w:pStyle w:val="8"/>
        <w:spacing w:before="0" w:beforeAutospacing="0" w:after="0" w:afterAutospacing="0" w:line="360" w:lineRule="auto"/>
        <w:ind w:firstLine="420"/>
        <w:rPr>
          <w:sz w:val="21"/>
          <w:szCs w:val="21"/>
        </w:rPr>
      </w:pPr>
      <w:r>
        <w:rPr>
          <w:rFonts w:hint="eastAsia"/>
          <w:sz w:val="21"/>
          <w:szCs w:val="21"/>
        </w:rPr>
        <w:t>（九十一）、2024年10月25日，我公司公告了《博时标普500交易型开放式指数证券投资基金2024年第3季度报告》；</w:t>
      </w:r>
    </w:p>
    <w:p w14:paraId="630504BE">
      <w:pPr>
        <w:pStyle w:val="8"/>
        <w:spacing w:before="0" w:beforeAutospacing="0" w:after="0" w:afterAutospacing="0" w:line="360" w:lineRule="auto"/>
        <w:ind w:firstLine="420"/>
        <w:rPr>
          <w:sz w:val="21"/>
          <w:szCs w:val="21"/>
        </w:rPr>
      </w:pPr>
      <w:r>
        <w:rPr>
          <w:rFonts w:hint="eastAsia"/>
          <w:sz w:val="21"/>
          <w:szCs w:val="21"/>
        </w:rPr>
        <w:t>（九十二）、2024年9月30日，我公司公告了《博时标普500交易型开放式指数证券投资基金更新招募说明书》；</w:t>
      </w:r>
    </w:p>
    <w:p w14:paraId="7999767E">
      <w:pPr>
        <w:pStyle w:val="8"/>
        <w:spacing w:before="0" w:beforeAutospacing="0" w:after="0" w:afterAutospacing="0" w:line="360" w:lineRule="auto"/>
        <w:ind w:firstLine="420"/>
        <w:rPr>
          <w:sz w:val="21"/>
          <w:szCs w:val="21"/>
        </w:rPr>
      </w:pPr>
      <w:r>
        <w:rPr>
          <w:rFonts w:hint="eastAsia"/>
          <w:sz w:val="21"/>
          <w:szCs w:val="21"/>
        </w:rPr>
        <w:t>（九十三）、2024年9月25日，我公司公告了《博时基金管理有限公司关于旗下基金持有的长期停牌股票调整估值方法的公告-20240925》；</w:t>
      </w:r>
    </w:p>
    <w:p w14:paraId="1303F96F">
      <w:pPr>
        <w:pStyle w:val="8"/>
        <w:spacing w:before="0" w:beforeAutospacing="0" w:after="0" w:afterAutospacing="0" w:line="360" w:lineRule="auto"/>
        <w:ind w:firstLine="420"/>
        <w:rPr>
          <w:sz w:val="21"/>
          <w:szCs w:val="21"/>
        </w:rPr>
      </w:pPr>
      <w:r>
        <w:rPr>
          <w:rFonts w:hint="eastAsia"/>
          <w:sz w:val="21"/>
          <w:szCs w:val="21"/>
        </w:rPr>
        <w:t>（九十四）、2024年9月21日，我公司公告了《博时基金管理有限公司关于董事会成员变更的公告》；</w:t>
      </w:r>
    </w:p>
    <w:p w14:paraId="6A5855DE">
      <w:pPr>
        <w:pStyle w:val="8"/>
        <w:spacing w:before="0" w:beforeAutospacing="0" w:after="0" w:afterAutospacing="0" w:line="360" w:lineRule="auto"/>
        <w:ind w:firstLine="420"/>
        <w:rPr>
          <w:sz w:val="21"/>
          <w:szCs w:val="21"/>
        </w:rPr>
      </w:pPr>
      <w:r>
        <w:rPr>
          <w:rFonts w:hint="eastAsia"/>
          <w:sz w:val="21"/>
          <w:szCs w:val="21"/>
        </w:rPr>
        <w:t>（九十五）、2024年9月10日，我公司公告了《博时标普500交易型开放式指数证券投资基金溢价风险提示公告》；</w:t>
      </w:r>
    </w:p>
    <w:p w14:paraId="4489AD0B">
      <w:pPr>
        <w:pStyle w:val="8"/>
        <w:spacing w:before="0" w:beforeAutospacing="0" w:after="0" w:afterAutospacing="0" w:line="360" w:lineRule="auto"/>
        <w:ind w:firstLine="420"/>
        <w:rPr>
          <w:sz w:val="21"/>
          <w:szCs w:val="21"/>
        </w:rPr>
      </w:pPr>
      <w:r>
        <w:rPr>
          <w:rFonts w:hint="eastAsia"/>
          <w:sz w:val="21"/>
          <w:szCs w:val="21"/>
        </w:rPr>
        <w:t>（九十六）、2024年9月4日，我公司公告了《博时标普500交易型开放式指数证券投资基金溢价风险提示公告》；</w:t>
      </w:r>
    </w:p>
    <w:p w14:paraId="424EE3D0">
      <w:pPr>
        <w:pStyle w:val="8"/>
        <w:spacing w:before="0" w:beforeAutospacing="0" w:after="0" w:afterAutospacing="0" w:line="360" w:lineRule="auto"/>
        <w:ind w:firstLine="420"/>
        <w:rPr>
          <w:sz w:val="21"/>
          <w:szCs w:val="21"/>
        </w:rPr>
      </w:pPr>
      <w:r>
        <w:rPr>
          <w:rFonts w:hint="eastAsia"/>
          <w:sz w:val="21"/>
          <w:szCs w:val="21"/>
        </w:rPr>
        <w:t>（九十七）、2024年9月3日，我公司公告了《博时标普500交易型开放式指数证券投资基金溢价风险提示公告》；</w:t>
      </w:r>
    </w:p>
    <w:p w14:paraId="67C970D3">
      <w:pPr>
        <w:pStyle w:val="8"/>
        <w:spacing w:before="0" w:beforeAutospacing="0" w:after="0" w:afterAutospacing="0" w:line="360" w:lineRule="auto"/>
        <w:ind w:firstLine="420"/>
        <w:rPr>
          <w:sz w:val="21"/>
          <w:szCs w:val="21"/>
        </w:rPr>
      </w:pPr>
      <w:r>
        <w:rPr>
          <w:rFonts w:hint="eastAsia"/>
          <w:sz w:val="21"/>
          <w:szCs w:val="21"/>
        </w:rPr>
        <w:t>（九十八）、2024年9月2日，我公司公告了《博时标普500交易型开放式指数证券</w:t>
      </w:r>
      <w:bookmarkStart w:id="202" w:name="chapter_level1_28_3499_section_1_end"/>
      <w:bookmarkEnd w:id="202"/>
      <w:r>
        <w:rPr>
          <w:rFonts w:hint="eastAsia"/>
          <w:sz w:val="21"/>
          <w:szCs w:val="21"/>
        </w:rPr>
        <w:t>投资基金溢价风险提示公告》。</w:t>
      </w:r>
      <w:bookmarkStart w:id="203" w:name="field_0_bsrevealinfo_1_end"/>
      <w:bookmarkEnd w:id="203"/>
      <w:r>
        <w:rPr>
          <w:rFonts w:hint="eastAsia"/>
          <w:sz w:val="21"/>
          <w:szCs w:val="21"/>
        </w:rPr>
        <w:t xml:space="preserve">  </w:t>
      </w:r>
    </w:p>
    <w:p w14:paraId="6480ECB1">
      <w:pPr>
        <w:widowControl/>
        <w:jc w:val="left"/>
        <w:rPr>
          <w:rFonts w:ascii="宋体" w:hAnsi="宋体" w:eastAsia="宋体"/>
        </w:rPr>
      </w:pPr>
      <w:r>
        <w:rPr>
          <w:rFonts w:ascii="宋体" w:hAnsi="宋体" w:eastAsia="宋体"/>
        </w:rPr>
        <w:br w:type="page"/>
      </w:r>
    </w:p>
    <w:p w14:paraId="2F6ECAC7">
      <w:pPr>
        <w:pStyle w:val="2"/>
        <w:jc w:val="center"/>
        <w:rPr>
          <w:rFonts w:ascii="宋体" w:hAnsi="宋体" w:eastAsia="宋体"/>
          <w:sz w:val="30"/>
        </w:rPr>
      </w:pPr>
      <w:bookmarkStart w:id="204" w:name="_Toc209441860"/>
      <w:bookmarkStart w:id="205" w:name="chapter_level1_29_77"/>
      <w:r>
        <w:rPr>
          <w:rFonts w:hint="eastAsia" w:ascii="宋体" w:hAnsi="宋体" w:eastAsia="宋体"/>
          <w:sz w:val="30"/>
        </w:rPr>
        <w:t>第二十六部分  招募说明书的存放及查阅方式</w:t>
      </w:r>
      <w:bookmarkEnd w:id="204"/>
      <w:bookmarkEnd w:id="205"/>
    </w:p>
    <w:p w14:paraId="5BFDDB58">
      <w:pPr>
        <w:pStyle w:val="8"/>
        <w:spacing w:before="0" w:beforeAutospacing="0" w:after="0" w:afterAutospacing="0" w:line="360" w:lineRule="auto"/>
        <w:ind w:firstLine="420"/>
        <w:rPr>
          <w:sz w:val="21"/>
          <w:szCs w:val="21"/>
        </w:rPr>
      </w:pPr>
      <w:bookmarkStart w:id="206" w:name="chapter_level1_29_77_section_1"/>
      <w:bookmarkEnd w:id="206"/>
      <w:r>
        <w:rPr>
          <w:rFonts w:hint="eastAsia"/>
          <w:sz w:val="21"/>
          <w:szCs w:val="21"/>
        </w:rPr>
        <w:t xml:space="preserve">依法必须披露的信息发布后，基金管理人、基金托管人应当按照相关法律法规规定将信息置备于各自住所、基金上市交易的证券交易所，供社会公众查阅、复制；投资人在支付工本费后，可在合理时间内取得上述文件复制件或复印件。对投资人按此种方式所获得的文件及其复印件，基金管理人保证文本的内容与所公告的内容完全一致。 </w:t>
      </w:r>
    </w:p>
    <w:p w14:paraId="3F2FC91D">
      <w:pPr>
        <w:pStyle w:val="8"/>
        <w:spacing w:before="0" w:beforeAutospacing="0" w:after="0" w:afterAutospacing="0" w:line="360" w:lineRule="auto"/>
        <w:ind w:firstLine="420"/>
        <w:rPr>
          <w:sz w:val="21"/>
          <w:szCs w:val="21"/>
        </w:rPr>
      </w:pPr>
      <w:bookmarkStart w:id="207" w:name="chapter_level1_29_77_section_1_end"/>
      <w:bookmarkEnd w:id="207"/>
      <w:r>
        <w:rPr>
          <w:rFonts w:hint="eastAsia"/>
          <w:sz w:val="21"/>
          <w:szCs w:val="21"/>
        </w:rPr>
        <w:t xml:space="preserve">投资人还可以直接登录基金管理人的网站（www.bosera.com）查阅和下载招募说明书。 </w:t>
      </w:r>
    </w:p>
    <w:p w14:paraId="0849D7A3">
      <w:pPr>
        <w:widowControl/>
        <w:jc w:val="left"/>
        <w:rPr>
          <w:rFonts w:ascii="宋体" w:hAnsi="宋体" w:eastAsia="宋体"/>
        </w:rPr>
      </w:pPr>
      <w:r>
        <w:rPr>
          <w:rFonts w:ascii="宋体" w:hAnsi="宋体" w:eastAsia="宋体"/>
        </w:rPr>
        <w:br w:type="page"/>
      </w:r>
    </w:p>
    <w:p w14:paraId="3ED483E3">
      <w:pPr>
        <w:pStyle w:val="2"/>
        <w:jc w:val="center"/>
        <w:rPr>
          <w:rFonts w:ascii="宋体" w:hAnsi="宋体" w:eastAsia="宋体"/>
          <w:sz w:val="30"/>
        </w:rPr>
      </w:pPr>
      <w:bookmarkStart w:id="208" w:name="chapter_level1_30_332"/>
      <w:bookmarkStart w:id="209" w:name="_Toc209441861"/>
      <w:r>
        <w:rPr>
          <w:rFonts w:hint="eastAsia" w:ascii="宋体" w:hAnsi="宋体" w:eastAsia="宋体"/>
          <w:sz w:val="30"/>
        </w:rPr>
        <w:t>第二十七部分  备查文件</w:t>
      </w:r>
      <w:bookmarkEnd w:id="208"/>
      <w:bookmarkEnd w:id="209"/>
    </w:p>
    <w:p w14:paraId="48855702">
      <w:pPr>
        <w:pStyle w:val="8"/>
        <w:spacing w:before="0" w:beforeAutospacing="0" w:after="0" w:afterAutospacing="0" w:line="360" w:lineRule="auto"/>
        <w:ind w:firstLine="420"/>
        <w:rPr>
          <w:sz w:val="21"/>
          <w:szCs w:val="21"/>
        </w:rPr>
      </w:pPr>
      <w:bookmarkStart w:id="210" w:name="chapter_level1_30_332_section_1"/>
      <w:bookmarkEnd w:id="210"/>
      <w:r>
        <w:rPr>
          <w:rFonts w:hint="eastAsia"/>
          <w:sz w:val="21"/>
          <w:szCs w:val="21"/>
        </w:rPr>
        <w:t xml:space="preserve">以下备查文件存放在基金管理人的办公场所，在办公时间可供免费查阅。  </w:t>
      </w:r>
    </w:p>
    <w:p w14:paraId="257C063A">
      <w:pPr>
        <w:pStyle w:val="8"/>
        <w:spacing w:before="0" w:beforeAutospacing="0" w:after="0" w:afterAutospacing="0" w:line="360" w:lineRule="auto"/>
        <w:ind w:firstLine="420"/>
        <w:rPr>
          <w:sz w:val="21"/>
          <w:szCs w:val="21"/>
        </w:rPr>
      </w:pPr>
      <w:r>
        <w:rPr>
          <w:rFonts w:hint="eastAsia"/>
          <w:sz w:val="21"/>
          <w:szCs w:val="21"/>
        </w:rPr>
        <w:t>一、中国证监会批准</w:t>
      </w:r>
      <w:bookmarkStart w:id="211" w:name="field_0_productfullname_12"/>
      <w:r>
        <w:rPr>
          <w:rFonts w:hint="eastAsia"/>
          <w:sz w:val="21"/>
          <w:szCs w:val="21"/>
        </w:rPr>
        <w:t>博时标普</w:t>
      </w:r>
      <w:r>
        <w:rPr>
          <w:sz w:val="21"/>
          <w:szCs w:val="21"/>
        </w:rPr>
        <w:t>500交易型开放式指数证券投资基金</w:t>
      </w:r>
      <w:bookmarkEnd w:id="211"/>
      <w:r>
        <w:rPr>
          <w:rFonts w:hint="eastAsia"/>
          <w:sz w:val="21"/>
          <w:szCs w:val="21"/>
        </w:rPr>
        <w:t xml:space="preserve">募集的文件 </w:t>
      </w:r>
    </w:p>
    <w:p w14:paraId="03F49361">
      <w:pPr>
        <w:pStyle w:val="8"/>
        <w:spacing w:before="0" w:beforeAutospacing="0" w:after="0" w:afterAutospacing="0" w:line="360" w:lineRule="auto"/>
        <w:ind w:firstLine="420"/>
        <w:rPr>
          <w:sz w:val="21"/>
          <w:szCs w:val="21"/>
        </w:rPr>
      </w:pPr>
      <w:r>
        <w:rPr>
          <w:rFonts w:hint="eastAsia"/>
          <w:sz w:val="21"/>
          <w:szCs w:val="21"/>
        </w:rPr>
        <w:t>二、《</w:t>
      </w:r>
      <w:bookmarkStart w:id="212" w:name="field_0_productfullname_13"/>
      <w:r>
        <w:rPr>
          <w:rFonts w:hint="eastAsia"/>
          <w:sz w:val="21"/>
          <w:szCs w:val="21"/>
        </w:rPr>
        <w:t>博时标普</w:t>
      </w:r>
      <w:r>
        <w:rPr>
          <w:sz w:val="21"/>
          <w:szCs w:val="21"/>
        </w:rPr>
        <w:t>500交易型开放式指数证券投资基金</w:t>
      </w:r>
      <w:bookmarkEnd w:id="212"/>
      <w:r>
        <w:rPr>
          <w:rFonts w:hint="eastAsia"/>
          <w:sz w:val="21"/>
          <w:szCs w:val="21"/>
        </w:rPr>
        <w:t xml:space="preserve">基金合同》 </w:t>
      </w:r>
    </w:p>
    <w:p w14:paraId="0B3FD517">
      <w:pPr>
        <w:pStyle w:val="8"/>
        <w:spacing w:before="0" w:beforeAutospacing="0" w:after="0" w:afterAutospacing="0" w:line="360" w:lineRule="auto"/>
        <w:ind w:firstLine="420"/>
        <w:rPr>
          <w:sz w:val="21"/>
          <w:szCs w:val="21"/>
        </w:rPr>
      </w:pPr>
      <w:r>
        <w:rPr>
          <w:rFonts w:hint="eastAsia"/>
          <w:sz w:val="21"/>
          <w:szCs w:val="21"/>
        </w:rPr>
        <w:t>三、《</w:t>
      </w:r>
      <w:bookmarkStart w:id="213" w:name="field_0_productfullname_14"/>
      <w:r>
        <w:rPr>
          <w:rFonts w:hint="eastAsia"/>
          <w:sz w:val="21"/>
          <w:szCs w:val="21"/>
        </w:rPr>
        <w:t>博时标普</w:t>
      </w:r>
      <w:r>
        <w:rPr>
          <w:sz w:val="21"/>
          <w:szCs w:val="21"/>
        </w:rPr>
        <w:t>500交易型开放式指数证券投资基金</w:t>
      </w:r>
      <w:bookmarkEnd w:id="213"/>
      <w:r>
        <w:rPr>
          <w:rFonts w:hint="eastAsia"/>
          <w:sz w:val="21"/>
          <w:szCs w:val="21"/>
        </w:rPr>
        <w:t xml:space="preserve">托管协议》 </w:t>
      </w:r>
    </w:p>
    <w:p w14:paraId="295EB2A4">
      <w:pPr>
        <w:pStyle w:val="8"/>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0AFA2001">
      <w:pPr>
        <w:pStyle w:val="8"/>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66458466">
      <w:pPr>
        <w:pStyle w:val="8"/>
        <w:spacing w:before="0" w:beforeAutospacing="0" w:after="0" w:afterAutospacing="0" w:line="360" w:lineRule="auto"/>
        <w:ind w:firstLine="420"/>
        <w:rPr>
          <w:sz w:val="21"/>
          <w:szCs w:val="21"/>
        </w:rPr>
      </w:pPr>
      <w:r>
        <w:rPr>
          <w:rFonts w:hint="eastAsia"/>
          <w:sz w:val="21"/>
          <w:szCs w:val="21"/>
        </w:rPr>
        <w:t>六、关于申请募集</w:t>
      </w:r>
      <w:bookmarkStart w:id="214" w:name="field_0_productfullname_15"/>
      <w:r>
        <w:rPr>
          <w:rFonts w:hint="eastAsia"/>
          <w:sz w:val="21"/>
          <w:szCs w:val="21"/>
        </w:rPr>
        <w:t>博时标普</w:t>
      </w:r>
      <w:r>
        <w:rPr>
          <w:sz w:val="21"/>
          <w:szCs w:val="21"/>
        </w:rPr>
        <w:t>500交易型开放式指数证券投资基金</w:t>
      </w:r>
      <w:bookmarkEnd w:id="214"/>
      <w:r>
        <w:rPr>
          <w:rFonts w:hint="eastAsia"/>
          <w:sz w:val="21"/>
          <w:szCs w:val="21"/>
        </w:rPr>
        <w:t xml:space="preserve">之法律意见书 </w:t>
      </w:r>
    </w:p>
    <w:p w14:paraId="71241D94">
      <w:pPr>
        <w:pStyle w:val="8"/>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409C36F1">
      <w:pPr>
        <w:pStyle w:val="8"/>
        <w:spacing w:before="0" w:beforeAutospacing="0" w:after="0" w:afterAutospacing="0" w:line="360" w:lineRule="auto"/>
        <w:ind w:firstLine="420"/>
        <w:rPr>
          <w:sz w:val="21"/>
          <w:szCs w:val="21"/>
        </w:rPr>
      </w:pPr>
      <w:bookmarkStart w:id="215" w:name="chapter_level1_30_332_section_1_end"/>
      <w:bookmarkEnd w:id="215"/>
      <w:r>
        <w:rPr>
          <w:rFonts w:hint="eastAsia"/>
          <w:sz w:val="21"/>
          <w:szCs w:val="21"/>
        </w:rPr>
        <w:t xml:space="preserve">查阅方式：投资人可在营业时间免费查阅，也可按工本费购买复印件。 </w:t>
      </w:r>
    </w:p>
    <w:p w14:paraId="18906AAE">
      <w:pPr>
        <w:pStyle w:val="8"/>
        <w:spacing w:before="0" w:beforeAutospacing="0" w:after="0" w:afterAutospacing="0" w:line="360" w:lineRule="auto"/>
        <w:ind w:firstLine="420"/>
        <w:rPr>
          <w:sz w:val="21"/>
          <w:szCs w:val="21"/>
        </w:rPr>
      </w:pPr>
      <w:bookmarkStart w:id="216" w:name="chapter_level1_30_332_section_2"/>
      <w:bookmarkEnd w:id="216"/>
    </w:p>
    <w:p w14:paraId="4ECEDBD4">
      <w:pPr>
        <w:pStyle w:val="8"/>
        <w:spacing w:before="0" w:beforeAutospacing="0" w:after="0" w:afterAutospacing="0" w:line="360" w:lineRule="auto"/>
        <w:ind w:firstLine="420"/>
        <w:rPr>
          <w:sz w:val="21"/>
          <w:szCs w:val="21"/>
        </w:rPr>
      </w:pPr>
    </w:p>
    <w:p w14:paraId="2C2311F3">
      <w:pPr>
        <w:pStyle w:val="8"/>
        <w:spacing w:before="0" w:beforeAutospacing="0" w:after="0" w:afterAutospacing="0" w:line="360" w:lineRule="auto"/>
        <w:ind w:firstLine="420"/>
        <w:rPr>
          <w:sz w:val="21"/>
          <w:szCs w:val="21"/>
        </w:rPr>
      </w:pPr>
    </w:p>
    <w:p w14:paraId="63FBFB5D">
      <w:pPr>
        <w:pStyle w:val="8"/>
        <w:spacing w:before="0" w:beforeAutospacing="0" w:after="0" w:afterAutospacing="0" w:line="360" w:lineRule="auto"/>
        <w:ind w:firstLine="420"/>
        <w:rPr>
          <w:sz w:val="21"/>
          <w:szCs w:val="21"/>
        </w:rPr>
      </w:pPr>
    </w:p>
    <w:p w14:paraId="67FB52C9">
      <w:pPr>
        <w:pStyle w:val="8"/>
        <w:spacing w:before="0" w:beforeAutospacing="0" w:after="0" w:afterAutospacing="0" w:line="360" w:lineRule="auto"/>
        <w:ind w:firstLine="420"/>
        <w:jc w:val="right"/>
        <w:rPr>
          <w:sz w:val="21"/>
          <w:szCs w:val="21"/>
        </w:rPr>
      </w:pPr>
      <w:bookmarkStart w:id="217" w:name="field_0_managerorgfullname_2"/>
      <w:r>
        <w:rPr>
          <w:rFonts w:hint="eastAsia"/>
          <w:sz w:val="21"/>
          <w:szCs w:val="21"/>
        </w:rPr>
        <w:t>博时基金管理有限公司</w:t>
      </w:r>
      <w:bookmarkEnd w:id="217"/>
      <w:r>
        <w:rPr>
          <w:rFonts w:hint="eastAsia"/>
          <w:sz w:val="21"/>
          <w:szCs w:val="21"/>
        </w:rPr>
        <w:t xml:space="preserve">  </w:t>
      </w:r>
    </w:p>
    <w:p w14:paraId="09FC2D49">
      <w:pPr>
        <w:pStyle w:val="8"/>
        <w:spacing w:before="0" w:beforeAutospacing="0" w:after="0" w:afterAutospacing="0" w:line="360" w:lineRule="auto"/>
        <w:ind w:firstLine="420"/>
        <w:jc w:val="right"/>
        <w:rPr>
          <w:sz w:val="21"/>
          <w:szCs w:val="21"/>
        </w:rPr>
      </w:pPr>
      <w:bookmarkStart w:id="218" w:name="chapter_level1_30_332_section_2_end"/>
      <w:bookmarkEnd w:id="218"/>
      <w:bookmarkStart w:id="219" w:name="field_0_commitmenttime_1"/>
      <w:r>
        <w:rPr>
          <w:sz w:val="21"/>
          <w:szCs w:val="21"/>
        </w:rPr>
        <w:t>2025年</w:t>
      </w:r>
      <w:r>
        <w:rPr>
          <w:rFonts w:hint="eastAsia"/>
          <w:sz w:val="21"/>
          <w:szCs w:val="21"/>
          <w:lang w:val="en-US" w:eastAsia="zh-CN"/>
        </w:rPr>
        <w:t>11</w:t>
      </w:r>
      <w:r>
        <w:rPr>
          <w:sz w:val="21"/>
          <w:szCs w:val="21"/>
        </w:rPr>
        <w:t>月</w:t>
      </w:r>
      <w:r>
        <w:rPr>
          <w:rFonts w:hint="eastAsia"/>
          <w:sz w:val="21"/>
          <w:szCs w:val="21"/>
          <w:lang w:val="en-US" w:eastAsia="zh-CN"/>
        </w:rPr>
        <w:t>17</w:t>
      </w:r>
      <w:r>
        <w:rPr>
          <w:sz w:val="21"/>
          <w:szCs w:val="21"/>
        </w:rPr>
        <w:t>日</w:t>
      </w:r>
      <w:bookmarkEnd w:id="219"/>
      <w:r>
        <w:rPr>
          <w:rFonts w:hint="eastAsia"/>
          <w:sz w:val="21"/>
          <w:szCs w:val="21"/>
        </w:rPr>
        <w:t xml:space="preserve">  </w:t>
      </w:r>
    </w:p>
    <w:p w14:paraId="3AB78A55">
      <w:pPr>
        <w:rPr>
          <w:rFonts w:ascii="宋体" w:hAnsi="宋体" w:eastAsia="宋体"/>
        </w:rPr>
      </w:pPr>
      <w:bookmarkStart w:id="220" w:name="end"/>
      <w:bookmarkEnd w:id="220"/>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18AC5">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17</w:t>
    </w:r>
    <w:r>
      <w:fldChar w:fldCharType="end"/>
    </w:r>
    <w:r>
      <w:rPr>
        <w:rFonts w:hint="eastAsia"/>
      </w:rPr>
      <w:t>页 共</w:t>
    </w:r>
    <w:r>
      <w:fldChar w:fldCharType="begin"/>
    </w:r>
    <w:r>
      <w:instrText xml:space="preserve"> NumPages \* MERGEFORMAT </w:instrText>
    </w:r>
    <w:r>
      <w:fldChar w:fldCharType="separate"/>
    </w:r>
    <w:r>
      <w:t>144</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DBAFA">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6E9537F5">
    <w:pPr>
      <w:pStyle w:val="6"/>
      <w:jc w:val="right"/>
    </w:pPr>
    <w:r>
      <w:rPr>
        <w:rFonts w:hint="eastAsia"/>
      </w:rPr>
      <w:t>博时标普500交易型开放式指数证券投资基金更新招募说明书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A90"/>
    <w:rsid w:val="000C46F8"/>
    <w:rsid w:val="001849AA"/>
    <w:rsid w:val="001E3D19"/>
    <w:rsid w:val="004E456B"/>
    <w:rsid w:val="00547400"/>
    <w:rsid w:val="00791B04"/>
    <w:rsid w:val="008A0D26"/>
    <w:rsid w:val="00A14374"/>
    <w:rsid w:val="00D03A90"/>
    <w:rsid w:val="00D864D4"/>
    <w:rsid w:val="00DC717A"/>
    <w:rsid w:val="03DC7D91"/>
    <w:rsid w:val="293E59D5"/>
    <w:rsid w:val="465B1C51"/>
    <w:rsid w:val="56887BBE"/>
    <w:rsid w:val="5A71252A"/>
    <w:rsid w:val="607859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autoRedefine/>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u w:val="single"/>
    </w:rPr>
  </w:style>
  <w:style w:type="character" w:customStyle="1" w:styleId="14">
    <w:name w:val="标题 2 字符"/>
    <w:basedOn w:val="11"/>
    <w:link w:val="2"/>
    <w:qFormat/>
    <w:uiPriority w:val="9"/>
    <w:rPr>
      <w:rFonts w:asciiTheme="majorHAnsi" w:hAnsiTheme="majorHAnsi" w:eastAsiaTheme="majorEastAsia" w:cstheme="majorBidi"/>
      <w:b/>
      <w:bCs/>
      <w:sz w:val="32"/>
      <w:szCs w:val="32"/>
    </w:rPr>
  </w:style>
  <w:style w:type="character" w:customStyle="1" w:styleId="15">
    <w:name w:val="页眉 字符"/>
    <w:basedOn w:val="11"/>
    <w:link w:val="6"/>
    <w:qFormat/>
    <w:uiPriority w:val="99"/>
    <w:rPr>
      <w:sz w:val="18"/>
      <w:szCs w:val="18"/>
    </w:rPr>
  </w:style>
  <w:style w:type="character" w:customStyle="1" w:styleId="16">
    <w:name w:val="页脚 字符"/>
    <w:basedOn w:val="11"/>
    <w:link w:val="5"/>
    <w:qFormat/>
    <w:uiPriority w:val="99"/>
    <w:rPr>
      <w:sz w:val="18"/>
      <w:szCs w:val="18"/>
    </w:rPr>
  </w:style>
  <w:style w:type="character" w:customStyle="1" w:styleId="17">
    <w:name w:val="批注框文本 字符"/>
    <w:basedOn w:val="11"/>
    <w:link w:val="4"/>
    <w:semiHidden/>
    <w:qFormat/>
    <w:uiPriority w:val="99"/>
    <w:rPr>
      <w:sz w:val="18"/>
      <w:szCs w:val="18"/>
    </w:rPr>
  </w:style>
  <w:style w:type="table" w:customStyle="1" w:styleId="18">
    <w:name w:val="网格型1"/>
    <w:basedOn w:val="9"/>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144</Pages>
  <Words>16431</Words>
  <Characters>93659</Characters>
  <Lines>780</Lines>
  <Paragraphs>219</Paragraphs>
  <TotalTime>1</TotalTime>
  <ScaleCrop>false</ScaleCrop>
  <LinksUpToDate>false</LinksUpToDate>
  <CharactersWithSpaces>109871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2025-09-22T05:56:00Z</dcterms:created>
  <dc:creator>BSKMadminDev</dc:creator>
  <cp:lastModifiedBy>fuxiao</cp:lastModifiedBy>
  <dcterms:modified xsi:type="dcterms:W3CDTF">2025-11-14T02:03:42Z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A08BC9178A6C4B8EA72ADB062C05C16B_12</vt:lpwstr>
  </property>
</Properties>
</file>