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B142C4">
      <w:pPr>
        <w:spacing w:line="360" w:lineRule="auto"/>
        <w:jc w:val="center"/>
        <w:rPr>
          <w:rFonts w:hint="eastAsia" w:ascii="宋体" w:hAnsi="宋体" w:eastAsia="宋体" w:cs="宋体"/>
          <w:b/>
          <w:color w:val="auto"/>
          <w:szCs w:val="21"/>
          <w:highlight w:val="none"/>
        </w:rPr>
      </w:pPr>
      <w:bookmarkStart w:id="0" w:name="_Toc361324840"/>
    </w:p>
    <w:p w14:paraId="793155C1">
      <w:pPr>
        <w:spacing w:line="360" w:lineRule="auto"/>
        <w:jc w:val="center"/>
        <w:rPr>
          <w:rFonts w:hint="eastAsia" w:ascii="宋体" w:hAnsi="宋体" w:eastAsia="宋体" w:cs="宋体"/>
          <w:b/>
          <w:color w:val="auto"/>
          <w:szCs w:val="21"/>
          <w:highlight w:val="none"/>
        </w:rPr>
      </w:pPr>
    </w:p>
    <w:bookmarkEnd w:id="0"/>
    <w:p w14:paraId="6FD39D58">
      <w:pPr>
        <w:spacing w:line="360" w:lineRule="auto"/>
        <w:jc w:val="center"/>
        <w:rPr>
          <w:rFonts w:hint="eastAsia" w:ascii="宋体" w:hAnsi="宋体" w:eastAsia="宋体" w:cs="宋体"/>
          <w:b/>
          <w:color w:val="auto"/>
          <w:sz w:val="52"/>
          <w:szCs w:val="52"/>
          <w:highlight w:val="none"/>
        </w:rPr>
      </w:pPr>
      <w:bookmarkStart w:id="1" w:name="_Toc361324841"/>
      <w:r>
        <w:rPr>
          <w:rFonts w:hint="eastAsia" w:ascii="宋体" w:hAnsi="宋体" w:eastAsia="宋体" w:cs="宋体"/>
          <w:b/>
          <w:bCs w:val="0"/>
          <w:color w:val="auto"/>
          <w:sz w:val="52"/>
          <w:szCs w:val="52"/>
          <w:highlight w:val="none"/>
        </w:rPr>
        <w:t>博时富恒纯债一年定期开放债券型发起式证券投资基金</w:t>
      </w:r>
      <w:bookmarkEnd w:id="1"/>
      <w:r>
        <w:rPr>
          <w:rFonts w:hint="eastAsia" w:ascii="宋体" w:hAnsi="宋体" w:eastAsia="宋体" w:cs="宋体"/>
          <w:b/>
          <w:color w:val="auto"/>
          <w:sz w:val="52"/>
          <w:u w:val="none"/>
        </w:rPr>
        <w:t>清算报告</w:t>
      </w:r>
    </w:p>
    <w:p w14:paraId="334D5BD1">
      <w:pPr>
        <w:rPr>
          <w:rFonts w:hint="eastAsia" w:ascii="宋体" w:hAnsi="宋体" w:eastAsia="宋体" w:cs="宋体"/>
          <w:color w:val="auto"/>
          <w:szCs w:val="21"/>
          <w:highlight w:val="none"/>
        </w:rPr>
      </w:pPr>
    </w:p>
    <w:p w14:paraId="5CA4E781">
      <w:pPr>
        <w:rPr>
          <w:rFonts w:hint="eastAsia" w:ascii="宋体" w:hAnsi="宋体" w:eastAsia="宋体" w:cs="宋体"/>
          <w:color w:val="auto"/>
          <w:szCs w:val="21"/>
          <w:highlight w:val="none"/>
        </w:rPr>
      </w:pPr>
    </w:p>
    <w:p w14:paraId="734EA324">
      <w:pPr>
        <w:rPr>
          <w:rFonts w:hint="eastAsia" w:ascii="宋体" w:hAnsi="宋体" w:eastAsia="宋体" w:cs="宋体"/>
          <w:color w:val="auto"/>
          <w:szCs w:val="21"/>
          <w:highlight w:val="none"/>
        </w:rPr>
      </w:pPr>
    </w:p>
    <w:p w14:paraId="25910D54">
      <w:pPr>
        <w:rPr>
          <w:rFonts w:hint="eastAsia" w:ascii="宋体" w:hAnsi="宋体" w:eastAsia="宋体" w:cs="宋体"/>
          <w:color w:val="auto"/>
          <w:szCs w:val="21"/>
          <w:highlight w:val="none"/>
        </w:rPr>
      </w:pPr>
    </w:p>
    <w:p w14:paraId="4EF40D0F">
      <w:pPr>
        <w:rPr>
          <w:rFonts w:hint="eastAsia" w:ascii="宋体" w:hAnsi="宋体" w:eastAsia="宋体" w:cs="宋体"/>
          <w:color w:val="auto"/>
          <w:szCs w:val="21"/>
          <w:highlight w:val="none"/>
        </w:rPr>
      </w:pPr>
    </w:p>
    <w:p w14:paraId="1133A7FB">
      <w:pPr>
        <w:rPr>
          <w:rFonts w:hint="eastAsia" w:ascii="宋体" w:hAnsi="宋体" w:eastAsia="宋体" w:cs="宋体"/>
          <w:color w:val="auto"/>
          <w:szCs w:val="21"/>
          <w:highlight w:val="none"/>
        </w:rPr>
      </w:pPr>
    </w:p>
    <w:p w14:paraId="18946770">
      <w:pPr>
        <w:rPr>
          <w:rFonts w:hint="eastAsia" w:ascii="宋体" w:hAnsi="宋体" w:eastAsia="宋体" w:cs="宋体"/>
          <w:color w:val="auto"/>
          <w:szCs w:val="21"/>
          <w:highlight w:val="none"/>
        </w:rPr>
      </w:pPr>
    </w:p>
    <w:p w14:paraId="3FDE9A24">
      <w:pPr>
        <w:rPr>
          <w:rFonts w:hint="eastAsia" w:ascii="宋体" w:hAnsi="宋体" w:eastAsia="宋体" w:cs="宋体"/>
          <w:color w:val="auto"/>
          <w:szCs w:val="21"/>
          <w:highlight w:val="none"/>
        </w:rPr>
      </w:pPr>
    </w:p>
    <w:p w14:paraId="61760089">
      <w:pPr>
        <w:rPr>
          <w:rFonts w:hint="eastAsia" w:ascii="宋体" w:hAnsi="宋体" w:eastAsia="宋体" w:cs="宋体"/>
          <w:color w:val="auto"/>
          <w:szCs w:val="21"/>
          <w:highlight w:val="none"/>
        </w:rPr>
      </w:pPr>
    </w:p>
    <w:p w14:paraId="04C1BC52">
      <w:pPr>
        <w:rPr>
          <w:rFonts w:hint="eastAsia" w:ascii="宋体" w:hAnsi="宋体" w:eastAsia="宋体" w:cs="宋体"/>
          <w:color w:val="auto"/>
          <w:szCs w:val="21"/>
          <w:highlight w:val="none"/>
        </w:rPr>
      </w:pPr>
    </w:p>
    <w:p w14:paraId="3B8744AC">
      <w:pPr>
        <w:rPr>
          <w:rFonts w:hint="eastAsia" w:ascii="宋体" w:hAnsi="宋体" w:eastAsia="宋体" w:cs="宋体"/>
          <w:color w:val="auto"/>
          <w:szCs w:val="21"/>
          <w:highlight w:val="none"/>
        </w:rPr>
      </w:pPr>
    </w:p>
    <w:p w14:paraId="3173AE66">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基金管理人：博时基金管理有限公司</w:t>
      </w:r>
    </w:p>
    <w:p w14:paraId="68A7ADD8">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基金托管人：</w:t>
      </w:r>
      <w:r>
        <w:rPr>
          <w:rFonts w:hint="eastAsia" w:ascii="宋体" w:hAnsi="宋体" w:eastAsia="宋体" w:cs="宋体"/>
          <w:b/>
          <w:color w:val="auto"/>
          <w:sz w:val="36"/>
          <w:szCs w:val="36"/>
          <w:highlight w:val="none"/>
          <w:lang w:val="en-US" w:eastAsia="zh-CN"/>
        </w:rPr>
        <w:t>兴业银行股份有限公司</w:t>
      </w:r>
    </w:p>
    <w:p w14:paraId="3DCC480D">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报告出具日期：</w:t>
      </w:r>
      <w:r>
        <w:rPr>
          <w:rFonts w:hint="eastAsia" w:ascii="宋体" w:hAnsi="宋体" w:eastAsia="宋体" w:cs="宋体"/>
          <w:b/>
          <w:color w:val="auto"/>
          <w:sz w:val="36"/>
          <w:szCs w:val="36"/>
          <w:highlight w:val="none"/>
          <w:lang w:val="en-US" w:eastAsia="zh-CN"/>
        </w:rPr>
        <w:t>二〇二六年六月三十日</w:t>
      </w:r>
    </w:p>
    <w:p w14:paraId="1C4BD7B5">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报告公告日期：</w:t>
      </w:r>
      <w:r>
        <w:rPr>
          <w:rFonts w:hint="eastAsia" w:ascii="宋体" w:hAnsi="宋体" w:eastAsia="宋体" w:cs="宋体"/>
          <w:b/>
          <w:color w:val="auto"/>
          <w:sz w:val="36"/>
          <w:szCs w:val="36"/>
          <w:highlight w:val="none"/>
          <w:lang w:val="en-US" w:eastAsia="zh-CN"/>
        </w:rPr>
        <w:t>二〇二六年</w:t>
      </w:r>
      <w:r>
        <w:rPr>
          <w:rFonts w:hint="eastAsia" w:ascii="宋体" w:hAnsi="宋体" w:cs="宋体"/>
          <w:b/>
          <w:color w:val="auto"/>
          <w:sz w:val="36"/>
          <w:szCs w:val="36"/>
          <w:highlight w:val="none"/>
          <w:lang w:val="en-US" w:eastAsia="zh-CN"/>
        </w:rPr>
        <w:t>七</w:t>
      </w:r>
      <w:r>
        <w:rPr>
          <w:rFonts w:hint="eastAsia" w:ascii="宋体" w:hAnsi="宋体" w:eastAsia="宋体" w:cs="宋体"/>
          <w:b/>
          <w:color w:val="auto"/>
          <w:sz w:val="36"/>
          <w:szCs w:val="36"/>
          <w:highlight w:val="none"/>
          <w:lang w:val="en-US" w:eastAsia="zh-CN"/>
        </w:rPr>
        <w:t>月</w:t>
      </w:r>
      <w:r>
        <w:rPr>
          <w:rFonts w:hint="eastAsia" w:ascii="宋体" w:hAnsi="宋体" w:cs="宋体"/>
          <w:b/>
          <w:color w:val="auto"/>
          <w:sz w:val="36"/>
          <w:szCs w:val="36"/>
          <w:highlight w:val="none"/>
          <w:lang w:val="en-US" w:eastAsia="zh-CN"/>
        </w:rPr>
        <w:t>十六</w:t>
      </w:r>
      <w:r>
        <w:rPr>
          <w:rFonts w:hint="eastAsia" w:ascii="宋体" w:hAnsi="宋体" w:eastAsia="宋体" w:cs="宋体"/>
          <w:b/>
          <w:color w:val="auto"/>
          <w:sz w:val="36"/>
          <w:szCs w:val="36"/>
          <w:highlight w:val="none"/>
          <w:lang w:val="en-US" w:eastAsia="zh-CN"/>
        </w:rPr>
        <w:t>日</w:t>
      </w:r>
    </w:p>
    <w:p w14:paraId="3DBD29A5">
      <w:pPr>
        <w:spacing w:line="360" w:lineRule="auto"/>
        <w:jc w:val="center"/>
        <w:rPr>
          <w:rFonts w:hint="eastAsia" w:ascii="宋体" w:hAnsi="宋体" w:eastAsia="宋体" w:cs="宋体"/>
          <w:b/>
          <w:color w:val="auto"/>
          <w:sz w:val="36"/>
          <w:szCs w:val="36"/>
          <w:highlight w:val="none"/>
        </w:rPr>
      </w:pPr>
    </w:p>
    <w:p w14:paraId="005D74B9">
      <w:pPr>
        <w:spacing w:line="360" w:lineRule="auto"/>
        <w:ind w:firstLine="1265" w:firstLineChars="350"/>
        <w:rPr>
          <w:rFonts w:hint="eastAsia" w:ascii="宋体" w:hAnsi="宋体" w:eastAsia="宋体" w:cs="宋体"/>
          <w:b/>
          <w:color w:val="auto"/>
          <w:sz w:val="36"/>
          <w:szCs w:val="36"/>
          <w:highlight w:val="none"/>
        </w:rPr>
        <w:sectPr>
          <w:headerReference r:id="rId3" w:type="default"/>
          <w:footerReference r:id="rId4" w:type="default"/>
          <w:pgSz w:w="11926" w:h="15840"/>
          <w:pgMar w:top="1418" w:right="1418" w:bottom="851" w:left="1418" w:header="851" w:footer="992" w:gutter="0"/>
          <w:pgNumType w:start="1"/>
          <w:cols w:space="720" w:num="1"/>
          <w:titlePg/>
          <w:docGrid w:linePitch="286" w:charSpace="0"/>
        </w:sectPr>
      </w:pPr>
    </w:p>
    <w:p w14:paraId="3B6C127B">
      <w:pPr>
        <w:pStyle w:val="32"/>
        <w:jc w:val="center"/>
        <w:rPr>
          <w:rFonts w:hint="eastAsia" w:ascii="宋体" w:hAnsi="宋体" w:eastAsia="宋体" w:cs="宋体"/>
          <w:color w:val="auto"/>
          <w:highlight w:val="none"/>
        </w:rPr>
      </w:pPr>
      <w:bookmarkStart w:id="2" w:name="_Toc484769794"/>
      <w:r>
        <w:rPr>
          <w:rFonts w:hint="eastAsia" w:ascii="宋体" w:hAnsi="宋体" w:eastAsia="宋体" w:cs="宋体"/>
          <w:color w:val="auto"/>
          <w:highlight w:val="none"/>
          <w:lang w:val="zh-CN"/>
        </w:rPr>
        <w:t>目录</w:t>
      </w:r>
    </w:p>
    <w:p w14:paraId="261B767C">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"_Toc491963077"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1、重要提示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_Toc491963077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DD3AEC3">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"_Toc491963078"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1.1 重要提示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_Toc491963078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5E7AA6D">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"_Toc491963079"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2、基金概况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_Toc491963079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66BAA43F">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"_Toc491963080"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2.1 基金基本情况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FC39D6E">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"_Toc491963081"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highlight w:val="none"/>
        </w:rPr>
        <w:t>2.2 基金产品说明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22E5199">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"_Toc491963082"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3、基金运作情况说明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E3D1DAB">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"_Toc491963083"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4、财务报告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B45C127">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"_Toc491963084"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4.1 资产负债表</w:t>
      </w:r>
      <w:r>
        <w:rPr>
          <w:rStyle w:val="15"/>
          <w:rFonts w:hint="eastAsia" w:ascii="宋体" w:hAnsi="宋体" w:eastAsia="宋体" w:cs="宋体"/>
          <w:color w:val="auto"/>
          <w:kern w:val="0"/>
          <w:highlight w:val="none"/>
          <w:lang w:eastAsia="zh-CN"/>
        </w:rPr>
        <w:t>（已经审计）</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1086DF4">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"_Toc491963085"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4.2 清算损益表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D8E6605">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"_Toc491963086"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4.3 报表附注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B4B09B5">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"_Toc491963087"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5、清算情况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40D85F1E">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"_Toc491963088"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5.1 资产负债清算情况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F647BDF">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"_Toc491963089"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5.2 截至本次清算期结束日的剩余财产情况及剩余财产分配安排</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7E11589">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"_Toc491963090"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6、备查文件目录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_Toc491963090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C637187">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"_Toc491963091"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6.1 备查文件目录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_Toc491963091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6F729878">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"_Toc491963092"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6.2 存放地点</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_Toc491963092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428A1F4">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"_Toc491963093"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6.3 查阅方式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_Toc491963093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9FB394C">
      <w:pPr>
        <w:rPr>
          <w:rFonts w:hint="eastAsia" w:ascii="宋体" w:hAnsi="宋体" w:eastAsia="宋体" w:cs="宋体"/>
          <w:color w:val="auto"/>
          <w:highlight w:val="none"/>
        </w:rPr>
      </w:pPr>
      <w:r>
        <w:rPr>
          <w:rFonts w:hint="eastAsia" w:ascii="宋体" w:hAnsi="宋体" w:eastAsia="宋体" w:cs="宋体"/>
          <w:b/>
          <w:bCs/>
          <w:color w:val="auto"/>
          <w:highlight w:val="none"/>
          <w:lang w:val="zh-CN"/>
        </w:rPr>
        <w:fldChar w:fldCharType="end"/>
      </w:r>
    </w:p>
    <w:p w14:paraId="1AF1579A">
      <w:pPr>
        <w:widowControl/>
        <w:jc w:val="left"/>
        <w:rPr>
          <w:rStyle w:val="25"/>
          <w:rFonts w:hint="eastAsia" w:ascii="宋体" w:hAnsi="宋体" w:eastAsia="宋体" w:cs="宋体"/>
          <w:color w:val="auto"/>
          <w:highlight w:val="none"/>
        </w:rPr>
        <w:sectPr>
          <w:headerReference r:id="rId5" w:type="default"/>
          <w:pgSz w:w="11906" w:h="16838"/>
          <w:pgMar w:top="1440" w:right="1800" w:bottom="1440" w:left="1800" w:header="851" w:footer="992" w:gutter="0"/>
          <w:pgNumType w:start="1"/>
          <w:cols w:space="720" w:num="1"/>
          <w:docGrid w:type="lines" w:linePitch="312" w:charSpace="0"/>
        </w:sectPr>
      </w:pPr>
      <w:bookmarkStart w:id="3" w:name="_Toc491963077"/>
    </w:p>
    <w:p w14:paraId="3E0784DD">
      <w:pPr>
        <w:pStyle w:val="2"/>
        <w:keepNext/>
        <w:keepLines/>
        <w:widowControl w:val="0"/>
        <w:spacing w:before="312" w:beforeLines="100" w:after="312" w:afterLines="100" w:line="360" w:lineRule="auto"/>
        <w:jc w:val="center"/>
        <w:rPr>
          <w:rStyle w:val="25"/>
          <w:rFonts w:hint="eastAsia" w:ascii="宋体" w:hAnsi="宋体" w:eastAsia="宋体" w:cs="宋体"/>
          <w:color w:val="auto"/>
          <w:highlight w:val="none"/>
        </w:rPr>
      </w:pPr>
      <w:r>
        <w:rPr>
          <w:rStyle w:val="25"/>
          <w:rFonts w:hint="eastAsia" w:ascii="宋体" w:hAnsi="宋体" w:eastAsia="宋体" w:cs="宋体"/>
          <w:color w:val="auto"/>
          <w:highlight w:val="none"/>
        </w:rPr>
        <w:t>1、重要提示</w:t>
      </w:r>
      <w:bookmarkEnd w:id="2"/>
      <w:bookmarkEnd w:id="3"/>
    </w:p>
    <w:p w14:paraId="6BD67911">
      <w:pPr>
        <w:pStyle w:val="3"/>
        <w:spacing w:before="0" w:after="0"/>
        <w:rPr>
          <w:rFonts w:hint="eastAsia" w:ascii="宋体" w:hAnsi="宋体" w:eastAsia="宋体" w:cs="宋体"/>
          <w:color w:val="auto"/>
          <w:kern w:val="0"/>
          <w:sz w:val="21"/>
          <w:szCs w:val="21"/>
          <w:highlight w:val="none"/>
        </w:rPr>
      </w:pPr>
      <w:bookmarkStart w:id="4" w:name="_Toc483396827"/>
      <w:bookmarkStart w:id="5" w:name="_Toc484769795"/>
      <w:bookmarkStart w:id="6" w:name="_Toc491963078"/>
      <w:bookmarkStart w:id="7" w:name="_Toc484607300"/>
      <w:r>
        <w:rPr>
          <w:rFonts w:hint="eastAsia" w:ascii="宋体" w:hAnsi="宋体" w:eastAsia="宋体" w:cs="宋体"/>
          <w:color w:val="auto"/>
          <w:kern w:val="0"/>
          <w:sz w:val="21"/>
          <w:szCs w:val="21"/>
          <w:highlight w:val="none"/>
        </w:rPr>
        <w:t>1.1 重要提示</w:t>
      </w:r>
      <w:bookmarkEnd w:id="4"/>
      <w:bookmarkEnd w:id="5"/>
      <w:bookmarkEnd w:id="6"/>
      <w:bookmarkEnd w:id="7"/>
    </w:p>
    <w:p w14:paraId="2FEE535C">
      <w:pPr>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博时富恒纯债一年定期开放债券型发起式证券投资基金</w:t>
      </w:r>
      <w:r>
        <w:rPr>
          <w:rFonts w:hint="eastAsia" w:ascii="宋体" w:hAnsi="宋体" w:eastAsia="宋体" w:cs="宋体"/>
          <w:color w:val="auto"/>
          <w:sz w:val="21"/>
          <w:szCs w:val="21"/>
          <w:u w:val="none"/>
        </w:rPr>
        <w:t>(以下简称“本基金”)经中国证券监督管理委员会(以下简称“中国证监会”)证监许可[2021]2004号《关于准予博时富恒纯债一年定期开放债券型发起式证券投资基金注册的批复》注册，由博时基金管理有限公司依照《中华人民共和国证券投资基金法》和《博时富恒纯债一年定期开放债券型发起式证券投资基金基金合同》(以下简称“基金合同”或“《基金合同》”)负责公开募集。经向中国证监会备案，《基金合同》于2021年11月25日正式生效</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sz w:val="21"/>
          <w:szCs w:val="21"/>
        </w:rPr>
        <w:t>基金管理人为</w:t>
      </w:r>
      <w:r>
        <w:rPr>
          <w:rFonts w:hint="eastAsia" w:ascii="宋体" w:hAnsi="宋体" w:eastAsia="宋体" w:cs="宋体"/>
          <w:sz w:val="21"/>
          <w:szCs w:val="21"/>
          <w:lang w:val="en-US" w:eastAsia="zh-CN"/>
        </w:rPr>
        <w:t>博时基金管理有限公司</w:t>
      </w:r>
      <w:r>
        <w:rPr>
          <w:rFonts w:hint="eastAsia" w:ascii="宋体" w:hAnsi="宋体" w:eastAsia="宋体" w:cs="宋体"/>
          <w:sz w:val="21"/>
          <w:szCs w:val="21"/>
        </w:rPr>
        <w:t>，基金托管人为</w:t>
      </w:r>
      <w:r>
        <w:rPr>
          <w:rFonts w:hint="eastAsia" w:ascii="宋体" w:hAnsi="宋体" w:eastAsia="宋体" w:cs="宋体"/>
          <w:sz w:val="21"/>
          <w:szCs w:val="21"/>
          <w:lang w:val="en-US" w:eastAsia="zh-CN"/>
        </w:rPr>
        <w:t>兴业银行股份有限公司</w:t>
      </w:r>
      <w:r>
        <w:rPr>
          <w:rFonts w:hint="eastAsia" w:ascii="宋体" w:hAnsi="宋体" w:eastAsia="宋体" w:cs="宋体"/>
          <w:sz w:val="21"/>
          <w:szCs w:val="21"/>
        </w:rPr>
        <w:t>。</w:t>
      </w:r>
    </w:p>
    <w:p w14:paraId="6A9ABB24">
      <w:pPr>
        <w:spacing w:line="4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根据《博时基金管理有限公司关于博时富恒纯债一年定期开放债券型发起式证券投资基金基金份额持有人大会表决结果暨决议生效的公告》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本基金以通讯方式召开了基金份额持有人大会，会议审议并通过了《关于终止博时富恒纯债一年定期开放债券型发起式证券投资基金基金合同有关事项的议案》。根据该议案，本基金的最后运作日为2026年6月15日，自赎回选择期届满的下一日即2026年6月16日起，本基金即进入清算程序，基金管理人不再接收投资人提出的申购、赎回、基金转换等业务申请。本基金进入清算程序后，停止收取基金管理费、基金托管费。</w:t>
      </w:r>
    </w:p>
    <w:p w14:paraId="5332590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本基金的最后运作日为</w:t>
      </w:r>
      <w:r>
        <w:rPr>
          <w:rFonts w:hint="eastAsia" w:ascii="宋体" w:hAnsi="宋体" w:eastAsia="宋体" w:cs="宋体"/>
          <w:color w:val="auto"/>
          <w:sz w:val="21"/>
          <w:szCs w:val="21"/>
          <w:u w:val="none"/>
        </w:rPr>
        <w:t>2026年6月15日，自</w:t>
      </w:r>
      <w:r>
        <w:rPr>
          <w:rFonts w:hint="eastAsia" w:ascii="宋体" w:hAnsi="宋体" w:eastAsia="宋体" w:cs="宋体"/>
          <w:color w:val="auto"/>
          <w:sz w:val="21"/>
          <w:szCs w:val="21"/>
          <w:highlight w:val="none"/>
          <w:lang w:val="en-US" w:eastAsia="zh-CN"/>
        </w:rPr>
        <w:t>2026年6月16日</w:t>
      </w:r>
      <w:r>
        <w:rPr>
          <w:rFonts w:hint="eastAsia" w:ascii="宋体" w:hAnsi="宋体" w:eastAsia="宋体" w:cs="宋体"/>
          <w:color w:val="auto"/>
          <w:sz w:val="21"/>
          <w:szCs w:val="21"/>
          <w:highlight w:val="none"/>
        </w:rPr>
        <w:t>起，本基金进入清算程序，由本基金管理人博时基金管理有限公司、基金托管人</w:t>
      </w:r>
      <w:r>
        <w:rPr>
          <w:rFonts w:hint="eastAsia" w:ascii="宋体" w:hAnsi="宋体" w:eastAsia="宋体" w:cs="宋体"/>
          <w:color w:val="auto"/>
          <w:sz w:val="21"/>
          <w:szCs w:val="21"/>
          <w:u w:val="none"/>
        </w:rPr>
        <w:t>兴业银行股份有限公司、</w:t>
      </w:r>
      <w:r>
        <w:rPr>
          <w:rFonts w:hint="eastAsia" w:ascii="宋体" w:hAnsi="宋体" w:eastAsia="宋体" w:cs="宋体"/>
          <w:color w:val="auto"/>
          <w:sz w:val="21"/>
          <w:szCs w:val="21"/>
          <w:highlight w:val="none"/>
          <w:lang w:val="en-US" w:eastAsia="zh-CN"/>
        </w:rPr>
        <w:t>安永华明会计师事务所（特殊普通合伙）</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val="en-US" w:eastAsia="zh-CN"/>
        </w:rPr>
        <w:t>上海源泰律师事务所</w:t>
      </w:r>
      <w:r>
        <w:rPr>
          <w:rFonts w:hint="eastAsia" w:ascii="宋体" w:hAnsi="宋体" w:eastAsia="宋体" w:cs="宋体"/>
          <w:color w:val="auto"/>
          <w:sz w:val="21"/>
          <w:szCs w:val="21"/>
          <w:highlight w:val="none"/>
        </w:rPr>
        <w:t>组成基金财产清算小组履行基金财产清算程序，并由</w:t>
      </w:r>
      <w:r>
        <w:rPr>
          <w:rFonts w:hint="eastAsia" w:ascii="宋体" w:hAnsi="宋体" w:eastAsia="宋体" w:cs="宋体"/>
          <w:color w:val="auto"/>
          <w:sz w:val="21"/>
          <w:szCs w:val="21"/>
          <w:highlight w:val="none"/>
          <w:lang w:val="en-US" w:eastAsia="zh-CN"/>
        </w:rPr>
        <w:t>安永华明会计师事务所（特殊普通合伙）</w:t>
      </w:r>
      <w:r>
        <w:rPr>
          <w:rFonts w:hint="eastAsia" w:ascii="宋体" w:hAnsi="宋体" w:eastAsia="宋体" w:cs="宋体"/>
          <w:color w:val="auto"/>
          <w:sz w:val="21"/>
          <w:szCs w:val="21"/>
          <w:highlight w:val="none"/>
        </w:rPr>
        <w:t>对本基金进行清算审计，</w:t>
      </w:r>
      <w:r>
        <w:rPr>
          <w:rFonts w:hint="eastAsia" w:ascii="宋体" w:hAnsi="宋体" w:eastAsia="宋体" w:cs="宋体"/>
          <w:color w:val="auto"/>
          <w:sz w:val="21"/>
          <w:szCs w:val="21"/>
          <w:highlight w:val="none"/>
          <w:lang w:val="en-US" w:eastAsia="zh-CN"/>
        </w:rPr>
        <w:t>上海源泰律师事务所</w:t>
      </w:r>
      <w:r>
        <w:rPr>
          <w:rFonts w:hint="eastAsia" w:ascii="宋体" w:hAnsi="宋体" w:eastAsia="宋体" w:cs="宋体"/>
          <w:color w:val="auto"/>
          <w:sz w:val="21"/>
          <w:szCs w:val="21"/>
          <w:highlight w:val="none"/>
        </w:rPr>
        <w:t>对清算报告出具法律意见。</w:t>
      </w:r>
    </w:p>
    <w:p w14:paraId="1B1E86F0">
      <w:pPr>
        <w:pStyle w:val="2"/>
        <w:keepNext/>
        <w:keepLines/>
        <w:widowControl w:val="0"/>
        <w:spacing w:before="312" w:beforeLines="100" w:after="312" w:afterLines="100" w:line="360" w:lineRule="auto"/>
        <w:jc w:val="center"/>
        <w:rPr>
          <w:rStyle w:val="25"/>
          <w:rFonts w:hint="eastAsia" w:ascii="宋体" w:hAnsi="宋体" w:eastAsia="宋体" w:cs="宋体"/>
          <w:color w:val="auto"/>
          <w:highlight w:val="none"/>
        </w:rPr>
      </w:pPr>
      <w:bookmarkStart w:id="8" w:name="_Toc491963079"/>
      <w:bookmarkStart w:id="9" w:name="_Toc484769796"/>
      <w:r>
        <w:rPr>
          <w:rStyle w:val="25"/>
          <w:rFonts w:hint="eastAsia" w:ascii="宋体" w:hAnsi="宋体" w:eastAsia="宋体" w:cs="宋体"/>
          <w:color w:val="auto"/>
          <w:highlight w:val="none"/>
        </w:rPr>
        <w:t>2、基金概况</w:t>
      </w:r>
      <w:bookmarkEnd w:id="8"/>
      <w:bookmarkEnd w:id="9"/>
    </w:p>
    <w:p w14:paraId="67A49BBF">
      <w:pPr>
        <w:pStyle w:val="3"/>
        <w:spacing w:before="0" w:after="0"/>
        <w:rPr>
          <w:rFonts w:hint="eastAsia" w:ascii="宋体" w:hAnsi="宋体" w:eastAsia="宋体" w:cs="宋体"/>
          <w:color w:val="auto"/>
          <w:kern w:val="0"/>
          <w:sz w:val="21"/>
          <w:szCs w:val="21"/>
          <w:highlight w:val="none"/>
        </w:rPr>
      </w:pPr>
      <w:bookmarkStart w:id="10" w:name="_Toc491963080"/>
      <w:bookmarkStart w:id="11" w:name="_Toc476577246"/>
      <w:bookmarkStart w:id="12" w:name="_Toc409100044"/>
      <w:bookmarkStart w:id="13" w:name="_Toc484769797"/>
      <w:bookmarkStart w:id="14" w:name="_Toc483396829"/>
      <w:bookmarkStart w:id="15" w:name="_Toc409100407"/>
      <w:bookmarkStart w:id="16" w:name="_Toc361324845"/>
      <w:bookmarkStart w:id="17" w:name="_Toc484607302"/>
      <w:r>
        <w:rPr>
          <w:rFonts w:hint="eastAsia" w:ascii="宋体" w:hAnsi="宋体" w:eastAsia="宋体" w:cs="宋体"/>
          <w:color w:val="auto"/>
          <w:kern w:val="0"/>
          <w:sz w:val="21"/>
          <w:szCs w:val="21"/>
          <w:highlight w:val="none"/>
        </w:rPr>
        <w:t>2.1 基金基本情况</w:t>
      </w:r>
      <w:bookmarkEnd w:id="10"/>
      <w:bookmarkEnd w:id="11"/>
      <w:bookmarkEnd w:id="12"/>
      <w:bookmarkEnd w:id="13"/>
      <w:bookmarkEnd w:id="14"/>
      <w:bookmarkEnd w:id="15"/>
      <w:bookmarkEnd w:id="16"/>
      <w:bookmarkEnd w:id="17"/>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2"/>
        <w:gridCol w:w="5917"/>
      </w:tblGrid>
      <w:tr w14:paraId="0E972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0E229F4E">
            <w:pPr>
              <w:adjustRightInd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基金简称</w:t>
            </w:r>
          </w:p>
        </w:tc>
        <w:tc>
          <w:tcPr>
            <w:tcW w:w="5918" w:type="dxa"/>
            <w:noWrap w:val="0"/>
            <w:vAlign w:val="center"/>
          </w:tcPr>
          <w:p w14:paraId="25B11B3D">
            <w:pPr>
              <w:adjustRightInd w:val="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博时富恒一年定开债发起式</w:t>
            </w:r>
          </w:p>
        </w:tc>
      </w:tr>
      <w:tr w14:paraId="6BA9B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43F3FF5E">
            <w:pPr>
              <w:adjustRightInd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基金全称</w:t>
            </w:r>
          </w:p>
        </w:tc>
        <w:tc>
          <w:tcPr>
            <w:tcW w:w="5918" w:type="dxa"/>
            <w:noWrap w:val="0"/>
            <w:vAlign w:val="center"/>
          </w:tcPr>
          <w:p w14:paraId="6DD9CF1D">
            <w:pPr>
              <w:adjustRightInd w:val="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博时富恒纯债一年定期开放债券型发起式证券投资基金</w:t>
            </w:r>
          </w:p>
        </w:tc>
      </w:tr>
      <w:tr w14:paraId="22A95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6CAD52A7">
            <w:pPr>
              <w:adjustRightInd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基金主代码</w:t>
            </w:r>
          </w:p>
        </w:tc>
        <w:tc>
          <w:tcPr>
            <w:tcW w:w="5918" w:type="dxa"/>
            <w:tcBorders>
              <w:bottom w:val="single" w:color="auto" w:sz="4" w:space="0"/>
            </w:tcBorders>
            <w:noWrap w:val="0"/>
            <w:vAlign w:val="center"/>
          </w:tcPr>
          <w:p w14:paraId="4B4E8717">
            <w:pPr>
              <w:adjustRightInd w:val="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013931</w:t>
            </w:r>
          </w:p>
        </w:tc>
      </w:tr>
      <w:tr w14:paraId="507B3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16C413CF">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基金运作方式</w:t>
            </w:r>
          </w:p>
        </w:tc>
        <w:tc>
          <w:tcPr>
            <w:tcW w:w="5918" w:type="dxa"/>
            <w:tcBorders>
              <w:top w:val="single" w:color="auto" w:sz="4" w:space="0"/>
            </w:tcBorders>
            <w:noWrap w:val="0"/>
            <w:vAlign w:val="center"/>
          </w:tcPr>
          <w:p w14:paraId="66B9A248">
            <w:pPr>
              <w:adjustRightIn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契约型定期开放式</w:t>
            </w:r>
          </w:p>
        </w:tc>
      </w:tr>
      <w:tr w14:paraId="4BDC3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3F8FA3CD">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基金合同生效日</w:t>
            </w:r>
          </w:p>
        </w:tc>
        <w:tc>
          <w:tcPr>
            <w:tcW w:w="5918" w:type="dxa"/>
            <w:noWrap w:val="0"/>
            <w:vAlign w:val="center"/>
          </w:tcPr>
          <w:p w14:paraId="2D0A8252">
            <w:pPr>
              <w:adjustRightInd w:val="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2021年11月25日</w:t>
            </w:r>
          </w:p>
        </w:tc>
      </w:tr>
      <w:tr w14:paraId="405F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0652570E">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报告期末（</w:t>
            </w:r>
            <w:r>
              <w:rPr>
                <w:rFonts w:hint="eastAsia" w:ascii="宋体" w:hAnsi="宋体" w:eastAsia="宋体" w:cs="宋体"/>
                <w:color w:val="auto"/>
                <w:u w:val="none"/>
                <w:lang w:eastAsia="zh-CN"/>
              </w:rPr>
              <w:t>2026年6月30日</w:t>
            </w:r>
            <w:r>
              <w:rPr>
                <w:rFonts w:hint="eastAsia" w:ascii="宋体" w:hAnsi="宋体" w:eastAsia="宋体" w:cs="宋体"/>
                <w:color w:val="auto"/>
                <w:u w:val="none"/>
              </w:rPr>
              <w:t>）</w:t>
            </w:r>
            <w:r>
              <w:rPr>
                <w:rFonts w:hint="eastAsia" w:ascii="宋体" w:hAnsi="宋体" w:eastAsia="宋体" w:cs="宋体"/>
                <w:color w:val="auto"/>
                <w:kern w:val="0"/>
                <w:szCs w:val="21"/>
                <w:highlight w:val="none"/>
              </w:rPr>
              <w:t>基金份额总额</w:t>
            </w:r>
          </w:p>
        </w:tc>
        <w:tc>
          <w:tcPr>
            <w:tcW w:w="5918" w:type="dxa"/>
            <w:noWrap w:val="0"/>
            <w:vAlign w:val="center"/>
          </w:tcPr>
          <w:p w14:paraId="71C6D2FB">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val="en-US" w:eastAsia="zh-CN"/>
              </w:rPr>
              <w:t>490,185.41</w:t>
            </w:r>
            <w:r>
              <w:rPr>
                <w:rFonts w:hint="eastAsia" w:ascii="宋体" w:hAnsi="宋体" w:eastAsia="宋体" w:cs="宋体"/>
                <w:color w:val="auto"/>
                <w:kern w:val="0"/>
                <w:szCs w:val="21"/>
                <w:highlight w:val="none"/>
              </w:rPr>
              <w:t>份</w:t>
            </w:r>
          </w:p>
        </w:tc>
      </w:tr>
      <w:tr w14:paraId="1522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6ED76F31">
            <w:pPr>
              <w:adjustRightIn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基金合同存续期</w:t>
            </w:r>
          </w:p>
        </w:tc>
        <w:tc>
          <w:tcPr>
            <w:tcW w:w="5918" w:type="dxa"/>
            <w:noWrap w:val="0"/>
            <w:vAlign w:val="center"/>
          </w:tcPr>
          <w:p w14:paraId="483771F3">
            <w:pPr>
              <w:adjustRightIn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不定期</w:t>
            </w:r>
          </w:p>
        </w:tc>
      </w:tr>
      <w:tr w14:paraId="037D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063555D3">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基金管理人</w:t>
            </w:r>
          </w:p>
        </w:tc>
        <w:tc>
          <w:tcPr>
            <w:tcW w:w="5918" w:type="dxa"/>
            <w:noWrap w:val="0"/>
            <w:vAlign w:val="center"/>
          </w:tcPr>
          <w:p w14:paraId="7435A2A8">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博时基金管理有限公司</w:t>
            </w:r>
          </w:p>
        </w:tc>
      </w:tr>
      <w:tr w14:paraId="4A293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3D137546">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基金托管人</w:t>
            </w:r>
          </w:p>
        </w:tc>
        <w:tc>
          <w:tcPr>
            <w:tcW w:w="5918" w:type="dxa"/>
            <w:noWrap w:val="0"/>
            <w:vAlign w:val="center"/>
          </w:tcPr>
          <w:p w14:paraId="4ECAF05F">
            <w:pPr>
              <w:adjustRightIn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兴业银行股份有限公司</w:t>
            </w:r>
          </w:p>
        </w:tc>
      </w:tr>
    </w:tbl>
    <w:p w14:paraId="67186E13">
      <w:pPr>
        <w:pStyle w:val="26"/>
        <w:rPr>
          <w:rFonts w:hint="eastAsia" w:ascii="宋体" w:hAnsi="宋体" w:eastAsia="宋体" w:cs="宋体"/>
          <w:color w:val="auto"/>
          <w:sz w:val="21"/>
          <w:szCs w:val="21"/>
          <w:highlight w:val="none"/>
        </w:rPr>
      </w:pPr>
      <w:bookmarkStart w:id="18" w:name="_Toc491963081"/>
      <w:bookmarkStart w:id="19" w:name="_Toc390421230"/>
      <w:bookmarkStart w:id="20" w:name="_Toc491184118"/>
      <w:bookmarkStart w:id="21" w:name="_Toc482092221"/>
      <w:r>
        <w:rPr>
          <w:rFonts w:hint="eastAsia" w:ascii="宋体" w:hAnsi="宋体" w:eastAsia="宋体" w:cs="宋体"/>
          <w:color w:val="auto"/>
          <w:sz w:val="21"/>
          <w:szCs w:val="21"/>
          <w:highlight w:val="none"/>
        </w:rPr>
        <w:t>2.2 基金产品说明</w:t>
      </w:r>
      <w:bookmarkEnd w:id="18"/>
      <w:bookmarkEnd w:id="19"/>
      <w:bookmarkEnd w:id="20"/>
      <w:bookmarkEnd w:id="21"/>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3"/>
        <w:gridCol w:w="6149"/>
      </w:tblGrid>
      <w:tr w14:paraId="12E90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noWrap w:val="0"/>
            <w:vAlign w:val="center"/>
          </w:tcPr>
          <w:p w14:paraId="1A02DEC8">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投资目标</w:t>
            </w:r>
          </w:p>
        </w:tc>
        <w:tc>
          <w:tcPr>
            <w:tcW w:w="6149" w:type="dxa"/>
            <w:noWrap w:val="0"/>
            <w:vAlign w:val="center"/>
          </w:tcPr>
          <w:p w14:paraId="07103B34">
            <w:pPr>
              <w:adjustRightInd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在有效控制投资组合风险的前提下，力争长期内实现超越业绩比较基准的投资回报。</w:t>
            </w:r>
            <w:r>
              <w:rPr>
                <w:rFonts w:hint="eastAsia" w:ascii="宋体" w:hAnsi="宋体" w:eastAsia="宋体" w:cs="宋体"/>
                <w:color w:val="auto"/>
                <w:kern w:val="0"/>
                <w:szCs w:val="21"/>
                <w:highlight w:val="none"/>
              </w:rPr>
              <w:t xml:space="preserve"> </w:t>
            </w:r>
          </w:p>
        </w:tc>
      </w:tr>
      <w:tr w14:paraId="6F5DE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noWrap w:val="0"/>
            <w:vAlign w:val="center"/>
          </w:tcPr>
          <w:p w14:paraId="5AC76D0A">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投资策略</w:t>
            </w:r>
          </w:p>
        </w:tc>
        <w:tc>
          <w:tcPr>
            <w:tcW w:w="6149" w:type="dxa"/>
            <w:noWrap w:val="0"/>
            <w:vAlign w:val="center"/>
          </w:tcPr>
          <w:p w14:paraId="2E9F1FB0">
            <w:pPr>
              <w:adjustRightInd w:val="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封闭期投资策略，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个券挖掘策略、资产支持证券投资策略等。在谨慎投资的前提下，力争获取高于业绩比较基准的投资收益。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w:t>
            </w:r>
          </w:p>
          <w:p w14:paraId="6A2A5521">
            <w:pPr>
              <w:adjustRightInd w:val="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灵活应用各种期限结构策略、信用策略、互换策略、息差策略、个券挖掘策略、资产支持证券投资策略等，在合理管理并控制组合风险的前提下，最大化组合收益。</w:t>
            </w:r>
          </w:p>
          <w:p w14:paraId="44988B4C">
            <w:pPr>
              <w:adjustRightInd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val="en-US" w:eastAsia="zh-CN"/>
              </w:rPr>
              <w:t>开放期投资策略，开放期内，本基金为保持较高的组合流动性，方便投资人安排投资，在遵守本基金有关投资限制与投资比例的前提下，将主要投资于高流动性的投资品种。</w:t>
            </w:r>
          </w:p>
        </w:tc>
      </w:tr>
      <w:tr w14:paraId="55E46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noWrap w:val="0"/>
            <w:vAlign w:val="center"/>
          </w:tcPr>
          <w:p w14:paraId="5667B16F">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业绩比较基准</w:t>
            </w:r>
          </w:p>
        </w:tc>
        <w:tc>
          <w:tcPr>
            <w:tcW w:w="6149" w:type="dxa"/>
            <w:noWrap w:val="0"/>
            <w:vAlign w:val="center"/>
          </w:tcPr>
          <w:p w14:paraId="0DDCA9DB">
            <w:pPr>
              <w:adjustRightInd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val="en-US" w:eastAsia="zh-CN"/>
              </w:rPr>
              <w:t>中债综合财富（总值）指数收益率×90%+1年期定期存款利率（税后）×10%</w:t>
            </w:r>
          </w:p>
        </w:tc>
      </w:tr>
      <w:tr w14:paraId="40BC1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noWrap w:val="0"/>
            <w:vAlign w:val="center"/>
          </w:tcPr>
          <w:p w14:paraId="4BBC47AA">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风险收益特征</w:t>
            </w:r>
          </w:p>
        </w:tc>
        <w:tc>
          <w:tcPr>
            <w:tcW w:w="6149" w:type="dxa"/>
            <w:noWrap w:val="0"/>
            <w:vAlign w:val="center"/>
          </w:tcPr>
          <w:p w14:paraId="53B4F50B">
            <w:pPr>
              <w:adjustRightInd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本基金为债券型基金，预期收益和预期风险高于货币市场基金，但低于混合型基金、股票型基金。</w:t>
            </w:r>
          </w:p>
        </w:tc>
      </w:tr>
    </w:tbl>
    <w:p w14:paraId="57CE3ED7">
      <w:pPr>
        <w:pStyle w:val="2"/>
        <w:keepNext/>
        <w:keepLines/>
        <w:widowControl w:val="0"/>
        <w:spacing w:before="312" w:beforeLines="100" w:after="312" w:afterLines="100" w:line="360" w:lineRule="auto"/>
        <w:jc w:val="center"/>
        <w:rPr>
          <w:rStyle w:val="25"/>
          <w:rFonts w:hint="eastAsia" w:ascii="宋体" w:hAnsi="宋体" w:eastAsia="宋体" w:cs="宋体"/>
          <w:b w:val="0"/>
          <w:color w:val="auto"/>
          <w:highlight w:val="none"/>
        </w:rPr>
      </w:pPr>
      <w:bookmarkStart w:id="22" w:name="_Toc361324850"/>
      <w:bookmarkStart w:id="23" w:name="_Toc225498250"/>
      <w:bookmarkStart w:id="24" w:name="_Toc409100049"/>
      <w:bookmarkStart w:id="25" w:name="_Toc409100412"/>
      <w:bookmarkStart w:id="26" w:name="_Toc484769799"/>
      <w:bookmarkStart w:id="27" w:name="_Toc491963082"/>
      <w:r>
        <w:rPr>
          <w:rStyle w:val="25"/>
          <w:rFonts w:hint="eastAsia" w:ascii="宋体" w:hAnsi="宋体" w:eastAsia="宋体" w:cs="宋体"/>
          <w:color w:val="auto"/>
          <w:highlight w:val="none"/>
        </w:rPr>
        <w:t>3</w:t>
      </w:r>
      <w:bookmarkEnd w:id="22"/>
      <w:bookmarkEnd w:id="23"/>
      <w:bookmarkEnd w:id="24"/>
      <w:bookmarkEnd w:id="25"/>
      <w:r>
        <w:rPr>
          <w:rStyle w:val="25"/>
          <w:rFonts w:hint="eastAsia" w:ascii="宋体" w:hAnsi="宋体" w:eastAsia="宋体" w:cs="宋体"/>
          <w:color w:val="auto"/>
          <w:highlight w:val="none"/>
        </w:rPr>
        <w:t>、基金运作情况说明</w:t>
      </w:r>
      <w:bookmarkEnd w:id="26"/>
      <w:bookmarkEnd w:id="27"/>
    </w:p>
    <w:p w14:paraId="4054FC47">
      <w:pPr>
        <w:pStyle w:val="28"/>
        <w:rPr>
          <w:rFonts w:hint="eastAsia" w:ascii="宋体" w:hAnsi="宋体" w:eastAsia="宋体" w:cs="宋体"/>
          <w:color w:val="auto"/>
          <w:highlight w:val="none"/>
        </w:rPr>
      </w:pPr>
      <w:r>
        <w:rPr>
          <w:rFonts w:hint="eastAsia" w:ascii="宋体" w:hAnsi="宋体" w:eastAsia="宋体" w:cs="宋体"/>
          <w:color w:val="auto"/>
          <w:highlight w:val="none"/>
          <w:lang w:eastAsia="zh-CN"/>
        </w:rPr>
        <w:t>本基金</w:t>
      </w:r>
      <w:r>
        <w:rPr>
          <w:rFonts w:hint="eastAsia" w:ascii="宋体" w:hAnsi="宋体" w:eastAsia="宋体" w:cs="宋体"/>
          <w:color w:val="auto"/>
          <w:highlight w:val="none"/>
        </w:rPr>
        <w:t>经中国证监会证监许可</w:t>
      </w:r>
      <w:r>
        <w:rPr>
          <w:rFonts w:hint="eastAsia" w:ascii="宋体" w:hAnsi="宋体" w:eastAsia="宋体" w:cs="宋体"/>
          <w:color w:val="auto"/>
          <w:szCs w:val="21"/>
          <w:highlight w:val="none"/>
          <w:lang w:val="en-US" w:eastAsia="zh-CN"/>
        </w:rPr>
        <w:t>[2021]2004</w:t>
      </w:r>
      <w:r>
        <w:rPr>
          <w:rFonts w:hint="eastAsia" w:ascii="宋体" w:hAnsi="宋体" w:eastAsia="宋体" w:cs="宋体"/>
          <w:color w:val="auto"/>
          <w:u w:val="none"/>
        </w:rPr>
        <w:t>号</w:t>
      </w:r>
      <w:r>
        <w:rPr>
          <w:rFonts w:hint="eastAsia" w:ascii="宋体" w:hAnsi="宋体" w:eastAsia="宋体" w:cs="宋体"/>
          <w:color w:val="auto"/>
          <w:highlight w:val="none"/>
        </w:rPr>
        <w:t>《关于准予</w:t>
      </w:r>
      <w:r>
        <w:rPr>
          <w:rFonts w:hint="eastAsia" w:ascii="宋体" w:hAnsi="宋体" w:eastAsia="宋体" w:cs="宋体"/>
          <w:color w:val="auto"/>
          <w:szCs w:val="21"/>
          <w:highlight w:val="none"/>
        </w:rPr>
        <w:t>博时富恒纯债一年定期开放债券型发起式证券投资基金</w:t>
      </w:r>
      <w:r>
        <w:rPr>
          <w:rFonts w:hint="eastAsia" w:ascii="宋体" w:hAnsi="宋体" w:eastAsia="宋体" w:cs="宋体"/>
          <w:color w:val="auto"/>
          <w:highlight w:val="none"/>
        </w:rPr>
        <w:t>注册的批复》注册，由博时基金管理有限公司依照《中华人民共和国证券投资基金法》和《基金合同》负责公开募集。基金合同于</w:t>
      </w:r>
      <w:r>
        <w:rPr>
          <w:rFonts w:hint="eastAsia" w:ascii="宋体" w:hAnsi="宋体" w:eastAsia="宋体" w:cs="宋体"/>
          <w:color w:val="auto"/>
          <w:highlight w:val="none"/>
          <w:lang w:val="en-US" w:eastAsia="zh-CN"/>
        </w:rPr>
        <w:t>2021年11月25日</w:t>
      </w:r>
      <w:r>
        <w:rPr>
          <w:rFonts w:hint="eastAsia" w:ascii="宋体" w:hAnsi="宋体" w:eastAsia="宋体" w:cs="宋体"/>
          <w:color w:val="auto"/>
          <w:highlight w:val="none"/>
        </w:rPr>
        <w:t>正式生效，基金合同生效日的基金份额总额为</w:t>
      </w:r>
      <w:r>
        <w:rPr>
          <w:rFonts w:hint="eastAsia" w:ascii="宋体" w:hAnsi="宋体" w:eastAsia="宋体" w:cs="宋体"/>
          <w:color w:val="auto"/>
          <w:highlight w:val="none"/>
          <w:lang w:val="en-US" w:eastAsia="zh-CN"/>
        </w:rPr>
        <w:t>2,510,127,288.94</w:t>
      </w:r>
      <w:r>
        <w:rPr>
          <w:rFonts w:hint="eastAsia" w:ascii="宋体" w:hAnsi="宋体" w:eastAsia="宋体" w:cs="宋体"/>
          <w:color w:val="auto"/>
          <w:highlight w:val="none"/>
        </w:rPr>
        <w:t>份基金份额，其中认购资金利息折合</w:t>
      </w:r>
      <w:r>
        <w:rPr>
          <w:rFonts w:hint="eastAsia" w:ascii="宋体" w:hAnsi="宋体" w:eastAsia="宋体" w:cs="宋体"/>
          <w:color w:val="auto"/>
          <w:highlight w:val="none"/>
          <w:lang w:val="en-US" w:eastAsia="zh-CN"/>
        </w:rPr>
        <w:t>128,288.94</w:t>
      </w:r>
      <w:r>
        <w:rPr>
          <w:rFonts w:hint="eastAsia" w:ascii="宋体" w:hAnsi="宋体" w:eastAsia="宋体" w:cs="宋体"/>
          <w:color w:val="auto"/>
          <w:highlight w:val="none"/>
        </w:rPr>
        <w:t>份基金份额。</w:t>
      </w:r>
    </w:p>
    <w:p w14:paraId="25496283">
      <w:pPr>
        <w:pStyle w:val="28"/>
        <w:rPr>
          <w:rFonts w:hint="eastAsia" w:ascii="宋体" w:hAnsi="宋体" w:eastAsia="宋体" w:cs="宋体"/>
          <w:color w:val="auto"/>
          <w:highlight w:val="none"/>
        </w:rPr>
      </w:pPr>
      <w:r>
        <w:rPr>
          <w:rFonts w:hint="eastAsia" w:ascii="宋体" w:hAnsi="宋体" w:eastAsia="宋体" w:cs="宋体"/>
          <w:color w:val="auto"/>
          <w:highlight w:val="none"/>
        </w:rPr>
        <w:t>自</w:t>
      </w:r>
      <w:r>
        <w:rPr>
          <w:rFonts w:hint="eastAsia" w:ascii="宋体" w:hAnsi="宋体" w:eastAsia="宋体" w:cs="宋体"/>
          <w:color w:val="auto"/>
          <w:highlight w:val="none"/>
          <w:lang w:val="en-US" w:eastAsia="zh-CN"/>
        </w:rPr>
        <w:t>2021年11月25日</w:t>
      </w:r>
      <w:r>
        <w:rPr>
          <w:rFonts w:hint="eastAsia" w:ascii="宋体" w:hAnsi="宋体" w:eastAsia="宋体" w:cs="宋体"/>
          <w:color w:val="auto"/>
          <w:highlight w:val="none"/>
        </w:rPr>
        <w:t>至</w:t>
      </w:r>
      <w:r>
        <w:rPr>
          <w:rFonts w:hint="eastAsia" w:ascii="宋体" w:hAnsi="宋体" w:eastAsia="宋体" w:cs="宋体"/>
          <w:color w:val="auto"/>
          <w:highlight w:val="none"/>
          <w:lang w:val="en-US" w:eastAsia="zh-CN"/>
        </w:rPr>
        <w:t>2026年6月15日</w:t>
      </w:r>
      <w:r>
        <w:rPr>
          <w:rFonts w:hint="eastAsia" w:ascii="宋体" w:hAnsi="宋体" w:eastAsia="宋体" w:cs="宋体"/>
          <w:color w:val="auto"/>
          <w:highlight w:val="none"/>
        </w:rPr>
        <w:t>期间，本基金按基金合同正常运作。</w:t>
      </w:r>
    </w:p>
    <w:p w14:paraId="2B612C44">
      <w:pPr>
        <w:spacing w:line="42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根据《基金合同》以及基金管理人博时基金管理有限公司于</w:t>
      </w:r>
      <w:r>
        <w:rPr>
          <w:rFonts w:hint="eastAsia" w:ascii="宋体" w:hAnsi="宋体" w:eastAsia="宋体" w:cs="宋体"/>
          <w:color w:val="auto"/>
          <w:highlight w:val="none"/>
          <w:lang w:val="en-US" w:eastAsia="zh-CN"/>
        </w:rPr>
        <w:t>2026年6月12日</w:t>
      </w:r>
      <w:r>
        <w:rPr>
          <w:rFonts w:hint="eastAsia" w:ascii="宋体" w:hAnsi="宋体" w:eastAsia="宋体" w:cs="宋体"/>
          <w:color w:val="auto"/>
          <w:highlight w:val="none"/>
        </w:rPr>
        <w:t>发布的《博时基金管理有限公司关于博时富恒纯债一年定期开放债券型发起式证券投资基金基金份额持有人大会表决结果暨决议生效的公告》，</w:t>
      </w:r>
      <w:r>
        <w:rPr>
          <w:rFonts w:hint="eastAsia" w:ascii="宋体" w:hAnsi="宋体" w:eastAsia="宋体" w:cs="宋体"/>
          <w:color w:val="auto"/>
          <w:highlight w:val="none"/>
          <w:lang w:val="en-US" w:eastAsia="zh-CN"/>
        </w:rPr>
        <w:t>本基金的最后运作日为2026年6月15日，自赎回选择期届满的下一日即2026年6月16日起，本基金即进入清算程序，基金管理人不再接收投资人提出的申购、赎回、基金转换等业务申请。本基金进入清算程序后，停止收取基金管理费、基金托管费。</w:t>
      </w:r>
    </w:p>
    <w:p w14:paraId="1D8DE8C4">
      <w:pPr>
        <w:pStyle w:val="2"/>
        <w:keepNext/>
        <w:keepLines/>
        <w:widowControl w:val="0"/>
        <w:spacing w:before="312" w:beforeLines="100" w:after="312" w:afterLines="100" w:line="360" w:lineRule="auto"/>
        <w:jc w:val="center"/>
        <w:rPr>
          <w:rStyle w:val="25"/>
          <w:rFonts w:hint="eastAsia" w:ascii="宋体" w:hAnsi="宋体" w:eastAsia="宋体" w:cs="宋体"/>
          <w:color w:val="auto"/>
          <w:highlight w:val="none"/>
        </w:rPr>
      </w:pPr>
      <w:bookmarkStart w:id="28" w:name="_Toc484769805"/>
      <w:bookmarkStart w:id="29" w:name="_Toc491963083"/>
      <w:r>
        <w:rPr>
          <w:rStyle w:val="25"/>
          <w:rFonts w:hint="eastAsia" w:ascii="宋体" w:hAnsi="宋体" w:eastAsia="宋体" w:cs="宋体"/>
          <w:color w:val="auto"/>
          <w:highlight w:val="none"/>
        </w:rPr>
        <w:t>4、财务报告</w:t>
      </w:r>
      <w:bookmarkEnd w:id="28"/>
      <w:bookmarkEnd w:id="29"/>
    </w:p>
    <w:p w14:paraId="77402453">
      <w:pPr>
        <w:pStyle w:val="3"/>
        <w:spacing w:before="0" w:after="0"/>
        <w:rPr>
          <w:rFonts w:hint="eastAsia" w:ascii="宋体" w:hAnsi="宋体" w:eastAsia="宋体" w:cs="宋体"/>
          <w:color w:val="auto"/>
          <w:kern w:val="0"/>
          <w:sz w:val="21"/>
          <w:szCs w:val="21"/>
          <w:highlight w:val="none"/>
        </w:rPr>
      </w:pPr>
      <w:bookmarkStart w:id="30" w:name="_Toc409100437"/>
      <w:bookmarkStart w:id="31" w:name="_Toc491963084"/>
      <w:bookmarkStart w:id="32" w:name="_Toc484607311"/>
      <w:bookmarkStart w:id="33" w:name="_Toc409100074"/>
      <w:bookmarkStart w:id="34" w:name="_Toc225498268"/>
      <w:bookmarkStart w:id="35" w:name="_Toc483396838"/>
      <w:bookmarkStart w:id="36" w:name="_Toc484769806"/>
      <w:bookmarkStart w:id="37" w:name="_Toc476577275"/>
      <w:bookmarkStart w:id="38" w:name="_Toc361324873"/>
      <w:r>
        <w:rPr>
          <w:rFonts w:hint="eastAsia" w:ascii="宋体" w:hAnsi="宋体" w:eastAsia="宋体" w:cs="宋体"/>
          <w:color w:val="auto"/>
          <w:kern w:val="0"/>
          <w:sz w:val="21"/>
          <w:szCs w:val="21"/>
          <w:highlight w:val="none"/>
        </w:rPr>
        <w:t>4.1 资产负债表</w:t>
      </w:r>
      <w:bookmarkEnd w:id="30"/>
      <w:bookmarkEnd w:id="31"/>
      <w:bookmarkEnd w:id="32"/>
      <w:bookmarkEnd w:id="33"/>
      <w:bookmarkEnd w:id="34"/>
      <w:bookmarkEnd w:id="35"/>
      <w:bookmarkEnd w:id="36"/>
      <w:bookmarkEnd w:id="37"/>
      <w:bookmarkEnd w:id="38"/>
      <w:r>
        <w:rPr>
          <w:rFonts w:hint="eastAsia" w:ascii="宋体" w:hAnsi="宋体" w:eastAsia="宋体" w:cs="宋体"/>
          <w:color w:val="auto"/>
          <w:kern w:val="0"/>
          <w:sz w:val="21"/>
          <w:szCs w:val="21"/>
          <w:highlight w:val="none"/>
        </w:rPr>
        <w:t>(已经审计)</w:t>
      </w:r>
    </w:p>
    <w:p w14:paraId="2CE681E6">
      <w:pPr>
        <w:autoSpaceDE w:val="0"/>
        <w:autoSpaceDN w:val="0"/>
        <w:adjustRightInd w:val="0"/>
        <w:spacing w:before="29" w:line="360" w:lineRule="auto"/>
        <w:ind w:left="15"/>
        <w:jc w:val="righ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单位：人民币元</w:t>
      </w:r>
    </w:p>
    <w:tbl>
      <w:tblPr>
        <w:tblStyle w:val="13"/>
        <w:tblpPr w:leftFromText="180" w:rightFromText="180" w:vertAnchor="text" w:horzAnchor="page" w:tblpX="1913" w:tblpY="446"/>
        <w:tblOverlap w:val="never"/>
        <w:tblW w:w="86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35"/>
        <w:gridCol w:w="4335"/>
      </w:tblGrid>
      <w:tr w14:paraId="43A2C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26C0E02D">
            <w:pPr>
              <w:spacing w:before="100" w:beforeAutospacing="1" w:after="100" w:afterAutospacing="1"/>
              <w:jc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bCs/>
                <w:color w:val="000000"/>
                <w:sz w:val="24"/>
                <w:highlight w:val="none"/>
              </w:rPr>
              <w:t>资产</w:t>
            </w:r>
          </w:p>
        </w:tc>
        <w:tc>
          <w:tcPr>
            <w:tcW w:w="4335" w:type="dxa"/>
            <w:tcBorders>
              <w:top w:val="single" w:color="auto" w:sz="4" w:space="0"/>
              <w:left w:val="single" w:color="auto" w:sz="4" w:space="0"/>
              <w:bottom w:val="single" w:color="auto" w:sz="4" w:space="0"/>
              <w:right w:val="single" w:color="auto" w:sz="4" w:space="0"/>
            </w:tcBorders>
            <w:noWrap/>
            <w:vAlign w:val="center"/>
          </w:tcPr>
          <w:p w14:paraId="48EDB582">
            <w:pPr>
              <w:ind w:left="-114" w:right="-87"/>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本期末</w:t>
            </w:r>
          </w:p>
          <w:p w14:paraId="3BBDB56C">
            <w:pPr>
              <w:ind w:left="-114" w:right="-87"/>
              <w:jc w:val="center"/>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2026年6月15日</w:t>
            </w:r>
          </w:p>
          <w:p w14:paraId="6CFF4927">
            <w:pPr>
              <w:ind w:left="-114" w:leftChars="0" w:right="-87" w:rightChars="0"/>
              <w:jc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bCs/>
                <w:color w:val="000000"/>
                <w:sz w:val="24"/>
                <w:highlight w:val="none"/>
              </w:rPr>
              <w:t>(基金最后运作日)</w:t>
            </w:r>
          </w:p>
        </w:tc>
      </w:tr>
      <w:tr w14:paraId="2ED6E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670" w:type="dxa"/>
            <w:gridSpan w:val="2"/>
            <w:tcBorders>
              <w:top w:val="single" w:color="auto" w:sz="4" w:space="0"/>
              <w:left w:val="single" w:color="auto" w:sz="4" w:space="0"/>
              <w:bottom w:val="single" w:color="auto" w:sz="4" w:space="0"/>
              <w:right w:val="single" w:color="auto" w:sz="4" w:space="0"/>
            </w:tcBorders>
            <w:noWrap/>
            <w:vAlign w:val="center"/>
          </w:tcPr>
          <w:p w14:paraId="62DE8E78">
            <w:pPr>
              <w:keepNext w:val="0"/>
              <w:keepLines w:val="0"/>
              <w:widowControl/>
              <w:suppressLineNumbers w:val="0"/>
              <w:jc w:val="lef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资  产：</w:t>
            </w:r>
          </w:p>
        </w:tc>
      </w:tr>
      <w:tr w14:paraId="2D8DC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595FECCD">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银行存款</w:t>
            </w:r>
          </w:p>
        </w:tc>
        <w:tc>
          <w:tcPr>
            <w:tcW w:w="4335" w:type="dxa"/>
            <w:tcBorders>
              <w:top w:val="single" w:color="auto" w:sz="4" w:space="0"/>
              <w:left w:val="single" w:color="auto" w:sz="4" w:space="0"/>
              <w:bottom w:val="single" w:color="auto" w:sz="4" w:space="0"/>
              <w:right w:val="single" w:color="auto" w:sz="4" w:space="0"/>
            </w:tcBorders>
            <w:noWrap/>
            <w:vAlign w:val="center"/>
          </w:tcPr>
          <w:p w14:paraId="7BA54981">
            <w:pPr>
              <w:keepNext w:val="0"/>
              <w:keepLines w:val="0"/>
              <w:widowControl/>
              <w:suppressLineNumbers w:val="0"/>
              <w:jc w:val="righ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82,981.87  </w:t>
            </w:r>
          </w:p>
        </w:tc>
      </w:tr>
      <w:tr w14:paraId="7EBFD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48568482">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结算备付金</w:t>
            </w:r>
          </w:p>
        </w:tc>
        <w:tc>
          <w:tcPr>
            <w:tcW w:w="4335" w:type="dxa"/>
            <w:tcBorders>
              <w:top w:val="single" w:color="auto" w:sz="4" w:space="0"/>
              <w:left w:val="single" w:color="auto" w:sz="4" w:space="0"/>
              <w:bottom w:val="single" w:color="auto" w:sz="4" w:space="0"/>
              <w:right w:val="single" w:color="auto" w:sz="4" w:space="0"/>
            </w:tcBorders>
            <w:noWrap/>
            <w:vAlign w:val="center"/>
          </w:tcPr>
          <w:p w14:paraId="1CA73057">
            <w:pPr>
              <w:keepNext w:val="0"/>
              <w:keepLines w:val="0"/>
              <w:widowControl/>
              <w:suppressLineNumbers w:val="0"/>
              <w:jc w:val="right"/>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1"/>
                <w:szCs w:val="21"/>
                <w:u w:val="none"/>
                <w:lang w:val="en-US" w:eastAsia="zh-CN" w:bidi="ar"/>
              </w:rPr>
              <w:t xml:space="preserve">  0.52</w:t>
            </w:r>
          </w:p>
        </w:tc>
      </w:tr>
      <w:tr w14:paraId="6130A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314D671F">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存出保证金</w:t>
            </w:r>
          </w:p>
        </w:tc>
        <w:tc>
          <w:tcPr>
            <w:tcW w:w="4335" w:type="dxa"/>
            <w:tcBorders>
              <w:top w:val="single" w:color="auto" w:sz="4" w:space="0"/>
              <w:left w:val="single" w:color="auto" w:sz="4" w:space="0"/>
              <w:bottom w:val="single" w:color="auto" w:sz="4" w:space="0"/>
              <w:right w:val="single" w:color="auto" w:sz="4" w:space="0"/>
            </w:tcBorders>
            <w:noWrap/>
            <w:vAlign w:val="center"/>
          </w:tcPr>
          <w:p w14:paraId="4AFEDDC3">
            <w:pPr>
              <w:keepNext w:val="0"/>
              <w:keepLines w:val="0"/>
              <w:widowControl/>
              <w:suppressLineNumbers w:val="0"/>
              <w:jc w:val="right"/>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1"/>
                <w:szCs w:val="21"/>
                <w:u w:val="none"/>
                <w:lang w:val="en-US" w:eastAsia="zh-CN" w:bidi="ar"/>
              </w:rPr>
              <w:t xml:space="preserve">  41.65</w:t>
            </w:r>
          </w:p>
        </w:tc>
      </w:tr>
      <w:tr w14:paraId="31D51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785B88C3">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交易性金融资产</w:t>
            </w:r>
          </w:p>
        </w:tc>
        <w:tc>
          <w:tcPr>
            <w:tcW w:w="4335" w:type="dxa"/>
            <w:tcBorders>
              <w:top w:val="single" w:color="auto" w:sz="4" w:space="0"/>
              <w:left w:val="single" w:color="auto" w:sz="4" w:space="0"/>
              <w:bottom w:val="single" w:color="auto" w:sz="4" w:space="0"/>
              <w:right w:val="single" w:color="auto" w:sz="4" w:space="0"/>
            </w:tcBorders>
            <w:noWrap/>
            <w:vAlign w:val="center"/>
          </w:tcPr>
          <w:p w14:paraId="1B973AC9">
            <w:pPr>
              <w:keepNext w:val="0"/>
              <w:keepLines w:val="0"/>
              <w:widowControl/>
              <w:suppressLineNumbers w:val="0"/>
              <w:jc w:val="right"/>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1"/>
                <w:szCs w:val="21"/>
                <w:u w:val="none"/>
                <w:lang w:val="en-US" w:eastAsia="zh-CN" w:bidi="ar"/>
              </w:rPr>
              <w:t xml:space="preserve">  514,278.44</w:t>
            </w:r>
          </w:p>
        </w:tc>
      </w:tr>
      <w:tr w14:paraId="7F04D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7E36F942">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其中：债券投资</w:t>
            </w:r>
          </w:p>
        </w:tc>
        <w:tc>
          <w:tcPr>
            <w:tcW w:w="4335" w:type="dxa"/>
            <w:tcBorders>
              <w:top w:val="single" w:color="auto" w:sz="4" w:space="0"/>
              <w:left w:val="single" w:color="auto" w:sz="4" w:space="0"/>
              <w:bottom w:val="single" w:color="auto" w:sz="4" w:space="0"/>
              <w:right w:val="single" w:color="auto" w:sz="4" w:space="0"/>
            </w:tcBorders>
            <w:noWrap/>
            <w:vAlign w:val="center"/>
          </w:tcPr>
          <w:p w14:paraId="174DF115">
            <w:pPr>
              <w:keepNext w:val="0"/>
              <w:keepLines w:val="0"/>
              <w:widowControl/>
              <w:suppressLineNumbers w:val="0"/>
              <w:jc w:val="right"/>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1"/>
                <w:szCs w:val="21"/>
                <w:u w:val="none"/>
                <w:lang w:val="en-US" w:eastAsia="zh-CN" w:bidi="ar"/>
              </w:rPr>
              <w:t xml:space="preserve"> 514,278.44</w:t>
            </w:r>
          </w:p>
        </w:tc>
      </w:tr>
      <w:tr w14:paraId="2C26F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0378EE09">
            <w:pPr>
              <w:keepNext w:val="0"/>
              <w:keepLines w:val="0"/>
              <w:widowControl/>
              <w:suppressLineNumbers w:val="0"/>
              <w:jc w:val="both"/>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资产总计</w:t>
            </w:r>
          </w:p>
        </w:tc>
        <w:tc>
          <w:tcPr>
            <w:tcW w:w="4335" w:type="dxa"/>
            <w:tcBorders>
              <w:top w:val="single" w:color="auto" w:sz="4" w:space="0"/>
              <w:left w:val="single" w:color="auto" w:sz="4" w:space="0"/>
              <w:bottom w:val="single" w:color="auto" w:sz="4" w:space="0"/>
              <w:right w:val="single" w:color="auto" w:sz="4" w:space="0"/>
            </w:tcBorders>
            <w:noWrap/>
            <w:vAlign w:val="center"/>
          </w:tcPr>
          <w:p w14:paraId="6FDA4050">
            <w:pPr>
              <w:keepNext w:val="0"/>
              <w:keepLines w:val="0"/>
              <w:widowControl/>
              <w:suppressLineNumbers w:val="0"/>
              <w:jc w:val="righ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 xml:space="preserve"> </w:t>
            </w:r>
            <w:r>
              <w:rPr>
                <w:rFonts w:hint="eastAsia" w:ascii="宋体" w:hAnsi="宋体" w:eastAsia="宋体" w:cs="宋体"/>
                <w:b/>
                <w:color w:val="000000"/>
                <w:sz w:val="21"/>
                <w:szCs w:val="21"/>
                <w:u w:val="none"/>
              </w:rPr>
              <w:t>597,302.48</w:t>
            </w:r>
          </w:p>
        </w:tc>
      </w:tr>
      <w:tr w14:paraId="75833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670" w:type="dxa"/>
            <w:gridSpan w:val="2"/>
            <w:tcBorders>
              <w:top w:val="single" w:color="auto" w:sz="4" w:space="0"/>
              <w:left w:val="single" w:color="auto" w:sz="4" w:space="0"/>
              <w:bottom w:val="single" w:color="auto" w:sz="4" w:space="0"/>
              <w:right w:val="single" w:color="auto" w:sz="4" w:space="0"/>
            </w:tcBorders>
            <w:noWrap/>
            <w:vAlign w:val="center"/>
          </w:tcPr>
          <w:p w14:paraId="60B95FEC">
            <w:pPr>
              <w:keepNext w:val="0"/>
              <w:keepLines w:val="0"/>
              <w:widowControl/>
              <w:suppressLineNumbers w:val="0"/>
              <w:jc w:val="lef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负债和所有者权益</w:t>
            </w:r>
          </w:p>
        </w:tc>
      </w:tr>
      <w:tr w14:paraId="42A40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670" w:type="dxa"/>
            <w:gridSpan w:val="2"/>
            <w:tcBorders>
              <w:top w:val="single" w:color="auto" w:sz="4" w:space="0"/>
              <w:left w:val="single" w:color="auto" w:sz="4" w:space="0"/>
              <w:bottom w:val="single" w:color="auto" w:sz="4" w:space="0"/>
              <w:right w:val="single" w:color="auto" w:sz="4" w:space="0"/>
            </w:tcBorders>
            <w:noWrap/>
            <w:vAlign w:val="center"/>
          </w:tcPr>
          <w:p w14:paraId="7CF60349">
            <w:pPr>
              <w:keepNext w:val="0"/>
              <w:keepLines w:val="0"/>
              <w:widowControl/>
              <w:suppressLineNumbers w:val="0"/>
              <w:jc w:val="lef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负  债：</w:t>
            </w:r>
          </w:p>
        </w:tc>
      </w:tr>
      <w:tr w14:paraId="1E962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317158CC">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应付管理人报酬</w:t>
            </w:r>
          </w:p>
        </w:tc>
        <w:tc>
          <w:tcPr>
            <w:tcW w:w="4335" w:type="dxa"/>
            <w:tcBorders>
              <w:top w:val="single" w:color="auto" w:sz="4" w:space="0"/>
              <w:left w:val="single" w:color="auto" w:sz="4" w:space="0"/>
              <w:bottom w:val="single" w:color="auto" w:sz="4" w:space="0"/>
              <w:right w:val="single" w:color="auto" w:sz="4" w:space="0"/>
            </w:tcBorders>
            <w:noWrap/>
            <w:vAlign w:val="center"/>
          </w:tcPr>
          <w:p w14:paraId="4F4F8AD3">
            <w:pPr>
              <w:keepNext w:val="0"/>
              <w:keepLines w:val="0"/>
              <w:widowControl/>
              <w:suppressLineNumbers w:val="0"/>
              <w:jc w:val="righ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w:t>
            </w:r>
            <w:r>
              <w:rPr>
                <w:rFonts w:hint="eastAsia" w:ascii="宋体" w:hAnsi="宋体" w:eastAsia="宋体" w:cs="宋体"/>
                <w:color w:val="000000"/>
                <w:sz w:val="21"/>
                <w:szCs w:val="21"/>
                <w:u w:val="none"/>
              </w:rPr>
              <w:t>65.94</w:t>
            </w:r>
          </w:p>
        </w:tc>
      </w:tr>
      <w:tr w14:paraId="29442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0AF3A857">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应付托管费</w:t>
            </w:r>
          </w:p>
        </w:tc>
        <w:tc>
          <w:tcPr>
            <w:tcW w:w="4335" w:type="dxa"/>
            <w:tcBorders>
              <w:top w:val="single" w:color="auto" w:sz="4" w:space="0"/>
              <w:left w:val="single" w:color="auto" w:sz="4" w:space="0"/>
              <w:bottom w:val="single" w:color="auto" w:sz="4" w:space="0"/>
              <w:right w:val="single" w:color="auto" w:sz="4" w:space="0"/>
            </w:tcBorders>
            <w:noWrap/>
            <w:vAlign w:val="center"/>
          </w:tcPr>
          <w:p w14:paraId="0B2AAC92">
            <w:pPr>
              <w:keepNext w:val="0"/>
              <w:keepLines w:val="0"/>
              <w:widowControl/>
              <w:suppressLineNumbers w:val="0"/>
              <w:jc w:val="righ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w:t>
            </w:r>
            <w:r>
              <w:rPr>
                <w:rFonts w:hint="eastAsia" w:ascii="宋体" w:hAnsi="宋体" w:eastAsia="宋体" w:cs="宋体"/>
                <w:color w:val="000000"/>
                <w:sz w:val="21"/>
                <w:szCs w:val="21"/>
                <w:u w:val="none"/>
              </w:rPr>
              <w:t>21.93</w:t>
            </w:r>
          </w:p>
        </w:tc>
      </w:tr>
      <w:tr w14:paraId="5D12B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52E56314">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 xml:space="preserve"> 应交税费</w:t>
            </w:r>
          </w:p>
        </w:tc>
        <w:tc>
          <w:tcPr>
            <w:tcW w:w="4335" w:type="dxa"/>
            <w:tcBorders>
              <w:top w:val="single" w:color="auto" w:sz="4" w:space="0"/>
              <w:left w:val="single" w:color="auto" w:sz="4" w:space="0"/>
              <w:bottom w:val="single" w:color="auto" w:sz="4" w:space="0"/>
              <w:right w:val="single" w:color="auto" w:sz="4" w:space="0"/>
            </w:tcBorders>
            <w:noWrap/>
            <w:vAlign w:val="center"/>
          </w:tcPr>
          <w:p w14:paraId="69B3C662">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color w:val="auto"/>
                <w:sz w:val="21"/>
                <w:szCs w:val="21"/>
                <w:highlight w:val="none"/>
                <w:lang w:val="en-US" w:eastAsia="zh-CN"/>
              </w:rPr>
              <w:t>6.88</w:t>
            </w:r>
          </w:p>
        </w:tc>
      </w:tr>
      <w:tr w14:paraId="2CB22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6D39CBC1">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其他负债</w:t>
            </w:r>
          </w:p>
        </w:tc>
        <w:tc>
          <w:tcPr>
            <w:tcW w:w="4335" w:type="dxa"/>
            <w:tcBorders>
              <w:top w:val="single" w:color="auto" w:sz="4" w:space="0"/>
              <w:left w:val="single" w:color="auto" w:sz="4" w:space="0"/>
              <w:bottom w:val="single" w:color="auto" w:sz="4" w:space="0"/>
              <w:right w:val="single" w:color="auto" w:sz="4" w:space="0"/>
            </w:tcBorders>
            <w:noWrap/>
            <w:vAlign w:val="center"/>
          </w:tcPr>
          <w:p w14:paraId="77EF8838">
            <w:pPr>
              <w:keepNext w:val="0"/>
              <w:keepLines w:val="0"/>
              <w:widowControl/>
              <w:suppressLineNumbers w:val="0"/>
              <w:jc w:val="righ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w:t>
            </w:r>
            <w:r>
              <w:rPr>
                <w:rFonts w:hint="eastAsia" w:ascii="宋体" w:hAnsi="宋体" w:eastAsia="宋体" w:cs="宋体"/>
                <w:color w:val="000000"/>
                <w:sz w:val="21"/>
                <w:szCs w:val="21"/>
                <w:u w:val="none"/>
              </w:rPr>
              <w:t>93,532.08</w:t>
            </w:r>
          </w:p>
        </w:tc>
      </w:tr>
      <w:tr w14:paraId="5479F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21A5D017">
            <w:pPr>
              <w:keepNext w:val="0"/>
              <w:keepLines w:val="0"/>
              <w:widowControl/>
              <w:suppressLineNumbers w:val="0"/>
              <w:jc w:val="both"/>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负债合计</w:t>
            </w:r>
          </w:p>
        </w:tc>
        <w:tc>
          <w:tcPr>
            <w:tcW w:w="4335" w:type="dxa"/>
            <w:tcBorders>
              <w:top w:val="single" w:color="auto" w:sz="4" w:space="0"/>
              <w:left w:val="single" w:color="auto" w:sz="4" w:space="0"/>
              <w:bottom w:val="single" w:color="auto" w:sz="4" w:space="0"/>
              <w:right w:val="single" w:color="auto" w:sz="4" w:space="0"/>
            </w:tcBorders>
            <w:noWrap/>
            <w:vAlign w:val="center"/>
          </w:tcPr>
          <w:p w14:paraId="20D3F7B5">
            <w:pPr>
              <w:keepNext w:val="0"/>
              <w:keepLines w:val="0"/>
              <w:widowControl/>
              <w:suppressLineNumbers w:val="0"/>
              <w:jc w:val="righ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93,626.83</w:t>
            </w:r>
          </w:p>
        </w:tc>
      </w:tr>
      <w:tr w14:paraId="05A02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670" w:type="dxa"/>
            <w:gridSpan w:val="2"/>
            <w:tcBorders>
              <w:top w:val="single" w:color="auto" w:sz="4" w:space="0"/>
              <w:left w:val="single" w:color="auto" w:sz="4" w:space="0"/>
              <w:bottom w:val="single" w:color="auto" w:sz="4" w:space="0"/>
              <w:right w:val="single" w:color="auto" w:sz="4" w:space="0"/>
            </w:tcBorders>
            <w:noWrap/>
            <w:vAlign w:val="center"/>
          </w:tcPr>
          <w:p w14:paraId="47FCE2BD">
            <w:pPr>
              <w:keepNext w:val="0"/>
              <w:keepLines w:val="0"/>
              <w:widowControl/>
              <w:suppressLineNumbers w:val="0"/>
              <w:jc w:val="lef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所有者权益：</w:t>
            </w:r>
          </w:p>
        </w:tc>
      </w:tr>
      <w:tr w14:paraId="60787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0F32C87E">
            <w:pPr>
              <w:keepNext w:val="0"/>
              <w:keepLines w:val="0"/>
              <w:widowControl/>
              <w:suppressLineNumbers w:val="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实收基金</w:t>
            </w:r>
          </w:p>
        </w:tc>
        <w:tc>
          <w:tcPr>
            <w:tcW w:w="4335" w:type="dxa"/>
            <w:tcBorders>
              <w:top w:val="single" w:color="auto" w:sz="4" w:space="0"/>
              <w:left w:val="single" w:color="auto" w:sz="4" w:space="0"/>
              <w:bottom w:val="single" w:color="auto" w:sz="4" w:space="0"/>
              <w:right w:val="single" w:color="auto" w:sz="4" w:space="0"/>
            </w:tcBorders>
            <w:noWrap/>
            <w:vAlign w:val="center"/>
          </w:tcPr>
          <w:p w14:paraId="6FAFB86F">
            <w:pPr>
              <w:keepNext w:val="0"/>
              <w:keepLines w:val="0"/>
              <w:widowControl/>
              <w:suppressLineNumbers w:val="0"/>
              <w:jc w:val="righ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w:t>
            </w:r>
            <w:r>
              <w:rPr>
                <w:rFonts w:hint="eastAsia" w:ascii="宋体" w:hAnsi="宋体" w:eastAsia="宋体" w:cs="宋体"/>
                <w:color w:val="000000"/>
                <w:sz w:val="21"/>
                <w:szCs w:val="21"/>
                <w:u w:val="none"/>
              </w:rPr>
              <w:t>490,185.41</w:t>
            </w:r>
          </w:p>
        </w:tc>
      </w:tr>
      <w:tr w14:paraId="17068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26828BDC">
            <w:pPr>
              <w:keepNext w:val="0"/>
              <w:keepLines w:val="0"/>
              <w:widowControl/>
              <w:suppressLineNumbers w:val="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未分配利润</w:t>
            </w:r>
          </w:p>
        </w:tc>
        <w:tc>
          <w:tcPr>
            <w:tcW w:w="4335" w:type="dxa"/>
            <w:tcBorders>
              <w:top w:val="single" w:color="auto" w:sz="4" w:space="0"/>
              <w:left w:val="single" w:color="auto" w:sz="4" w:space="0"/>
              <w:bottom w:val="single" w:color="auto" w:sz="4" w:space="0"/>
              <w:right w:val="single" w:color="auto" w:sz="4" w:space="0"/>
            </w:tcBorders>
            <w:noWrap/>
            <w:vAlign w:val="center"/>
          </w:tcPr>
          <w:p w14:paraId="7AF7C7F7">
            <w:pPr>
              <w:keepNext w:val="0"/>
              <w:keepLines w:val="0"/>
              <w:widowControl/>
              <w:suppressLineNumbers w:val="0"/>
              <w:jc w:val="righ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w:t>
            </w:r>
            <w:r>
              <w:rPr>
                <w:rFonts w:hint="eastAsia" w:ascii="宋体" w:hAnsi="宋体" w:eastAsia="宋体" w:cs="宋体"/>
                <w:color w:val="000000"/>
                <w:sz w:val="21"/>
                <w:szCs w:val="21"/>
                <w:u w:val="none"/>
              </w:rPr>
              <w:t>13,490.24</w:t>
            </w:r>
          </w:p>
        </w:tc>
      </w:tr>
      <w:tr w14:paraId="0BFD9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4A692EA3">
            <w:pPr>
              <w:keepNext w:val="0"/>
              <w:keepLines w:val="0"/>
              <w:widowControl/>
              <w:suppressLineNumbers w:val="0"/>
              <w:jc w:val="both"/>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所有者权益合计</w:t>
            </w:r>
          </w:p>
        </w:tc>
        <w:tc>
          <w:tcPr>
            <w:tcW w:w="4335" w:type="dxa"/>
            <w:tcBorders>
              <w:top w:val="single" w:color="auto" w:sz="4" w:space="0"/>
              <w:left w:val="single" w:color="auto" w:sz="4" w:space="0"/>
              <w:bottom w:val="single" w:color="auto" w:sz="4" w:space="0"/>
              <w:right w:val="single" w:color="auto" w:sz="4" w:space="0"/>
            </w:tcBorders>
            <w:noWrap/>
            <w:vAlign w:val="center"/>
          </w:tcPr>
          <w:p w14:paraId="0502C365">
            <w:pPr>
              <w:keepNext w:val="0"/>
              <w:keepLines w:val="0"/>
              <w:widowControl/>
              <w:suppressLineNumbers w:val="0"/>
              <w:jc w:val="right"/>
              <w:textAlignment w:val="center"/>
              <w:rPr>
                <w:rFonts w:hint="eastAsia" w:ascii="宋体" w:hAnsi="宋体" w:eastAsia="宋体" w:cs="宋体"/>
                <w:i w:val="0"/>
                <w:color w:val="000000"/>
                <w:sz w:val="21"/>
                <w:szCs w:val="21"/>
                <w:u w:val="none"/>
              </w:rPr>
            </w:pPr>
            <w:r>
              <w:rPr>
                <w:rFonts w:hint="eastAsia" w:ascii="宋体" w:hAnsi="宋体" w:eastAsia="宋体" w:cs="宋体"/>
                <w:b/>
                <w:bCs/>
                <w:i w:val="0"/>
                <w:color w:val="000000"/>
                <w:kern w:val="0"/>
                <w:sz w:val="21"/>
                <w:szCs w:val="21"/>
                <w:u w:val="none"/>
                <w:lang w:val="en-US" w:eastAsia="zh-CN" w:bidi="ar"/>
              </w:rPr>
              <w:t>503,675.65</w:t>
            </w:r>
          </w:p>
        </w:tc>
      </w:tr>
      <w:tr w14:paraId="241BE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48B91C9C">
            <w:pPr>
              <w:keepNext w:val="0"/>
              <w:keepLines w:val="0"/>
              <w:widowControl/>
              <w:suppressLineNumbers w:val="0"/>
              <w:jc w:val="both"/>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负债及所有者权益合计</w:t>
            </w:r>
          </w:p>
        </w:tc>
        <w:tc>
          <w:tcPr>
            <w:tcW w:w="4335" w:type="dxa"/>
            <w:tcBorders>
              <w:top w:val="single" w:color="auto" w:sz="4" w:space="0"/>
              <w:left w:val="single" w:color="auto" w:sz="4" w:space="0"/>
              <w:bottom w:val="single" w:color="auto" w:sz="4" w:space="0"/>
              <w:right w:val="single" w:color="auto" w:sz="4" w:space="0"/>
            </w:tcBorders>
            <w:noWrap/>
            <w:vAlign w:val="center"/>
          </w:tcPr>
          <w:p w14:paraId="725E2211">
            <w:pPr>
              <w:keepNext w:val="0"/>
              <w:keepLines w:val="0"/>
              <w:widowControl/>
              <w:suppressLineNumbers w:val="0"/>
              <w:jc w:val="righ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 xml:space="preserve"> </w:t>
            </w:r>
            <w:r>
              <w:rPr>
                <w:rFonts w:hint="eastAsia" w:ascii="宋体" w:hAnsi="宋体" w:eastAsia="宋体" w:cs="宋体"/>
                <w:b/>
                <w:color w:val="000000"/>
                <w:sz w:val="21"/>
                <w:szCs w:val="21"/>
                <w:u w:val="none"/>
              </w:rPr>
              <w:t>597,302.48</w:t>
            </w:r>
          </w:p>
        </w:tc>
      </w:tr>
    </w:tbl>
    <w:p w14:paraId="0CA9DC74">
      <w:pPr>
        <w:pStyle w:val="28"/>
        <w:rPr>
          <w:rFonts w:hint="eastAsia" w:ascii="宋体" w:hAnsi="宋体" w:eastAsia="宋体" w:cs="宋体"/>
          <w:color w:val="auto"/>
          <w:highlight w:val="none"/>
        </w:rPr>
      </w:pPr>
      <w:r>
        <w:rPr>
          <w:rFonts w:hint="eastAsia" w:ascii="宋体" w:hAnsi="宋体" w:eastAsia="宋体" w:cs="宋体"/>
          <w:color w:val="auto"/>
          <w:highlight w:val="none"/>
        </w:rPr>
        <w:t>注：报告截止日</w:t>
      </w:r>
      <w:r>
        <w:rPr>
          <w:rFonts w:hint="eastAsia" w:ascii="宋体" w:hAnsi="宋体" w:eastAsia="宋体" w:cs="宋体"/>
          <w:color w:val="auto"/>
          <w:highlight w:val="none"/>
          <w:lang w:val="en-US" w:eastAsia="zh-CN"/>
        </w:rPr>
        <w:t>2026年6月15日</w:t>
      </w:r>
      <w:r>
        <w:rPr>
          <w:rFonts w:hint="eastAsia" w:ascii="宋体" w:hAnsi="宋体" w:eastAsia="宋体" w:cs="宋体"/>
          <w:color w:val="auto"/>
          <w:highlight w:val="none"/>
        </w:rPr>
        <w:t>(基金最后运作日)，基金份额总额490,185.41份，基金份额净值1.0275元。</w:t>
      </w:r>
    </w:p>
    <w:p w14:paraId="2C9E871F">
      <w:pPr>
        <w:pStyle w:val="3"/>
        <w:spacing w:before="0" w:after="0"/>
        <w:rPr>
          <w:rFonts w:hint="eastAsia" w:ascii="宋体" w:hAnsi="宋体" w:eastAsia="宋体" w:cs="宋体"/>
          <w:color w:val="auto"/>
          <w:kern w:val="0"/>
          <w:sz w:val="21"/>
          <w:szCs w:val="21"/>
          <w:highlight w:val="none"/>
        </w:rPr>
      </w:pPr>
      <w:bookmarkStart w:id="39" w:name="_Toc484769807"/>
      <w:bookmarkStart w:id="40" w:name="_Toc491963085"/>
      <w:r>
        <w:rPr>
          <w:rFonts w:hint="eastAsia" w:ascii="宋体" w:hAnsi="宋体" w:eastAsia="宋体" w:cs="宋体"/>
          <w:color w:val="auto"/>
          <w:kern w:val="0"/>
          <w:sz w:val="21"/>
          <w:szCs w:val="21"/>
          <w:highlight w:val="none"/>
        </w:rPr>
        <w:t>4.2 清算损益表</w:t>
      </w:r>
      <w:bookmarkEnd w:id="39"/>
      <w:bookmarkEnd w:id="40"/>
    </w:p>
    <w:tbl>
      <w:tblPr>
        <w:tblStyle w:val="13"/>
        <w:tblW w:w="7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95"/>
        <w:gridCol w:w="4408"/>
      </w:tblGrid>
      <w:tr w14:paraId="11A37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3495" w:type="dxa"/>
            <w:noWrap w:val="0"/>
            <w:vAlign w:val="center"/>
          </w:tcPr>
          <w:p w14:paraId="2E63296A">
            <w:pPr>
              <w:pStyle w:val="11"/>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w:t>
            </w:r>
          </w:p>
        </w:tc>
        <w:tc>
          <w:tcPr>
            <w:tcW w:w="4408" w:type="dxa"/>
            <w:noWrap w:val="0"/>
            <w:vAlign w:val="center"/>
          </w:tcPr>
          <w:p w14:paraId="0EFA2C42">
            <w:pPr>
              <w:pStyle w:val="11"/>
              <w:spacing w:before="0" w:beforeAutospacing="0" w:after="0" w:afterAutospacing="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2026年6月16日</w:t>
            </w:r>
            <w:r>
              <w:rPr>
                <w:rFonts w:hint="eastAsia" w:ascii="宋体" w:hAnsi="宋体" w:eastAsia="宋体" w:cs="宋体"/>
                <w:b/>
                <w:color w:val="auto"/>
                <w:sz w:val="21"/>
                <w:szCs w:val="21"/>
                <w:highlight w:val="none"/>
                <w:lang w:eastAsia="zh-CN"/>
              </w:rPr>
              <w:t>至2026年6月30日</w:t>
            </w:r>
          </w:p>
          <w:p w14:paraId="37C0A499">
            <w:pPr>
              <w:pStyle w:val="11"/>
              <w:spacing w:before="0" w:beforeAutospacing="0" w:after="0" w:afterAutospacing="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（清算期间）</w:t>
            </w:r>
          </w:p>
        </w:tc>
      </w:tr>
      <w:tr w14:paraId="37FA8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075C9B42">
            <w:pPr>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一、清算收益</w:t>
            </w:r>
          </w:p>
        </w:tc>
        <w:tc>
          <w:tcPr>
            <w:tcW w:w="4408" w:type="dxa"/>
            <w:noWrap w:val="0"/>
            <w:vAlign w:val="top"/>
          </w:tcPr>
          <w:p w14:paraId="0B4EE06C">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1,133.38</w:t>
            </w:r>
          </w:p>
        </w:tc>
      </w:tr>
      <w:tr w14:paraId="79456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624319E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利息收入</w:t>
            </w:r>
          </w:p>
        </w:tc>
        <w:tc>
          <w:tcPr>
            <w:tcW w:w="4408" w:type="dxa"/>
            <w:noWrap w:val="0"/>
            <w:vAlign w:val="top"/>
          </w:tcPr>
          <w:p w14:paraId="64AC5E5F">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12.07</w:t>
            </w:r>
          </w:p>
        </w:tc>
      </w:tr>
      <w:tr w14:paraId="664B2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52DB82E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投资收益</w:t>
            </w:r>
          </w:p>
        </w:tc>
        <w:tc>
          <w:tcPr>
            <w:tcW w:w="4408" w:type="dxa"/>
            <w:noWrap w:val="0"/>
            <w:vAlign w:val="top"/>
          </w:tcPr>
          <w:p w14:paraId="2C100608">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624.31</w:t>
            </w:r>
          </w:p>
        </w:tc>
      </w:tr>
      <w:tr w14:paraId="6B6DD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038F97E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公允价值变动损益</w:t>
            </w:r>
          </w:p>
        </w:tc>
        <w:tc>
          <w:tcPr>
            <w:tcW w:w="4408" w:type="dxa"/>
            <w:noWrap w:val="0"/>
            <w:vAlign w:val="top"/>
          </w:tcPr>
          <w:p w14:paraId="19695F0A">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497.00</w:t>
            </w:r>
          </w:p>
        </w:tc>
      </w:tr>
      <w:tr w14:paraId="5FC17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4A7F4EBC">
            <w:pPr>
              <w:numPr>
                <w:ilvl w:val="0"/>
                <w:numId w:val="1"/>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汇兑收益</w:t>
            </w:r>
          </w:p>
        </w:tc>
        <w:tc>
          <w:tcPr>
            <w:tcW w:w="4408" w:type="dxa"/>
            <w:noWrap w:val="0"/>
            <w:vAlign w:val="top"/>
          </w:tcPr>
          <w:p w14:paraId="4ABC677B">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w:t>
            </w:r>
          </w:p>
        </w:tc>
      </w:tr>
      <w:tr w14:paraId="12F6C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jc w:val="center"/>
        </w:trPr>
        <w:tc>
          <w:tcPr>
            <w:tcW w:w="3495" w:type="dxa"/>
            <w:noWrap w:val="0"/>
            <w:vAlign w:val="center"/>
          </w:tcPr>
          <w:p w14:paraId="1CB43F3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其他收入</w:t>
            </w:r>
          </w:p>
        </w:tc>
        <w:tc>
          <w:tcPr>
            <w:tcW w:w="4408" w:type="dxa"/>
            <w:noWrap w:val="0"/>
            <w:vAlign w:val="top"/>
          </w:tcPr>
          <w:p w14:paraId="2A895955">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w:t>
            </w:r>
          </w:p>
        </w:tc>
      </w:tr>
      <w:tr w14:paraId="2DF82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6E0A1991">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二、清算费用</w:t>
            </w:r>
          </w:p>
        </w:tc>
        <w:tc>
          <w:tcPr>
            <w:tcW w:w="4408" w:type="dxa"/>
            <w:noWrap w:val="0"/>
            <w:vAlign w:val="top"/>
          </w:tcPr>
          <w:p w14:paraId="4852C28D">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200.75</w:t>
            </w:r>
          </w:p>
        </w:tc>
      </w:tr>
      <w:tr w14:paraId="3EAB6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3D26E0A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税金及附加</w:t>
            </w:r>
          </w:p>
        </w:tc>
        <w:tc>
          <w:tcPr>
            <w:tcW w:w="4408" w:type="dxa"/>
            <w:noWrap w:val="0"/>
            <w:vAlign w:val="top"/>
          </w:tcPr>
          <w:p w14:paraId="2E9D8075">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0.75</w:t>
            </w:r>
          </w:p>
        </w:tc>
      </w:tr>
      <w:tr w14:paraId="10988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5F08409E">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预提汇划费</w:t>
            </w:r>
          </w:p>
        </w:tc>
        <w:tc>
          <w:tcPr>
            <w:tcW w:w="4408" w:type="dxa"/>
            <w:noWrap w:val="0"/>
            <w:vAlign w:val="top"/>
          </w:tcPr>
          <w:p w14:paraId="4ED79B02">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200.00</w:t>
            </w:r>
          </w:p>
        </w:tc>
      </w:tr>
      <w:tr w14:paraId="281DC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0DD1582A">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三、清算收益（损失）总额</w:t>
            </w:r>
          </w:p>
        </w:tc>
        <w:tc>
          <w:tcPr>
            <w:tcW w:w="4408" w:type="dxa"/>
            <w:noWrap w:val="0"/>
            <w:vAlign w:val="center"/>
          </w:tcPr>
          <w:p w14:paraId="35934C95">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932.63</w:t>
            </w:r>
          </w:p>
        </w:tc>
      </w:tr>
      <w:tr w14:paraId="6290C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6E96202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w:t>
            </w:r>
            <w:bookmarkStart w:id="41" w:name="OLE_LINK3"/>
            <w:r>
              <w:rPr>
                <w:rFonts w:hint="eastAsia" w:ascii="宋体" w:hAnsi="宋体" w:eastAsia="宋体" w:cs="宋体"/>
                <w:color w:val="auto"/>
                <w:sz w:val="21"/>
                <w:szCs w:val="21"/>
                <w:highlight w:val="none"/>
              </w:rPr>
              <w:t>所得税费用</w:t>
            </w:r>
            <w:bookmarkEnd w:id="41"/>
          </w:p>
        </w:tc>
        <w:tc>
          <w:tcPr>
            <w:tcW w:w="4408" w:type="dxa"/>
            <w:noWrap w:val="0"/>
            <w:vAlign w:val="center"/>
          </w:tcPr>
          <w:p w14:paraId="79551AEF">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w:t>
            </w:r>
          </w:p>
        </w:tc>
      </w:tr>
      <w:tr w14:paraId="3CE79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75805FE4">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四、清算净收益（损失）</w:t>
            </w:r>
          </w:p>
        </w:tc>
        <w:tc>
          <w:tcPr>
            <w:tcW w:w="4408" w:type="dxa"/>
            <w:noWrap w:val="0"/>
            <w:vAlign w:val="center"/>
          </w:tcPr>
          <w:p w14:paraId="17549215">
            <w:pPr>
              <w:keepNext w:val="0"/>
              <w:keepLines w:val="0"/>
              <w:widowControl/>
              <w:suppressLineNumbers w:val="0"/>
              <w:jc w:val="righ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932.63</w:t>
            </w:r>
          </w:p>
        </w:tc>
      </w:tr>
    </w:tbl>
    <w:p w14:paraId="7222B5AF">
      <w:pPr>
        <w:pStyle w:val="28"/>
        <w:rPr>
          <w:rFonts w:hint="eastAsia" w:ascii="宋体" w:hAnsi="宋体" w:eastAsia="宋体" w:cs="宋体"/>
          <w:b/>
          <w:color w:val="auto"/>
          <w:highlight w:val="none"/>
        </w:rPr>
      </w:pPr>
      <w:bookmarkStart w:id="42" w:name="_Toc483396840"/>
      <w:bookmarkStart w:id="43" w:name="_Toc484607313"/>
      <w:bookmarkStart w:id="44" w:name="_Toc484769808"/>
      <w:r>
        <w:rPr>
          <w:rFonts w:hint="eastAsia" w:ascii="宋体" w:hAnsi="宋体" w:eastAsia="宋体" w:cs="宋体"/>
          <w:color w:val="auto"/>
          <w:highlight w:val="none"/>
        </w:rPr>
        <w:t>注：利息收入系以当前适用的利率预估计提的自</w:t>
      </w:r>
      <w:r>
        <w:rPr>
          <w:rFonts w:hint="eastAsia" w:ascii="宋体" w:hAnsi="宋体" w:eastAsia="宋体" w:cs="宋体"/>
          <w:b w:val="0"/>
          <w:bCs/>
          <w:color w:val="auto"/>
          <w:sz w:val="21"/>
          <w:szCs w:val="21"/>
          <w:highlight w:val="none"/>
          <w:lang w:val="en-US" w:eastAsia="zh-CN"/>
        </w:rPr>
        <w:t>2026年6月16日</w:t>
      </w:r>
      <w:r>
        <w:rPr>
          <w:rFonts w:hint="eastAsia" w:ascii="宋体" w:hAnsi="宋体" w:eastAsia="宋体" w:cs="宋体"/>
          <w:color w:val="auto"/>
          <w:highlight w:val="none"/>
        </w:rPr>
        <w:t>至</w:t>
      </w:r>
      <w:r>
        <w:rPr>
          <w:rFonts w:hint="eastAsia" w:ascii="宋体" w:hAnsi="宋体" w:eastAsia="宋体" w:cs="宋体"/>
          <w:color w:val="auto"/>
          <w:u w:val="none"/>
          <w:lang w:eastAsia="zh-CN"/>
        </w:rPr>
        <w:t>2026年6月30日</w:t>
      </w:r>
      <w:r>
        <w:rPr>
          <w:rFonts w:hint="eastAsia" w:ascii="宋体" w:hAnsi="宋体" w:eastAsia="宋体" w:cs="宋体"/>
          <w:color w:val="auto"/>
          <w:u w:val="none"/>
        </w:rPr>
        <w:t>止清算期间的活期存款利息、结算备付金利息和存出保证金利息。</w:t>
      </w:r>
    </w:p>
    <w:p w14:paraId="17C720E5">
      <w:pPr>
        <w:pStyle w:val="3"/>
        <w:spacing w:before="0" w:after="0"/>
        <w:rPr>
          <w:rFonts w:hint="eastAsia" w:ascii="宋体" w:hAnsi="宋体" w:eastAsia="宋体" w:cs="宋体"/>
          <w:color w:val="auto"/>
          <w:kern w:val="0"/>
          <w:sz w:val="21"/>
          <w:szCs w:val="21"/>
          <w:highlight w:val="none"/>
        </w:rPr>
      </w:pPr>
      <w:bookmarkStart w:id="45" w:name="_Toc491963086"/>
      <w:r>
        <w:rPr>
          <w:rFonts w:hint="eastAsia" w:ascii="宋体" w:hAnsi="宋体" w:eastAsia="宋体" w:cs="宋体"/>
          <w:color w:val="auto"/>
          <w:kern w:val="0"/>
          <w:sz w:val="21"/>
          <w:szCs w:val="21"/>
          <w:highlight w:val="none"/>
        </w:rPr>
        <w:t>4.3 报表附注</w:t>
      </w:r>
      <w:bookmarkEnd w:id="42"/>
      <w:bookmarkEnd w:id="43"/>
      <w:bookmarkEnd w:id="44"/>
      <w:bookmarkEnd w:id="45"/>
    </w:p>
    <w:p w14:paraId="2E1CDA09">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4.3.1基金基本情况</w:t>
      </w:r>
    </w:p>
    <w:p w14:paraId="46AA24F7">
      <w:pPr>
        <w:pStyle w:val="28"/>
        <w:rPr>
          <w:rFonts w:hint="eastAsia" w:ascii="宋体" w:hAnsi="宋体" w:eastAsia="宋体" w:cs="宋体"/>
          <w:color w:val="auto"/>
          <w:highlight w:val="none"/>
        </w:rPr>
      </w:pPr>
      <w:r>
        <w:rPr>
          <w:rFonts w:hint="eastAsia" w:ascii="宋体" w:hAnsi="宋体" w:eastAsia="宋体" w:cs="宋体"/>
          <w:color w:val="auto"/>
          <w:highlight w:val="none"/>
        </w:rPr>
        <w:t>本基金经中国证监会证监许可[2021]2004号《关于准予博时富恒纯债一年定期开放债券型发起式证券投资基金注册的批复》核准，由博时基金管理有限公司依照《中华人民共和国证券投资基金法》和《博时富恒纯债一年定期开放债券型发起式证券投资基金基金合同》负责公开募集。本基金为契约型定期开放式基金，存续期限不定，首次设立募集不包括认购资金利息共募集人民币2,509,999,000.00元，业经安永华明会计师事务所（特殊普通合伙）安永华明（2021）验字第60669135_A33号验资报告予以验证。经向中国证监会备案，《博时富恒纯债一年定期开放债券型发起式证券投资基金基金合同》于2021年11月25日正式生效，基金合同生效日的基金份额总额为2,510,127,288.94份基金份额，其中认购资金利息折合128,288.94份基金份额。本基金的基金管理人为博时基金管理有限公司，基金托管人为兴业银行股份有限公司。</w:t>
      </w:r>
    </w:p>
    <w:p w14:paraId="009E2700">
      <w:pPr>
        <w:pStyle w:val="28"/>
        <w:rPr>
          <w:rFonts w:hint="eastAsia" w:ascii="宋体" w:hAnsi="宋体" w:eastAsia="宋体" w:cs="宋体"/>
          <w:color w:val="auto"/>
          <w:highlight w:val="none"/>
        </w:rPr>
      </w:pPr>
      <w:r>
        <w:rPr>
          <w:rFonts w:hint="eastAsia" w:ascii="宋体" w:hAnsi="宋体" w:eastAsia="宋体" w:cs="宋体"/>
          <w:color w:val="auto"/>
          <w:highlight w:val="none"/>
        </w:rPr>
        <w:t>本基金以定期开放的方式运作，即采用封闭运作和开放运作交替循环的方式。自基金合同生效日起（包括基金合同生效日）或者每一个开放期结束之日次日起（包括该日）一年的期间内，本基金采取封闭运作模式。本基金封闭期内不办理申购与赎回业务（红利再投资除外）。除基金合同另有约定外，每一个封闭期结束后，本基金即进入开放期，开放期的期限为自封闭期结束之日后第一个工作日起（含该日）一至二十个工作日，具体期间由基金管理人在封闭期结束前公告说明，但在开放期内，基金管理人有权延长开放期时间并公告，但开放期最长不可超过二十个工作日。开放期内，本基金采取开放运作模式，投资人可办理基金份额申购、赎回或其他业务。开放期未赎回的份额将自动转入下一个封闭期。</w:t>
      </w:r>
    </w:p>
    <w:p w14:paraId="325DD3AE">
      <w:pPr>
        <w:pStyle w:val="28"/>
        <w:rPr>
          <w:rFonts w:hint="eastAsia" w:ascii="宋体" w:hAnsi="宋体" w:eastAsia="宋体" w:cs="宋体"/>
          <w:color w:val="auto"/>
          <w:highlight w:val="none"/>
        </w:rPr>
      </w:pPr>
      <w:r>
        <w:rPr>
          <w:rFonts w:hint="eastAsia" w:ascii="宋体" w:hAnsi="宋体" w:eastAsia="宋体" w:cs="宋体"/>
          <w:color w:val="auto"/>
          <w:highlight w:val="none"/>
        </w:rPr>
        <w:t>本基金为发起式基金，发起资金认购部分为10,000,511.16份基金份额，发起资金认购方承诺使用发起资金认购的基金份额持有期限不少于3年。</w:t>
      </w:r>
    </w:p>
    <w:p w14:paraId="15F23162">
      <w:pPr>
        <w:pStyle w:val="28"/>
        <w:rPr>
          <w:rFonts w:hint="eastAsia" w:ascii="宋体" w:hAnsi="宋体" w:eastAsia="宋体" w:cs="宋体"/>
          <w:color w:val="auto"/>
          <w:highlight w:val="none"/>
        </w:rPr>
      </w:pPr>
      <w:r>
        <w:rPr>
          <w:rFonts w:hint="eastAsia" w:ascii="宋体" w:hAnsi="宋体" w:eastAsia="宋体" w:cs="宋体"/>
          <w:color w:val="auto"/>
          <w:highlight w:val="none"/>
        </w:rPr>
        <w:t>根据《中华人民共和国证券投资基金法》和《博时富恒纯债一年定期开放债券型发起式证券投资基金基金合同》的有关规定，本基金的投资范围主要为具有良好流动性的金融工具，包括债券（含国债、金融债、企业债、公司债、地方政府债、政府支持机构债券、央行票据、中期票据、短期融资券、超短期融资券、公开发行的次级债、可分离交易可转债的纯债部分等中国证监会允许投资的其他债券）、资产支持证券、债券回购、货币市场工具（同业存单、银行存款）等法律法规或中国证监会允许基金投资的其他金融工具（但须符合中国证监会的相关规定）。本基金不投资于股票等资产，也不投资于可转换债券（可分离交易可转债的纯债部分除外）、可交换债券。本基金的投资组合比例为：本基金投资于债券资产比例不低于基金资产的80%，但应开放期流动性需要，为保护基金份额持有人利益，在每次开放期开始前1个月、开放期及开放期结束后1个月的期间内，基金投资不受上述比例限制。开放期内现金或者到期日在一年以内的政府债券不低于基金资产净值的5%，其中现金不包括结算备付金、存出保证金、应收申购款等；在封闭期内，本基金不受上述5%的限制。</w:t>
      </w:r>
    </w:p>
    <w:p w14:paraId="6BB13719">
      <w:pPr>
        <w:pStyle w:val="28"/>
        <w:rPr>
          <w:rFonts w:hint="eastAsia" w:ascii="宋体" w:hAnsi="宋体" w:eastAsia="宋体" w:cs="宋体"/>
          <w:color w:val="auto"/>
          <w:highlight w:val="none"/>
        </w:rPr>
      </w:pPr>
      <w:r>
        <w:rPr>
          <w:rFonts w:hint="eastAsia" w:ascii="宋体" w:hAnsi="宋体" w:eastAsia="宋体" w:cs="宋体"/>
          <w:color w:val="auto"/>
          <w:highlight w:val="none"/>
        </w:rPr>
        <w:t>本基金的业绩比较基准为：中债综合财富（总值）指数收益率×90%+1年期定期存款利率（税后）×10%。</w:t>
      </w:r>
    </w:p>
    <w:p w14:paraId="63B558D7">
      <w:pPr>
        <w:pStyle w:val="28"/>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根据《基金合同》以及博时基金管理有限公司于</w:t>
      </w:r>
      <w:r>
        <w:rPr>
          <w:rFonts w:hint="eastAsia" w:ascii="宋体" w:hAnsi="宋体" w:eastAsia="宋体" w:cs="宋体"/>
          <w:color w:val="auto"/>
          <w:highlight w:val="none"/>
          <w:lang w:val="en-US" w:eastAsia="zh-CN"/>
        </w:rPr>
        <w:t>2026年6月12日</w:t>
      </w:r>
      <w:r>
        <w:rPr>
          <w:rFonts w:hint="eastAsia" w:ascii="宋体" w:hAnsi="宋体" w:eastAsia="宋体" w:cs="宋体"/>
          <w:color w:val="auto"/>
          <w:highlight w:val="none"/>
        </w:rPr>
        <w:t>发布的《</w:t>
      </w:r>
      <w:r>
        <w:rPr>
          <w:rFonts w:hint="eastAsia" w:ascii="宋体" w:hAnsi="宋体" w:eastAsia="宋体" w:cs="宋体"/>
          <w:color w:val="auto"/>
          <w:highlight w:val="none"/>
          <w:lang w:eastAsia="zh-CN"/>
        </w:rPr>
        <w:t>博时基金管理有限公司关于博时富恒纯债一年定期开放债券型发起式证券投资基金基金份额持有人大会表决结果暨决议生效的公告</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本基金的最后运作日为2026年6月15日，自赎回选择期届满的下一日即2026年6月16日起，本基金即进入清算程序，基金管理人不再接收投资人提出的申购、赎回、基金转换等业务申请。本基金进入清算程序后，停止收取基金管理费、基金托管费</w:t>
      </w:r>
      <w:r>
        <w:rPr>
          <w:rFonts w:hint="eastAsia" w:ascii="宋体" w:hAnsi="宋体" w:eastAsia="宋体" w:cs="宋体"/>
          <w:color w:val="auto"/>
          <w:highlight w:val="none"/>
        </w:rPr>
        <w:t>。</w:t>
      </w:r>
    </w:p>
    <w:p w14:paraId="2AEC2A54">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4.3.2清算原因</w:t>
      </w:r>
    </w:p>
    <w:p w14:paraId="5CF9A110">
      <w:pPr>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rPr>
        <w:t>根据《博时基金管理有限公司关于博时富恒纯债一年定期开放债券型发起式证券投资基金基金份额持有人大会表决结果暨决议生效的公告》</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本基金以通讯方式召开了基金份额持有人大会，会议审议并通过了《关于终止博时富恒纯债一年定期开放债券型发起式证券投资基金基金合同有关事项的议案》。根据该议案，本基金的最后运作日为2026年6月15日，自赎回选择期届满的下一日即2026年6月16日起，本基金即进入清算程序，基金管理人不再接收投资人提出的申购、赎回、基金转换等业务申请。本基金进入清算程序后，停止收取基金管理费、基金托管费。</w:t>
      </w:r>
    </w:p>
    <w:p w14:paraId="22E249B1">
      <w:pPr>
        <w:spacing w:line="42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本基金的最后运作日为2026年6月15日，自</w:t>
      </w:r>
      <w:r>
        <w:rPr>
          <w:rFonts w:hint="eastAsia" w:ascii="宋体" w:hAnsi="宋体" w:eastAsia="宋体" w:cs="宋体"/>
          <w:color w:val="auto"/>
          <w:highlight w:val="none"/>
          <w:lang w:val="en-US" w:eastAsia="zh-CN"/>
        </w:rPr>
        <w:t>2026年6月16日</w:t>
      </w:r>
      <w:r>
        <w:rPr>
          <w:rFonts w:hint="eastAsia" w:ascii="宋体" w:hAnsi="宋体" w:eastAsia="宋体" w:cs="宋体"/>
          <w:color w:val="auto"/>
          <w:highlight w:val="none"/>
        </w:rPr>
        <w:t>起，本基金进入清算程序，由本基金管理人博时基金管理有限公司、基金托管人兴业银行股份有限公司、</w:t>
      </w:r>
      <w:r>
        <w:rPr>
          <w:rFonts w:hint="eastAsia" w:ascii="宋体" w:hAnsi="宋体" w:eastAsia="宋体" w:cs="宋体"/>
          <w:color w:val="auto"/>
          <w:highlight w:val="none"/>
          <w:lang w:val="en-US" w:eastAsia="zh-CN"/>
        </w:rPr>
        <w:t>安永华明会计师事务所（特殊普通合伙）</w:t>
      </w:r>
      <w:r>
        <w:rPr>
          <w:rFonts w:hint="eastAsia" w:ascii="宋体" w:hAnsi="宋体" w:eastAsia="宋体" w:cs="宋体"/>
          <w:color w:val="auto"/>
          <w:highlight w:val="none"/>
        </w:rPr>
        <w:t>和</w:t>
      </w:r>
      <w:r>
        <w:rPr>
          <w:rFonts w:hint="eastAsia" w:ascii="宋体" w:hAnsi="宋体" w:eastAsia="宋体" w:cs="宋体"/>
          <w:color w:val="auto"/>
          <w:highlight w:val="none"/>
          <w:lang w:val="en-US" w:eastAsia="zh-CN"/>
        </w:rPr>
        <w:t>上海源泰律师事务所</w:t>
      </w:r>
      <w:r>
        <w:rPr>
          <w:rFonts w:hint="eastAsia" w:ascii="宋体" w:hAnsi="宋体" w:eastAsia="宋体" w:cs="宋体"/>
          <w:color w:val="auto"/>
          <w:highlight w:val="none"/>
        </w:rPr>
        <w:t>组成基金财产清算小组履行基金财产清算程序，并由</w:t>
      </w:r>
      <w:r>
        <w:rPr>
          <w:rFonts w:hint="eastAsia" w:ascii="宋体" w:hAnsi="宋体" w:eastAsia="宋体" w:cs="宋体"/>
          <w:color w:val="auto"/>
          <w:highlight w:val="none"/>
          <w:lang w:val="en-US" w:eastAsia="zh-CN"/>
        </w:rPr>
        <w:t>安永华明会计师事务所（特殊普通合伙）</w:t>
      </w:r>
      <w:r>
        <w:rPr>
          <w:rFonts w:hint="eastAsia" w:ascii="宋体" w:hAnsi="宋体" w:eastAsia="宋体" w:cs="宋体"/>
          <w:color w:val="auto"/>
          <w:highlight w:val="none"/>
        </w:rPr>
        <w:t>对本基金进行清算审计，</w:t>
      </w:r>
      <w:r>
        <w:rPr>
          <w:rFonts w:hint="eastAsia" w:ascii="宋体" w:hAnsi="宋体" w:eastAsia="宋体" w:cs="宋体"/>
          <w:color w:val="auto"/>
          <w:highlight w:val="none"/>
          <w:lang w:val="en-US" w:eastAsia="zh-CN"/>
        </w:rPr>
        <w:t>上海源泰律师事务所</w:t>
      </w:r>
      <w:r>
        <w:rPr>
          <w:rFonts w:hint="eastAsia" w:ascii="宋体" w:hAnsi="宋体" w:eastAsia="宋体" w:cs="宋体"/>
          <w:color w:val="auto"/>
          <w:highlight w:val="none"/>
        </w:rPr>
        <w:t>对清算报告出具法律意见。</w:t>
      </w:r>
    </w:p>
    <w:p w14:paraId="41AF3A98">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4.3.3清算起始日</w:t>
      </w:r>
    </w:p>
    <w:p w14:paraId="7EE75252">
      <w:pPr>
        <w:pStyle w:val="28"/>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根据博时基金管理有限公司于2026年6月12日发布的《博时基金管理有限公司关于博时富恒纯债一年定期开放债券型发起式证券投资基金基金份额持有人大会表决结果暨决议生效的公告》，本基金的清算起始日为2026年6月16日。</w:t>
      </w:r>
    </w:p>
    <w:p w14:paraId="0F5CB5DF">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4.3.4清算财务报表的编制基础</w:t>
      </w:r>
    </w:p>
    <w:p w14:paraId="1D38D1C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如财务报表附注4.3.3所述，自</w:t>
      </w:r>
      <w:r>
        <w:rPr>
          <w:rFonts w:hint="eastAsia" w:ascii="宋体" w:hAnsi="宋体" w:eastAsia="宋体" w:cs="宋体"/>
          <w:color w:val="auto"/>
          <w:highlight w:val="none"/>
          <w:lang w:val="en-US" w:eastAsia="zh-CN"/>
        </w:rPr>
        <w:t>2026年6月16日</w:t>
      </w:r>
      <w:r>
        <w:rPr>
          <w:rFonts w:hint="eastAsia" w:ascii="宋体" w:hAnsi="宋体" w:eastAsia="宋体" w:cs="宋体"/>
          <w:color w:val="auto"/>
          <w:szCs w:val="21"/>
          <w:highlight w:val="none"/>
        </w:rPr>
        <w:t>起，本基金进入清算程序，因此本财务报表以清算基础编制。</w:t>
      </w:r>
    </w:p>
    <w:p w14:paraId="695C38A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本基金财务报表按附注4.3.5中所述的重要会计政策和会计估计以清算基础编制。于</w:t>
      </w:r>
      <w:r>
        <w:rPr>
          <w:rFonts w:hint="eastAsia" w:ascii="宋体" w:hAnsi="宋体" w:eastAsia="宋体" w:cs="宋体"/>
          <w:color w:val="auto"/>
          <w:szCs w:val="21"/>
          <w:highlight w:val="none"/>
          <w:lang w:val="en-US" w:eastAsia="zh-CN"/>
        </w:rPr>
        <w:t>2026年6月15日</w:t>
      </w:r>
      <w:r>
        <w:rPr>
          <w:rFonts w:hint="eastAsia" w:ascii="宋体" w:hAnsi="宋体" w:eastAsia="宋体" w:cs="宋体"/>
          <w:color w:val="auto"/>
          <w:szCs w:val="21"/>
          <w:highlight w:val="none"/>
        </w:rPr>
        <w:t>(基金最后运作日)，所有资产以可收回金额与原账面价值孰低计量，负债以预计需要清偿的金额计量。</w:t>
      </w:r>
    </w:p>
    <w:p w14:paraId="6629A6D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此外，本基金财务报表按照中国证券投资基金业协会(以下简称“中国基金业协会”)颁布的《证券投资基金会计核算业务指引》、《基金合同》约定的资产估值和会计核算方法及在财务报表附注4.3所列示的中国证监会、中国基金业协会发布的有关规定及允许的基金行业实务操作编制。</w:t>
      </w:r>
    </w:p>
    <w:p w14:paraId="53581A5E">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4.3.5 重要会计政策和会计估计</w:t>
      </w:r>
    </w:p>
    <w:p w14:paraId="2E644D13">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4.3.5.1清算期间</w:t>
      </w:r>
    </w:p>
    <w:p w14:paraId="5B17B9A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本清算期间为</w:t>
      </w:r>
      <w:r>
        <w:rPr>
          <w:rFonts w:hint="eastAsia" w:ascii="宋体" w:hAnsi="宋体" w:eastAsia="宋体" w:cs="宋体"/>
          <w:color w:val="auto"/>
          <w:highlight w:val="none"/>
          <w:lang w:val="en-US" w:eastAsia="zh-CN"/>
        </w:rPr>
        <w:t>2026年6月16日</w:t>
      </w:r>
      <w:r>
        <w:rPr>
          <w:rFonts w:hint="eastAsia" w:ascii="宋体" w:hAnsi="宋体" w:eastAsia="宋体" w:cs="宋体"/>
          <w:color w:val="auto"/>
          <w:szCs w:val="21"/>
          <w:highlight w:val="none"/>
        </w:rPr>
        <w:t>至</w:t>
      </w:r>
      <w:r>
        <w:rPr>
          <w:rFonts w:hint="eastAsia" w:ascii="宋体" w:hAnsi="宋体" w:eastAsia="宋体" w:cs="宋体"/>
          <w:color w:val="auto"/>
          <w:u w:val="none"/>
          <w:lang w:eastAsia="zh-CN"/>
        </w:rPr>
        <w:t>2026年6月30日</w:t>
      </w:r>
      <w:r>
        <w:rPr>
          <w:rFonts w:hint="eastAsia" w:ascii="宋体" w:hAnsi="宋体" w:eastAsia="宋体" w:cs="宋体"/>
          <w:color w:val="auto"/>
          <w:u w:val="none"/>
        </w:rPr>
        <w:t>。</w:t>
      </w:r>
    </w:p>
    <w:p w14:paraId="027F2CD6">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4.3.5.2 记账本位币</w:t>
      </w:r>
    </w:p>
    <w:p w14:paraId="1AB39C0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本清算财务报表以人民币为记账本位币。</w:t>
      </w:r>
    </w:p>
    <w:p w14:paraId="793E5D4A">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4.3.5.3 应收利息的确认和计量 </w:t>
      </w:r>
    </w:p>
    <w:p w14:paraId="19F5927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应收款项按照未来应收取的款项金额计量。</w:t>
      </w:r>
    </w:p>
    <w:p w14:paraId="3D5BF9FD">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4.3.5.4 应付款项的确认和计量 </w:t>
      </w:r>
    </w:p>
    <w:p w14:paraId="35FE10A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应付款项按照未来应支付的款项金额计量。</w:t>
      </w:r>
    </w:p>
    <w:p w14:paraId="64915437">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4.3.5.5 清算收益的确认和计量 </w:t>
      </w:r>
    </w:p>
    <w:p w14:paraId="09F5DE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清算收益按照实际发生的收益金额或未来应收取的款项金额计量。</w:t>
      </w:r>
    </w:p>
    <w:p w14:paraId="5B39668A">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4.3.5.6清算费用的确认和计量 </w:t>
      </w:r>
    </w:p>
    <w:p w14:paraId="078371F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清算费用按照实际发生的费用金额或未来应支付的款项金额计量。</w:t>
      </w:r>
    </w:p>
    <w:p w14:paraId="3ADB5F6D">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4.3.6 税项</w:t>
      </w:r>
    </w:p>
    <w:p w14:paraId="6E099281">
      <w:pPr>
        <w:spacing w:line="360" w:lineRule="auto"/>
        <w:ind w:firstLine="420" w:firstLineChars="200"/>
        <w:rPr>
          <w:rFonts w:hint="eastAsia" w:ascii="宋体" w:hAnsi="宋体" w:eastAsia="宋体" w:cs="宋体"/>
          <w:color w:val="auto"/>
          <w:szCs w:val="21"/>
          <w:highlight w:val="none"/>
        </w:rPr>
      </w:pPr>
      <w:bookmarkStart w:id="46" w:name="_Toc491963087"/>
      <w:bookmarkStart w:id="47" w:name="_Toc484769809"/>
      <w:r>
        <w:rPr>
          <w:rFonts w:hint="eastAsia" w:ascii="宋体" w:hAnsi="宋体" w:eastAsia="宋体" w:cs="宋体"/>
          <w:color w:val="auto"/>
          <w:szCs w:val="21"/>
          <w:highlight w:val="none"/>
        </w:rPr>
        <w:t>（1） 增值税</w:t>
      </w:r>
    </w:p>
    <w:p w14:paraId="6683F72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国家税务总局财税[2016]36号文《关于全面推开营业税改征增值税试点的通知》的规定，对证券投资基金（封闭式证券投资基金，开放式证券投资基金）管理人运用基金买卖股票、债券的转让收入免征增值税；国债、地方政府债利息收入以及金融同业往来利息收入免征增值税；存款利息收入不征收增值税；</w:t>
      </w:r>
    </w:p>
    <w:p w14:paraId="1DF9452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国家税务总局财税[2016]46号文《关于进一步明确全面推开营改增试点金融业有关政策的通知》的规定，金融机构开展的质押式买入返售金融商品业务及持有政策性金融债券取得的利息收入属于金融同业往来利息收入；</w:t>
      </w:r>
    </w:p>
    <w:p w14:paraId="6A8EA93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国家税务总局财税[2016]70号文《关于金融机构同业往来等增值税政策的补充通知》的规定，金融机构开展的买断式买入返售金融商品业务、同业存款、同业存单以及持有金融债券取得的利息收入属于金融同业往来利息收入；</w:t>
      </w:r>
    </w:p>
    <w:p w14:paraId="06AB189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根据财政部、国家税务总局财税[2016]140号文《关于明确金融、房地产开发、教育辅助服务等增值税政策的通知》的规定，资管产品运营过程中发生的增值税应税行为，以资管产品管理人为增值税纳税人；</w:t>
      </w:r>
    </w:p>
    <w:p w14:paraId="5185CE2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国家税务总局财税[2017]56号文《关于资管产品增值税有关问题的通知》的规定，自2018年1月1日起，资管产品管理人运营资管产品过程中发生的增值税应税行为（以下简称“资管产品运营业务”），暂适用简易计税方法，按照3%的征收率缴纳增值税，资管产品管理人未分别核算资管产品运营业务和其他业务的销售额和增值税应纳税额的除外。资管产品管理人可选择分别或汇总核算资管产品运营业务销售额和增值税应纳税额。对资管产品在2018年1月1日前运营过程中发生的增值税应税行为，未缴纳增值税的，不再缴纳；已缴纳增值税的，已纳税额从资管产品管理人以后月份的增值税应纳税额中抵减；</w:t>
      </w:r>
    </w:p>
    <w:p w14:paraId="6AEA48A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国家税务总局财税[2017]90号文《关于租入固定资产进项税额抵扣等增值税政策的通知》的规定，自2018年1月1日起，资管产品管理人运营资管产品提供的贷款服务、发生的部分金融商品转让业务，按照以下规定确定销售额：提供贷款服务，以2018年1月1日起产生的利息及利息性质的收入为销售额；转让2017年12月31日前取得的股票（不包括限售股）、债券、基金、非货物期货，可以选择按照实际买入价计算销售额，或者以2017年最后一个交易日的股票收盘价（2017年最后一个交易日处于停牌期间的股票，为停牌前最后一个交易日收盘价）、债券估值（中债金融估值中心有限公司或中证指数有限公司提供的债券估值）、基金份额净值、非货物期货结算价格作为买入价计算销售额；</w:t>
      </w:r>
    </w:p>
    <w:p w14:paraId="6521C26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国家税务总局公告2025年第4号《关于国债等债券利息收入增值税政策的公告》，自2025年8月8日起，对在该日期之后（含当日）新发行的国债、地方政府债券、金融债券的利息收入，恢复征收增值税。对在该日期之前已发行的国债、地方政府债券、金融债券（包含在2025年8月8日之后续发行的部分）的利息收入，继续免征增值税直至债券到期；</w:t>
      </w:r>
    </w:p>
    <w:p w14:paraId="7D6B8CB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增值税附加税包括城市维护建设税、教育费附加和地方教育附加，以实际缴纳的增值税税额为计税依据，分别按规定的比例缴纳。</w:t>
      </w:r>
    </w:p>
    <w:p w14:paraId="6B87AB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企业所得税</w:t>
      </w:r>
    </w:p>
    <w:p w14:paraId="590A92B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国家税务总局财税[2004]78号文《关于证券投资基金税收政策的通知》的规定，自2004年1月1日起，对证券投资基金（封闭式证券投资基金，开放式证券投资基金）管理人运用基金买卖股票、债券的差价收入，继续免征企业所得税；</w:t>
      </w:r>
    </w:p>
    <w:p w14:paraId="058D067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国家税务总局财税[2008]1号文《关于企业所得税若干优惠政策的通知》的规定，对证券投资基金从证券市场中取得的收入，包括买卖股票、债券的差价收入，股权的股息、红利收入，债券的利息收入及其他收入，暂不征收企业所得税。</w:t>
      </w:r>
    </w:p>
    <w:p w14:paraId="3622A9F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个人所得税</w:t>
      </w:r>
    </w:p>
    <w:p w14:paraId="3843B6B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根据财政部、国家税务总局财税[2008]132号文《财政部、国家税务总局关于储蓄存款利息所得有关个人所得税政策的通知》的规定，自2008年10月9日起，对储蓄存款利息所得暂免征收个人所得税。</w:t>
      </w:r>
    </w:p>
    <w:p w14:paraId="24D05603">
      <w:pPr>
        <w:pStyle w:val="2"/>
        <w:keepNext/>
        <w:keepLines/>
        <w:widowControl w:val="0"/>
        <w:spacing w:before="312" w:beforeLines="100" w:after="312" w:afterLines="100" w:line="360" w:lineRule="auto"/>
        <w:jc w:val="center"/>
        <w:rPr>
          <w:rStyle w:val="25"/>
          <w:rFonts w:hint="eastAsia" w:ascii="宋体" w:hAnsi="宋体" w:eastAsia="宋体" w:cs="宋体"/>
          <w:color w:val="auto"/>
          <w:highlight w:val="none"/>
        </w:rPr>
      </w:pPr>
      <w:r>
        <w:rPr>
          <w:rStyle w:val="25"/>
          <w:rFonts w:hint="eastAsia" w:ascii="宋体" w:hAnsi="宋体" w:eastAsia="宋体" w:cs="宋体"/>
          <w:color w:val="auto"/>
          <w:highlight w:val="none"/>
        </w:rPr>
        <w:t>5、清算情况</w:t>
      </w:r>
      <w:bookmarkEnd w:id="46"/>
    </w:p>
    <w:p w14:paraId="04DF3EDB">
      <w:pPr>
        <w:pStyle w:val="3"/>
        <w:spacing w:before="0" w:after="0"/>
        <w:rPr>
          <w:rFonts w:hint="eastAsia" w:ascii="宋体" w:hAnsi="宋体" w:eastAsia="宋体" w:cs="宋体"/>
          <w:color w:val="auto"/>
          <w:kern w:val="0"/>
          <w:sz w:val="21"/>
          <w:szCs w:val="21"/>
          <w:highlight w:val="none"/>
        </w:rPr>
      </w:pPr>
      <w:bookmarkStart w:id="48" w:name="_Toc491963088"/>
      <w:r>
        <w:rPr>
          <w:rFonts w:hint="eastAsia" w:ascii="宋体" w:hAnsi="宋体" w:eastAsia="宋体" w:cs="宋体"/>
          <w:color w:val="auto"/>
          <w:kern w:val="0"/>
          <w:sz w:val="21"/>
          <w:szCs w:val="21"/>
          <w:highlight w:val="none"/>
        </w:rPr>
        <w:t>5.1 资产负债清算情况</w:t>
      </w:r>
      <w:bookmarkEnd w:id="48"/>
    </w:p>
    <w:p w14:paraId="054D4167">
      <w:pPr>
        <w:pStyle w:val="2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w:t>
      </w:r>
      <w:r>
        <w:rPr>
          <w:rFonts w:hint="eastAsia" w:ascii="宋体" w:hAnsi="宋体" w:eastAsia="宋体" w:cs="宋体"/>
          <w:color w:val="auto"/>
          <w:sz w:val="21"/>
          <w:szCs w:val="21"/>
          <w:highlight w:val="none"/>
          <w:lang w:val="en-US" w:eastAsia="zh-CN"/>
        </w:rPr>
        <w:t>2026年6月16日</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lang w:val="en-US" w:eastAsia="zh-CN"/>
        </w:rPr>
        <w:t>2026年6月30日</w:t>
      </w:r>
      <w:r>
        <w:rPr>
          <w:rFonts w:hint="eastAsia" w:ascii="宋体" w:hAnsi="宋体" w:eastAsia="宋体" w:cs="宋体"/>
          <w:color w:val="auto"/>
          <w:sz w:val="21"/>
          <w:szCs w:val="21"/>
          <w:highlight w:val="none"/>
        </w:rPr>
        <w:t>止为本次清算期间，基金财产清算小组对本基金的基金财产进行清算，全部清算工作按清算原则和清算手续进行。具体清算情况如下：</w:t>
      </w:r>
    </w:p>
    <w:p w14:paraId="5804AB3C">
      <w:pPr>
        <w:pStyle w:val="2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截至本次清算期结束日（</w:t>
      </w:r>
      <w:r>
        <w:rPr>
          <w:rFonts w:hint="eastAsia" w:ascii="宋体" w:hAnsi="宋体" w:eastAsia="宋体" w:cs="宋体"/>
          <w:color w:val="auto"/>
          <w:sz w:val="21"/>
          <w:szCs w:val="21"/>
          <w:highlight w:val="none"/>
          <w:lang w:val="en-US" w:eastAsia="zh-CN"/>
        </w:rPr>
        <w:t>2026年6月30日</w:t>
      </w:r>
      <w:r>
        <w:rPr>
          <w:rFonts w:hint="eastAsia" w:ascii="宋体" w:hAnsi="宋体" w:eastAsia="宋体" w:cs="宋体"/>
          <w:color w:val="auto"/>
          <w:sz w:val="21"/>
          <w:szCs w:val="21"/>
          <w:highlight w:val="none"/>
        </w:rPr>
        <w:t>），各项资产负债清算情况如下：</w:t>
      </w:r>
    </w:p>
    <w:p w14:paraId="12FBFCE8">
      <w:pPr>
        <w:pStyle w:val="28"/>
        <w:numPr>
          <w:ilvl w:val="0"/>
          <w:numId w:val="2"/>
        </w:numPr>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本基金最后运作日银行存款为</w:t>
      </w:r>
      <w:r>
        <w:rPr>
          <w:rFonts w:hint="eastAsia" w:ascii="宋体" w:hAnsi="宋体" w:eastAsia="宋体" w:cs="宋体"/>
          <w:color w:val="auto"/>
          <w:sz w:val="21"/>
          <w:szCs w:val="21"/>
          <w:highlight w:val="none"/>
          <w:lang w:val="en-US" w:eastAsia="zh-CN"/>
        </w:rPr>
        <w:t>82,981.87</w:t>
      </w:r>
      <w:r>
        <w:rPr>
          <w:rFonts w:hint="eastAsia" w:ascii="宋体" w:hAnsi="宋体" w:eastAsia="宋体" w:cs="宋体"/>
          <w:color w:val="auto"/>
          <w:sz w:val="21"/>
          <w:szCs w:val="21"/>
          <w:highlight w:val="none"/>
        </w:rPr>
        <w:t>元（含应计利息</w:t>
      </w:r>
      <w:r>
        <w:rPr>
          <w:rFonts w:hint="eastAsia" w:ascii="宋体" w:hAnsi="宋体" w:eastAsia="宋体" w:cs="宋体"/>
          <w:color w:val="auto"/>
          <w:sz w:val="21"/>
          <w:szCs w:val="21"/>
          <w:highlight w:val="none"/>
          <w:lang w:val="en-US" w:eastAsia="zh-CN"/>
        </w:rPr>
        <w:t>230.94</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rPr>
        <w:t>在清算期间</w:t>
      </w:r>
      <w:r>
        <w:rPr>
          <w:rFonts w:hint="eastAsia" w:ascii="宋体" w:hAnsi="宋体" w:eastAsia="宋体" w:cs="宋体"/>
          <w:sz w:val="21"/>
          <w:szCs w:val="21"/>
          <w:lang w:eastAsia="zh-CN"/>
        </w:rPr>
        <w:t>产生应计利息</w:t>
      </w:r>
      <w:r>
        <w:rPr>
          <w:rFonts w:hint="eastAsia" w:ascii="宋体" w:hAnsi="宋体" w:eastAsia="宋体" w:cs="宋体"/>
          <w:sz w:val="21"/>
          <w:szCs w:val="21"/>
          <w:lang w:val="en-US" w:eastAsia="zh-CN"/>
        </w:rPr>
        <w:t>11.92</w:t>
      </w:r>
      <w:r>
        <w:rPr>
          <w:rFonts w:hint="eastAsia" w:ascii="宋体" w:hAnsi="宋体" w:eastAsia="宋体" w:cs="宋体"/>
          <w:sz w:val="21"/>
          <w:szCs w:val="21"/>
          <w:lang w:eastAsia="zh-CN"/>
        </w:rPr>
        <w:t>元，</w:t>
      </w:r>
      <w:r>
        <w:rPr>
          <w:rFonts w:hint="eastAsia" w:ascii="宋体" w:hAnsi="宋体" w:eastAsia="宋体" w:cs="宋体"/>
          <w:color w:val="auto"/>
          <w:sz w:val="21"/>
          <w:szCs w:val="21"/>
          <w:highlight w:val="none"/>
          <w:lang w:val="en-US" w:eastAsia="zh-CN"/>
        </w:rPr>
        <w:t>2026年6月21日已</w:t>
      </w:r>
      <w:r>
        <w:rPr>
          <w:rFonts w:hint="eastAsia" w:ascii="宋体" w:hAnsi="宋体" w:eastAsia="宋体" w:cs="宋体"/>
          <w:sz w:val="21"/>
          <w:szCs w:val="21"/>
          <w:lang w:eastAsia="zh-CN"/>
        </w:rPr>
        <w:t>收到</w:t>
      </w:r>
      <w:r>
        <w:rPr>
          <w:rFonts w:hint="eastAsia" w:ascii="宋体" w:hAnsi="宋体" w:eastAsia="宋体" w:cs="宋体"/>
          <w:sz w:val="21"/>
          <w:szCs w:val="21"/>
          <w:lang w:val="en-US" w:eastAsia="zh-CN"/>
        </w:rPr>
        <w:t>2026年第二季度</w:t>
      </w:r>
      <w:r>
        <w:rPr>
          <w:rFonts w:hint="eastAsia" w:ascii="宋体" w:hAnsi="宋体" w:eastAsia="宋体" w:cs="宋体"/>
          <w:color w:val="auto"/>
          <w:sz w:val="21"/>
          <w:szCs w:val="21"/>
          <w:highlight w:val="none"/>
          <w:lang w:eastAsia="zh-CN"/>
        </w:rPr>
        <w:t>结息234.94元，剩余清算期间产生的应计利息预计于</w:t>
      </w:r>
      <w:r>
        <w:rPr>
          <w:rFonts w:hint="eastAsia" w:ascii="宋体" w:hAnsi="宋体" w:eastAsia="宋体" w:cs="宋体"/>
          <w:color w:val="auto"/>
          <w:sz w:val="21"/>
          <w:szCs w:val="21"/>
          <w:highlight w:val="none"/>
          <w:lang w:val="en-US" w:eastAsia="zh-CN"/>
        </w:rPr>
        <w:t>2026年9月21日收到结息</w:t>
      </w:r>
      <w:r>
        <w:rPr>
          <w:rFonts w:hint="eastAsia" w:ascii="宋体" w:hAnsi="宋体" w:eastAsia="宋体" w:cs="宋体"/>
          <w:color w:val="auto"/>
          <w:sz w:val="21"/>
          <w:szCs w:val="21"/>
          <w:highlight w:val="none"/>
        </w:rPr>
        <w:t>。</w:t>
      </w:r>
    </w:p>
    <w:p w14:paraId="35525C23">
      <w:pPr>
        <w:pStyle w:val="28"/>
        <w:numPr>
          <w:ilvl w:val="0"/>
          <w:numId w:val="2"/>
        </w:numPr>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本基金最后运作日</w:t>
      </w:r>
      <w:r>
        <w:rPr>
          <w:rFonts w:hint="eastAsia" w:ascii="宋体" w:hAnsi="宋体" w:eastAsia="宋体" w:cs="宋体"/>
          <w:color w:val="auto"/>
          <w:sz w:val="21"/>
          <w:szCs w:val="21"/>
          <w:highlight w:val="none"/>
          <w:lang w:val="en-US" w:eastAsia="zh-CN"/>
        </w:rPr>
        <w:t>上交所最低</w:t>
      </w:r>
      <w:r>
        <w:rPr>
          <w:rFonts w:hint="eastAsia" w:ascii="宋体" w:hAnsi="宋体" w:eastAsia="宋体" w:cs="宋体"/>
          <w:color w:val="auto"/>
          <w:sz w:val="21"/>
          <w:szCs w:val="21"/>
          <w:highlight w:val="none"/>
          <w:lang w:eastAsia="zh-CN"/>
        </w:rPr>
        <w:t>结算备付金</w:t>
      </w:r>
      <w:r>
        <w:rPr>
          <w:rFonts w:hint="eastAsia" w:ascii="宋体" w:hAnsi="宋体" w:eastAsia="宋体" w:cs="宋体"/>
          <w:color w:val="auto"/>
          <w:sz w:val="21"/>
          <w:szCs w:val="21"/>
          <w:highlight w:val="none"/>
        </w:rPr>
        <w:t>余额为</w:t>
      </w:r>
      <w:r>
        <w:rPr>
          <w:rFonts w:hint="eastAsia" w:ascii="宋体" w:hAnsi="宋体" w:eastAsia="宋体" w:cs="宋体"/>
          <w:color w:val="auto"/>
          <w:sz w:val="21"/>
          <w:szCs w:val="21"/>
          <w:highlight w:val="none"/>
          <w:lang w:val="en-US" w:eastAsia="zh-CN"/>
        </w:rPr>
        <w:t>0.52</w:t>
      </w:r>
      <w:r>
        <w:rPr>
          <w:rFonts w:hint="eastAsia" w:ascii="宋体" w:hAnsi="宋体" w:eastAsia="宋体" w:cs="宋体"/>
          <w:color w:val="auto"/>
          <w:sz w:val="21"/>
          <w:szCs w:val="21"/>
          <w:highlight w:val="none"/>
        </w:rPr>
        <w:t>元（含应计利息</w:t>
      </w:r>
      <w:r>
        <w:rPr>
          <w:rFonts w:hint="eastAsia" w:ascii="宋体" w:hAnsi="宋体" w:eastAsia="宋体" w:cs="宋体"/>
          <w:color w:val="auto"/>
          <w:sz w:val="21"/>
          <w:szCs w:val="21"/>
          <w:highlight w:val="none"/>
          <w:lang w:val="en-US" w:eastAsia="zh-CN"/>
        </w:rPr>
        <w:t>0.52</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rPr>
        <w:t>在清算期间</w:t>
      </w:r>
      <w:r>
        <w:rPr>
          <w:rFonts w:hint="eastAsia" w:ascii="宋体" w:hAnsi="宋体" w:eastAsia="宋体" w:cs="宋体"/>
          <w:sz w:val="21"/>
          <w:szCs w:val="21"/>
          <w:lang w:eastAsia="zh-CN"/>
        </w:rPr>
        <w:t>收到</w:t>
      </w:r>
      <w:r>
        <w:rPr>
          <w:rFonts w:hint="eastAsia" w:ascii="宋体" w:hAnsi="宋体" w:eastAsia="宋体" w:cs="宋体"/>
          <w:color w:val="auto"/>
          <w:sz w:val="21"/>
          <w:szCs w:val="21"/>
          <w:highlight w:val="none"/>
          <w:lang w:val="en-US" w:eastAsia="zh-CN"/>
        </w:rPr>
        <w:t>上交所最低</w:t>
      </w:r>
      <w:r>
        <w:rPr>
          <w:rFonts w:hint="eastAsia" w:ascii="宋体" w:hAnsi="宋体" w:eastAsia="宋体" w:cs="宋体"/>
          <w:color w:val="auto"/>
          <w:sz w:val="21"/>
          <w:szCs w:val="21"/>
          <w:highlight w:val="none"/>
          <w:lang w:eastAsia="zh-CN"/>
        </w:rPr>
        <w:t>结算备付金结息</w:t>
      </w:r>
      <w:r>
        <w:rPr>
          <w:rFonts w:hint="eastAsia" w:ascii="宋体" w:hAnsi="宋体" w:eastAsia="宋体" w:cs="宋体"/>
          <w:color w:val="auto"/>
          <w:sz w:val="21"/>
          <w:szCs w:val="21"/>
          <w:highlight w:val="none"/>
          <w:lang w:val="en-US" w:eastAsia="zh-CN"/>
        </w:rPr>
        <w:t>0.62</w:t>
      </w:r>
      <w:r>
        <w:rPr>
          <w:rFonts w:hint="eastAsia" w:ascii="宋体" w:hAnsi="宋体" w:eastAsia="宋体" w:cs="宋体"/>
          <w:color w:val="auto"/>
          <w:sz w:val="21"/>
          <w:szCs w:val="21"/>
          <w:highlight w:val="none"/>
        </w:rPr>
        <w:t>元。</w:t>
      </w:r>
    </w:p>
    <w:p w14:paraId="353CDD00">
      <w:pPr>
        <w:pStyle w:val="28"/>
        <w:numPr>
          <w:ilvl w:val="0"/>
          <w:numId w:val="2"/>
        </w:numPr>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本基金最后运作日</w:t>
      </w:r>
      <w:r>
        <w:rPr>
          <w:rFonts w:hint="eastAsia" w:ascii="宋体" w:hAnsi="宋体" w:eastAsia="宋体" w:cs="宋体"/>
          <w:color w:val="auto"/>
          <w:sz w:val="21"/>
          <w:szCs w:val="21"/>
          <w:highlight w:val="none"/>
          <w:lang w:eastAsia="zh-CN"/>
        </w:rPr>
        <w:t>不可动用的上交所结算保证金</w:t>
      </w:r>
      <w:r>
        <w:rPr>
          <w:rFonts w:hint="eastAsia" w:ascii="宋体" w:hAnsi="宋体" w:eastAsia="宋体" w:cs="宋体"/>
          <w:color w:val="auto"/>
          <w:sz w:val="21"/>
          <w:szCs w:val="21"/>
          <w:highlight w:val="none"/>
        </w:rPr>
        <w:t>余额为</w:t>
      </w:r>
      <w:r>
        <w:rPr>
          <w:rFonts w:hint="eastAsia" w:ascii="宋体" w:hAnsi="宋体" w:eastAsia="宋体" w:cs="宋体"/>
          <w:color w:val="auto"/>
          <w:sz w:val="21"/>
          <w:szCs w:val="21"/>
          <w:highlight w:val="none"/>
          <w:lang w:val="en-US" w:eastAsia="zh-CN"/>
        </w:rPr>
        <w:t>41.65</w:t>
      </w:r>
      <w:r>
        <w:rPr>
          <w:rFonts w:hint="eastAsia" w:ascii="宋体" w:hAnsi="宋体" w:eastAsia="宋体" w:cs="宋体"/>
          <w:color w:val="auto"/>
          <w:sz w:val="21"/>
          <w:szCs w:val="21"/>
          <w:highlight w:val="none"/>
        </w:rPr>
        <w:t>元（含应计利息</w:t>
      </w:r>
      <w:r>
        <w:rPr>
          <w:rFonts w:hint="eastAsia" w:ascii="宋体" w:hAnsi="宋体" w:eastAsia="宋体" w:cs="宋体"/>
          <w:color w:val="auto"/>
          <w:sz w:val="21"/>
          <w:szCs w:val="21"/>
          <w:highlight w:val="none"/>
          <w:lang w:val="en-US" w:eastAsia="zh-CN"/>
        </w:rPr>
        <w:t>0.00</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rPr>
        <w:t>在清算期间</w:t>
      </w:r>
      <w:r>
        <w:rPr>
          <w:rFonts w:hint="eastAsia" w:ascii="宋体" w:hAnsi="宋体" w:eastAsia="宋体" w:cs="宋体"/>
          <w:sz w:val="21"/>
          <w:szCs w:val="21"/>
          <w:lang w:eastAsia="zh-CN"/>
        </w:rPr>
        <w:t>收到</w:t>
      </w:r>
      <w:r>
        <w:rPr>
          <w:rFonts w:hint="eastAsia" w:ascii="宋体" w:hAnsi="宋体" w:eastAsia="宋体" w:cs="宋体"/>
          <w:color w:val="auto"/>
          <w:sz w:val="21"/>
          <w:szCs w:val="21"/>
          <w:highlight w:val="none"/>
          <w:lang w:eastAsia="zh-CN"/>
        </w:rPr>
        <w:t>上交所结算保证金结息</w:t>
      </w:r>
      <w:r>
        <w:rPr>
          <w:rFonts w:hint="eastAsia" w:ascii="宋体" w:hAnsi="宋体" w:eastAsia="宋体" w:cs="宋体"/>
          <w:color w:val="auto"/>
          <w:sz w:val="21"/>
          <w:szCs w:val="21"/>
          <w:highlight w:val="none"/>
          <w:lang w:val="en-US" w:eastAsia="zh-CN"/>
        </w:rPr>
        <w:t>0.02元，本金部分预计将于2026年8月收回</w:t>
      </w:r>
      <w:r>
        <w:rPr>
          <w:rFonts w:hint="eastAsia" w:ascii="宋体" w:hAnsi="宋体" w:eastAsia="宋体" w:cs="宋体"/>
          <w:color w:val="auto"/>
          <w:sz w:val="21"/>
          <w:szCs w:val="21"/>
          <w:highlight w:val="none"/>
        </w:rPr>
        <w:t>。</w:t>
      </w:r>
    </w:p>
    <w:p w14:paraId="73893BE4">
      <w:pPr>
        <w:pStyle w:val="28"/>
        <w:numPr>
          <w:ilvl w:val="0"/>
          <w:numId w:val="2"/>
        </w:numPr>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本基金最后运作日</w:t>
      </w:r>
      <w:r>
        <w:rPr>
          <w:rFonts w:hint="eastAsia" w:ascii="宋体" w:hAnsi="宋体" w:eastAsia="宋体" w:cs="宋体"/>
          <w:color w:val="auto"/>
          <w:sz w:val="21"/>
          <w:szCs w:val="21"/>
          <w:highlight w:val="none"/>
          <w:lang w:eastAsia="zh-CN"/>
        </w:rPr>
        <w:t>债券投资</w:t>
      </w:r>
      <w:r>
        <w:rPr>
          <w:rFonts w:hint="eastAsia" w:ascii="宋体" w:hAnsi="宋体" w:eastAsia="宋体" w:cs="宋体"/>
          <w:color w:val="auto"/>
          <w:sz w:val="21"/>
          <w:szCs w:val="21"/>
          <w:highlight w:val="none"/>
        </w:rPr>
        <w:t>余额为</w:t>
      </w:r>
      <w:r>
        <w:rPr>
          <w:rFonts w:hint="eastAsia" w:ascii="宋体" w:hAnsi="宋体" w:eastAsia="宋体" w:cs="宋体"/>
          <w:color w:val="auto"/>
          <w:sz w:val="21"/>
          <w:szCs w:val="21"/>
          <w:highlight w:val="none"/>
          <w:lang w:val="en-US" w:eastAsia="zh-CN"/>
        </w:rPr>
        <w:t>514,278.44</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截止2026年6月30日已全部卖出，</w:t>
      </w:r>
      <w:r>
        <w:rPr>
          <w:rFonts w:hint="eastAsia" w:ascii="宋体" w:hAnsi="宋体" w:eastAsia="宋体" w:cs="宋体"/>
          <w:color w:val="auto"/>
          <w:sz w:val="21"/>
          <w:szCs w:val="21"/>
          <w:highlight w:val="none"/>
          <w:lang w:val="en-US" w:eastAsia="zh-CN"/>
        </w:rPr>
        <w:t>2026年7月1日变现资金到账</w:t>
      </w:r>
      <w:r>
        <w:rPr>
          <w:rFonts w:hint="eastAsia" w:ascii="宋体" w:hAnsi="宋体" w:eastAsia="宋体" w:cs="宋体"/>
          <w:color w:val="auto"/>
          <w:sz w:val="21"/>
          <w:szCs w:val="21"/>
          <w:highlight w:val="none"/>
        </w:rPr>
        <w:t>。</w:t>
      </w:r>
    </w:p>
    <w:p w14:paraId="5F356C5E">
      <w:pPr>
        <w:pStyle w:val="28"/>
        <w:numPr>
          <w:ilvl w:val="0"/>
          <w:numId w:val="2"/>
        </w:numPr>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本基金最后运作日应付管理人报酬为</w:t>
      </w:r>
      <w:r>
        <w:rPr>
          <w:rFonts w:hint="eastAsia" w:ascii="宋体" w:hAnsi="宋体" w:eastAsia="宋体" w:cs="宋体"/>
          <w:color w:val="auto"/>
          <w:sz w:val="21"/>
          <w:szCs w:val="21"/>
          <w:highlight w:val="none"/>
          <w:lang w:val="en-US" w:eastAsia="zh-CN"/>
        </w:rPr>
        <w:t>65.94</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预计将于</w:t>
      </w:r>
      <w:r>
        <w:rPr>
          <w:rFonts w:hint="eastAsia" w:ascii="宋体" w:hAnsi="宋体" w:eastAsia="宋体" w:cs="宋体"/>
          <w:color w:val="auto"/>
          <w:sz w:val="21"/>
          <w:szCs w:val="21"/>
          <w:highlight w:val="none"/>
          <w:lang w:val="en-US" w:eastAsia="zh-CN"/>
        </w:rPr>
        <w:t>2026年7月3日划出</w:t>
      </w:r>
      <w:r>
        <w:rPr>
          <w:rFonts w:hint="eastAsia" w:ascii="宋体" w:hAnsi="宋体" w:eastAsia="宋体" w:cs="宋体"/>
          <w:color w:val="auto"/>
          <w:sz w:val="21"/>
          <w:szCs w:val="21"/>
          <w:highlight w:val="none"/>
        </w:rPr>
        <w:t>。</w:t>
      </w:r>
    </w:p>
    <w:p w14:paraId="75D2CC25">
      <w:pPr>
        <w:pStyle w:val="28"/>
        <w:numPr>
          <w:ilvl w:val="0"/>
          <w:numId w:val="2"/>
        </w:numPr>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本基金最后运作日应付托管费为</w:t>
      </w:r>
      <w:r>
        <w:rPr>
          <w:rFonts w:hint="eastAsia" w:ascii="宋体" w:hAnsi="宋体" w:eastAsia="宋体" w:cs="宋体"/>
          <w:color w:val="auto"/>
          <w:sz w:val="21"/>
          <w:szCs w:val="21"/>
          <w:highlight w:val="none"/>
          <w:lang w:val="en-US" w:eastAsia="zh-CN"/>
        </w:rPr>
        <w:t>21.93</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预计将于</w:t>
      </w:r>
      <w:r>
        <w:rPr>
          <w:rFonts w:hint="eastAsia" w:ascii="宋体" w:hAnsi="宋体" w:eastAsia="宋体" w:cs="宋体"/>
          <w:color w:val="auto"/>
          <w:sz w:val="21"/>
          <w:szCs w:val="21"/>
          <w:highlight w:val="none"/>
          <w:lang w:val="en-US" w:eastAsia="zh-CN"/>
        </w:rPr>
        <w:t>2026年7月3日划出</w:t>
      </w:r>
      <w:r>
        <w:rPr>
          <w:rFonts w:hint="eastAsia" w:ascii="宋体" w:hAnsi="宋体" w:eastAsia="宋体" w:cs="宋体"/>
          <w:color w:val="auto"/>
          <w:sz w:val="21"/>
          <w:szCs w:val="21"/>
          <w:highlight w:val="none"/>
        </w:rPr>
        <w:t>。</w:t>
      </w:r>
    </w:p>
    <w:p w14:paraId="06954986">
      <w:pPr>
        <w:pStyle w:val="28"/>
        <w:numPr>
          <w:ilvl w:val="0"/>
          <w:numId w:val="2"/>
        </w:numPr>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本基金最后运作日应付</w:t>
      </w:r>
      <w:r>
        <w:rPr>
          <w:rFonts w:hint="eastAsia" w:ascii="宋体" w:hAnsi="宋体" w:eastAsia="宋体" w:cs="宋体"/>
          <w:color w:val="auto"/>
          <w:sz w:val="21"/>
          <w:szCs w:val="21"/>
          <w:highlight w:val="none"/>
          <w:lang w:eastAsia="zh-CN"/>
        </w:rPr>
        <w:t>增值税</w:t>
      </w:r>
      <w:r>
        <w:rPr>
          <w:rFonts w:hint="eastAsia" w:ascii="宋体" w:hAnsi="宋体" w:eastAsia="宋体" w:cs="宋体"/>
          <w:color w:val="auto"/>
          <w:sz w:val="21"/>
          <w:szCs w:val="21"/>
          <w:highlight w:val="none"/>
        </w:rPr>
        <w:t>为</w:t>
      </w:r>
      <w:r>
        <w:rPr>
          <w:rFonts w:hint="eastAsia" w:ascii="宋体" w:hAnsi="宋体" w:eastAsia="宋体" w:cs="宋体"/>
          <w:color w:val="auto"/>
          <w:sz w:val="21"/>
          <w:szCs w:val="21"/>
          <w:highlight w:val="none"/>
          <w:lang w:val="en-US" w:eastAsia="zh-CN"/>
        </w:rPr>
        <w:t>6.88</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清算期间产生应付增值税</w:t>
      </w:r>
      <w:r>
        <w:rPr>
          <w:rFonts w:hint="eastAsia" w:ascii="宋体" w:hAnsi="宋体" w:eastAsia="宋体" w:cs="宋体"/>
          <w:color w:val="auto"/>
          <w:sz w:val="21"/>
          <w:szCs w:val="21"/>
          <w:highlight w:val="none"/>
          <w:lang w:val="en-US" w:eastAsia="zh-CN"/>
        </w:rPr>
        <w:t>6.90元，</w:t>
      </w:r>
      <w:r>
        <w:rPr>
          <w:rFonts w:hint="eastAsia" w:ascii="宋体" w:hAnsi="宋体" w:eastAsia="宋体" w:cs="宋体"/>
          <w:color w:val="auto"/>
          <w:sz w:val="21"/>
          <w:szCs w:val="21"/>
          <w:highlight w:val="none"/>
          <w:lang w:eastAsia="zh-CN"/>
        </w:rPr>
        <w:t>预计将于</w:t>
      </w:r>
      <w:r>
        <w:rPr>
          <w:rFonts w:hint="eastAsia" w:ascii="宋体" w:hAnsi="宋体" w:eastAsia="宋体" w:cs="宋体"/>
          <w:color w:val="auto"/>
          <w:sz w:val="21"/>
          <w:szCs w:val="21"/>
          <w:highlight w:val="none"/>
          <w:lang w:val="en-US" w:eastAsia="zh-CN"/>
        </w:rPr>
        <w:t>2026年7月6日划出</w:t>
      </w:r>
      <w:r>
        <w:rPr>
          <w:rFonts w:hint="eastAsia" w:ascii="宋体" w:hAnsi="宋体" w:eastAsia="宋体" w:cs="宋体"/>
          <w:color w:val="auto"/>
          <w:sz w:val="21"/>
          <w:szCs w:val="21"/>
          <w:highlight w:val="none"/>
        </w:rPr>
        <w:t>。</w:t>
      </w:r>
    </w:p>
    <w:p w14:paraId="580A563A">
      <w:pPr>
        <w:pStyle w:val="28"/>
        <w:numPr>
          <w:ilvl w:val="0"/>
          <w:numId w:val="2"/>
        </w:numPr>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本基金最后运作日其他负债为</w:t>
      </w:r>
      <w:r>
        <w:rPr>
          <w:rFonts w:hint="eastAsia" w:ascii="宋体" w:hAnsi="宋体" w:eastAsia="宋体" w:cs="宋体"/>
          <w:color w:val="auto"/>
          <w:sz w:val="21"/>
          <w:szCs w:val="21"/>
          <w:highlight w:val="none"/>
          <w:lang w:val="en-US" w:eastAsia="zh-CN"/>
        </w:rPr>
        <w:t>93,532.08</w:t>
      </w:r>
      <w:r>
        <w:rPr>
          <w:rFonts w:hint="eastAsia" w:ascii="宋体" w:hAnsi="宋体" w:eastAsia="宋体" w:cs="宋体"/>
          <w:color w:val="auto"/>
          <w:sz w:val="21"/>
          <w:szCs w:val="21"/>
          <w:highlight w:val="none"/>
        </w:rPr>
        <w:t>元，包括应付</w:t>
      </w:r>
      <w:r>
        <w:rPr>
          <w:rFonts w:hint="eastAsia" w:ascii="宋体" w:hAnsi="宋体" w:eastAsia="宋体" w:cs="宋体"/>
          <w:color w:val="auto"/>
          <w:sz w:val="21"/>
          <w:szCs w:val="21"/>
          <w:highlight w:val="none"/>
          <w:lang w:val="en-US" w:eastAsia="zh-CN"/>
        </w:rPr>
        <w:t>2025年审计费、2026年</w:t>
      </w:r>
      <w:r>
        <w:rPr>
          <w:rFonts w:hint="eastAsia" w:ascii="宋体" w:hAnsi="宋体" w:eastAsia="宋体" w:cs="宋体"/>
          <w:color w:val="auto"/>
          <w:sz w:val="21"/>
          <w:szCs w:val="21"/>
          <w:highlight w:val="none"/>
        </w:rPr>
        <w:t>应付</w:t>
      </w:r>
      <w:r>
        <w:rPr>
          <w:rFonts w:hint="eastAsia" w:ascii="宋体" w:hAnsi="宋体" w:eastAsia="宋体" w:cs="宋体"/>
          <w:color w:val="auto"/>
          <w:sz w:val="21"/>
          <w:szCs w:val="21"/>
          <w:highlight w:val="none"/>
          <w:lang w:eastAsia="zh-CN"/>
        </w:rPr>
        <w:t>清算</w:t>
      </w:r>
      <w:r>
        <w:rPr>
          <w:rFonts w:hint="eastAsia" w:ascii="宋体" w:hAnsi="宋体" w:eastAsia="宋体" w:cs="宋体"/>
          <w:color w:val="auto"/>
          <w:sz w:val="21"/>
          <w:szCs w:val="21"/>
          <w:highlight w:val="none"/>
        </w:rPr>
        <w:t>审计费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应付</w:t>
      </w:r>
      <w:r>
        <w:rPr>
          <w:rFonts w:hint="eastAsia" w:ascii="宋体" w:hAnsi="宋体" w:eastAsia="宋体" w:cs="宋体"/>
          <w:color w:val="auto"/>
          <w:sz w:val="21"/>
          <w:szCs w:val="21"/>
          <w:highlight w:val="none"/>
          <w:lang w:eastAsia="zh-CN"/>
        </w:rPr>
        <w:t>上证报信息披露费、</w:t>
      </w:r>
      <w:r>
        <w:rPr>
          <w:rFonts w:hint="eastAsia" w:ascii="宋体" w:hAnsi="宋体" w:eastAsia="宋体" w:cs="宋体"/>
          <w:color w:val="auto"/>
          <w:sz w:val="21"/>
          <w:szCs w:val="21"/>
          <w:highlight w:val="none"/>
        </w:rPr>
        <w:t>应付中债登账户维护费</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应付</w:t>
      </w:r>
      <w:r>
        <w:rPr>
          <w:rFonts w:hint="eastAsia" w:ascii="宋体" w:hAnsi="宋体" w:eastAsia="宋体" w:cs="宋体"/>
          <w:color w:val="auto"/>
          <w:sz w:val="21"/>
          <w:szCs w:val="21"/>
          <w:highlight w:val="none"/>
          <w:lang w:eastAsia="zh-CN"/>
        </w:rPr>
        <w:t>上清所</w:t>
      </w:r>
      <w:r>
        <w:rPr>
          <w:rFonts w:hint="eastAsia" w:ascii="宋体" w:hAnsi="宋体" w:eastAsia="宋体" w:cs="宋体"/>
          <w:color w:val="auto"/>
          <w:sz w:val="21"/>
          <w:szCs w:val="21"/>
          <w:highlight w:val="none"/>
        </w:rPr>
        <w:t>账户维护费。</w:t>
      </w:r>
      <w:r>
        <w:rPr>
          <w:rFonts w:hint="eastAsia" w:ascii="宋体" w:hAnsi="宋体" w:eastAsia="宋体" w:cs="宋体"/>
          <w:color w:val="auto"/>
          <w:sz w:val="21"/>
          <w:szCs w:val="21"/>
          <w:highlight w:val="none"/>
          <w:lang w:eastAsia="zh-CN"/>
        </w:rPr>
        <w:t>因</w:t>
      </w:r>
      <w:r>
        <w:rPr>
          <w:rFonts w:hint="eastAsia" w:ascii="宋体" w:hAnsi="宋体" w:eastAsia="宋体" w:cs="宋体"/>
          <w:color w:val="auto"/>
          <w:sz w:val="21"/>
          <w:szCs w:val="21"/>
          <w:highlight w:val="none"/>
          <w:lang w:val="en-US" w:eastAsia="zh-CN"/>
        </w:rPr>
        <w:t>2026年6月1日至2026年6月15日本基金存在迷你期间，基金管理人承担期间内本基金产生的固定费用（含审计费、信息披露费、中债登账户维护费和上清所账户维护费），产品无需计提迷你期间的固定费用。</w:t>
      </w:r>
    </w:p>
    <w:p w14:paraId="18C60A39">
      <w:pPr>
        <w:pStyle w:val="28"/>
        <w:numPr>
          <w:ilvl w:val="0"/>
          <w:numId w:val="3"/>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应付</w:t>
      </w:r>
      <w:r>
        <w:rPr>
          <w:rFonts w:hint="eastAsia" w:ascii="宋体" w:hAnsi="宋体" w:eastAsia="宋体" w:cs="宋体"/>
          <w:color w:val="auto"/>
          <w:sz w:val="21"/>
          <w:szCs w:val="21"/>
          <w:highlight w:val="none"/>
          <w:lang w:val="en-US" w:eastAsia="zh-CN"/>
        </w:rPr>
        <w:t>2025年审计费60,000.00元</w:t>
      </w:r>
      <w:r>
        <w:rPr>
          <w:rFonts w:hint="eastAsia" w:ascii="宋体" w:hAnsi="宋体" w:eastAsia="宋体" w:cs="宋体"/>
          <w:color w:val="auto"/>
          <w:sz w:val="21"/>
          <w:szCs w:val="21"/>
          <w:highlight w:val="none"/>
        </w:rPr>
        <w:t>，该款项将于取得</w:t>
      </w:r>
      <w:r>
        <w:rPr>
          <w:rFonts w:hint="eastAsia" w:ascii="宋体" w:hAnsi="宋体" w:eastAsia="宋体" w:cs="宋体"/>
          <w:color w:val="auto"/>
          <w:sz w:val="21"/>
          <w:szCs w:val="21"/>
          <w:highlight w:val="none"/>
          <w:lang w:eastAsia="zh-CN"/>
        </w:rPr>
        <w:t>审计费</w:t>
      </w:r>
      <w:r>
        <w:rPr>
          <w:rFonts w:hint="eastAsia" w:ascii="宋体" w:hAnsi="宋体" w:eastAsia="宋体" w:cs="宋体"/>
          <w:color w:val="auto"/>
          <w:sz w:val="21"/>
          <w:szCs w:val="21"/>
          <w:highlight w:val="none"/>
        </w:rPr>
        <w:t>发票后支付</w:t>
      </w:r>
      <w:r>
        <w:rPr>
          <w:rFonts w:hint="eastAsia" w:ascii="宋体" w:hAnsi="宋体" w:eastAsia="宋体" w:cs="宋体"/>
          <w:color w:val="auto"/>
          <w:sz w:val="21"/>
          <w:szCs w:val="21"/>
          <w:highlight w:val="none"/>
          <w:lang w:eastAsia="zh-CN"/>
        </w:rPr>
        <w:t>；</w:t>
      </w:r>
    </w:p>
    <w:p w14:paraId="6B2E5A33">
      <w:pPr>
        <w:pStyle w:val="28"/>
        <w:numPr>
          <w:ilvl w:val="0"/>
          <w:numId w:val="3"/>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应付</w:t>
      </w:r>
      <w:r>
        <w:rPr>
          <w:rFonts w:hint="eastAsia" w:ascii="宋体" w:hAnsi="宋体" w:eastAsia="宋体" w:cs="宋体"/>
          <w:color w:val="auto"/>
          <w:sz w:val="21"/>
          <w:szCs w:val="21"/>
          <w:highlight w:val="none"/>
          <w:lang w:val="en-US" w:eastAsia="zh-CN"/>
        </w:rPr>
        <w:t>2026年审计费7,277.11元，</w:t>
      </w:r>
      <w:r>
        <w:rPr>
          <w:rFonts w:hint="eastAsia" w:ascii="宋体" w:hAnsi="宋体" w:eastAsia="宋体" w:cs="宋体"/>
          <w:color w:val="auto"/>
          <w:sz w:val="21"/>
          <w:szCs w:val="21"/>
          <w:highlight w:val="none"/>
        </w:rPr>
        <w:t>该款项将于取得</w:t>
      </w:r>
      <w:r>
        <w:rPr>
          <w:rFonts w:hint="eastAsia" w:ascii="宋体" w:hAnsi="宋体" w:eastAsia="宋体" w:cs="宋体"/>
          <w:color w:val="auto"/>
          <w:sz w:val="21"/>
          <w:szCs w:val="21"/>
          <w:highlight w:val="none"/>
          <w:lang w:eastAsia="zh-CN"/>
        </w:rPr>
        <w:t>审计费</w:t>
      </w:r>
      <w:r>
        <w:rPr>
          <w:rFonts w:hint="eastAsia" w:ascii="宋体" w:hAnsi="宋体" w:eastAsia="宋体" w:cs="宋体"/>
          <w:color w:val="auto"/>
          <w:sz w:val="21"/>
          <w:szCs w:val="21"/>
          <w:highlight w:val="none"/>
        </w:rPr>
        <w:t>发票后支付</w:t>
      </w:r>
      <w:r>
        <w:rPr>
          <w:rFonts w:hint="eastAsia" w:ascii="宋体" w:hAnsi="宋体" w:eastAsia="宋体" w:cs="宋体"/>
          <w:color w:val="auto"/>
          <w:sz w:val="21"/>
          <w:szCs w:val="21"/>
          <w:highlight w:val="none"/>
          <w:lang w:eastAsia="zh-CN"/>
        </w:rPr>
        <w:t>；</w:t>
      </w:r>
    </w:p>
    <w:p w14:paraId="11239737">
      <w:pPr>
        <w:pStyle w:val="28"/>
        <w:numPr>
          <w:ilvl w:val="0"/>
          <w:numId w:val="3"/>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应付</w:t>
      </w:r>
      <w:r>
        <w:rPr>
          <w:rFonts w:hint="eastAsia" w:ascii="宋体" w:hAnsi="宋体" w:eastAsia="宋体" w:cs="宋体"/>
          <w:color w:val="auto"/>
          <w:sz w:val="21"/>
          <w:szCs w:val="21"/>
          <w:highlight w:val="none"/>
          <w:lang w:eastAsia="zh-CN"/>
        </w:rPr>
        <w:t>上证报信息披露费</w:t>
      </w:r>
      <w:r>
        <w:rPr>
          <w:rFonts w:hint="eastAsia" w:ascii="宋体" w:hAnsi="宋体" w:eastAsia="宋体" w:cs="宋体"/>
          <w:color w:val="auto"/>
          <w:sz w:val="21"/>
          <w:szCs w:val="21"/>
          <w:highlight w:val="none"/>
          <w:lang w:val="en-US" w:eastAsia="zh-CN"/>
        </w:rPr>
        <w:t>20,054.97</w:t>
      </w:r>
      <w:r>
        <w:rPr>
          <w:rFonts w:hint="eastAsia" w:ascii="宋体" w:hAnsi="宋体" w:eastAsia="宋体" w:cs="宋体"/>
          <w:color w:val="auto"/>
          <w:sz w:val="21"/>
          <w:szCs w:val="21"/>
          <w:highlight w:val="none"/>
        </w:rPr>
        <w:t>元，该款项将于取得</w:t>
      </w:r>
      <w:r>
        <w:rPr>
          <w:rFonts w:hint="eastAsia" w:ascii="宋体" w:hAnsi="宋体" w:eastAsia="宋体" w:cs="宋体"/>
          <w:color w:val="auto"/>
          <w:sz w:val="21"/>
          <w:szCs w:val="21"/>
          <w:highlight w:val="none"/>
          <w:lang w:eastAsia="zh-CN"/>
        </w:rPr>
        <w:t>信息披露</w:t>
      </w:r>
      <w:r>
        <w:rPr>
          <w:rFonts w:hint="eastAsia" w:ascii="宋体" w:hAnsi="宋体" w:eastAsia="宋体" w:cs="宋体"/>
          <w:color w:val="auto"/>
          <w:sz w:val="21"/>
          <w:szCs w:val="21"/>
          <w:highlight w:val="none"/>
        </w:rPr>
        <w:t>费发票后支付；</w:t>
      </w:r>
    </w:p>
    <w:p w14:paraId="285E650F">
      <w:pPr>
        <w:pStyle w:val="28"/>
        <w:numPr>
          <w:ilvl w:val="0"/>
          <w:numId w:val="3"/>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应付中债登账户维护费</w:t>
      </w:r>
      <w:r>
        <w:rPr>
          <w:rFonts w:hint="eastAsia" w:ascii="宋体" w:hAnsi="宋体" w:eastAsia="宋体" w:cs="宋体"/>
          <w:color w:val="auto"/>
          <w:sz w:val="21"/>
          <w:szCs w:val="21"/>
          <w:highlight w:val="none"/>
          <w:lang w:val="en-US" w:eastAsia="zh-CN"/>
        </w:rPr>
        <w:t>3,000.00</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本基金已</w:t>
      </w:r>
      <w:r>
        <w:rPr>
          <w:rFonts w:hint="eastAsia" w:ascii="宋体" w:hAnsi="宋体" w:eastAsia="宋体" w:cs="宋体"/>
          <w:color w:val="auto"/>
          <w:sz w:val="21"/>
          <w:szCs w:val="21"/>
          <w:highlight w:val="none"/>
        </w:rPr>
        <w:t>于</w:t>
      </w:r>
      <w:r>
        <w:rPr>
          <w:rFonts w:hint="eastAsia" w:ascii="宋体" w:hAnsi="宋体" w:eastAsia="宋体" w:cs="宋体"/>
          <w:color w:val="auto"/>
          <w:sz w:val="21"/>
          <w:szCs w:val="21"/>
          <w:highlight w:val="none"/>
          <w:lang w:val="en-US" w:eastAsia="zh-CN"/>
        </w:rPr>
        <w:t>2026年6月29日</w:t>
      </w:r>
      <w:r>
        <w:rPr>
          <w:rFonts w:hint="eastAsia" w:ascii="宋体" w:hAnsi="宋体" w:eastAsia="宋体" w:cs="宋体"/>
          <w:color w:val="auto"/>
          <w:sz w:val="21"/>
          <w:szCs w:val="21"/>
          <w:highlight w:val="none"/>
          <w:lang w:eastAsia="zh-CN"/>
        </w:rPr>
        <w:t>实际支付</w:t>
      </w:r>
      <w:r>
        <w:rPr>
          <w:rFonts w:hint="eastAsia" w:ascii="宋体" w:hAnsi="宋体" w:eastAsia="宋体" w:cs="宋体"/>
          <w:color w:val="auto"/>
          <w:sz w:val="21"/>
          <w:szCs w:val="21"/>
          <w:highlight w:val="none"/>
          <w:lang w:val="en-US" w:eastAsia="zh-CN"/>
        </w:rPr>
        <w:t>4,500.00</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，因中债登仅支持由本基金全额支付</w:t>
      </w:r>
      <w:r>
        <w:rPr>
          <w:rFonts w:hint="eastAsia" w:ascii="宋体" w:hAnsi="宋体" w:eastAsia="宋体" w:cs="宋体"/>
          <w:color w:val="auto"/>
          <w:sz w:val="21"/>
          <w:szCs w:val="21"/>
          <w:highlight w:val="none"/>
          <w:lang w:val="en-US" w:eastAsia="zh-CN"/>
        </w:rPr>
        <w:t>2026年二季度的账户维护费，后续管理人将所承担的中债登账户维护费1,500.00元划付给本基金托管户</w:t>
      </w:r>
      <w:r>
        <w:rPr>
          <w:rFonts w:hint="eastAsia" w:ascii="宋体" w:hAnsi="宋体" w:eastAsia="宋体" w:cs="宋体"/>
          <w:color w:val="auto"/>
          <w:sz w:val="21"/>
          <w:szCs w:val="21"/>
          <w:highlight w:val="none"/>
          <w:lang w:eastAsia="zh-CN"/>
        </w:rPr>
        <w:t>；</w:t>
      </w:r>
    </w:p>
    <w:p w14:paraId="53F8C910">
      <w:pPr>
        <w:pStyle w:val="28"/>
        <w:numPr>
          <w:ilvl w:val="0"/>
          <w:numId w:val="3"/>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应付中债登账户维护费</w:t>
      </w:r>
      <w:r>
        <w:rPr>
          <w:rFonts w:hint="eastAsia" w:ascii="宋体" w:hAnsi="宋体" w:eastAsia="宋体" w:cs="宋体"/>
          <w:color w:val="auto"/>
          <w:sz w:val="21"/>
          <w:szCs w:val="21"/>
          <w:highlight w:val="none"/>
          <w:lang w:val="en-US" w:eastAsia="zh-CN"/>
        </w:rPr>
        <w:t>3,200.00</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本基金已</w:t>
      </w:r>
      <w:r>
        <w:rPr>
          <w:rFonts w:hint="eastAsia" w:ascii="宋体" w:hAnsi="宋体" w:eastAsia="宋体" w:cs="宋体"/>
          <w:color w:val="auto"/>
          <w:sz w:val="21"/>
          <w:szCs w:val="21"/>
          <w:highlight w:val="none"/>
        </w:rPr>
        <w:t>于</w:t>
      </w:r>
      <w:r>
        <w:rPr>
          <w:rFonts w:hint="eastAsia" w:ascii="宋体" w:hAnsi="宋体" w:eastAsia="宋体" w:cs="宋体"/>
          <w:color w:val="auto"/>
          <w:sz w:val="21"/>
          <w:szCs w:val="21"/>
          <w:highlight w:val="none"/>
          <w:lang w:val="en-US" w:eastAsia="zh-CN"/>
        </w:rPr>
        <w:t>2026年6月29日</w:t>
      </w:r>
      <w:r>
        <w:rPr>
          <w:rFonts w:hint="eastAsia" w:ascii="宋体" w:hAnsi="宋体" w:eastAsia="宋体" w:cs="宋体"/>
          <w:color w:val="auto"/>
          <w:sz w:val="21"/>
          <w:szCs w:val="21"/>
          <w:highlight w:val="none"/>
          <w:lang w:eastAsia="zh-CN"/>
        </w:rPr>
        <w:t>实际支付</w:t>
      </w:r>
      <w:r>
        <w:rPr>
          <w:rFonts w:hint="eastAsia" w:ascii="宋体" w:hAnsi="宋体" w:eastAsia="宋体" w:cs="宋体"/>
          <w:color w:val="auto"/>
          <w:sz w:val="21"/>
          <w:szCs w:val="21"/>
          <w:highlight w:val="none"/>
          <w:lang w:val="en-US" w:eastAsia="zh-CN"/>
        </w:rPr>
        <w:t>4,800.00</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，因上清所仅支持由本基金全额支付</w:t>
      </w:r>
      <w:r>
        <w:rPr>
          <w:rFonts w:hint="eastAsia" w:ascii="宋体" w:hAnsi="宋体" w:eastAsia="宋体" w:cs="宋体"/>
          <w:color w:val="auto"/>
          <w:sz w:val="21"/>
          <w:szCs w:val="21"/>
          <w:highlight w:val="none"/>
          <w:lang w:val="en-US" w:eastAsia="zh-CN"/>
        </w:rPr>
        <w:t>2026年二季度的账户维护费，后续管理人将所承担的上清所账户维护费1,600.00元划付给本基金托管户</w:t>
      </w:r>
      <w:r>
        <w:rPr>
          <w:rFonts w:hint="eastAsia" w:ascii="宋体" w:hAnsi="宋体" w:eastAsia="宋体" w:cs="宋体"/>
          <w:color w:val="auto"/>
          <w:sz w:val="21"/>
          <w:szCs w:val="21"/>
          <w:highlight w:val="none"/>
          <w:lang w:eastAsia="zh-CN"/>
        </w:rPr>
        <w:t>。</w:t>
      </w:r>
    </w:p>
    <w:bookmarkEnd w:id="47"/>
    <w:p w14:paraId="7035CA5C">
      <w:pPr>
        <w:pStyle w:val="3"/>
        <w:spacing w:before="0" w:after="0"/>
        <w:rPr>
          <w:rFonts w:hint="eastAsia" w:ascii="宋体" w:hAnsi="宋体" w:eastAsia="宋体" w:cs="宋体"/>
          <w:color w:val="auto"/>
          <w:kern w:val="0"/>
          <w:sz w:val="21"/>
          <w:szCs w:val="21"/>
          <w:highlight w:val="none"/>
        </w:rPr>
      </w:pPr>
      <w:bookmarkStart w:id="49" w:name="_Toc491963089"/>
      <w:r>
        <w:rPr>
          <w:rFonts w:hint="eastAsia" w:ascii="宋体" w:hAnsi="宋体" w:eastAsia="宋体" w:cs="宋体"/>
          <w:color w:val="auto"/>
          <w:kern w:val="0"/>
          <w:sz w:val="21"/>
          <w:szCs w:val="21"/>
          <w:highlight w:val="none"/>
        </w:rPr>
        <w:t>5.2 截至本次清算期结束日的剩余财产情况及剩余财产分配安排</w:t>
      </w:r>
      <w:bookmarkEnd w:id="49"/>
    </w:p>
    <w:tbl>
      <w:tblPr>
        <w:tblStyle w:val="13"/>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57"/>
        <w:gridCol w:w="4115"/>
      </w:tblGrid>
      <w:tr w14:paraId="7EC2A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410CDE11">
            <w:pPr>
              <w:pStyle w:val="11"/>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w:t>
            </w:r>
          </w:p>
        </w:tc>
        <w:tc>
          <w:tcPr>
            <w:tcW w:w="4115" w:type="dxa"/>
            <w:noWrap w:val="0"/>
            <w:vAlign w:val="center"/>
          </w:tcPr>
          <w:p w14:paraId="1B233681">
            <w:pPr>
              <w:pStyle w:val="11"/>
              <w:spacing w:before="0" w:beforeAutospacing="0" w:after="0" w:afterAutospacing="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金额</w:t>
            </w:r>
          </w:p>
        </w:tc>
      </w:tr>
      <w:tr w14:paraId="790FF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79A628BB">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一、最后运作日</w:t>
            </w:r>
            <w:r>
              <w:rPr>
                <w:rFonts w:hint="eastAsia" w:ascii="宋体" w:hAnsi="宋体" w:eastAsia="宋体" w:cs="宋体"/>
                <w:b/>
                <w:color w:val="auto"/>
                <w:sz w:val="21"/>
                <w:szCs w:val="21"/>
                <w:highlight w:val="none"/>
                <w:lang w:val="en-US" w:eastAsia="zh-CN"/>
              </w:rPr>
              <w:t>2026年6月15日</w:t>
            </w:r>
            <w:r>
              <w:rPr>
                <w:rFonts w:hint="eastAsia" w:ascii="宋体" w:hAnsi="宋体" w:eastAsia="宋体" w:cs="宋体"/>
                <w:b/>
                <w:color w:val="auto"/>
                <w:sz w:val="21"/>
                <w:szCs w:val="21"/>
                <w:highlight w:val="none"/>
              </w:rPr>
              <w:t>基金净资产</w:t>
            </w:r>
          </w:p>
        </w:tc>
        <w:tc>
          <w:tcPr>
            <w:tcW w:w="4115" w:type="dxa"/>
            <w:noWrap w:val="0"/>
            <w:vAlign w:val="center"/>
          </w:tcPr>
          <w:p w14:paraId="7CF5BE92">
            <w:pPr>
              <w:ind w:left="-80"/>
              <w:jc w:val="righ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503,675.65</w:t>
            </w:r>
          </w:p>
        </w:tc>
      </w:tr>
      <w:tr w14:paraId="7C594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2F596C3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w:t>
            </w:r>
            <w:r>
              <w:rPr>
                <w:rFonts w:hint="eastAsia" w:ascii="宋体" w:hAnsi="宋体" w:eastAsia="宋体" w:cs="宋体"/>
                <w:color w:val="auto"/>
                <w:sz w:val="21"/>
                <w:szCs w:val="21"/>
                <w:highlight w:val="none"/>
                <w:lang w:val="en-US" w:eastAsia="zh-CN"/>
              </w:rPr>
              <w:t>2026年6月16日</w:t>
            </w:r>
            <w:r>
              <w:rPr>
                <w:rFonts w:hint="eastAsia" w:ascii="宋体" w:hAnsi="宋体" w:eastAsia="宋体" w:cs="宋体"/>
                <w:color w:val="auto"/>
                <w:sz w:val="21"/>
                <w:szCs w:val="21"/>
                <w:highlight w:val="none"/>
              </w:rPr>
              <w:t>确认申购对价</w:t>
            </w:r>
          </w:p>
        </w:tc>
        <w:tc>
          <w:tcPr>
            <w:tcW w:w="4115" w:type="dxa"/>
            <w:noWrap w:val="0"/>
            <w:vAlign w:val="center"/>
          </w:tcPr>
          <w:p w14:paraId="69BA18AE">
            <w:pPr>
              <w:ind w:left="-80"/>
              <w:jc w:val="righ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7CD30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3B04EB4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w:t>
            </w:r>
            <w:r>
              <w:rPr>
                <w:rFonts w:hint="eastAsia" w:ascii="宋体" w:hAnsi="宋体" w:eastAsia="宋体" w:cs="宋体"/>
                <w:color w:val="auto"/>
                <w:sz w:val="21"/>
                <w:szCs w:val="21"/>
                <w:highlight w:val="none"/>
                <w:lang w:val="en-US" w:eastAsia="zh-CN"/>
              </w:rPr>
              <w:t>2026年6月16日</w:t>
            </w:r>
            <w:r>
              <w:rPr>
                <w:rFonts w:hint="eastAsia" w:ascii="宋体" w:hAnsi="宋体" w:eastAsia="宋体" w:cs="宋体"/>
                <w:color w:val="auto"/>
                <w:sz w:val="21"/>
                <w:szCs w:val="21"/>
                <w:highlight w:val="none"/>
              </w:rPr>
              <w:t>确认赎回对价</w:t>
            </w:r>
          </w:p>
        </w:tc>
        <w:tc>
          <w:tcPr>
            <w:tcW w:w="4115" w:type="dxa"/>
            <w:noWrap w:val="0"/>
            <w:vAlign w:val="center"/>
          </w:tcPr>
          <w:p w14:paraId="2A351E40">
            <w:pPr>
              <w:ind w:left="-80"/>
              <w:jc w:val="righ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7DEAF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2EAE444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加：清算期间净收益</w:t>
            </w:r>
          </w:p>
        </w:tc>
        <w:tc>
          <w:tcPr>
            <w:tcW w:w="4115" w:type="dxa"/>
            <w:noWrap w:val="0"/>
            <w:vAlign w:val="center"/>
          </w:tcPr>
          <w:p w14:paraId="28C48F59">
            <w:pPr>
              <w:ind w:left="-80"/>
              <w:jc w:val="righ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932.63</w:t>
            </w:r>
          </w:p>
        </w:tc>
      </w:tr>
      <w:tr w14:paraId="12247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4BAA92F9">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w:t>
            </w:r>
            <w:r>
              <w:rPr>
                <w:rFonts w:hint="eastAsia" w:ascii="宋体" w:hAnsi="宋体" w:eastAsia="宋体" w:cs="宋体"/>
                <w:b/>
                <w:color w:val="auto"/>
                <w:sz w:val="21"/>
                <w:szCs w:val="21"/>
                <w:highlight w:val="none"/>
                <w:lang w:val="en-US" w:eastAsia="zh-CN"/>
              </w:rPr>
              <w:t>2026年6月30日</w:t>
            </w:r>
            <w:r>
              <w:rPr>
                <w:rFonts w:hint="eastAsia" w:ascii="宋体" w:hAnsi="宋体" w:eastAsia="宋体" w:cs="宋体"/>
                <w:b/>
                <w:color w:val="auto"/>
                <w:sz w:val="21"/>
                <w:szCs w:val="21"/>
                <w:highlight w:val="none"/>
              </w:rPr>
              <w:t>基金净资产</w:t>
            </w:r>
          </w:p>
        </w:tc>
        <w:tc>
          <w:tcPr>
            <w:tcW w:w="4115" w:type="dxa"/>
            <w:noWrap w:val="0"/>
            <w:vAlign w:val="center"/>
          </w:tcPr>
          <w:p w14:paraId="09F9919F">
            <w:pPr>
              <w:ind w:left="-80"/>
              <w:jc w:val="righ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504,608.28</w:t>
            </w:r>
          </w:p>
        </w:tc>
      </w:tr>
    </w:tbl>
    <w:p w14:paraId="374A9722">
      <w:pPr>
        <w:pStyle w:val="2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截至本次清算期结束日</w:t>
      </w:r>
      <w:r>
        <w:rPr>
          <w:rFonts w:hint="eastAsia" w:ascii="宋体" w:hAnsi="宋体" w:eastAsia="宋体" w:cs="宋体"/>
          <w:color w:val="auto"/>
          <w:sz w:val="21"/>
          <w:szCs w:val="21"/>
          <w:highlight w:val="none"/>
          <w:lang w:val="en-US" w:eastAsia="zh-CN"/>
        </w:rPr>
        <w:t>2026年6月30日</w:t>
      </w:r>
      <w:r>
        <w:rPr>
          <w:rFonts w:hint="eastAsia" w:ascii="宋体" w:hAnsi="宋体" w:eastAsia="宋体" w:cs="宋体"/>
          <w:color w:val="auto"/>
          <w:sz w:val="21"/>
          <w:szCs w:val="21"/>
          <w:highlight w:val="none"/>
        </w:rPr>
        <w:t>，本基金剩余财产为人民币</w:t>
      </w:r>
      <w:r>
        <w:rPr>
          <w:rFonts w:hint="eastAsia" w:ascii="宋体" w:hAnsi="宋体" w:eastAsia="宋体" w:cs="宋体"/>
          <w:color w:val="auto"/>
          <w:sz w:val="21"/>
          <w:szCs w:val="21"/>
          <w:highlight w:val="none"/>
          <w:lang w:val="en-US" w:eastAsia="zh-CN"/>
        </w:rPr>
        <w:t>504,608.28</w:t>
      </w:r>
      <w:r>
        <w:rPr>
          <w:rFonts w:hint="eastAsia" w:ascii="宋体" w:hAnsi="宋体" w:eastAsia="宋体" w:cs="宋体"/>
          <w:color w:val="auto"/>
          <w:sz w:val="21"/>
          <w:szCs w:val="21"/>
          <w:highlight w:val="none"/>
        </w:rPr>
        <w:t>元。自本次清算期结束日次日</w:t>
      </w:r>
      <w:r>
        <w:rPr>
          <w:rFonts w:hint="eastAsia" w:ascii="宋体" w:hAnsi="宋体" w:eastAsia="宋体" w:cs="宋体"/>
          <w:color w:val="auto"/>
          <w:sz w:val="21"/>
          <w:szCs w:val="21"/>
          <w:highlight w:val="none"/>
          <w:lang w:val="en-US" w:eastAsia="zh-CN"/>
        </w:rPr>
        <w:t>2026年7月1日</w:t>
      </w:r>
      <w:r>
        <w:rPr>
          <w:rFonts w:hint="eastAsia" w:ascii="宋体" w:hAnsi="宋体" w:eastAsia="宋体" w:cs="宋体"/>
          <w:color w:val="auto"/>
          <w:sz w:val="21"/>
          <w:szCs w:val="21"/>
          <w:highlight w:val="none"/>
        </w:rPr>
        <w:t>至清算款划出前一日的收益和费用由基金份额持有人享有和承担。</w:t>
      </w:r>
    </w:p>
    <w:p w14:paraId="45B65A6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清算报告已经基金托管人复核，将与会计师事务所出具的清算审计报告、律师事务所出具的法律意见书一并报中国证监会备案后向基金份额持有人公告。清算报告公告后，基金管理人将遵照法律法规、基金合同等规定及时进行分配。</w:t>
      </w:r>
    </w:p>
    <w:p w14:paraId="4CF82645">
      <w:pPr>
        <w:pStyle w:val="2"/>
        <w:keepNext/>
        <w:keepLines/>
        <w:widowControl w:val="0"/>
        <w:spacing w:before="312" w:beforeLines="100" w:after="312" w:afterLines="100" w:line="360" w:lineRule="auto"/>
        <w:jc w:val="center"/>
        <w:rPr>
          <w:rStyle w:val="25"/>
          <w:rFonts w:hint="eastAsia" w:ascii="宋体" w:hAnsi="宋体" w:eastAsia="宋体" w:cs="宋体"/>
          <w:color w:val="auto"/>
          <w:highlight w:val="none"/>
        </w:rPr>
      </w:pPr>
      <w:bookmarkStart w:id="50" w:name="_Toc484769810"/>
      <w:bookmarkStart w:id="51" w:name="_Toc361324903"/>
      <w:bookmarkStart w:id="52" w:name="_Toc476577307"/>
      <w:bookmarkStart w:id="53" w:name="_Toc225500055"/>
      <w:bookmarkStart w:id="54" w:name="_Toc409100108"/>
      <w:bookmarkStart w:id="55" w:name="_Toc409100471"/>
      <w:bookmarkStart w:id="56" w:name="_Toc491963090"/>
      <w:r>
        <w:rPr>
          <w:rStyle w:val="25"/>
          <w:rFonts w:hint="eastAsia" w:ascii="宋体" w:hAnsi="宋体" w:eastAsia="宋体" w:cs="宋体"/>
          <w:color w:val="auto"/>
          <w:highlight w:val="none"/>
        </w:rPr>
        <w:t>6、备查文件目录</w:t>
      </w:r>
      <w:bookmarkEnd w:id="50"/>
      <w:bookmarkEnd w:id="51"/>
      <w:bookmarkEnd w:id="52"/>
      <w:bookmarkEnd w:id="53"/>
      <w:bookmarkEnd w:id="54"/>
      <w:bookmarkEnd w:id="55"/>
      <w:bookmarkEnd w:id="56"/>
    </w:p>
    <w:p w14:paraId="2B274F7A">
      <w:pPr>
        <w:pStyle w:val="3"/>
        <w:spacing w:before="0" w:after="0"/>
        <w:rPr>
          <w:rFonts w:hint="eastAsia" w:ascii="宋体" w:hAnsi="宋体" w:eastAsia="宋体" w:cs="宋体"/>
          <w:color w:val="auto"/>
          <w:kern w:val="0"/>
          <w:sz w:val="21"/>
          <w:szCs w:val="21"/>
          <w:highlight w:val="none"/>
        </w:rPr>
      </w:pPr>
      <w:bookmarkStart w:id="57" w:name="_Toc409100109"/>
      <w:bookmarkStart w:id="58" w:name="_Toc361324904"/>
      <w:bookmarkStart w:id="59" w:name="_Toc483396843"/>
      <w:bookmarkStart w:id="60" w:name="_Toc484607315"/>
      <w:bookmarkStart w:id="61" w:name="_Toc484769811"/>
      <w:bookmarkStart w:id="62" w:name="_Toc476577308"/>
      <w:bookmarkStart w:id="63" w:name="_Toc409100472"/>
      <w:bookmarkStart w:id="64" w:name="_Toc491963091"/>
      <w:r>
        <w:rPr>
          <w:rFonts w:hint="eastAsia" w:ascii="宋体" w:hAnsi="宋体" w:eastAsia="宋体" w:cs="宋体"/>
          <w:color w:val="auto"/>
          <w:kern w:val="0"/>
          <w:sz w:val="21"/>
          <w:szCs w:val="21"/>
          <w:highlight w:val="none"/>
        </w:rPr>
        <w:t>6.1 备查文件目录</w:t>
      </w:r>
      <w:bookmarkEnd w:id="57"/>
      <w:bookmarkEnd w:id="58"/>
      <w:bookmarkEnd w:id="59"/>
      <w:bookmarkEnd w:id="60"/>
      <w:bookmarkEnd w:id="61"/>
      <w:bookmarkEnd w:id="62"/>
      <w:bookmarkEnd w:id="63"/>
      <w:bookmarkEnd w:id="64"/>
    </w:p>
    <w:p w14:paraId="4FD1572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6.1.1博时富恒纯债一年定期开放债券型发起式证券投资基金清算财务报表及审计报告</w:t>
      </w:r>
    </w:p>
    <w:p w14:paraId="35C2C92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w:t>
      </w:r>
      <w:r>
        <w:rPr>
          <w:rFonts w:hint="eastAsia" w:ascii="宋体" w:hAnsi="宋体" w:eastAsia="宋体" w:cs="宋体"/>
          <w:color w:val="auto"/>
          <w:szCs w:val="21"/>
          <w:highlight w:val="none"/>
          <w:lang w:val="en-US" w:eastAsia="zh-CN"/>
        </w:rPr>
        <w:t>上海源泰律师事务所</w:t>
      </w:r>
      <w:r>
        <w:rPr>
          <w:rFonts w:hint="eastAsia" w:ascii="宋体" w:hAnsi="宋体" w:eastAsia="宋体" w:cs="宋体"/>
          <w:color w:val="auto"/>
          <w:szCs w:val="21"/>
          <w:highlight w:val="none"/>
        </w:rPr>
        <w:t>关于博时富恒纯债一年定期开放债券型发起式证券投资基金清算事宜之法律意见</w:t>
      </w:r>
    </w:p>
    <w:p w14:paraId="75E4CA86">
      <w:pPr>
        <w:pStyle w:val="3"/>
        <w:spacing w:before="0" w:after="0"/>
        <w:rPr>
          <w:rFonts w:hint="eastAsia" w:ascii="宋体" w:hAnsi="宋体" w:eastAsia="宋体" w:cs="宋体"/>
          <w:color w:val="auto"/>
          <w:kern w:val="0"/>
          <w:sz w:val="21"/>
          <w:szCs w:val="21"/>
          <w:highlight w:val="none"/>
        </w:rPr>
      </w:pPr>
      <w:bookmarkStart w:id="65" w:name="_Toc484769812"/>
      <w:bookmarkStart w:id="66" w:name="_Toc483396844"/>
      <w:bookmarkStart w:id="67" w:name="_Toc484607316"/>
      <w:bookmarkStart w:id="68" w:name="_Toc361324905"/>
      <w:bookmarkStart w:id="69" w:name="_Toc409100473"/>
      <w:bookmarkStart w:id="70" w:name="_Toc491963092"/>
      <w:bookmarkStart w:id="71" w:name="_Toc476577309"/>
      <w:bookmarkStart w:id="72" w:name="_Toc409100110"/>
      <w:r>
        <w:rPr>
          <w:rFonts w:hint="eastAsia" w:ascii="宋体" w:hAnsi="宋体" w:eastAsia="宋体" w:cs="宋体"/>
          <w:color w:val="auto"/>
          <w:kern w:val="0"/>
          <w:sz w:val="21"/>
          <w:szCs w:val="21"/>
          <w:highlight w:val="none"/>
        </w:rPr>
        <w:t>6.2 存放地点</w:t>
      </w:r>
      <w:bookmarkEnd w:id="65"/>
      <w:bookmarkEnd w:id="66"/>
      <w:bookmarkEnd w:id="67"/>
      <w:bookmarkEnd w:id="68"/>
      <w:bookmarkEnd w:id="69"/>
      <w:bookmarkEnd w:id="70"/>
      <w:bookmarkEnd w:id="71"/>
      <w:bookmarkEnd w:id="72"/>
    </w:p>
    <w:p w14:paraId="08C673F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基金管理人、基金托管人处</w:t>
      </w:r>
    </w:p>
    <w:p w14:paraId="2AAC1C57">
      <w:pPr>
        <w:pStyle w:val="3"/>
        <w:spacing w:before="0" w:after="0"/>
        <w:rPr>
          <w:rFonts w:hint="eastAsia" w:ascii="宋体" w:hAnsi="宋体" w:eastAsia="宋体" w:cs="宋体"/>
          <w:color w:val="auto"/>
          <w:kern w:val="0"/>
          <w:sz w:val="21"/>
          <w:szCs w:val="21"/>
          <w:highlight w:val="none"/>
        </w:rPr>
      </w:pPr>
      <w:bookmarkStart w:id="73" w:name="_Toc483396845"/>
      <w:bookmarkStart w:id="74" w:name="_Toc484769813"/>
      <w:bookmarkStart w:id="75" w:name="_Toc361324906"/>
      <w:bookmarkStart w:id="76" w:name="_Toc409100474"/>
      <w:bookmarkStart w:id="77" w:name="_Toc491963093"/>
      <w:bookmarkStart w:id="78" w:name="_Toc484607317"/>
      <w:bookmarkStart w:id="79" w:name="_Toc476577310"/>
      <w:bookmarkStart w:id="80" w:name="_Toc409100111"/>
      <w:r>
        <w:rPr>
          <w:rFonts w:hint="eastAsia" w:ascii="宋体" w:hAnsi="宋体" w:eastAsia="宋体" w:cs="宋体"/>
          <w:color w:val="auto"/>
          <w:kern w:val="0"/>
          <w:sz w:val="21"/>
          <w:szCs w:val="21"/>
          <w:highlight w:val="none"/>
        </w:rPr>
        <w:t>6.3 查阅方式</w:t>
      </w:r>
      <w:bookmarkEnd w:id="73"/>
      <w:bookmarkEnd w:id="74"/>
      <w:bookmarkEnd w:id="75"/>
      <w:bookmarkEnd w:id="76"/>
      <w:bookmarkEnd w:id="77"/>
      <w:bookmarkEnd w:id="78"/>
      <w:bookmarkEnd w:id="79"/>
      <w:bookmarkEnd w:id="80"/>
    </w:p>
    <w:p w14:paraId="3BB60B1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投资者可在营业时间免费查阅，也可按工本费购买复印件</w:t>
      </w:r>
    </w:p>
    <w:p w14:paraId="6118DE2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投资者对本报告书如有疑问，可咨询本基金管理人博时基金管理有限公司</w:t>
      </w:r>
    </w:p>
    <w:p w14:paraId="62A8848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博时一线通：95105568（免长途话费）</w:t>
      </w:r>
    </w:p>
    <w:p w14:paraId="437EBA78">
      <w:pPr>
        <w:spacing w:line="360" w:lineRule="auto"/>
        <w:ind w:firstLine="315" w:firstLineChars="150"/>
        <w:rPr>
          <w:rFonts w:hint="eastAsia" w:ascii="宋体" w:hAnsi="宋体" w:eastAsia="宋体" w:cs="宋体"/>
          <w:bCs/>
          <w:color w:val="auto"/>
          <w:szCs w:val="21"/>
          <w:highlight w:val="none"/>
        </w:rPr>
      </w:pPr>
    </w:p>
    <w:p w14:paraId="0BC5E0BB">
      <w:pPr>
        <w:spacing w:line="360" w:lineRule="auto"/>
        <w:ind w:firstLine="315" w:firstLineChars="150"/>
        <w:rPr>
          <w:rFonts w:hint="eastAsia" w:ascii="宋体" w:hAnsi="宋体" w:eastAsia="宋体" w:cs="宋体"/>
          <w:bCs/>
          <w:color w:val="auto"/>
          <w:szCs w:val="21"/>
          <w:highlight w:val="none"/>
        </w:rPr>
      </w:pPr>
    </w:p>
    <w:p w14:paraId="62BE046A">
      <w:pPr>
        <w:spacing w:line="360" w:lineRule="auto"/>
        <w:ind w:firstLine="315" w:firstLineChars="150"/>
        <w:rPr>
          <w:rFonts w:hint="eastAsia" w:ascii="宋体" w:hAnsi="宋体" w:eastAsia="宋体" w:cs="宋体"/>
          <w:bCs/>
          <w:color w:val="auto"/>
          <w:szCs w:val="21"/>
          <w:highlight w:val="none"/>
        </w:rPr>
      </w:pPr>
      <w:bookmarkStart w:id="81" w:name="_GoBack"/>
      <w:bookmarkEnd w:id="81"/>
    </w:p>
    <w:p w14:paraId="18F4CEB9">
      <w:pPr>
        <w:spacing w:line="360" w:lineRule="auto"/>
        <w:ind w:left="840"/>
        <w:jc w:val="righ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博时富恒纯债一年定期开放债券型发起式证券投资基金</w:t>
      </w:r>
      <w:r>
        <w:rPr>
          <w:rFonts w:hint="eastAsia" w:ascii="宋体" w:hAnsi="宋体" w:eastAsia="宋体" w:cs="宋体"/>
          <w:bCs/>
          <w:color w:val="auto"/>
          <w:szCs w:val="21"/>
          <w:highlight w:val="none"/>
        </w:rPr>
        <w:t>基金财产清算小组</w:t>
      </w:r>
    </w:p>
    <w:p w14:paraId="6B5CA080">
      <w:pPr>
        <w:wordWrap w:val="0"/>
        <w:spacing w:line="360" w:lineRule="auto"/>
        <w:ind w:left="840" w:right="420" w:firstLine="3885" w:firstLineChars="1850"/>
        <w:jc w:val="right"/>
        <w:rPr>
          <w:rFonts w:hint="eastAsia" w:ascii="宋体" w:hAnsi="宋体" w:eastAsia="宋体" w:cs="宋体"/>
          <w:color w:val="auto"/>
          <w:highlight w:val="none"/>
        </w:rPr>
      </w:pPr>
      <w:r>
        <w:rPr>
          <w:rFonts w:hint="eastAsia" w:ascii="宋体" w:hAnsi="宋体" w:eastAsia="宋体" w:cs="宋体"/>
          <w:color w:val="auto"/>
          <w:highlight w:val="none"/>
        </w:rPr>
        <w:t>2026年</w:t>
      </w:r>
      <w:r>
        <w:rPr>
          <w:rFonts w:hint="eastAsia" w:ascii="宋体" w:hAnsi="宋体" w:cs="宋体"/>
          <w:color w:val="auto"/>
          <w:highlight w:val="none"/>
          <w:lang w:val="en-US" w:eastAsia="zh-CN"/>
        </w:rPr>
        <w:t>7</w:t>
      </w:r>
      <w:r>
        <w:rPr>
          <w:rFonts w:hint="eastAsia" w:ascii="宋体" w:hAnsi="宋体" w:eastAsia="宋体" w:cs="宋体"/>
          <w:color w:val="auto"/>
          <w:highlight w:val="none"/>
        </w:rPr>
        <w:t>月</w:t>
      </w:r>
      <w:r>
        <w:rPr>
          <w:rFonts w:hint="eastAsia" w:ascii="宋体" w:hAnsi="宋体" w:cs="宋体"/>
          <w:color w:val="auto"/>
          <w:highlight w:val="none"/>
          <w:lang w:val="en-US" w:eastAsia="zh-CN"/>
        </w:rPr>
        <w:t>16</w:t>
      </w:r>
      <w:r>
        <w:rPr>
          <w:rFonts w:hint="eastAsia" w:ascii="宋体" w:hAnsi="宋体" w:eastAsia="宋体" w:cs="宋体"/>
          <w:color w:val="auto"/>
          <w:highlight w:val="none"/>
        </w:rPr>
        <w:t>日</w:t>
      </w: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宋体棬　僬　.">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9AC2B">
    <w:pPr>
      <w:pStyle w:val="7"/>
      <w:jc w:val="center"/>
    </w:pPr>
    <w:r>
      <w:fldChar w:fldCharType="begin"/>
    </w:r>
    <w:r>
      <w:instrText xml:space="preserve">PAGE   \* MERGEFORMAT</w:instrText>
    </w:r>
    <w:r>
      <w:fldChar w:fldCharType="separate"/>
    </w:r>
    <w:r>
      <w:rPr>
        <w:lang w:val="zh-CN"/>
      </w:rPr>
      <w:t>7</w:t>
    </w:r>
    <w:r>
      <w:fldChar w:fldCharType="end"/>
    </w:r>
  </w:p>
  <w:p w14:paraId="6900365C">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9560A">
    <w:pPr>
      <w:pStyle w:val="8"/>
      <w:pBdr>
        <w:bottom w:val="single" w:color="auto" w:sz="6" w:space="0"/>
      </w:pBdr>
      <w:tabs>
        <w:tab w:val="left" w:pos="3105"/>
        <w:tab w:val="right" w:pos="9090"/>
      </w:tabs>
      <w:jc w:val="left"/>
    </w:pPr>
    <w:r>
      <w:rPr>
        <w:sz w:val="21"/>
        <w:szCs w:val="21"/>
      </w:rPr>
      <w:tab/>
    </w:r>
    <w:r>
      <w:rPr>
        <w:sz w:val="21"/>
        <w:szCs w:val="21"/>
      </w:rPr>
      <w:tab/>
    </w:r>
    <w:r>
      <w:pict>
        <v:shape id="图片 1" o:spid="_x0000_s4097" o:spt="75" alt="Bosera_logo" type="#_x0000_t75" style="position:absolute;left:0pt;margin-left:-1.05pt;margin-top:-15pt;height:24.75pt;width:99pt;z-index:251660288;mso-width-relative:page;mso-height-relative:page;" filled="f" o:preferrelative="t" stroked="f" coordsize="21600,21600">
          <v:path/>
          <v:fill on="f" focussize="0,0"/>
          <v:stroke on="f"/>
          <v:imagedata r:id="rId1" o:title="Bosera_logo"/>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CD6E9">
    <w:pPr>
      <w:pStyle w:val="8"/>
      <w:pBdr>
        <w:bottom w:val="single" w:color="auto" w:sz="6" w:space="0"/>
      </w:pBdr>
      <w:tabs>
        <w:tab w:val="left" w:pos="3105"/>
        <w:tab w:val="right" w:pos="9090"/>
      </w:tabs>
      <w:jc w:val="left"/>
    </w:pPr>
    <w:r>
      <w:rPr>
        <w:sz w:val="21"/>
        <w:szCs w:val="21"/>
      </w:rPr>
      <w:tab/>
    </w:r>
    <w:r>
      <w:rPr>
        <w:sz w:val="21"/>
        <w:szCs w:val="21"/>
      </w:rPr>
      <w:tab/>
    </w:r>
    <w:r>
      <w:pict>
        <v:shape id="图片 3" o:spid="_x0000_s4098" o:spt="75" alt="Bosera_logo" type="#_x0000_t75" style="position:absolute;left:0pt;margin-left:-1.05pt;margin-top:-15pt;height:24.75pt;width:99pt;z-index:251659264;mso-width-relative:page;mso-height-relative:page;" filled="f" o:preferrelative="t" stroked="f" coordsize="21600,21600">
          <v:path/>
          <v:fill on="f" focussize="0,0"/>
          <v:stroke on="f"/>
          <v:imagedata r:id="rId1" o:title="Bosera_logo"/>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F2FB67"/>
    <w:multiLevelType w:val="singleLevel"/>
    <w:tmpl w:val="EEF2FB67"/>
    <w:lvl w:ilvl="0" w:tentative="0">
      <w:start w:val="1"/>
      <w:numFmt w:val="decimal"/>
      <w:suff w:val="nothing"/>
      <w:lvlText w:val="%1）"/>
      <w:lvlJc w:val="left"/>
    </w:lvl>
  </w:abstractNum>
  <w:abstractNum w:abstractNumId="1">
    <w:nsid w:val="2C12B6DB"/>
    <w:multiLevelType w:val="singleLevel"/>
    <w:tmpl w:val="2C12B6DB"/>
    <w:lvl w:ilvl="0" w:tentative="0">
      <w:start w:val="1"/>
      <w:numFmt w:val="decimal"/>
      <w:suff w:val="nothing"/>
      <w:lvlText w:val="%1、"/>
      <w:lvlJc w:val="left"/>
    </w:lvl>
  </w:abstractNum>
  <w:abstractNum w:abstractNumId="2">
    <w:nsid w:val="6EE28048"/>
    <w:multiLevelType w:val="singleLevel"/>
    <w:tmpl w:val="6EE28048"/>
    <w:lvl w:ilvl="0" w:tentative="0">
      <w:start w:val="4"/>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206A"/>
    <w:rsid w:val="0000095F"/>
    <w:rsid w:val="00002E59"/>
    <w:rsid w:val="000137FB"/>
    <w:rsid w:val="00046922"/>
    <w:rsid w:val="0004747A"/>
    <w:rsid w:val="00047E84"/>
    <w:rsid w:val="00050AB3"/>
    <w:rsid w:val="00051D70"/>
    <w:rsid w:val="000539E5"/>
    <w:rsid w:val="00066462"/>
    <w:rsid w:val="000843E5"/>
    <w:rsid w:val="00090702"/>
    <w:rsid w:val="0009708C"/>
    <w:rsid w:val="000A67AD"/>
    <w:rsid w:val="000C1A89"/>
    <w:rsid w:val="000C581F"/>
    <w:rsid w:val="000D0010"/>
    <w:rsid w:val="000D2477"/>
    <w:rsid w:val="000E06DB"/>
    <w:rsid w:val="000E7AF8"/>
    <w:rsid w:val="000F0DB6"/>
    <w:rsid w:val="000F2AF4"/>
    <w:rsid w:val="000F38A7"/>
    <w:rsid w:val="00106078"/>
    <w:rsid w:val="00107B92"/>
    <w:rsid w:val="001102C9"/>
    <w:rsid w:val="00114B50"/>
    <w:rsid w:val="0012239E"/>
    <w:rsid w:val="00125BA9"/>
    <w:rsid w:val="001344F0"/>
    <w:rsid w:val="001461B5"/>
    <w:rsid w:val="001469B6"/>
    <w:rsid w:val="00155FBE"/>
    <w:rsid w:val="00167779"/>
    <w:rsid w:val="0017203A"/>
    <w:rsid w:val="001837B1"/>
    <w:rsid w:val="00192433"/>
    <w:rsid w:val="00193FF5"/>
    <w:rsid w:val="001943DA"/>
    <w:rsid w:val="001A25D5"/>
    <w:rsid w:val="001A6186"/>
    <w:rsid w:val="001A64D9"/>
    <w:rsid w:val="001A7F35"/>
    <w:rsid w:val="001B142B"/>
    <w:rsid w:val="001B307F"/>
    <w:rsid w:val="001B6418"/>
    <w:rsid w:val="001C3A12"/>
    <w:rsid w:val="001C4149"/>
    <w:rsid w:val="001C5110"/>
    <w:rsid w:val="001C5F1E"/>
    <w:rsid w:val="001C66F4"/>
    <w:rsid w:val="001E1155"/>
    <w:rsid w:val="001E7569"/>
    <w:rsid w:val="001F5482"/>
    <w:rsid w:val="0020164A"/>
    <w:rsid w:val="002025EA"/>
    <w:rsid w:val="002055DE"/>
    <w:rsid w:val="00214EB4"/>
    <w:rsid w:val="00234000"/>
    <w:rsid w:val="0023623C"/>
    <w:rsid w:val="0025064B"/>
    <w:rsid w:val="00256EF7"/>
    <w:rsid w:val="002653B2"/>
    <w:rsid w:val="00265EEB"/>
    <w:rsid w:val="002661A0"/>
    <w:rsid w:val="00270F6F"/>
    <w:rsid w:val="0027500E"/>
    <w:rsid w:val="002873D1"/>
    <w:rsid w:val="00293C58"/>
    <w:rsid w:val="002A1D5C"/>
    <w:rsid w:val="002B081E"/>
    <w:rsid w:val="002B3940"/>
    <w:rsid w:val="002B3A7F"/>
    <w:rsid w:val="002B64F0"/>
    <w:rsid w:val="002C206A"/>
    <w:rsid w:val="002C4039"/>
    <w:rsid w:val="002C59B8"/>
    <w:rsid w:val="002D012A"/>
    <w:rsid w:val="002D04D0"/>
    <w:rsid w:val="002D2D31"/>
    <w:rsid w:val="002E63F9"/>
    <w:rsid w:val="002F02F0"/>
    <w:rsid w:val="00300434"/>
    <w:rsid w:val="00301833"/>
    <w:rsid w:val="003018B1"/>
    <w:rsid w:val="00301ED8"/>
    <w:rsid w:val="00302213"/>
    <w:rsid w:val="003027CE"/>
    <w:rsid w:val="00302C6F"/>
    <w:rsid w:val="0031782A"/>
    <w:rsid w:val="0033087F"/>
    <w:rsid w:val="0033114F"/>
    <w:rsid w:val="00352159"/>
    <w:rsid w:val="00352E52"/>
    <w:rsid w:val="0035409D"/>
    <w:rsid w:val="00355AF9"/>
    <w:rsid w:val="00355DCE"/>
    <w:rsid w:val="003835CB"/>
    <w:rsid w:val="00385C7D"/>
    <w:rsid w:val="00386448"/>
    <w:rsid w:val="00394BF4"/>
    <w:rsid w:val="003A1F80"/>
    <w:rsid w:val="003A6373"/>
    <w:rsid w:val="003B1FF9"/>
    <w:rsid w:val="003C5425"/>
    <w:rsid w:val="003C62D7"/>
    <w:rsid w:val="003E2B75"/>
    <w:rsid w:val="003E4B0D"/>
    <w:rsid w:val="003E5A9A"/>
    <w:rsid w:val="004043E4"/>
    <w:rsid w:val="0040561C"/>
    <w:rsid w:val="00417206"/>
    <w:rsid w:val="00434B13"/>
    <w:rsid w:val="004361C8"/>
    <w:rsid w:val="00436D7F"/>
    <w:rsid w:val="0043770C"/>
    <w:rsid w:val="00440D43"/>
    <w:rsid w:val="0044360C"/>
    <w:rsid w:val="0044397B"/>
    <w:rsid w:val="004454E6"/>
    <w:rsid w:val="00453128"/>
    <w:rsid w:val="00455ED0"/>
    <w:rsid w:val="00456810"/>
    <w:rsid w:val="004850AB"/>
    <w:rsid w:val="00492EFF"/>
    <w:rsid w:val="00497D10"/>
    <w:rsid w:val="004A1313"/>
    <w:rsid w:val="004A4000"/>
    <w:rsid w:val="004A4328"/>
    <w:rsid w:val="004C29F5"/>
    <w:rsid w:val="004C5243"/>
    <w:rsid w:val="004D6178"/>
    <w:rsid w:val="004D72DD"/>
    <w:rsid w:val="004E0519"/>
    <w:rsid w:val="004F7FB1"/>
    <w:rsid w:val="00502816"/>
    <w:rsid w:val="00506722"/>
    <w:rsid w:val="00516AB2"/>
    <w:rsid w:val="00521F84"/>
    <w:rsid w:val="00523B76"/>
    <w:rsid w:val="00534804"/>
    <w:rsid w:val="005454AF"/>
    <w:rsid w:val="00553DD3"/>
    <w:rsid w:val="00564FC0"/>
    <w:rsid w:val="005660DC"/>
    <w:rsid w:val="005666E0"/>
    <w:rsid w:val="00570EEB"/>
    <w:rsid w:val="00573CCA"/>
    <w:rsid w:val="00586C11"/>
    <w:rsid w:val="00587EB1"/>
    <w:rsid w:val="00591E34"/>
    <w:rsid w:val="005A5F19"/>
    <w:rsid w:val="005B00B8"/>
    <w:rsid w:val="005B1DA8"/>
    <w:rsid w:val="005B3525"/>
    <w:rsid w:val="005B7865"/>
    <w:rsid w:val="005B7910"/>
    <w:rsid w:val="005C2636"/>
    <w:rsid w:val="005D0017"/>
    <w:rsid w:val="005D2BBF"/>
    <w:rsid w:val="005D3C26"/>
    <w:rsid w:val="005E066D"/>
    <w:rsid w:val="005E18FD"/>
    <w:rsid w:val="005E5097"/>
    <w:rsid w:val="005F07CE"/>
    <w:rsid w:val="00602945"/>
    <w:rsid w:val="00612741"/>
    <w:rsid w:val="00633374"/>
    <w:rsid w:val="0063424C"/>
    <w:rsid w:val="00635B20"/>
    <w:rsid w:val="00636096"/>
    <w:rsid w:val="00640A36"/>
    <w:rsid w:val="006458AE"/>
    <w:rsid w:val="00652E32"/>
    <w:rsid w:val="006560FD"/>
    <w:rsid w:val="00656396"/>
    <w:rsid w:val="00661C81"/>
    <w:rsid w:val="00662751"/>
    <w:rsid w:val="006631AD"/>
    <w:rsid w:val="00665EC2"/>
    <w:rsid w:val="00677478"/>
    <w:rsid w:val="00680A32"/>
    <w:rsid w:val="0068199C"/>
    <w:rsid w:val="006845C6"/>
    <w:rsid w:val="0069179C"/>
    <w:rsid w:val="00695712"/>
    <w:rsid w:val="006A0CA9"/>
    <w:rsid w:val="006A3832"/>
    <w:rsid w:val="006A3E46"/>
    <w:rsid w:val="006C0166"/>
    <w:rsid w:val="006C1070"/>
    <w:rsid w:val="006C1BF7"/>
    <w:rsid w:val="006C4287"/>
    <w:rsid w:val="006C4780"/>
    <w:rsid w:val="006D14C9"/>
    <w:rsid w:val="006D3ABB"/>
    <w:rsid w:val="006D76DC"/>
    <w:rsid w:val="006E1D19"/>
    <w:rsid w:val="006E6E99"/>
    <w:rsid w:val="006F57A7"/>
    <w:rsid w:val="006F661D"/>
    <w:rsid w:val="006F6EDE"/>
    <w:rsid w:val="007047E3"/>
    <w:rsid w:val="00711C49"/>
    <w:rsid w:val="00711DC1"/>
    <w:rsid w:val="00714FE5"/>
    <w:rsid w:val="00716C2D"/>
    <w:rsid w:val="007249F8"/>
    <w:rsid w:val="007302D4"/>
    <w:rsid w:val="00733FD6"/>
    <w:rsid w:val="00753286"/>
    <w:rsid w:val="007654B6"/>
    <w:rsid w:val="00765C51"/>
    <w:rsid w:val="00772D62"/>
    <w:rsid w:val="00772F4C"/>
    <w:rsid w:val="00784118"/>
    <w:rsid w:val="007A111F"/>
    <w:rsid w:val="007A1382"/>
    <w:rsid w:val="007A40C3"/>
    <w:rsid w:val="007A4276"/>
    <w:rsid w:val="007C073F"/>
    <w:rsid w:val="007C1E66"/>
    <w:rsid w:val="007C224B"/>
    <w:rsid w:val="007C390F"/>
    <w:rsid w:val="007C7E15"/>
    <w:rsid w:val="007D01A7"/>
    <w:rsid w:val="007D2C21"/>
    <w:rsid w:val="007D368E"/>
    <w:rsid w:val="007D4AE3"/>
    <w:rsid w:val="00800E5D"/>
    <w:rsid w:val="00801C52"/>
    <w:rsid w:val="008061B0"/>
    <w:rsid w:val="00815886"/>
    <w:rsid w:val="00815FC5"/>
    <w:rsid w:val="00831568"/>
    <w:rsid w:val="0083288E"/>
    <w:rsid w:val="00834CE7"/>
    <w:rsid w:val="00834E30"/>
    <w:rsid w:val="00845FBE"/>
    <w:rsid w:val="00846CD0"/>
    <w:rsid w:val="00862C4E"/>
    <w:rsid w:val="00872860"/>
    <w:rsid w:val="00873ADD"/>
    <w:rsid w:val="00876515"/>
    <w:rsid w:val="00881D41"/>
    <w:rsid w:val="008900EC"/>
    <w:rsid w:val="00893D5F"/>
    <w:rsid w:val="00895AEC"/>
    <w:rsid w:val="008A2534"/>
    <w:rsid w:val="008A2AC1"/>
    <w:rsid w:val="008A2CED"/>
    <w:rsid w:val="008A3541"/>
    <w:rsid w:val="008A37AA"/>
    <w:rsid w:val="008A3F14"/>
    <w:rsid w:val="008B2371"/>
    <w:rsid w:val="008B50E8"/>
    <w:rsid w:val="008B712C"/>
    <w:rsid w:val="008D28CA"/>
    <w:rsid w:val="008E72AB"/>
    <w:rsid w:val="008E7843"/>
    <w:rsid w:val="008F313A"/>
    <w:rsid w:val="008F4C4A"/>
    <w:rsid w:val="00912B1F"/>
    <w:rsid w:val="0091569A"/>
    <w:rsid w:val="009164BB"/>
    <w:rsid w:val="00916F0F"/>
    <w:rsid w:val="00924654"/>
    <w:rsid w:val="00925214"/>
    <w:rsid w:val="00933482"/>
    <w:rsid w:val="00933D33"/>
    <w:rsid w:val="00943B2B"/>
    <w:rsid w:val="00944AC0"/>
    <w:rsid w:val="009565F7"/>
    <w:rsid w:val="00971989"/>
    <w:rsid w:val="00980526"/>
    <w:rsid w:val="00981824"/>
    <w:rsid w:val="009837FE"/>
    <w:rsid w:val="00987D82"/>
    <w:rsid w:val="00993E2D"/>
    <w:rsid w:val="0099607C"/>
    <w:rsid w:val="00997E04"/>
    <w:rsid w:val="009A237A"/>
    <w:rsid w:val="009A2FA6"/>
    <w:rsid w:val="009A499E"/>
    <w:rsid w:val="009B6EC1"/>
    <w:rsid w:val="009D2820"/>
    <w:rsid w:val="009D2D6F"/>
    <w:rsid w:val="009D4DD9"/>
    <w:rsid w:val="009D5A9F"/>
    <w:rsid w:val="009E6708"/>
    <w:rsid w:val="009E6B28"/>
    <w:rsid w:val="009F2C95"/>
    <w:rsid w:val="009F6E54"/>
    <w:rsid w:val="00A01676"/>
    <w:rsid w:val="00A10A3B"/>
    <w:rsid w:val="00A10D1C"/>
    <w:rsid w:val="00A1145E"/>
    <w:rsid w:val="00A13B45"/>
    <w:rsid w:val="00A14A60"/>
    <w:rsid w:val="00A206FC"/>
    <w:rsid w:val="00A23D46"/>
    <w:rsid w:val="00A41815"/>
    <w:rsid w:val="00A42F5D"/>
    <w:rsid w:val="00A44F0D"/>
    <w:rsid w:val="00A46614"/>
    <w:rsid w:val="00A466EF"/>
    <w:rsid w:val="00A50F44"/>
    <w:rsid w:val="00A53B22"/>
    <w:rsid w:val="00A5445B"/>
    <w:rsid w:val="00A61272"/>
    <w:rsid w:val="00A7090F"/>
    <w:rsid w:val="00A716AE"/>
    <w:rsid w:val="00A728B4"/>
    <w:rsid w:val="00A738AB"/>
    <w:rsid w:val="00A74683"/>
    <w:rsid w:val="00A7603B"/>
    <w:rsid w:val="00A80DC2"/>
    <w:rsid w:val="00A83207"/>
    <w:rsid w:val="00A85B96"/>
    <w:rsid w:val="00A862A8"/>
    <w:rsid w:val="00A91EE9"/>
    <w:rsid w:val="00A92C7B"/>
    <w:rsid w:val="00A93929"/>
    <w:rsid w:val="00A96447"/>
    <w:rsid w:val="00AA2704"/>
    <w:rsid w:val="00AA33F7"/>
    <w:rsid w:val="00AA39EC"/>
    <w:rsid w:val="00AA6506"/>
    <w:rsid w:val="00AA6C39"/>
    <w:rsid w:val="00AB4223"/>
    <w:rsid w:val="00AB579F"/>
    <w:rsid w:val="00AC75BE"/>
    <w:rsid w:val="00AD127D"/>
    <w:rsid w:val="00AD1682"/>
    <w:rsid w:val="00AE14B8"/>
    <w:rsid w:val="00AE43CE"/>
    <w:rsid w:val="00AE5F6A"/>
    <w:rsid w:val="00AE7A23"/>
    <w:rsid w:val="00AF06A4"/>
    <w:rsid w:val="00B01D1F"/>
    <w:rsid w:val="00B01E39"/>
    <w:rsid w:val="00B02DAE"/>
    <w:rsid w:val="00B04DF8"/>
    <w:rsid w:val="00B062E1"/>
    <w:rsid w:val="00B12304"/>
    <w:rsid w:val="00B12398"/>
    <w:rsid w:val="00B16F0F"/>
    <w:rsid w:val="00B233AC"/>
    <w:rsid w:val="00B23421"/>
    <w:rsid w:val="00B262DD"/>
    <w:rsid w:val="00B326DE"/>
    <w:rsid w:val="00B339F1"/>
    <w:rsid w:val="00B43A95"/>
    <w:rsid w:val="00B47AF7"/>
    <w:rsid w:val="00B52FB8"/>
    <w:rsid w:val="00B63FC4"/>
    <w:rsid w:val="00B65F7A"/>
    <w:rsid w:val="00B76BFB"/>
    <w:rsid w:val="00B92205"/>
    <w:rsid w:val="00BB4559"/>
    <w:rsid w:val="00BB63F5"/>
    <w:rsid w:val="00BB738A"/>
    <w:rsid w:val="00BD1E5B"/>
    <w:rsid w:val="00BD3551"/>
    <w:rsid w:val="00BD659F"/>
    <w:rsid w:val="00BE252F"/>
    <w:rsid w:val="00BE3F6E"/>
    <w:rsid w:val="00BE4A70"/>
    <w:rsid w:val="00BE63B2"/>
    <w:rsid w:val="00BF1AD8"/>
    <w:rsid w:val="00BF5EF2"/>
    <w:rsid w:val="00BF72CC"/>
    <w:rsid w:val="00C04232"/>
    <w:rsid w:val="00C04BC2"/>
    <w:rsid w:val="00C11810"/>
    <w:rsid w:val="00C129EC"/>
    <w:rsid w:val="00C135C6"/>
    <w:rsid w:val="00C14A9A"/>
    <w:rsid w:val="00C16E1D"/>
    <w:rsid w:val="00C210B3"/>
    <w:rsid w:val="00C34DAD"/>
    <w:rsid w:val="00C403BF"/>
    <w:rsid w:val="00C4132F"/>
    <w:rsid w:val="00C435E3"/>
    <w:rsid w:val="00C525B7"/>
    <w:rsid w:val="00C53E41"/>
    <w:rsid w:val="00C53EB7"/>
    <w:rsid w:val="00C54720"/>
    <w:rsid w:val="00C63121"/>
    <w:rsid w:val="00C645B3"/>
    <w:rsid w:val="00C70690"/>
    <w:rsid w:val="00C80BA7"/>
    <w:rsid w:val="00C80C26"/>
    <w:rsid w:val="00C81D4D"/>
    <w:rsid w:val="00C8237F"/>
    <w:rsid w:val="00C8253B"/>
    <w:rsid w:val="00C94884"/>
    <w:rsid w:val="00CA06AD"/>
    <w:rsid w:val="00CA1F33"/>
    <w:rsid w:val="00CA5C95"/>
    <w:rsid w:val="00CA6D80"/>
    <w:rsid w:val="00CC654C"/>
    <w:rsid w:val="00CC6E89"/>
    <w:rsid w:val="00CD5F8A"/>
    <w:rsid w:val="00CD7E4B"/>
    <w:rsid w:val="00CE52AA"/>
    <w:rsid w:val="00CE593E"/>
    <w:rsid w:val="00CE79D7"/>
    <w:rsid w:val="00CF22FE"/>
    <w:rsid w:val="00D00B39"/>
    <w:rsid w:val="00D03B3C"/>
    <w:rsid w:val="00D05B80"/>
    <w:rsid w:val="00D14280"/>
    <w:rsid w:val="00D2112B"/>
    <w:rsid w:val="00D2538B"/>
    <w:rsid w:val="00D271CC"/>
    <w:rsid w:val="00D454FE"/>
    <w:rsid w:val="00D54D70"/>
    <w:rsid w:val="00D55E3E"/>
    <w:rsid w:val="00D634A0"/>
    <w:rsid w:val="00D77529"/>
    <w:rsid w:val="00D87A90"/>
    <w:rsid w:val="00D908BA"/>
    <w:rsid w:val="00D9606B"/>
    <w:rsid w:val="00DA44CC"/>
    <w:rsid w:val="00DA69B2"/>
    <w:rsid w:val="00DA6F9B"/>
    <w:rsid w:val="00DB3DDE"/>
    <w:rsid w:val="00DB41A3"/>
    <w:rsid w:val="00DD0701"/>
    <w:rsid w:val="00DD2101"/>
    <w:rsid w:val="00DE27CD"/>
    <w:rsid w:val="00DF0830"/>
    <w:rsid w:val="00DF0A36"/>
    <w:rsid w:val="00DF286B"/>
    <w:rsid w:val="00E036D0"/>
    <w:rsid w:val="00E03B99"/>
    <w:rsid w:val="00E04E1A"/>
    <w:rsid w:val="00E120A8"/>
    <w:rsid w:val="00E15DD1"/>
    <w:rsid w:val="00E21B3B"/>
    <w:rsid w:val="00E32073"/>
    <w:rsid w:val="00E3710A"/>
    <w:rsid w:val="00E40C23"/>
    <w:rsid w:val="00E42A7D"/>
    <w:rsid w:val="00E444C3"/>
    <w:rsid w:val="00E457A2"/>
    <w:rsid w:val="00E6420A"/>
    <w:rsid w:val="00E6428E"/>
    <w:rsid w:val="00E667C5"/>
    <w:rsid w:val="00E7448F"/>
    <w:rsid w:val="00E83CB9"/>
    <w:rsid w:val="00E85B5E"/>
    <w:rsid w:val="00E875CB"/>
    <w:rsid w:val="00E91065"/>
    <w:rsid w:val="00E91443"/>
    <w:rsid w:val="00E94390"/>
    <w:rsid w:val="00EA308B"/>
    <w:rsid w:val="00EB17F4"/>
    <w:rsid w:val="00F00548"/>
    <w:rsid w:val="00F01202"/>
    <w:rsid w:val="00F03A4C"/>
    <w:rsid w:val="00F12507"/>
    <w:rsid w:val="00F17F4A"/>
    <w:rsid w:val="00F25510"/>
    <w:rsid w:val="00F26433"/>
    <w:rsid w:val="00F31C2E"/>
    <w:rsid w:val="00F349E5"/>
    <w:rsid w:val="00F374DD"/>
    <w:rsid w:val="00F4536A"/>
    <w:rsid w:val="00F45604"/>
    <w:rsid w:val="00F52468"/>
    <w:rsid w:val="00F52622"/>
    <w:rsid w:val="00F869AE"/>
    <w:rsid w:val="00F94A1D"/>
    <w:rsid w:val="00FA203B"/>
    <w:rsid w:val="00FB4D56"/>
    <w:rsid w:val="00FB67B2"/>
    <w:rsid w:val="00FB68D0"/>
    <w:rsid w:val="00FC2B87"/>
    <w:rsid w:val="00FC4865"/>
    <w:rsid w:val="00FC7F9D"/>
    <w:rsid w:val="00FD4D5C"/>
    <w:rsid w:val="00FE3491"/>
    <w:rsid w:val="00FE7CDD"/>
    <w:rsid w:val="00FF0230"/>
    <w:rsid w:val="00FF0869"/>
    <w:rsid w:val="00FF26D8"/>
    <w:rsid w:val="047977D2"/>
    <w:rsid w:val="04F7265D"/>
    <w:rsid w:val="0635629B"/>
    <w:rsid w:val="07943078"/>
    <w:rsid w:val="08072865"/>
    <w:rsid w:val="091D63A4"/>
    <w:rsid w:val="0BDBD81A"/>
    <w:rsid w:val="0CAA4239"/>
    <w:rsid w:val="105140B7"/>
    <w:rsid w:val="10831DE4"/>
    <w:rsid w:val="111D325C"/>
    <w:rsid w:val="11EB6B32"/>
    <w:rsid w:val="165E4801"/>
    <w:rsid w:val="16901E23"/>
    <w:rsid w:val="16FAE779"/>
    <w:rsid w:val="17175C7D"/>
    <w:rsid w:val="19FB1EF3"/>
    <w:rsid w:val="19FD74F4"/>
    <w:rsid w:val="1B2E5BAF"/>
    <w:rsid w:val="1C615581"/>
    <w:rsid w:val="1D2D34C6"/>
    <w:rsid w:val="1E042E24"/>
    <w:rsid w:val="1E96479B"/>
    <w:rsid w:val="1F6A490F"/>
    <w:rsid w:val="1F9B2324"/>
    <w:rsid w:val="1FAB1BAE"/>
    <w:rsid w:val="222B67FB"/>
    <w:rsid w:val="22ED0CD3"/>
    <w:rsid w:val="233E198A"/>
    <w:rsid w:val="258B4948"/>
    <w:rsid w:val="25D350EF"/>
    <w:rsid w:val="27ED310C"/>
    <w:rsid w:val="28CB09E4"/>
    <w:rsid w:val="2CAD11AA"/>
    <w:rsid w:val="2E5F47B0"/>
    <w:rsid w:val="2E8F9785"/>
    <w:rsid w:val="2EDB5B73"/>
    <w:rsid w:val="2EF12C10"/>
    <w:rsid w:val="2FB01333"/>
    <w:rsid w:val="2FF30DB1"/>
    <w:rsid w:val="32520430"/>
    <w:rsid w:val="33CFC73D"/>
    <w:rsid w:val="36E168A1"/>
    <w:rsid w:val="37DF4ABE"/>
    <w:rsid w:val="392917AD"/>
    <w:rsid w:val="3A671D5B"/>
    <w:rsid w:val="3B4DD538"/>
    <w:rsid w:val="3BEB8392"/>
    <w:rsid w:val="3BFF3874"/>
    <w:rsid w:val="3D6D13E0"/>
    <w:rsid w:val="3D895C3C"/>
    <w:rsid w:val="3D8F262F"/>
    <w:rsid w:val="3DD178DA"/>
    <w:rsid w:val="3DFB5955"/>
    <w:rsid w:val="3E551291"/>
    <w:rsid w:val="3F7C0873"/>
    <w:rsid w:val="3FD79E8A"/>
    <w:rsid w:val="3FDB110F"/>
    <w:rsid w:val="3FE50ACB"/>
    <w:rsid w:val="412E6E31"/>
    <w:rsid w:val="437D2DDC"/>
    <w:rsid w:val="46822BBE"/>
    <w:rsid w:val="491BC088"/>
    <w:rsid w:val="4A23051B"/>
    <w:rsid w:val="4D2475F0"/>
    <w:rsid w:val="4DB9B6A9"/>
    <w:rsid w:val="4EC63B63"/>
    <w:rsid w:val="4EF5F4FE"/>
    <w:rsid w:val="4EFE7637"/>
    <w:rsid w:val="4F7E01E7"/>
    <w:rsid w:val="4F824755"/>
    <w:rsid w:val="4FA6B79D"/>
    <w:rsid w:val="4FFC14D7"/>
    <w:rsid w:val="50E330E0"/>
    <w:rsid w:val="52F74C1A"/>
    <w:rsid w:val="53977593"/>
    <w:rsid w:val="55220E72"/>
    <w:rsid w:val="55E58D5D"/>
    <w:rsid w:val="569FCBD0"/>
    <w:rsid w:val="57426CDD"/>
    <w:rsid w:val="575B5C81"/>
    <w:rsid w:val="576B462D"/>
    <w:rsid w:val="57AF3F18"/>
    <w:rsid w:val="57DA526C"/>
    <w:rsid w:val="58DA5AFA"/>
    <w:rsid w:val="594F040F"/>
    <w:rsid w:val="597008C8"/>
    <w:rsid w:val="5A774426"/>
    <w:rsid w:val="5A9209EF"/>
    <w:rsid w:val="5AE17211"/>
    <w:rsid w:val="5B1025CC"/>
    <w:rsid w:val="5C4316F1"/>
    <w:rsid w:val="5CEAE0A1"/>
    <w:rsid w:val="5DE303DA"/>
    <w:rsid w:val="5EFD4D23"/>
    <w:rsid w:val="5F7F2637"/>
    <w:rsid w:val="5FB7783F"/>
    <w:rsid w:val="5FDDA07D"/>
    <w:rsid w:val="5FEFD5D7"/>
    <w:rsid w:val="5FF65BBD"/>
    <w:rsid w:val="5FFD1FF2"/>
    <w:rsid w:val="5FFF8416"/>
    <w:rsid w:val="60FF574B"/>
    <w:rsid w:val="64DF7E2C"/>
    <w:rsid w:val="657EDA63"/>
    <w:rsid w:val="667DA9AA"/>
    <w:rsid w:val="67D13CA2"/>
    <w:rsid w:val="67F8FB8A"/>
    <w:rsid w:val="67FF160E"/>
    <w:rsid w:val="69EF37D3"/>
    <w:rsid w:val="69F634F5"/>
    <w:rsid w:val="69FF7D42"/>
    <w:rsid w:val="69FF90C9"/>
    <w:rsid w:val="6A6212EC"/>
    <w:rsid w:val="6B731B40"/>
    <w:rsid w:val="6B9B4EFA"/>
    <w:rsid w:val="6B9D9D23"/>
    <w:rsid w:val="6BDB5B57"/>
    <w:rsid w:val="6BE60CB9"/>
    <w:rsid w:val="6D9EEFA7"/>
    <w:rsid w:val="6DDFCEB0"/>
    <w:rsid w:val="6EC8EDB6"/>
    <w:rsid w:val="6F7FD2F4"/>
    <w:rsid w:val="6F9FDD32"/>
    <w:rsid w:val="6FA79C80"/>
    <w:rsid w:val="6FAFED8E"/>
    <w:rsid w:val="6FE9D27A"/>
    <w:rsid w:val="70DFEBCE"/>
    <w:rsid w:val="70E179C0"/>
    <w:rsid w:val="71FBCBC1"/>
    <w:rsid w:val="723E4BEB"/>
    <w:rsid w:val="727F417F"/>
    <w:rsid w:val="73558C1E"/>
    <w:rsid w:val="752944B8"/>
    <w:rsid w:val="75CB39D7"/>
    <w:rsid w:val="75F765E0"/>
    <w:rsid w:val="76178519"/>
    <w:rsid w:val="764F6EA7"/>
    <w:rsid w:val="767ACA26"/>
    <w:rsid w:val="772FAE1C"/>
    <w:rsid w:val="774E2707"/>
    <w:rsid w:val="777E3140"/>
    <w:rsid w:val="77CB7D42"/>
    <w:rsid w:val="77CE310E"/>
    <w:rsid w:val="77DF9595"/>
    <w:rsid w:val="77EEF5E1"/>
    <w:rsid w:val="77EF2463"/>
    <w:rsid w:val="77EF4A47"/>
    <w:rsid w:val="77FF826E"/>
    <w:rsid w:val="79B732D9"/>
    <w:rsid w:val="79ED335A"/>
    <w:rsid w:val="7BB75539"/>
    <w:rsid w:val="7BB76F65"/>
    <w:rsid w:val="7BCDF2E7"/>
    <w:rsid w:val="7CFC3311"/>
    <w:rsid w:val="7CFCCDA6"/>
    <w:rsid w:val="7D8F4F9F"/>
    <w:rsid w:val="7DC48378"/>
    <w:rsid w:val="7DEFAE44"/>
    <w:rsid w:val="7DFE2AE5"/>
    <w:rsid w:val="7E8B832A"/>
    <w:rsid w:val="7E8C1C2A"/>
    <w:rsid w:val="7ED78F99"/>
    <w:rsid w:val="7EE7004A"/>
    <w:rsid w:val="7EE95E47"/>
    <w:rsid w:val="7EFEDACE"/>
    <w:rsid w:val="7EFFF513"/>
    <w:rsid w:val="7F43240B"/>
    <w:rsid w:val="7F5774AF"/>
    <w:rsid w:val="7F7BD2EB"/>
    <w:rsid w:val="7F7D478C"/>
    <w:rsid w:val="7F7E8873"/>
    <w:rsid w:val="7FD7E7A5"/>
    <w:rsid w:val="7FDD4C3F"/>
    <w:rsid w:val="7FDE4CED"/>
    <w:rsid w:val="7FEFCEA5"/>
    <w:rsid w:val="7FFA9936"/>
    <w:rsid w:val="7FFC8DD9"/>
    <w:rsid w:val="7FFF0FBF"/>
    <w:rsid w:val="7FFFBD90"/>
    <w:rsid w:val="7FFFFDF0"/>
    <w:rsid w:val="86EDC803"/>
    <w:rsid w:val="93BEE8CA"/>
    <w:rsid w:val="93DDFD3E"/>
    <w:rsid w:val="97DB61E9"/>
    <w:rsid w:val="97F754B2"/>
    <w:rsid w:val="9AB6885C"/>
    <w:rsid w:val="A37B94F7"/>
    <w:rsid w:val="A71D08A7"/>
    <w:rsid w:val="ABBBD1B4"/>
    <w:rsid w:val="ABEEB0C1"/>
    <w:rsid w:val="AE331804"/>
    <w:rsid w:val="AEEE282C"/>
    <w:rsid w:val="AEFFE6D5"/>
    <w:rsid w:val="AF7FE70E"/>
    <w:rsid w:val="AFFDE70D"/>
    <w:rsid w:val="AFFDF8CE"/>
    <w:rsid w:val="B5F52A5E"/>
    <w:rsid w:val="BB57B15C"/>
    <w:rsid w:val="BBFB16F4"/>
    <w:rsid w:val="BDDDF2E5"/>
    <w:rsid w:val="BDFF92A0"/>
    <w:rsid w:val="BE2AEEFC"/>
    <w:rsid w:val="BE53E4FE"/>
    <w:rsid w:val="BE632B87"/>
    <w:rsid w:val="BF3FDC6B"/>
    <w:rsid w:val="BFEB0DD7"/>
    <w:rsid w:val="BFEF9AC3"/>
    <w:rsid w:val="BFF5EC0C"/>
    <w:rsid w:val="BFF769D2"/>
    <w:rsid w:val="BFFFE1F4"/>
    <w:rsid w:val="C5FF66FE"/>
    <w:rsid w:val="C73E754C"/>
    <w:rsid w:val="C767DC55"/>
    <w:rsid w:val="C77DB3BA"/>
    <w:rsid w:val="C7FAE319"/>
    <w:rsid w:val="C9FF3605"/>
    <w:rsid w:val="CDF790CB"/>
    <w:rsid w:val="CE59F622"/>
    <w:rsid w:val="CE7F5619"/>
    <w:rsid w:val="CF1DA855"/>
    <w:rsid w:val="CFBE4F68"/>
    <w:rsid w:val="CFF7EF8E"/>
    <w:rsid w:val="CFFF9414"/>
    <w:rsid w:val="D532B3DE"/>
    <w:rsid w:val="D87F31C6"/>
    <w:rsid w:val="D9DE2AA4"/>
    <w:rsid w:val="DB49B56F"/>
    <w:rsid w:val="DBD71916"/>
    <w:rsid w:val="DBDFEB43"/>
    <w:rsid w:val="DBEB5D36"/>
    <w:rsid w:val="DCB7321B"/>
    <w:rsid w:val="DCBF7BF0"/>
    <w:rsid w:val="DD372781"/>
    <w:rsid w:val="DD7E1756"/>
    <w:rsid w:val="DDFC02F4"/>
    <w:rsid w:val="DDFF1105"/>
    <w:rsid w:val="DFD76308"/>
    <w:rsid w:val="DFE94E47"/>
    <w:rsid w:val="DFFF3FF4"/>
    <w:rsid w:val="E36E70E6"/>
    <w:rsid w:val="E3FE91B9"/>
    <w:rsid w:val="E5AE03AF"/>
    <w:rsid w:val="E6DB4F87"/>
    <w:rsid w:val="E77D4D7A"/>
    <w:rsid w:val="E77FDFFE"/>
    <w:rsid w:val="E7ED0B64"/>
    <w:rsid w:val="E7F90E7B"/>
    <w:rsid w:val="EBCE0754"/>
    <w:rsid w:val="EBDCCE65"/>
    <w:rsid w:val="EBFD7ED4"/>
    <w:rsid w:val="EE5F5F27"/>
    <w:rsid w:val="EE737CEB"/>
    <w:rsid w:val="EEFBDC1C"/>
    <w:rsid w:val="EFDF132B"/>
    <w:rsid w:val="EFDF1C82"/>
    <w:rsid w:val="EFFD0B05"/>
    <w:rsid w:val="EFFE2094"/>
    <w:rsid w:val="F37FBFC9"/>
    <w:rsid w:val="F3CF800B"/>
    <w:rsid w:val="F3D384FF"/>
    <w:rsid w:val="F5F92C33"/>
    <w:rsid w:val="F6D8D0BA"/>
    <w:rsid w:val="F6EDEE86"/>
    <w:rsid w:val="F77D7A44"/>
    <w:rsid w:val="F77E076D"/>
    <w:rsid w:val="F7FF6A11"/>
    <w:rsid w:val="F86B0505"/>
    <w:rsid w:val="FBE78F86"/>
    <w:rsid w:val="FBF3E56A"/>
    <w:rsid w:val="FBFF7C63"/>
    <w:rsid w:val="FBFFA1D8"/>
    <w:rsid w:val="FD6E77C9"/>
    <w:rsid w:val="FD7D9AFD"/>
    <w:rsid w:val="FDBD766D"/>
    <w:rsid w:val="FDDFB132"/>
    <w:rsid w:val="FDF89808"/>
    <w:rsid w:val="FDFF0C29"/>
    <w:rsid w:val="FDFF222C"/>
    <w:rsid w:val="FDFF400C"/>
    <w:rsid w:val="FE1EF080"/>
    <w:rsid w:val="FE7F2925"/>
    <w:rsid w:val="FEBC7E48"/>
    <w:rsid w:val="FECB61D9"/>
    <w:rsid w:val="FED3A64B"/>
    <w:rsid w:val="FEF5784F"/>
    <w:rsid w:val="FEFCA532"/>
    <w:rsid w:val="FF373522"/>
    <w:rsid w:val="FF5F57A4"/>
    <w:rsid w:val="FF6CEA93"/>
    <w:rsid w:val="FF6F212D"/>
    <w:rsid w:val="FF7D3A25"/>
    <w:rsid w:val="FF7FE285"/>
    <w:rsid w:val="FF9771D6"/>
    <w:rsid w:val="FFCECDED"/>
    <w:rsid w:val="FFCF724C"/>
    <w:rsid w:val="FFD7C6C4"/>
    <w:rsid w:val="FFDB28FD"/>
    <w:rsid w:val="FFEB2090"/>
    <w:rsid w:val="FFED1812"/>
    <w:rsid w:val="FFED67A1"/>
    <w:rsid w:val="FFEF3BDF"/>
    <w:rsid w:val="FFFBE593"/>
    <w:rsid w:val="FFFE569F"/>
    <w:rsid w:val="FFFED082"/>
    <w:rsid w:val="FFFF727F"/>
    <w:rsid w:val="FFFF99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99"/>
    <w:pPr>
      <w:widowControl/>
      <w:jc w:val="left"/>
      <w:outlineLvl w:val="0"/>
    </w:pPr>
    <w:rPr>
      <w:kern w:val="0"/>
      <w:sz w:val="24"/>
      <w:szCs w:val="20"/>
      <w:lang w:val="en-GB"/>
    </w:rPr>
  </w:style>
  <w:style w:type="paragraph" w:styleId="3">
    <w:name w:val="heading 2"/>
    <w:basedOn w:val="1"/>
    <w:next w:val="1"/>
    <w:link w:val="18"/>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4">
    <w:name w:val="annotation text"/>
    <w:basedOn w:val="1"/>
    <w:link w:val="19"/>
    <w:unhideWhenUsed/>
    <w:qFormat/>
    <w:uiPriority w:val="99"/>
    <w:pPr>
      <w:jc w:val="left"/>
    </w:pPr>
  </w:style>
  <w:style w:type="paragraph" w:styleId="5">
    <w:name w:val="Body Text Indent 2"/>
    <w:basedOn w:val="1"/>
    <w:link w:val="20"/>
    <w:qFormat/>
    <w:uiPriority w:val="0"/>
    <w:pPr>
      <w:spacing w:line="560" w:lineRule="exact"/>
      <w:ind w:firstLine="480" w:firstLineChars="200"/>
    </w:pPr>
    <w:rPr>
      <w:rFonts w:ascii="宋体" w:hAnsi="宋体"/>
      <w:color w:val="FF0000"/>
      <w:sz w:val="24"/>
    </w:rPr>
  </w:style>
  <w:style w:type="paragraph" w:styleId="6">
    <w:name w:val="Balloon Text"/>
    <w:basedOn w:val="1"/>
    <w:link w:val="21"/>
    <w:unhideWhenUsed/>
    <w:qFormat/>
    <w:uiPriority w:val="99"/>
    <w:rPr>
      <w:sz w:val="18"/>
      <w:szCs w:val="18"/>
    </w:rPr>
  </w:style>
  <w:style w:type="paragraph" w:styleId="7">
    <w:name w:val="footer"/>
    <w:basedOn w:val="1"/>
    <w:link w:val="22"/>
    <w:unhideWhenUsed/>
    <w:qFormat/>
    <w:uiPriority w:val="99"/>
    <w:pPr>
      <w:tabs>
        <w:tab w:val="center" w:pos="4153"/>
        <w:tab w:val="right" w:pos="8306"/>
      </w:tabs>
      <w:snapToGrid w:val="0"/>
      <w:jc w:val="left"/>
    </w:pPr>
    <w:rPr>
      <w:sz w:val="18"/>
      <w:szCs w:val="18"/>
    </w:rPr>
  </w:style>
  <w:style w:type="paragraph" w:styleId="8">
    <w:name w:val="header"/>
    <w:basedOn w:val="1"/>
    <w:link w:val="23"/>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lang w:val="en-GB" w:eastAsia="en-US"/>
    </w:rPr>
  </w:style>
  <w:style w:type="paragraph" w:styleId="12">
    <w:name w:val="annotation subject"/>
    <w:basedOn w:val="4"/>
    <w:next w:val="4"/>
    <w:link w:val="24"/>
    <w:unhideWhenUsed/>
    <w:qFormat/>
    <w:uiPriority w:val="99"/>
    <w:rPr>
      <w:b/>
      <w:bCs/>
    </w:rPr>
  </w:style>
  <w:style w:type="character" w:styleId="15">
    <w:name w:val="Hyperlink"/>
    <w:basedOn w:val="14"/>
    <w:unhideWhenUsed/>
    <w:qFormat/>
    <w:uiPriority w:val="99"/>
    <w:rPr>
      <w:color w:val="0000FF"/>
      <w:u w:val="single"/>
    </w:rPr>
  </w:style>
  <w:style w:type="character" w:styleId="16">
    <w:name w:val="annotation reference"/>
    <w:basedOn w:val="14"/>
    <w:unhideWhenUsed/>
    <w:qFormat/>
    <w:uiPriority w:val="99"/>
    <w:rPr>
      <w:sz w:val="21"/>
      <w:szCs w:val="21"/>
    </w:rPr>
  </w:style>
  <w:style w:type="character" w:customStyle="1" w:styleId="17">
    <w:name w:val="标题 1 Char"/>
    <w:basedOn w:val="14"/>
    <w:link w:val="2"/>
    <w:qFormat/>
    <w:uiPriority w:val="99"/>
    <w:rPr>
      <w:rFonts w:ascii="Times New Roman" w:hAnsi="Times New Roman" w:eastAsia="宋体" w:cs="Times New Roman"/>
      <w:kern w:val="0"/>
      <w:sz w:val="24"/>
      <w:szCs w:val="20"/>
      <w:lang w:val="en-GB"/>
    </w:rPr>
  </w:style>
  <w:style w:type="character" w:customStyle="1" w:styleId="18">
    <w:name w:val="标题 2 Char"/>
    <w:basedOn w:val="14"/>
    <w:link w:val="3"/>
    <w:semiHidden/>
    <w:qFormat/>
    <w:uiPriority w:val="9"/>
    <w:rPr>
      <w:rFonts w:ascii="Cambria" w:hAnsi="Cambria" w:eastAsia="宋体" w:cs="Times New Roman"/>
      <w:b/>
      <w:bCs/>
      <w:sz w:val="32"/>
      <w:szCs w:val="32"/>
    </w:rPr>
  </w:style>
  <w:style w:type="character" w:customStyle="1" w:styleId="19">
    <w:name w:val="批注文字 Char"/>
    <w:basedOn w:val="14"/>
    <w:link w:val="4"/>
    <w:semiHidden/>
    <w:qFormat/>
    <w:uiPriority w:val="99"/>
    <w:rPr>
      <w:rFonts w:ascii="Times New Roman" w:hAnsi="Times New Roman" w:eastAsia="宋体" w:cs="Times New Roman"/>
      <w:szCs w:val="24"/>
    </w:rPr>
  </w:style>
  <w:style w:type="character" w:customStyle="1" w:styleId="20">
    <w:name w:val="正文文本缩进 2 Char"/>
    <w:basedOn w:val="14"/>
    <w:link w:val="5"/>
    <w:qFormat/>
    <w:uiPriority w:val="0"/>
    <w:rPr>
      <w:rFonts w:ascii="宋体" w:hAnsi="宋体" w:eastAsia="宋体" w:cs="Times New Roman"/>
      <w:color w:val="FF0000"/>
      <w:sz w:val="24"/>
      <w:szCs w:val="24"/>
    </w:rPr>
  </w:style>
  <w:style w:type="character" w:customStyle="1" w:styleId="21">
    <w:name w:val="批注框文本 Char"/>
    <w:basedOn w:val="14"/>
    <w:link w:val="6"/>
    <w:semiHidden/>
    <w:qFormat/>
    <w:uiPriority w:val="99"/>
    <w:rPr>
      <w:rFonts w:ascii="Times New Roman" w:hAnsi="Times New Roman" w:eastAsia="宋体" w:cs="Times New Roman"/>
      <w:sz w:val="18"/>
      <w:szCs w:val="18"/>
    </w:rPr>
  </w:style>
  <w:style w:type="character" w:customStyle="1" w:styleId="22">
    <w:name w:val="页脚 Char"/>
    <w:basedOn w:val="14"/>
    <w:link w:val="7"/>
    <w:qFormat/>
    <w:uiPriority w:val="99"/>
    <w:rPr>
      <w:sz w:val="18"/>
      <w:szCs w:val="18"/>
    </w:rPr>
  </w:style>
  <w:style w:type="character" w:customStyle="1" w:styleId="23">
    <w:name w:val="页眉 Char"/>
    <w:basedOn w:val="14"/>
    <w:link w:val="8"/>
    <w:qFormat/>
    <w:uiPriority w:val="0"/>
    <w:rPr>
      <w:sz w:val="18"/>
      <w:szCs w:val="18"/>
    </w:rPr>
  </w:style>
  <w:style w:type="character" w:customStyle="1" w:styleId="24">
    <w:name w:val="批注主题 Char"/>
    <w:basedOn w:val="19"/>
    <w:link w:val="12"/>
    <w:semiHidden/>
    <w:qFormat/>
    <w:uiPriority w:val="99"/>
    <w:rPr>
      <w:rFonts w:ascii="Times New Roman" w:hAnsi="Times New Roman" w:eastAsia="宋体" w:cs="Times New Roman"/>
      <w:b/>
      <w:bCs/>
      <w:szCs w:val="24"/>
    </w:rPr>
  </w:style>
  <w:style w:type="character" w:customStyle="1" w:styleId="25">
    <w:name w:val="标题 2 Char Char Char"/>
    <w:qFormat/>
    <w:uiPriority w:val="0"/>
    <w:rPr>
      <w:rFonts w:ascii="Arial" w:hAnsi="Arial" w:eastAsia="宋体"/>
      <w:b/>
      <w:kern w:val="2"/>
      <w:sz w:val="28"/>
      <w:szCs w:val="28"/>
      <w:lang w:val="en-US" w:eastAsia="zh-CN" w:bidi="ar-SA"/>
    </w:rPr>
  </w:style>
  <w:style w:type="paragraph" w:customStyle="1" w:styleId="26">
    <w:name w:val="2级"/>
    <w:basedOn w:val="1"/>
    <w:link w:val="27"/>
    <w:qFormat/>
    <w:uiPriority w:val="0"/>
    <w:pPr>
      <w:keepNext/>
      <w:keepLines/>
      <w:widowControl/>
      <w:spacing w:before="260" w:after="260"/>
      <w:jc w:val="left"/>
      <w:outlineLvl w:val="1"/>
    </w:pPr>
    <w:rPr>
      <w:rFonts w:ascii="宋体" w:hAnsi="宋体" w:cs="Times New Roman"/>
      <w:b/>
      <w:bCs/>
      <w:sz w:val="24"/>
    </w:rPr>
  </w:style>
  <w:style w:type="character" w:customStyle="1" w:styleId="27">
    <w:name w:val="2级 Char"/>
    <w:basedOn w:val="14"/>
    <w:link w:val="26"/>
    <w:qFormat/>
    <w:uiPriority w:val="0"/>
    <w:rPr>
      <w:rFonts w:ascii="宋体" w:hAnsi="宋体" w:eastAsia="宋体"/>
      <w:b/>
      <w:bCs/>
      <w:sz w:val="24"/>
      <w:szCs w:val="24"/>
    </w:rPr>
  </w:style>
  <w:style w:type="paragraph" w:customStyle="1" w:styleId="28">
    <w:name w:val="正文XB"/>
    <w:basedOn w:val="1"/>
    <w:link w:val="29"/>
    <w:qFormat/>
    <w:uiPriority w:val="0"/>
    <w:pPr>
      <w:spacing w:line="360" w:lineRule="auto"/>
      <w:ind w:firstLine="420" w:firstLineChars="200"/>
    </w:pPr>
    <w:rPr>
      <w:rFonts w:ascii="宋体" w:hAnsi="宋体"/>
      <w:color w:val="000000"/>
      <w:szCs w:val="21"/>
    </w:rPr>
  </w:style>
  <w:style w:type="character" w:customStyle="1" w:styleId="29">
    <w:name w:val="正文XB Char"/>
    <w:basedOn w:val="14"/>
    <w:link w:val="28"/>
    <w:qFormat/>
    <w:uiPriority w:val="0"/>
    <w:rPr>
      <w:rFonts w:ascii="宋体" w:hAnsi="宋体" w:eastAsia="宋体" w:cs="Times New Roman"/>
      <w:color w:val="000000"/>
      <w:szCs w:val="21"/>
    </w:rPr>
  </w:style>
  <w:style w:type="paragraph" w:styleId="30">
    <w:name w:val="List Paragraph"/>
    <w:basedOn w:val="1"/>
    <w:unhideWhenUsed/>
    <w:qFormat/>
    <w:uiPriority w:val="99"/>
    <w:pPr>
      <w:ind w:firstLine="420" w:firstLineChars="200"/>
    </w:pPr>
  </w:style>
  <w:style w:type="paragraph" w:customStyle="1" w:styleId="31">
    <w:name w:val="Default"/>
    <w:qFormat/>
    <w:uiPriority w:val="0"/>
    <w:pPr>
      <w:widowControl w:val="0"/>
      <w:autoSpaceDE w:val="0"/>
      <w:autoSpaceDN w:val="0"/>
      <w:adjustRightInd w:val="0"/>
    </w:pPr>
    <w:rPr>
      <w:rFonts w:ascii="宋体棬　僬　." w:hAnsi="Calibri" w:eastAsia="宋体棬　僬　." w:cs="宋体棬　僬　."/>
      <w:color w:val="000000"/>
      <w:sz w:val="24"/>
      <w:szCs w:val="24"/>
      <w:lang w:val="en-US" w:eastAsia="zh-CN" w:bidi="ar-SA"/>
    </w:rPr>
  </w:style>
  <w:style w:type="paragraph" w:customStyle="1" w:styleId="32">
    <w:name w:val="TOC 标题1"/>
    <w:basedOn w:val="2"/>
    <w:next w:val="1"/>
    <w:unhideWhenUsed/>
    <w:qFormat/>
    <w:uiPriority w:val="39"/>
    <w:pPr>
      <w:keepNext/>
      <w:keepLines/>
      <w:spacing w:before="480" w:line="276" w:lineRule="auto"/>
      <w:outlineLvl w:val="9"/>
    </w:pPr>
    <w:rPr>
      <w:rFonts w:ascii="Cambria" w:hAnsi="Cambria" w:eastAsia="宋体" w:cs="Times New Roman"/>
      <w:b/>
      <w:bCs/>
      <w:color w:val="366091"/>
      <w:sz w:val="28"/>
      <w:szCs w:val="28"/>
      <w:lang w:val="en-US"/>
    </w:rPr>
  </w:style>
  <w:style w:type="paragraph" w:styleId="33">
    <w:name w:val="No Spacing"/>
    <w:basedOn w:val="1"/>
    <w:link w:val="34"/>
    <w:qFormat/>
    <w:uiPriority w:val="1"/>
    <w:pPr>
      <w:widowControl/>
      <w:jc w:val="left"/>
    </w:pPr>
    <w:rPr>
      <w:rFonts w:ascii="Calibri" w:hAnsi="Calibri" w:eastAsia="宋体" w:cs="Times New Roman"/>
      <w:szCs w:val="21"/>
    </w:rPr>
  </w:style>
  <w:style w:type="character" w:customStyle="1" w:styleId="34">
    <w:name w:val="无间隔 Char"/>
    <w:basedOn w:val="14"/>
    <w:link w:val="33"/>
    <w:qFormat/>
    <w:locked/>
    <w:uiPriority w:val="1"/>
    <w:rPr>
      <w:szCs w:val="21"/>
    </w:rPr>
  </w:style>
  <w:style w:type="paragraph" w:customStyle="1" w:styleId="35">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36">
    <w:name w:val="无缩进备注"/>
    <w:basedOn w:val="1"/>
    <w:link w:val="37"/>
    <w:qFormat/>
    <w:uiPriority w:val="0"/>
    <w:pPr>
      <w:tabs>
        <w:tab w:val="left" w:pos="426"/>
      </w:tabs>
      <w:jc w:val="left"/>
    </w:pPr>
    <w:rPr>
      <w:rFonts w:ascii="宋体" w:hAnsi="宋体"/>
      <w:kern w:val="0"/>
      <w:szCs w:val="21"/>
    </w:rPr>
  </w:style>
  <w:style w:type="character" w:customStyle="1" w:styleId="37">
    <w:name w:val="无缩进备注 Char"/>
    <w:basedOn w:val="14"/>
    <w:link w:val="36"/>
    <w:qFormat/>
    <w:uiPriority w:val="0"/>
    <w:rPr>
      <w:rFonts w:ascii="宋体" w:hAnsi="宋体" w:eastAsia="宋体" w:cs="Times New Roman"/>
      <w:kern w:val="0"/>
      <w:szCs w:val="21"/>
    </w:rPr>
  </w:style>
  <w:style w:type="character" w:customStyle="1" w:styleId="38">
    <w:name w:val="read1"/>
    <w:basedOn w:val="14"/>
    <w:qFormat/>
    <w:uiPriority w:val="0"/>
    <w:rPr>
      <w:rFonts w:hint="default"/>
      <w:color w:val="000000"/>
      <w:spacing w:val="450"/>
      <w:u w:val="none"/>
    </w:rPr>
  </w:style>
  <w:style w:type="character" w:customStyle="1" w:styleId="39">
    <w:name w:val="font01"/>
    <w:basedOn w:val="14"/>
    <w:qFormat/>
    <w:uiPriority w:val="0"/>
    <w:rPr>
      <w:rFonts w:hint="default" w:ascii="Times New Roman" w:hAnsi="Times New Roman" w:cs="Times New Roman"/>
      <w:b/>
      <w:color w:val="000000"/>
      <w:sz w:val="24"/>
      <w:szCs w:val="24"/>
      <w:u w:val="none"/>
    </w:rPr>
  </w:style>
  <w:style w:type="character" w:customStyle="1" w:styleId="40">
    <w:name w:val="font51"/>
    <w:basedOn w:val="14"/>
    <w:qFormat/>
    <w:uiPriority w:val="0"/>
    <w:rPr>
      <w:rFonts w:hint="eastAsia" w:ascii="宋体" w:hAnsi="宋体" w:eastAsia="宋体" w:cs="宋体"/>
      <w:b/>
      <w:color w:val="000000"/>
      <w:sz w:val="24"/>
      <w:szCs w:val="24"/>
      <w:u w:val="none"/>
    </w:rPr>
  </w:style>
  <w:style w:type="character" w:customStyle="1" w:styleId="41">
    <w:name w:val="font71"/>
    <w:basedOn w:val="14"/>
    <w:qFormat/>
    <w:uiPriority w:val="0"/>
    <w:rPr>
      <w:rFonts w:hint="eastAsia" w:ascii="宋体" w:hAnsi="宋体" w:eastAsia="宋体" w:cs="宋体"/>
      <w:color w:val="000000"/>
      <w:sz w:val="22"/>
      <w:szCs w:val="22"/>
      <w:u w:val="none"/>
    </w:rPr>
  </w:style>
  <w:style w:type="character" w:customStyle="1" w:styleId="42">
    <w:name w:val="font61"/>
    <w:basedOn w:val="14"/>
    <w:qFormat/>
    <w:uiPriority w:val="0"/>
    <w:rPr>
      <w:rFonts w:hint="eastAsia" w:ascii="宋体" w:hAnsi="宋体" w:eastAsia="宋体" w:cs="宋体"/>
      <w:color w:val="000000"/>
      <w:sz w:val="22"/>
      <w:szCs w:val="22"/>
      <w:u w:val="none"/>
    </w:rPr>
  </w:style>
  <w:style w:type="character" w:customStyle="1" w:styleId="43">
    <w:name w:val="font11"/>
    <w:basedOn w:val="14"/>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13</Pages>
  <Words>1643</Words>
  <Characters>9366</Characters>
  <Lines>78</Lines>
  <Paragraphs>21</Paragraphs>
  <TotalTime>5</TotalTime>
  <ScaleCrop>false</ScaleCrop>
  <LinksUpToDate>false</LinksUpToDate>
  <CharactersWithSpaces>10988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2023-05-26T15:18:00Z</dcterms:created>
  <dc:creator>段宏竹</dc:creator>
  <cp:lastModifiedBy>fuxj</cp:lastModifiedBy>
  <cp:lastPrinted>2023-01-13T09:54:00Z</cp:lastPrinted>
  <dcterms:modified xsi:type="dcterms:W3CDTF">2026-07-15T05:51:22Z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31BB2C23D89B4937BCCBED51622E33D2</vt:lpwstr>
  </property>
</Properties>
</file>