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BBA078"/>
    <w:p w14:paraId="56B03CD9">
      <w:pPr>
        <w:jc w:val="center"/>
        <w:rPr>
          <w:rFonts w:hint="eastAsia" w:ascii="宋体" w:hAnsi="宋体" w:eastAsia="宋体"/>
          <w:b/>
          <w:sz w:val="30"/>
        </w:rPr>
      </w:pPr>
      <w:r>
        <w:rPr>
          <w:rFonts w:hint="eastAsia" w:ascii="宋体" w:hAnsi="宋体" w:eastAsia="宋体"/>
          <w:b/>
          <w:sz w:val="30"/>
        </w:rPr>
        <w:t>博时基金管理有限公司关于博时集兴配置优选6个月持有期混合型发起式基金中基金（FOF）基金合同终止及基金财产</w:t>
      </w:r>
    </w:p>
    <w:p w14:paraId="19C1043A">
      <w:pPr>
        <w:jc w:val="center"/>
        <w:rPr>
          <w:rFonts w:hint="eastAsia" w:ascii="宋体" w:hAnsi="宋体" w:eastAsia="宋体"/>
          <w:b/>
          <w:sz w:val="30"/>
        </w:rPr>
      </w:pPr>
      <w:r>
        <w:rPr>
          <w:rFonts w:hint="eastAsia" w:ascii="宋体" w:hAnsi="宋体" w:eastAsia="宋体"/>
          <w:b/>
          <w:sz w:val="30"/>
        </w:rPr>
        <w:t>清算的公告</w:t>
      </w:r>
    </w:p>
    <w:p w14:paraId="52442D82">
      <w:pPr>
        <w:jc w:val="center"/>
        <w:rPr>
          <w:rFonts w:ascii="宋体" w:hAnsi="宋体" w:eastAsia="宋体"/>
          <w:b/>
          <w:sz w:val="24"/>
        </w:rPr>
      </w:pPr>
      <w:r>
        <w:rPr>
          <w:rFonts w:hint="eastAsia" w:ascii="宋体" w:hAnsi="宋体" w:eastAsia="宋体"/>
          <w:b/>
          <w:sz w:val="24"/>
        </w:rPr>
        <w:t>公告送出日期：</w:t>
      </w:r>
      <w:r>
        <w:rPr>
          <w:rFonts w:ascii="宋体" w:hAnsi="宋体" w:eastAsia="宋体"/>
          <w:b/>
          <w:sz w:val="24"/>
        </w:rPr>
        <w:t>2026年8月</w:t>
      </w:r>
      <w:r>
        <w:rPr>
          <w:rFonts w:hint="eastAsia" w:ascii="宋体" w:hAnsi="宋体" w:eastAsia="宋体"/>
          <w:b/>
          <w:sz w:val="24"/>
          <w:lang w:val="en-US" w:eastAsia="zh-CN"/>
        </w:rPr>
        <w:t>31</w:t>
      </w:r>
      <w:r>
        <w:rPr>
          <w:rFonts w:ascii="宋体" w:hAnsi="宋体" w:eastAsia="宋体"/>
          <w:b/>
          <w:sz w:val="24"/>
        </w:rPr>
        <w:t>日</w:t>
      </w:r>
    </w:p>
    <w:p w14:paraId="782640AF">
      <w:pPr>
        <w:jc w:val="center"/>
        <w:rPr>
          <w:rFonts w:ascii="宋体" w:hAnsi="宋体" w:eastAsia="宋体"/>
          <w:b/>
          <w:sz w:val="24"/>
        </w:rPr>
      </w:pPr>
    </w:p>
    <w:p w14:paraId="3AFA01E2">
      <w:pPr>
        <w:pStyle w:val="3"/>
        <w:spacing w:before="0" w:beforeAutospacing="0" w:after="0" w:afterAutospacing="0" w:line="360" w:lineRule="auto"/>
        <w:ind w:firstLine="420"/>
        <w:rPr>
          <w:rFonts w:hint="eastAsia"/>
          <w:b w:val="0"/>
          <w:bCs w:val="0"/>
          <w:i w:val="0"/>
          <w:iCs w:val="0"/>
          <w:sz w:val="21"/>
          <w:szCs w:val="21"/>
        </w:rPr>
      </w:pPr>
      <w:r>
        <w:rPr>
          <w:rFonts w:hint="eastAsia"/>
          <w:b w:val="0"/>
          <w:bCs w:val="0"/>
          <w:i w:val="0"/>
          <w:iCs w:val="0"/>
          <w:sz w:val="21"/>
          <w:szCs w:val="21"/>
        </w:rPr>
        <w:t>根据《中华人民共和国证券投资基金法》、《公开募集证券投资基金运作管理办法》和《</w:t>
      </w:r>
      <w:r>
        <w:rPr>
          <w:rStyle w:val="7"/>
          <w:rFonts w:hint="eastAsia"/>
          <w:b w:val="0"/>
          <w:bCs w:val="0"/>
          <w:i w:val="0"/>
          <w:iCs w:val="0"/>
          <w:sz w:val="21"/>
          <w:szCs w:val="21"/>
        </w:rPr>
        <w:t>博时集兴配置优选6个月持有期混合型发起式基金中基金（FOF）</w:t>
      </w:r>
      <w:r>
        <w:rPr>
          <w:rFonts w:hint="eastAsia"/>
          <w:b w:val="0"/>
          <w:bCs w:val="0"/>
          <w:i w:val="0"/>
          <w:iCs w:val="0"/>
          <w:sz w:val="21"/>
          <w:szCs w:val="21"/>
        </w:rPr>
        <w:t>基金合同》（以下简称“基金合同”或“《基金合同》”）的有关规定，</w:t>
      </w:r>
      <w:r>
        <w:rPr>
          <w:rStyle w:val="7"/>
          <w:rFonts w:hint="eastAsia"/>
          <w:b w:val="0"/>
          <w:bCs w:val="0"/>
          <w:i w:val="0"/>
          <w:iCs w:val="0"/>
          <w:sz w:val="21"/>
          <w:szCs w:val="21"/>
        </w:rPr>
        <w:t>博时集兴配置优选6个月持有期混合型发起式基金中基金（FOF）</w:t>
      </w:r>
      <w:r>
        <w:rPr>
          <w:rFonts w:hint="eastAsia"/>
          <w:b w:val="0"/>
          <w:bCs w:val="0"/>
          <w:i w:val="0"/>
          <w:iCs w:val="0"/>
          <w:sz w:val="21"/>
          <w:szCs w:val="21"/>
        </w:rPr>
        <w:t xml:space="preserve">（以下简称“本基金”）出现了基金合同终止事由，博时基金管理有限公司应当在上述终止事由出现后依法对基金财产进行清算，且本次事项无需召开基金份额持有人大会。现将相关事宜公告如下： </w:t>
      </w:r>
    </w:p>
    <w:p w14:paraId="7988F09A">
      <w:pPr>
        <w:pStyle w:val="2"/>
        <w:rPr>
          <w:rFonts w:hint="eastAsia" w:ascii="宋体" w:hAnsi="宋体" w:eastAsia="宋体"/>
          <w:sz w:val="21"/>
        </w:rPr>
      </w:pPr>
      <w:r>
        <w:rPr>
          <w:rFonts w:hint="eastAsia" w:ascii="宋体" w:hAnsi="宋体" w:eastAsia="宋体"/>
          <w:sz w:val="21"/>
        </w:rPr>
        <w:t>一、本基金基本信息</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0DBEB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583A28A6">
            <w:pPr>
              <w:rPr>
                <w:rFonts w:ascii="宋体" w:hAnsi="宋体" w:eastAsia="宋体"/>
              </w:rPr>
            </w:pPr>
            <w:r>
              <w:rPr>
                <w:rFonts w:hint="eastAsia" w:ascii="宋体" w:hAnsi="宋体" w:eastAsia="宋体"/>
              </w:rPr>
              <w:t>基金名称</w:t>
            </w:r>
          </w:p>
        </w:tc>
        <w:tc>
          <w:tcPr>
            <w:tcW w:w="5682" w:type="dxa"/>
            <w:gridSpan w:val="2"/>
            <w:vAlign w:val="center"/>
          </w:tcPr>
          <w:p w14:paraId="3A68DDB8">
            <w:pPr>
              <w:rPr>
                <w:rFonts w:ascii="宋体" w:hAnsi="宋体" w:eastAsia="宋体"/>
              </w:rPr>
            </w:pPr>
            <w:r>
              <w:rPr>
                <w:rFonts w:hint="eastAsia" w:ascii="宋体" w:hAnsi="宋体" w:eastAsia="宋体"/>
              </w:rPr>
              <w:t>博时集兴配置优选</w:t>
            </w:r>
            <w:r>
              <w:rPr>
                <w:rFonts w:ascii="宋体" w:hAnsi="宋体" w:eastAsia="宋体"/>
              </w:rPr>
              <w:t>6个月持有期混合型发起式基金中基金（FOF）</w:t>
            </w:r>
          </w:p>
        </w:tc>
      </w:tr>
      <w:tr w14:paraId="696F3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5B9B59F2">
            <w:pPr>
              <w:rPr>
                <w:rFonts w:ascii="宋体" w:hAnsi="宋体" w:eastAsia="宋体"/>
              </w:rPr>
            </w:pPr>
            <w:r>
              <w:rPr>
                <w:rFonts w:hint="eastAsia" w:ascii="宋体" w:hAnsi="宋体" w:eastAsia="宋体"/>
              </w:rPr>
              <w:t>基金简称</w:t>
            </w:r>
          </w:p>
        </w:tc>
        <w:tc>
          <w:tcPr>
            <w:tcW w:w="5682" w:type="dxa"/>
            <w:gridSpan w:val="2"/>
            <w:vAlign w:val="center"/>
          </w:tcPr>
          <w:p w14:paraId="0C6758C8">
            <w:pPr>
              <w:rPr>
                <w:rFonts w:ascii="宋体" w:hAnsi="宋体" w:eastAsia="宋体"/>
              </w:rPr>
            </w:pPr>
            <w:r>
              <w:rPr>
                <w:rFonts w:hint="eastAsia" w:ascii="宋体" w:hAnsi="宋体" w:eastAsia="宋体"/>
              </w:rPr>
              <w:t>博时集兴配置优选</w:t>
            </w:r>
            <w:r>
              <w:rPr>
                <w:rFonts w:ascii="宋体" w:hAnsi="宋体" w:eastAsia="宋体"/>
              </w:rPr>
              <w:t>6个月持有混合发起式（FOF）</w:t>
            </w:r>
          </w:p>
        </w:tc>
      </w:tr>
      <w:tr w14:paraId="37879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58067BB9">
            <w:pPr>
              <w:rPr>
                <w:rFonts w:ascii="宋体" w:hAnsi="宋体" w:eastAsia="宋体"/>
              </w:rPr>
            </w:pPr>
            <w:r>
              <w:rPr>
                <w:rFonts w:hint="eastAsia" w:ascii="宋体" w:hAnsi="宋体" w:eastAsia="宋体"/>
              </w:rPr>
              <w:t>基金主代码</w:t>
            </w:r>
          </w:p>
        </w:tc>
        <w:tc>
          <w:tcPr>
            <w:tcW w:w="5682" w:type="dxa"/>
            <w:gridSpan w:val="2"/>
            <w:vAlign w:val="center"/>
          </w:tcPr>
          <w:p w14:paraId="4CB41661">
            <w:pPr>
              <w:rPr>
                <w:rFonts w:ascii="宋体" w:hAnsi="宋体" w:eastAsia="宋体"/>
              </w:rPr>
            </w:pPr>
            <w:r>
              <w:rPr>
                <w:rFonts w:ascii="宋体" w:hAnsi="宋体" w:eastAsia="宋体"/>
              </w:rPr>
              <w:t>018285</w:t>
            </w:r>
          </w:p>
        </w:tc>
      </w:tr>
      <w:tr w14:paraId="08716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2810E56A">
            <w:pPr>
              <w:rPr>
                <w:rFonts w:ascii="宋体" w:hAnsi="宋体" w:eastAsia="宋体"/>
              </w:rPr>
            </w:pPr>
            <w:r>
              <w:rPr>
                <w:rFonts w:hint="eastAsia" w:ascii="宋体" w:hAnsi="宋体" w:eastAsia="宋体"/>
              </w:rPr>
              <w:t>基金运作方式</w:t>
            </w:r>
          </w:p>
        </w:tc>
        <w:tc>
          <w:tcPr>
            <w:tcW w:w="5682" w:type="dxa"/>
            <w:gridSpan w:val="2"/>
            <w:vAlign w:val="center"/>
          </w:tcPr>
          <w:p w14:paraId="06CE1C67">
            <w:pPr>
              <w:rPr>
                <w:rFonts w:ascii="宋体" w:hAnsi="宋体" w:eastAsia="宋体"/>
              </w:rPr>
            </w:pPr>
            <w:r>
              <w:rPr>
                <w:rFonts w:hint="eastAsia" w:ascii="宋体" w:hAnsi="宋体" w:eastAsia="宋体"/>
              </w:rPr>
              <w:t>契约型开放式</w:t>
            </w:r>
          </w:p>
        </w:tc>
      </w:tr>
      <w:tr w14:paraId="5E69A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45F72383">
            <w:pPr>
              <w:rPr>
                <w:rFonts w:ascii="宋体" w:hAnsi="宋体" w:eastAsia="宋体"/>
              </w:rPr>
            </w:pPr>
            <w:r>
              <w:rPr>
                <w:rFonts w:hint="eastAsia" w:ascii="宋体" w:hAnsi="宋体" w:eastAsia="宋体"/>
              </w:rPr>
              <w:t>基金合同生效日</w:t>
            </w:r>
          </w:p>
        </w:tc>
        <w:tc>
          <w:tcPr>
            <w:tcW w:w="5682" w:type="dxa"/>
            <w:gridSpan w:val="2"/>
            <w:vAlign w:val="center"/>
          </w:tcPr>
          <w:p w14:paraId="26630264">
            <w:pPr>
              <w:rPr>
                <w:rFonts w:ascii="宋体" w:hAnsi="宋体" w:eastAsia="宋体"/>
              </w:rPr>
            </w:pPr>
            <w:r>
              <w:rPr>
                <w:rFonts w:ascii="宋体" w:hAnsi="宋体" w:eastAsia="宋体"/>
              </w:rPr>
              <w:t>2023年8月29日</w:t>
            </w:r>
          </w:p>
        </w:tc>
      </w:tr>
      <w:tr w14:paraId="1AEE3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6F1B35D9">
            <w:pPr>
              <w:rPr>
                <w:rFonts w:ascii="宋体" w:hAnsi="宋体" w:eastAsia="宋体"/>
              </w:rPr>
            </w:pPr>
            <w:r>
              <w:rPr>
                <w:rFonts w:hint="eastAsia" w:ascii="宋体" w:hAnsi="宋体" w:eastAsia="宋体"/>
              </w:rPr>
              <w:t>基金管理人名称</w:t>
            </w:r>
          </w:p>
        </w:tc>
        <w:tc>
          <w:tcPr>
            <w:tcW w:w="5682" w:type="dxa"/>
            <w:gridSpan w:val="2"/>
            <w:vAlign w:val="center"/>
          </w:tcPr>
          <w:p w14:paraId="08F9D329">
            <w:pPr>
              <w:rPr>
                <w:rFonts w:ascii="宋体" w:hAnsi="宋体" w:eastAsia="宋体"/>
              </w:rPr>
            </w:pPr>
            <w:r>
              <w:rPr>
                <w:rFonts w:hint="eastAsia" w:ascii="宋体" w:hAnsi="宋体" w:eastAsia="宋体"/>
              </w:rPr>
              <w:t>博时基金管理有限公司</w:t>
            </w:r>
          </w:p>
        </w:tc>
      </w:tr>
      <w:tr w14:paraId="605F0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103B0981">
            <w:pPr>
              <w:rPr>
                <w:rFonts w:ascii="宋体" w:hAnsi="宋体" w:eastAsia="宋体"/>
              </w:rPr>
            </w:pPr>
            <w:r>
              <w:rPr>
                <w:rFonts w:hint="eastAsia" w:ascii="宋体" w:hAnsi="宋体" w:eastAsia="宋体"/>
              </w:rPr>
              <w:t>基金托管人名称</w:t>
            </w:r>
          </w:p>
        </w:tc>
        <w:tc>
          <w:tcPr>
            <w:tcW w:w="5682" w:type="dxa"/>
            <w:gridSpan w:val="2"/>
            <w:vAlign w:val="center"/>
          </w:tcPr>
          <w:p w14:paraId="6855FB31">
            <w:pPr>
              <w:rPr>
                <w:rFonts w:ascii="宋体" w:hAnsi="宋体" w:eastAsia="宋体"/>
              </w:rPr>
            </w:pPr>
            <w:r>
              <w:rPr>
                <w:rFonts w:hint="eastAsia" w:ascii="宋体" w:hAnsi="宋体" w:eastAsia="宋体"/>
              </w:rPr>
              <w:t>中信银行股份有限公司</w:t>
            </w:r>
          </w:p>
        </w:tc>
      </w:tr>
      <w:tr w14:paraId="28A40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2C296183">
            <w:pPr>
              <w:rPr>
                <w:rFonts w:ascii="宋体" w:hAnsi="宋体" w:eastAsia="宋体"/>
              </w:rPr>
            </w:pPr>
            <w:r>
              <w:rPr>
                <w:rFonts w:hint="eastAsia" w:ascii="宋体" w:hAnsi="宋体" w:eastAsia="宋体"/>
              </w:rPr>
              <w:t>基金注册登记机构名称</w:t>
            </w:r>
          </w:p>
        </w:tc>
        <w:tc>
          <w:tcPr>
            <w:tcW w:w="5682" w:type="dxa"/>
            <w:gridSpan w:val="2"/>
            <w:vAlign w:val="center"/>
          </w:tcPr>
          <w:p w14:paraId="0373D702">
            <w:pPr>
              <w:rPr>
                <w:rFonts w:ascii="宋体" w:hAnsi="宋体" w:eastAsia="宋体"/>
              </w:rPr>
            </w:pPr>
            <w:r>
              <w:rPr>
                <w:rFonts w:hint="eastAsia" w:ascii="宋体" w:hAnsi="宋体" w:eastAsia="宋体"/>
              </w:rPr>
              <w:t>博时基金管理有限公司</w:t>
            </w:r>
          </w:p>
        </w:tc>
      </w:tr>
      <w:tr w14:paraId="6C8D9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18827568">
            <w:pPr>
              <w:rPr>
                <w:rFonts w:ascii="宋体" w:hAnsi="宋体" w:eastAsia="宋体"/>
              </w:rPr>
            </w:pPr>
            <w:r>
              <w:rPr>
                <w:rFonts w:hint="eastAsia" w:ascii="宋体" w:hAnsi="宋体" w:eastAsia="宋体"/>
              </w:rPr>
              <w:t>公告依据</w:t>
            </w:r>
          </w:p>
        </w:tc>
        <w:tc>
          <w:tcPr>
            <w:tcW w:w="5682" w:type="dxa"/>
            <w:gridSpan w:val="2"/>
            <w:vAlign w:val="center"/>
          </w:tcPr>
          <w:p w14:paraId="08D7A895">
            <w:pPr>
              <w:rPr>
                <w:rFonts w:ascii="宋体" w:hAnsi="宋体" w:eastAsia="宋体"/>
              </w:rPr>
            </w:pPr>
            <w:r>
              <w:rPr>
                <w:rFonts w:hint="eastAsia" w:ascii="宋体" w:hAnsi="宋体" w:eastAsia="宋体"/>
              </w:rPr>
              <w:t>《中华人民共和国证券投资基金法》、《公开募集证券投资基金运作管理办法》等法律法规以及《博时集兴配置优选</w:t>
            </w:r>
            <w:r>
              <w:rPr>
                <w:rFonts w:ascii="宋体" w:hAnsi="宋体" w:eastAsia="宋体"/>
              </w:rPr>
              <w:t>6个月持有期混合型发起式基金中基金（FOF）基金合同》、《博时集兴配置优选6个月持有期混合型发起式基金中基金（FOF）招募说明书》等</w:t>
            </w:r>
          </w:p>
        </w:tc>
      </w:tr>
      <w:tr w14:paraId="58E0F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2ECF4168">
            <w:pPr>
              <w:rPr>
                <w:rFonts w:ascii="宋体" w:hAnsi="宋体" w:eastAsia="宋体"/>
              </w:rPr>
            </w:pPr>
            <w:r>
              <w:rPr>
                <w:rFonts w:hint="eastAsia" w:ascii="宋体" w:hAnsi="宋体" w:eastAsia="宋体"/>
              </w:rPr>
              <w:t>下属类别基金的基金简称</w:t>
            </w:r>
          </w:p>
        </w:tc>
        <w:tc>
          <w:tcPr>
            <w:tcW w:w="2841" w:type="dxa"/>
            <w:vAlign w:val="center"/>
          </w:tcPr>
          <w:p w14:paraId="2E445826">
            <w:pPr>
              <w:rPr>
                <w:rFonts w:ascii="宋体" w:hAnsi="宋体" w:eastAsia="宋体"/>
              </w:rPr>
            </w:pPr>
            <w:r>
              <w:rPr>
                <w:rFonts w:hint="eastAsia" w:ascii="宋体" w:hAnsi="宋体" w:eastAsia="宋体"/>
              </w:rPr>
              <w:t>博时集兴配置优选</w:t>
            </w:r>
            <w:r>
              <w:rPr>
                <w:rFonts w:ascii="宋体" w:hAnsi="宋体" w:eastAsia="宋体"/>
              </w:rPr>
              <w:t>6个月持有混合发起式（FOF）A</w:t>
            </w:r>
          </w:p>
        </w:tc>
        <w:tc>
          <w:tcPr>
            <w:tcW w:w="2841" w:type="dxa"/>
            <w:vAlign w:val="center"/>
          </w:tcPr>
          <w:p w14:paraId="1E0DD085">
            <w:pPr>
              <w:rPr>
                <w:rFonts w:ascii="宋体" w:hAnsi="宋体" w:eastAsia="宋体"/>
              </w:rPr>
            </w:pPr>
            <w:r>
              <w:rPr>
                <w:rFonts w:hint="eastAsia" w:ascii="宋体" w:hAnsi="宋体" w:eastAsia="宋体"/>
              </w:rPr>
              <w:t>博时集兴配置优选</w:t>
            </w:r>
            <w:r>
              <w:rPr>
                <w:rFonts w:ascii="宋体" w:hAnsi="宋体" w:eastAsia="宋体"/>
              </w:rPr>
              <w:t>6个月持有混合发起式（FOF）C</w:t>
            </w:r>
          </w:p>
        </w:tc>
      </w:tr>
      <w:tr w14:paraId="7E48D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787FBFEA">
            <w:pPr>
              <w:rPr>
                <w:rFonts w:ascii="宋体" w:hAnsi="宋体" w:eastAsia="宋体"/>
              </w:rPr>
            </w:pPr>
            <w:r>
              <w:rPr>
                <w:rFonts w:hint="eastAsia" w:ascii="宋体" w:hAnsi="宋体" w:eastAsia="宋体"/>
              </w:rPr>
              <w:t>下属类别基金的交易代码</w:t>
            </w:r>
          </w:p>
        </w:tc>
        <w:tc>
          <w:tcPr>
            <w:tcW w:w="2841" w:type="dxa"/>
            <w:vAlign w:val="center"/>
          </w:tcPr>
          <w:p w14:paraId="29271373">
            <w:pPr>
              <w:rPr>
                <w:rFonts w:ascii="宋体" w:hAnsi="宋体" w:eastAsia="宋体"/>
              </w:rPr>
            </w:pPr>
            <w:r>
              <w:rPr>
                <w:rFonts w:ascii="宋体" w:hAnsi="宋体" w:eastAsia="宋体"/>
              </w:rPr>
              <w:t>018285</w:t>
            </w:r>
          </w:p>
        </w:tc>
        <w:tc>
          <w:tcPr>
            <w:tcW w:w="2841" w:type="dxa"/>
            <w:vAlign w:val="center"/>
          </w:tcPr>
          <w:p w14:paraId="76E34A49">
            <w:pPr>
              <w:rPr>
                <w:rFonts w:ascii="宋体" w:hAnsi="宋体" w:eastAsia="宋体"/>
              </w:rPr>
            </w:pPr>
            <w:r>
              <w:rPr>
                <w:rFonts w:ascii="宋体" w:hAnsi="宋体" w:eastAsia="宋体"/>
              </w:rPr>
              <w:t>018286</w:t>
            </w:r>
          </w:p>
        </w:tc>
      </w:tr>
    </w:tbl>
    <w:p w14:paraId="4DCE1462"/>
    <w:p w14:paraId="45E0FC70">
      <w:pPr>
        <w:pStyle w:val="2"/>
        <w:rPr>
          <w:rFonts w:hint="eastAsia" w:ascii="宋体" w:hAnsi="宋体" w:eastAsia="宋体"/>
          <w:sz w:val="21"/>
        </w:rPr>
      </w:pPr>
      <w:r>
        <w:rPr>
          <w:rFonts w:hint="eastAsia" w:ascii="宋体" w:hAnsi="宋体" w:eastAsia="宋体"/>
          <w:sz w:val="21"/>
        </w:rPr>
        <w:t>二、基金合同终止事由</w:t>
      </w:r>
    </w:p>
    <w:p w14:paraId="046126BC">
      <w:pPr>
        <w:pStyle w:val="3"/>
        <w:spacing w:before="0" w:beforeAutospacing="0" w:after="0" w:afterAutospacing="0" w:line="360" w:lineRule="auto"/>
        <w:ind w:firstLine="420"/>
        <w:rPr>
          <w:rFonts w:hint="eastAsia"/>
          <w:sz w:val="21"/>
          <w:szCs w:val="21"/>
        </w:rPr>
      </w:pPr>
      <w:r>
        <w:rPr>
          <w:rFonts w:hint="eastAsia"/>
          <w:sz w:val="21"/>
          <w:szCs w:val="21"/>
        </w:rPr>
        <w:t>根据《基金合同》“第五部分 基金备案”之“三、基金存续期内的基金份额持有人数量和资产规模”约定：</w:t>
      </w:r>
    </w:p>
    <w:p w14:paraId="59690C9A">
      <w:pPr>
        <w:pStyle w:val="3"/>
        <w:spacing w:before="0" w:beforeAutospacing="0" w:after="0" w:afterAutospacing="0" w:line="360" w:lineRule="auto"/>
        <w:ind w:firstLine="420"/>
        <w:rPr>
          <w:rFonts w:hint="eastAsia"/>
          <w:sz w:val="21"/>
          <w:szCs w:val="21"/>
        </w:rPr>
      </w:pPr>
      <w:r>
        <w:rPr>
          <w:rFonts w:hint="eastAsia"/>
          <w:sz w:val="21"/>
          <w:szCs w:val="21"/>
        </w:rPr>
        <w:t>“本基金的基金合同生效之日起三年后的对应日，若基金资产净值低于两亿元的，本基金将根据基金合同的约定进行基金财产清算并终止，无需召开基金份额持有人大会审议，且不得通过召开基金份额持有人大会的方式延续基金合同。若届时的法律法规或中国证监会规定发生变化，上述终止规定被取消、更改或补充时，则本基金可以参照届时有效的法律法规或中国证监会规定执行。</w:t>
      </w:r>
    </w:p>
    <w:p w14:paraId="597AE19E">
      <w:pPr>
        <w:pStyle w:val="3"/>
        <w:spacing w:before="0" w:beforeAutospacing="0" w:after="0" w:afterAutospacing="0" w:line="360" w:lineRule="auto"/>
        <w:ind w:firstLine="420"/>
        <w:rPr>
          <w:rFonts w:hint="eastAsia"/>
          <w:sz w:val="21"/>
          <w:szCs w:val="21"/>
        </w:rPr>
      </w:pPr>
      <w:r>
        <w:rPr>
          <w:rFonts w:hint="eastAsia"/>
          <w:sz w:val="21"/>
          <w:szCs w:val="21"/>
        </w:rPr>
        <w:t>本基金在基金合同生效三年后继续存续的，基金存续期内，连续20个工作日出现基金份额持有人数量不满200人或者基金资产净值低于5000万元情形的，基金管理人应当在定期报告中予以披露；连续50个工作日出现前述情形的，本基金将根据基金合同的约定进行基金财产清算并终止，且无需召开基金份额持有人大会，同时基金管理人应履行相关的监管报告和信息披露程序。</w:t>
      </w:r>
    </w:p>
    <w:p w14:paraId="41F8B5E2">
      <w:pPr>
        <w:pStyle w:val="3"/>
        <w:spacing w:before="0" w:beforeAutospacing="0" w:after="0" w:afterAutospacing="0" w:line="360" w:lineRule="auto"/>
        <w:ind w:firstLine="420"/>
        <w:rPr>
          <w:rFonts w:hint="eastAsia"/>
          <w:sz w:val="21"/>
          <w:szCs w:val="21"/>
        </w:rPr>
      </w:pPr>
      <w:r>
        <w:rPr>
          <w:rFonts w:hint="eastAsia"/>
          <w:sz w:val="21"/>
          <w:szCs w:val="21"/>
        </w:rPr>
        <w:t>法律法规或中国证监会另有规定时，从其规定。”</w:t>
      </w:r>
    </w:p>
    <w:p w14:paraId="1498BCD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本基金基金合同生效日为202</w:t>
      </w:r>
      <w:r>
        <w:rPr>
          <w:rFonts w:hint="eastAsia" w:ascii="宋体" w:hAnsi="宋体" w:eastAsia="宋体" w:cs="宋体"/>
          <w:sz w:val="21"/>
          <w:szCs w:val="21"/>
          <w:lang w:val="en-US" w:eastAsia="zh-CN"/>
        </w:rPr>
        <w:t>3</w:t>
      </w:r>
      <w:r>
        <w:rPr>
          <w:rFonts w:hint="eastAsia" w:ascii="宋体" w:hAnsi="宋体" w:eastAsia="宋体" w:cs="宋体"/>
          <w:sz w:val="21"/>
          <w:szCs w:val="21"/>
        </w:rPr>
        <w:t>年</w:t>
      </w:r>
      <w:r>
        <w:rPr>
          <w:rFonts w:hint="eastAsia" w:ascii="宋体" w:hAnsi="宋体" w:eastAsia="宋体" w:cs="宋体"/>
          <w:sz w:val="21"/>
          <w:szCs w:val="21"/>
          <w:lang w:val="en-US" w:eastAsia="zh-CN"/>
        </w:rPr>
        <w:t>8</w:t>
      </w:r>
      <w:r>
        <w:rPr>
          <w:rFonts w:hint="eastAsia" w:ascii="宋体" w:hAnsi="宋体" w:eastAsia="宋体" w:cs="宋体"/>
          <w:sz w:val="21"/>
          <w:szCs w:val="21"/>
        </w:rPr>
        <w:t>月2</w:t>
      </w:r>
      <w:r>
        <w:rPr>
          <w:rFonts w:hint="eastAsia" w:ascii="宋体" w:hAnsi="宋体" w:eastAsia="宋体" w:cs="宋体"/>
          <w:sz w:val="21"/>
          <w:szCs w:val="21"/>
          <w:lang w:val="en-US" w:eastAsia="zh-CN"/>
        </w:rPr>
        <w:t>9</w:t>
      </w:r>
      <w:r>
        <w:rPr>
          <w:rFonts w:hint="eastAsia" w:ascii="宋体" w:hAnsi="宋体" w:eastAsia="宋体" w:cs="宋体"/>
          <w:sz w:val="21"/>
          <w:szCs w:val="21"/>
        </w:rPr>
        <w:t>日，基金合同生效之日起三年后的对应日为202</w:t>
      </w:r>
      <w:r>
        <w:rPr>
          <w:rFonts w:hint="eastAsia" w:ascii="宋体" w:hAnsi="宋体" w:eastAsia="宋体" w:cs="宋体"/>
          <w:sz w:val="21"/>
          <w:szCs w:val="21"/>
          <w:lang w:val="en-US" w:eastAsia="zh-CN"/>
        </w:rPr>
        <w:t>6</w:t>
      </w:r>
      <w:r>
        <w:rPr>
          <w:rFonts w:hint="eastAsia" w:ascii="宋体" w:hAnsi="宋体" w:eastAsia="宋体" w:cs="宋体"/>
          <w:sz w:val="21"/>
          <w:szCs w:val="21"/>
        </w:rPr>
        <w:t>年</w:t>
      </w:r>
      <w:r>
        <w:rPr>
          <w:rFonts w:hint="eastAsia" w:ascii="宋体" w:hAnsi="宋体" w:eastAsia="宋体" w:cs="宋体"/>
          <w:sz w:val="21"/>
          <w:szCs w:val="21"/>
          <w:lang w:val="en-US" w:eastAsia="zh-CN"/>
        </w:rPr>
        <w:t>8</w:t>
      </w:r>
      <w:r>
        <w:rPr>
          <w:rFonts w:hint="eastAsia" w:ascii="宋体" w:hAnsi="宋体" w:eastAsia="宋体" w:cs="宋体"/>
          <w:sz w:val="21"/>
          <w:szCs w:val="21"/>
        </w:rPr>
        <w:t>月2</w:t>
      </w:r>
      <w:r>
        <w:rPr>
          <w:rFonts w:hint="eastAsia" w:ascii="宋体" w:hAnsi="宋体" w:eastAsia="宋体" w:cs="宋体"/>
          <w:sz w:val="21"/>
          <w:szCs w:val="21"/>
          <w:lang w:val="en-US" w:eastAsia="zh-CN"/>
        </w:rPr>
        <w:t>9</w:t>
      </w:r>
      <w:r>
        <w:rPr>
          <w:rFonts w:hint="eastAsia" w:ascii="宋体" w:hAnsi="宋体" w:eastAsia="宋体" w:cs="宋体"/>
          <w:sz w:val="21"/>
          <w:szCs w:val="21"/>
        </w:rPr>
        <w:t>日。截至202</w:t>
      </w:r>
      <w:r>
        <w:rPr>
          <w:rFonts w:hint="eastAsia" w:ascii="宋体" w:hAnsi="宋体" w:eastAsia="宋体" w:cs="宋体"/>
          <w:sz w:val="21"/>
          <w:szCs w:val="21"/>
          <w:lang w:val="en-US" w:eastAsia="zh-CN"/>
        </w:rPr>
        <w:t>6</w:t>
      </w:r>
      <w:r>
        <w:rPr>
          <w:rFonts w:hint="eastAsia" w:ascii="宋体" w:hAnsi="宋体" w:eastAsia="宋体" w:cs="宋体"/>
          <w:sz w:val="21"/>
          <w:szCs w:val="21"/>
        </w:rPr>
        <w:t>年</w:t>
      </w:r>
      <w:r>
        <w:rPr>
          <w:rFonts w:hint="eastAsia" w:ascii="宋体" w:hAnsi="宋体" w:eastAsia="宋体" w:cs="宋体"/>
          <w:sz w:val="21"/>
          <w:szCs w:val="21"/>
          <w:lang w:val="en-US" w:eastAsia="zh-CN"/>
        </w:rPr>
        <w:t>8</w:t>
      </w:r>
      <w:r>
        <w:rPr>
          <w:rFonts w:hint="eastAsia" w:ascii="宋体" w:hAnsi="宋体" w:eastAsia="宋体" w:cs="宋体"/>
          <w:sz w:val="21"/>
          <w:szCs w:val="21"/>
        </w:rPr>
        <w:t>月2</w:t>
      </w:r>
      <w:r>
        <w:rPr>
          <w:rFonts w:hint="eastAsia" w:ascii="宋体" w:hAnsi="宋体" w:eastAsia="宋体" w:cs="宋体"/>
          <w:sz w:val="21"/>
          <w:szCs w:val="21"/>
          <w:lang w:val="en-US" w:eastAsia="zh-CN"/>
        </w:rPr>
        <w:t>9</w:t>
      </w:r>
      <w:r>
        <w:rPr>
          <w:rFonts w:hint="eastAsia" w:ascii="宋体" w:hAnsi="宋体" w:eastAsia="宋体" w:cs="宋体"/>
          <w:sz w:val="21"/>
          <w:szCs w:val="21"/>
        </w:rPr>
        <w:t>日</w:t>
      </w:r>
      <w:r>
        <w:rPr>
          <w:rFonts w:hint="eastAsia" w:ascii="宋体" w:hAnsi="宋体" w:eastAsia="宋体" w:cs="宋体"/>
          <w:sz w:val="21"/>
          <w:szCs w:val="21"/>
          <w:lang w:val="en-US" w:eastAsia="zh-CN"/>
        </w:rPr>
        <w:t>日终</w:t>
      </w:r>
      <w:r>
        <w:rPr>
          <w:rFonts w:hint="eastAsia" w:ascii="宋体" w:hAnsi="宋体" w:eastAsia="宋体" w:cs="宋体"/>
          <w:sz w:val="21"/>
          <w:szCs w:val="21"/>
        </w:rPr>
        <w:t>，本基金资产净值低于两亿元，已触发基金合同中约定的基金终止条款。根据《基金合同》有关约定，博时基金管理有限公司应依据基金财产清算程序对本基金进行财产清算并终止基金合同，且无需召开基金份额持有人大会。</w:t>
      </w:r>
    </w:p>
    <w:p w14:paraId="36854F2C">
      <w:pPr>
        <w:pStyle w:val="2"/>
        <w:rPr>
          <w:rFonts w:hint="eastAsia" w:ascii="宋体" w:hAnsi="宋体" w:eastAsia="宋体"/>
          <w:sz w:val="21"/>
        </w:rPr>
      </w:pPr>
      <w:r>
        <w:rPr>
          <w:rFonts w:hint="eastAsia" w:ascii="宋体" w:hAnsi="宋体" w:eastAsia="宋体"/>
          <w:sz w:val="21"/>
        </w:rPr>
        <w:t>三、相关业务办理情况</w:t>
      </w:r>
    </w:p>
    <w:p w14:paraId="14758E12">
      <w:pPr>
        <w:pStyle w:val="3"/>
        <w:spacing w:before="0" w:beforeAutospacing="0" w:after="0" w:afterAutospacing="0" w:line="360" w:lineRule="auto"/>
        <w:ind w:firstLine="420"/>
        <w:rPr>
          <w:rFonts w:hint="eastAsia"/>
          <w:b w:val="0"/>
          <w:bCs w:val="0"/>
          <w:i w:val="0"/>
          <w:iCs w:val="0"/>
          <w:sz w:val="21"/>
          <w:szCs w:val="21"/>
        </w:rPr>
      </w:pPr>
      <w:r>
        <w:rPr>
          <w:rFonts w:hint="eastAsia"/>
          <w:b w:val="0"/>
          <w:bCs w:val="0"/>
          <w:i w:val="0"/>
          <w:iCs w:val="0"/>
          <w:sz w:val="21"/>
          <w:szCs w:val="21"/>
        </w:rPr>
        <w:t>本基金的最后运作日为</w:t>
      </w:r>
      <w:r>
        <w:rPr>
          <w:rStyle w:val="7"/>
          <w:rFonts w:hint="eastAsia"/>
          <w:b w:val="0"/>
          <w:bCs w:val="0"/>
          <w:i w:val="0"/>
          <w:iCs w:val="0"/>
          <w:sz w:val="21"/>
          <w:szCs w:val="21"/>
        </w:rPr>
        <w:t>2026年8月29日</w:t>
      </w:r>
      <w:r>
        <w:rPr>
          <w:rFonts w:hint="eastAsia"/>
          <w:b w:val="0"/>
          <w:bCs w:val="0"/>
          <w:i w:val="0"/>
          <w:iCs w:val="0"/>
          <w:sz w:val="21"/>
          <w:szCs w:val="21"/>
        </w:rPr>
        <w:t>，自</w:t>
      </w:r>
      <w:r>
        <w:rPr>
          <w:rStyle w:val="7"/>
          <w:rFonts w:hint="eastAsia"/>
          <w:b w:val="0"/>
          <w:bCs w:val="0"/>
          <w:i w:val="0"/>
          <w:iCs w:val="0"/>
          <w:sz w:val="21"/>
          <w:szCs w:val="21"/>
        </w:rPr>
        <w:t>2026年8月30日</w:t>
      </w:r>
      <w:r>
        <w:rPr>
          <w:rFonts w:hint="eastAsia"/>
          <w:b w:val="0"/>
          <w:bCs w:val="0"/>
          <w:i w:val="0"/>
          <w:iCs w:val="0"/>
          <w:sz w:val="21"/>
          <w:szCs w:val="21"/>
        </w:rPr>
        <w:t>起，本基金进入清算程序。本基金进入清算程序后，不再开放办理</w:t>
      </w:r>
      <w:r>
        <w:rPr>
          <w:rStyle w:val="7"/>
          <w:rFonts w:hint="eastAsia"/>
          <w:b w:val="0"/>
          <w:bCs w:val="0"/>
          <w:i w:val="0"/>
          <w:iCs w:val="0"/>
          <w:sz w:val="21"/>
          <w:szCs w:val="21"/>
        </w:rPr>
        <w:t>申购、赎回、定投、基金转换业务</w:t>
      </w:r>
      <w:r>
        <w:rPr>
          <w:rFonts w:hint="eastAsia"/>
          <w:b w:val="0"/>
          <w:bCs w:val="0"/>
          <w:i w:val="0"/>
          <w:iCs w:val="0"/>
          <w:sz w:val="21"/>
          <w:szCs w:val="21"/>
        </w:rPr>
        <w:t>等业务，并停止收取</w:t>
      </w:r>
      <w:r>
        <w:rPr>
          <w:rStyle w:val="7"/>
          <w:rFonts w:hint="eastAsia"/>
          <w:b w:val="0"/>
          <w:bCs w:val="0"/>
          <w:i w:val="0"/>
          <w:iCs w:val="0"/>
          <w:sz w:val="21"/>
          <w:szCs w:val="21"/>
        </w:rPr>
        <w:t>基金管理费、基金托管费及C类基金份额的销售服务费</w:t>
      </w:r>
      <w:r>
        <w:rPr>
          <w:rFonts w:hint="eastAsia"/>
          <w:b w:val="0"/>
          <w:bCs w:val="0"/>
          <w:i w:val="0"/>
          <w:iCs w:val="0"/>
          <w:sz w:val="21"/>
          <w:szCs w:val="21"/>
        </w:rPr>
        <w:t>。</w:t>
      </w:r>
    </w:p>
    <w:p w14:paraId="1D25DB81">
      <w:pPr>
        <w:pStyle w:val="2"/>
        <w:rPr>
          <w:rFonts w:hint="eastAsia" w:ascii="宋体" w:hAnsi="宋体" w:eastAsia="宋体"/>
          <w:sz w:val="21"/>
        </w:rPr>
      </w:pPr>
      <w:r>
        <w:rPr>
          <w:rFonts w:hint="eastAsia" w:ascii="宋体" w:hAnsi="宋体" w:eastAsia="宋体"/>
          <w:sz w:val="21"/>
        </w:rPr>
        <w:t>四、基金财产的清算</w:t>
      </w:r>
    </w:p>
    <w:p w14:paraId="5A4500F8">
      <w:pPr>
        <w:pStyle w:val="3"/>
        <w:spacing w:before="0" w:beforeAutospacing="0" w:after="0" w:afterAutospacing="0" w:line="360" w:lineRule="auto"/>
        <w:ind w:firstLine="420"/>
        <w:rPr>
          <w:rFonts w:hint="eastAsia" w:ascii="宋体" w:hAnsi="宋体" w:eastAsia="宋体" w:cs="宋体"/>
          <w:sz w:val="21"/>
          <w:szCs w:val="21"/>
        </w:rPr>
      </w:pPr>
      <w:r>
        <w:rPr>
          <w:rFonts w:hint="eastAsia" w:ascii="宋体" w:hAnsi="宋体" w:eastAsia="宋体" w:cs="宋体"/>
          <w:sz w:val="21"/>
          <w:szCs w:val="21"/>
        </w:rPr>
        <w:t xml:space="preserve">（一）基金财产的清算 </w:t>
      </w:r>
    </w:p>
    <w:p w14:paraId="07C7503B">
      <w:pPr>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1、基金财产清算小组：自出现基金合同终止事由之日起30个工作日内成立清算小组，基金管理人组织基金财产清算小组并在中国证监会的监督下进行基金清算。</w:t>
      </w:r>
    </w:p>
    <w:p w14:paraId="0DAA305B">
      <w:pPr>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14:paraId="70D51C41">
      <w:pPr>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3、基金财产清算小组职责：基金财产清算小组负责基金财产的保管、清理、估价、变现和分配。基金财产清算小组可以依法进行必要的民事活动。</w:t>
      </w:r>
    </w:p>
    <w:p w14:paraId="3784EF96">
      <w:pPr>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4、基金财产清算程序：</w:t>
      </w:r>
    </w:p>
    <w:p w14:paraId="652A5A40">
      <w:pPr>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（1）基金合同终止情形出现时，由基金财产清算小组统一接管基金财产；</w:t>
      </w:r>
    </w:p>
    <w:p w14:paraId="1E97E562">
      <w:pPr>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（2）对基金财产和债权债务进行清理和确认；</w:t>
      </w:r>
    </w:p>
    <w:p w14:paraId="280E04B6">
      <w:pPr>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（3）对基金财产进行估值和变现；</w:t>
      </w:r>
    </w:p>
    <w:p w14:paraId="72ED9197">
      <w:pPr>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（4）制作清算报告；</w:t>
      </w:r>
    </w:p>
    <w:p w14:paraId="23C7D690">
      <w:pPr>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（5）聘请会计师事务所对清算报告进行外部审计，聘请律师事务所对清算报告出具法律意见书；</w:t>
      </w:r>
    </w:p>
    <w:p w14:paraId="086ECEDC">
      <w:pPr>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（6）将清算报告报中国证监会备案并公告；</w:t>
      </w:r>
    </w:p>
    <w:p w14:paraId="596FE3EA">
      <w:pPr>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（7）对基金剩余财产进行分配。</w:t>
      </w:r>
    </w:p>
    <w:p w14:paraId="537AB1E9">
      <w:pPr>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5、基金财产清算的期限为6个月，但因本基金所持证券的流动性受到限制而不能及时变现的，清算期限可相应顺延。</w:t>
      </w:r>
    </w:p>
    <w:p w14:paraId="0CDA02EE">
      <w:pPr>
        <w:pStyle w:val="3"/>
        <w:spacing w:before="0" w:beforeAutospacing="0" w:after="0" w:afterAutospacing="0" w:line="360" w:lineRule="auto"/>
        <w:ind w:firstLine="420"/>
        <w:rPr>
          <w:rFonts w:hint="eastAsia" w:ascii="宋体" w:hAnsi="宋体" w:eastAsia="宋体" w:cs="宋体"/>
          <w:sz w:val="21"/>
          <w:szCs w:val="21"/>
        </w:rPr>
      </w:pPr>
      <w:r>
        <w:rPr>
          <w:rFonts w:hint="eastAsia" w:ascii="宋体" w:hAnsi="宋体" w:eastAsia="宋体" w:cs="宋体"/>
          <w:sz w:val="21"/>
          <w:szCs w:val="21"/>
        </w:rPr>
        <w:t xml:space="preserve">（二）清算费用 </w:t>
      </w:r>
    </w:p>
    <w:p w14:paraId="65768083">
      <w:pPr>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清算费用是指基金财产清算小组在进行基金清算过程中发生的所有合理费用，清算费用由基金财产清算小组优先从基金剩余财产中支付。</w:t>
      </w:r>
    </w:p>
    <w:p w14:paraId="7F11228E">
      <w:pPr>
        <w:pStyle w:val="3"/>
        <w:spacing w:before="0" w:beforeAutospacing="0" w:after="0" w:afterAutospacing="0" w:line="360" w:lineRule="auto"/>
        <w:ind w:firstLine="420"/>
        <w:rPr>
          <w:rFonts w:hint="eastAsia" w:ascii="宋体" w:hAnsi="宋体" w:eastAsia="宋体" w:cs="宋体"/>
          <w:sz w:val="21"/>
          <w:szCs w:val="21"/>
        </w:rPr>
      </w:pPr>
      <w:r>
        <w:rPr>
          <w:rFonts w:hint="eastAsia" w:ascii="宋体" w:hAnsi="宋体" w:eastAsia="宋体" w:cs="宋体"/>
          <w:sz w:val="21"/>
          <w:szCs w:val="21"/>
        </w:rPr>
        <w:t xml:space="preserve">（三）基金财产清算剩余资产的分配 </w:t>
      </w:r>
    </w:p>
    <w:p w14:paraId="0BF7A6DB">
      <w:pPr>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依据基金财产清算的分配方案，将基金财产清算后的全部剩余资产扣除基金财产清算费用、交纳所欠税款并清偿基金债务后，按基金份额持有人持有的各类基金份额比例进行分配。</w:t>
      </w:r>
    </w:p>
    <w:p w14:paraId="205E89F8">
      <w:pPr>
        <w:pStyle w:val="3"/>
        <w:spacing w:before="0" w:beforeAutospacing="0" w:after="0" w:afterAutospacing="0" w:line="360" w:lineRule="auto"/>
        <w:ind w:firstLine="420"/>
        <w:rPr>
          <w:rFonts w:hint="eastAsia" w:ascii="宋体" w:hAnsi="宋体" w:eastAsia="宋体" w:cs="宋体"/>
          <w:sz w:val="21"/>
          <w:szCs w:val="21"/>
        </w:rPr>
      </w:pPr>
      <w:r>
        <w:rPr>
          <w:rFonts w:hint="eastAsia" w:ascii="宋体" w:hAnsi="宋体" w:eastAsia="宋体" w:cs="宋体"/>
          <w:sz w:val="21"/>
          <w:szCs w:val="21"/>
        </w:rPr>
        <w:t xml:space="preserve">（四）基金财产清算的公告 </w:t>
      </w:r>
    </w:p>
    <w:p w14:paraId="2494F2EB">
      <w:pPr>
        <w:spacing w:line="360" w:lineRule="auto"/>
        <w:ind w:firstLine="420" w:firstLineChars="200"/>
        <w:rPr>
          <w:rFonts w:hint="eastAsia" w:ascii="宋体" w:hAnsi="宋体" w:eastAsia="宋体" w:cs="宋体"/>
          <w:sz w:val="21"/>
          <w:szCs w:val="21"/>
        </w:rPr>
      </w:pPr>
      <w:r>
        <w:rPr>
          <w:rFonts w:hint="eastAsia" w:ascii="宋体" w:hAnsi="宋体" w:eastAsia="宋体" w:cs="宋体"/>
          <w:bCs/>
          <w:sz w:val="21"/>
          <w:szCs w:val="21"/>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w:t>
      </w:r>
    </w:p>
    <w:p w14:paraId="142C324A">
      <w:pPr>
        <w:pStyle w:val="3"/>
        <w:spacing w:before="0" w:beforeAutospacing="0" w:after="0" w:afterAutospacing="0" w:line="360" w:lineRule="auto"/>
        <w:ind w:firstLine="420"/>
        <w:rPr>
          <w:rFonts w:hint="eastAsia" w:ascii="宋体" w:hAnsi="宋体" w:eastAsia="宋体" w:cs="宋体"/>
          <w:sz w:val="21"/>
          <w:szCs w:val="21"/>
        </w:rPr>
      </w:pPr>
      <w:r>
        <w:rPr>
          <w:rFonts w:hint="eastAsia" w:ascii="宋体" w:hAnsi="宋体" w:eastAsia="宋体" w:cs="宋体"/>
          <w:sz w:val="21"/>
          <w:szCs w:val="21"/>
        </w:rPr>
        <w:t xml:space="preserve">（五）基金财产清算账册及文件的保存 </w:t>
      </w:r>
    </w:p>
    <w:p w14:paraId="48A262CB">
      <w:pPr>
        <w:pStyle w:val="3"/>
        <w:spacing w:before="0" w:beforeAutospacing="0" w:after="0" w:afterAutospacing="0" w:line="360" w:lineRule="auto"/>
        <w:ind w:firstLine="420"/>
        <w:rPr>
          <w:rFonts w:hint="eastAsia" w:ascii="宋体" w:hAnsi="宋体" w:eastAsia="宋体" w:cs="宋体"/>
          <w:sz w:val="21"/>
          <w:szCs w:val="21"/>
        </w:rPr>
      </w:pPr>
      <w:r>
        <w:rPr>
          <w:rFonts w:hint="eastAsia" w:ascii="宋体" w:hAnsi="宋体" w:eastAsia="宋体" w:cs="宋体"/>
          <w:sz w:val="21"/>
          <w:szCs w:val="21"/>
        </w:rPr>
        <w:t>基金财产清算账册及有关文件由基金托管人保存，保存期限不少于法律法规规定的最低期限。</w:t>
      </w:r>
    </w:p>
    <w:p w14:paraId="4FF60077">
      <w:pPr>
        <w:pStyle w:val="2"/>
        <w:rPr>
          <w:rFonts w:hint="eastAsia" w:ascii="宋体" w:hAnsi="宋体" w:eastAsia="宋体"/>
          <w:sz w:val="21"/>
        </w:rPr>
      </w:pPr>
      <w:r>
        <w:rPr>
          <w:rFonts w:hint="eastAsia" w:ascii="宋体" w:hAnsi="宋体" w:eastAsia="宋体"/>
          <w:sz w:val="21"/>
        </w:rPr>
        <w:t>五、特别提示</w:t>
      </w:r>
    </w:p>
    <w:p w14:paraId="0209D0AF">
      <w:pPr>
        <w:pStyle w:val="3"/>
        <w:spacing w:before="0" w:beforeAutospacing="0" w:after="0" w:afterAutospacing="0" w:line="360" w:lineRule="auto"/>
        <w:ind w:firstLine="420"/>
        <w:rPr>
          <w:sz w:val="21"/>
          <w:szCs w:val="21"/>
        </w:rPr>
      </w:pPr>
      <w:r>
        <w:rPr>
          <w:rFonts w:hint="eastAsia"/>
          <w:sz w:val="21"/>
          <w:szCs w:val="21"/>
        </w:rPr>
        <w:t xml:space="preserve">1、敬请投资者关注基金清算的相关后续公告。 </w:t>
      </w:r>
    </w:p>
    <w:p w14:paraId="30EB14CE">
      <w:pPr>
        <w:pStyle w:val="3"/>
        <w:spacing w:before="0" w:beforeAutospacing="0" w:after="0" w:afterAutospacing="0" w:line="360" w:lineRule="auto"/>
        <w:ind w:firstLine="420"/>
        <w:rPr>
          <w:rFonts w:hint="eastAsia"/>
          <w:sz w:val="21"/>
          <w:szCs w:val="21"/>
        </w:rPr>
      </w:pPr>
      <w:r>
        <w:rPr>
          <w:rFonts w:hint="eastAsia"/>
          <w:sz w:val="21"/>
          <w:szCs w:val="21"/>
        </w:rPr>
        <w:t xml:space="preserve">2、本公告的解释权归博时基金管理有限公司所有。投资者欲了解详情，可以登录本基金管理人网站（https://www.bosera.com）或拨打博时一线通95105568（免长途费）咨询相关事宜。 </w:t>
      </w:r>
    </w:p>
    <w:p w14:paraId="0DEFC6FA">
      <w:pPr>
        <w:pStyle w:val="3"/>
        <w:spacing w:before="0" w:beforeAutospacing="0" w:after="0" w:afterAutospacing="0" w:line="360" w:lineRule="auto"/>
        <w:ind w:firstLine="420"/>
        <w:rPr>
          <w:rFonts w:hint="eastAsia"/>
          <w:sz w:val="21"/>
          <w:szCs w:val="21"/>
        </w:rPr>
      </w:pPr>
      <w:r>
        <w:rPr>
          <w:rFonts w:hint="eastAsia"/>
          <w:sz w:val="21"/>
          <w:szCs w:val="21"/>
        </w:rPr>
        <w:t xml:space="preserve">特此公告。 </w:t>
      </w:r>
    </w:p>
    <w:p w14:paraId="0120EAC7">
      <w:pPr>
        <w:pStyle w:val="3"/>
        <w:spacing w:before="0" w:beforeAutospacing="0" w:after="0" w:afterAutospacing="0" w:line="360" w:lineRule="auto"/>
        <w:ind w:firstLine="420"/>
        <w:rPr>
          <w:sz w:val="21"/>
          <w:szCs w:val="21"/>
        </w:rPr>
      </w:pPr>
    </w:p>
    <w:p w14:paraId="258EEDB0">
      <w:pPr>
        <w:pStyle w:val="3"/>
        <w:spacing w:before="0" w:beforeAutospacing="0" w:after="0" w:afterAutospacing="0" w:line="360" w:lineRule="auto"/>
        <w:ind w:firstLine="420"/>
        <w:rPr>
          <w:sz w:val="21"/>
          <w:szCs w:val="21"/>
        </w:rPr>
      </w:pPr>
    </w:p>
    <w:p w14:paraId="68CF9BFC">
      <w:pPr>
        <w:pStyle w:val="3"/>
        <w:spacing w:before="0" w:beforeAutospacing="0" w:after="0" w:afterAutospacing="0" w:line="360" w:lineRule="auto"/>
        <w:ind w:firstLine="420"/>
        <w:rPr>
          <w:sz w:val="21"/>
          <w:szCs w:val="21"/>
        </w:rPr>
      </w:pPr>
    </w:p>
    <w:p w14:paraId="5C6BF270">
      <w:pPr>
        <w:pStyle w:val="3"/>
        <w:spacing w:before="0" w:beforeAutospacing="0" w:after="0" w:afterAutospacing="0" w:line="360" w:lineRule="auto"/>
        <w:ind w:firstLine="420"/>
        <w:jc w:val="right"/>
        <w:rPr>
          <w:rFonts w:hint="eastAsia"/>
          <w:sz w:val="21"/>
          <w:szCs w:val="21"/>
        </w:rPr>
      </w:pPr>
      <w:r>
        <w:rPr>
          <w:rFonts w:hint="eastAsia"/>
          <w:sz w:val="21"/>
          <w:szCs w:val="21"/>
        </w:rPr>
        <w:t>博时基金管理有限公司</w:t>
      </w:r>
    </w:p>
    <w:p w14:paraId="22488DDD">
      <w:pPr>
        <w:pStyle w:val="3"/>
        <w:spacing w:before="0" w:beforeAutospacing="0" w:after="0" w:afterAutospacing="0" w:line="360" w:lineRule="auto"/>
        <w:ind w:firstLine="420"/>
        <w:jc w:val="right"/>
        <w:rPr>
          <w:sz w:val="21"/>
          <w:szCs w:val="21"/>
        </w:rPr>
      </w:pPr>
      <w:r>
        <w:rPr>
          <w:sz w:val="21"/>
          <w:szCs w:val="21"/>
        </w:rPr>
        <w:t>2026年8月</w:t>
      </w:r>
      <w:r>
        <w:rPr>
          <w:rFonts w:hint="eastAsia"/>
          <w:sz w:val="21"/>
          <w:szCs w:val="21"/>
          <w:lang w:val="en-US" w:eastAsia="zh-CN"/>
        </w:rPr>
        <w:t>31</w:t>
      </w:r>
      <w:bookmarkStart w:id="0" w:name="_GoBack"/>
      <w:bookmarkEnd w:id="0"/>
      <w:r>
        <w:rPr>
          <w:sz w:val="21"/>
          <w:szCs w:val="21"/>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1018"/>
    <w:rsid w:val="00011018"/>
    <w:rsid w:val="00A14089"/>
    <w:rsid w:val="0F8E1513"/>
    <w:rsid w:val="27DD6975"/>
    <w:rsid w:val="367A5F70"/>
    <w:rsid w:val="44FE16D9"/>
    <w:rsid w:val="47AD7371"/>
    <w:rsid w:val="557069BE"/>
    <w:rsid w:val="5FE6F954"/>
    <w:rsid w:val="6BDEDF32"/>
    <w:rsid w:val="EEF618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8"/>
    <w:unhideWhenUsed/>
    <w:qFormat/>
    <w:uiPriority w:val="9"/>
    <w:pPr>
      <w:keepNext/>
      <w:keepLines/>
      <w:spacing w:before="260" w:after="260" w:line="416" w:lineRule="auto"/>
      <w:outlineLvl w:val="2"/>
    </w:pPr>
    <w:rPr>
      <w:b/>
      <w:bCs/>
      <w:sz w:val="32"/>
      <w:szCs w:val="32"/>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3">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5">
    <w:name w:val="Table Grid"/>
    <w:basedOn w:val="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Emphasis"/>
    <w:basedOn w:val="6"/>
    <w:qFormat/>
    <w:uiPriority w:val="20"/>
    <w:rPr>
      <w:i/>
      <w:iCs/>
    </w:rPr>
  </w:style>
  <w:style w:type="character" w:customStyle="1" w:styleId="8">
    <w:name w:val="标题 3 Char"/>
    <w:basedOn w:val="6"/>
    <w:link w:val="2"/>
    <w:qFormat/>
    <w:uiPriority w:val="9"/>
    <w:rPr>
      <w:b/>
      <w:bCs/>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4</Pages>
  <Words>372</Words>
  <Characters>2127</Characters>
  <Lines>17</Lines>
  <Paragraphs>4</Paragraphs>
  <TotalTime>8</TotalTime>
  <ScaleCrop>false</ScaleCrop>
  <LinksUpToDate>false</LinksUpToDate>
  <CharactersWithSpaces>2495</CharactersWithSpaces>
  <Application>WPS Office_12.1.2.26885_F1E327BC-269C-435d-A152-05C5408002CA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2026-08-26T02:09:00Z</dcterms:created>
  <dc:creator>BSKMadminDev</dc:creator>
  <cp:lastModifiedBy>chenjy814</cp:lastModifiedBy>
  <dcterms:modified xsi:type="dcterms:W3CDTF">2026-08-28T16:40:34Z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2052-12.1.2.26885</vt:lpwstr>
  </property>
  <property fmtid="{D5CDD505-2E9C-101B-9397-08002B2CF9AE}" pid="3" name="ICV">
    <vt:lpwstr>940D982BAA5A46A0BF4DE21197168570_13</vt:lpwstr>
  </property>
</Properties>
</file>