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B14E44">
      <w:pPr>
        <w:widowControl/>
        <w:jc w:val="left"/>
        <w:rPr>
          <w:rFonts w:ascii="宋体" w:hAnsi="宋体" w:eastAsia="宋体"/>
          <w:sz w:val="30"/>
        </w:rPr>
      </w:pPr>
    </w:p>
    <w:p w14:paraId="491E7ABF">
      <w:pPr>
        <w:widowControl/>
        <w:jc w:val="left"/>
        <w:rPr>
          <w:rFonts w:ascii="宋体" w:hAnsi="宋体" w:eastAsia="宋体"/>
          <w:sz w:val="30"/>
        </w:rPr>
      </w:pPr>
    </w:p>
    <w:p w14:paraId="5620D9A9">
      <w:pPr>
        <w:widowControl/>
        <w:jc w:val="left"/>
        <w:rPr>
          <w:rFonts w:ascii="宋体" w:hAnsi="宋体" w:eastAsia="宋体"/>
          <w:sz w:val="30"/>
        </w:rPr>
      </w:pPr>
    </w:p>
    <w:p w14:paraId="3D6FD3D5">
      <w:pPr>
        <w:widowControl/>
        <w:jc w:val="left"/>
        <w:rPr>
          <w:rFonts w:ascii="宋体" w:hAnsi="宋体" w:eastAsia="宋体"/>
          <w:sz w:val="30"/>
        </w:rPr>
      </w:pPr>
    </w:p>
    <w:p w14:paraId="7679B413">
      <w:pPr>
        <w:widowControl/>
        <w:spacing w:line="800" w:lineRule="exact"/>
        <w:jc w:val="center"/>
        <w:rPr>
          <w:rFonts w:ascii="宋体" w:hAnsi="宋体" w:eastAsia="宋体"/>
          <w:b/>
          <w:sz w:val="52"/>
        </w:rPr>
      </w:pPr>
      <w:r>
        <w:rPr>
          <w:rFonts w:hint="eastAsia" w:ascii="宋体" w:hAnsi="宋体" w:eastAsia="宋体"/>
          <w:b/>
          <w:sz w:val="52"/>
        </w:rPr>
        <w:t>博时裕利纯债债券型证券投资基金</w:t>
      </w:r>
    </w:p>
    <w:p w14:paraId="407696CA">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2C0AD1A4">
      <w:pPr>
        <w:widowControl/>
        <w:spacing w:line="800" w:lineRule="exact"/>
        <w:jc w:val="center"/>
        <w:rPr>
          <w:rFonts w:ascii="宋体" w:hAnsi="宋体" w:eastAsia="宋体"/>
          <w:b/>
          <w:sz w:val="52"/>
        </w:rPr>
      </w:pPr>
    </w:p>
    <w:p w14:paraId="76462AA1">
      <w:pPr>
        <w:widowControl/>
        <w:spacing w:line="800" w:lineRule="exact"/>
        <w:jc w:val="center"/>
        <w:rPr>
          <w:rFonts w:ascii="宋体" w:hAnsi="宋体" w:eastAsia="宋体"/>
          <w:b/>
          <w:sz w:val="52"/>
        </w:rPr>
      </w:pPr>
    </w:p>
    <w:p w14:paraId="6BAFE1BE">
      <w:pPr>
        <w:widowControl/>
        <w:spacing w:line="800" w:lineRule="exact"/>
        <w:jc w:val="center"/>
        <w:rPr>
          <w:rFonts w:ascii="宋体" w:hAnsi="宋体" w:eastAsia="宋体"/>
          <w:b/>
          <w:sz w:val="52"/>
        </w:rPr>
      </w:pPr>
    </w:p>
    <w:p w14:paraId="43E1B31F">
      <w:pPr>
        <w:widowControl/>
        <w:spacing w:line="800" w:lineRule="exact"/>
        <w:jc w:val="center"/>
        <w:rPr>
          <w:rFonts w:ascii="宋体" w:hAnsi="宋体" w:eastAsia="宋体"/>
          <w:b/>
          <w:sz w:val="52"/>
        </w:rPr>
      </w:pPr>
    </w:p>
    <w:p w14:paraId="4FF933B6">
      <w:pPr>
        <w:widowControl/>
        <w:spacing w:line="800" w:lineRule="exact"/>
        <w:jc w:val="center"/>
        <w:rPr>
          <w:rFonts w:ascii="宋体" w:hAnsi="宋体" w:eastAsia="宋体"/>
          <w:b/>
          <w:sz w:val="52"/>
        </w:rPr>
      </w:pPr>
    </w:p>
    <w:p w14:paraId="7BDD3352">
      <w:pPr>
        <w:widowControl/>
        <w:spacing w:line="800" w:lineRule="exact"/>
        <w:jc w:val="center"/>
        <w:rPr>
          <w:rFonts w:ascii="宋体" w:hAnsi="宋体" w:eastAsia="宋体"/>
          <w:b/>
          <w:sz w:val="52"/>
        </w:rPr>
      </w:pPr>
    </w:p>
    <w:p w14:paraId="1135A1A6">
      <w:pPr>
        <w:widowControl/>
        <w:spacing w:line="800" w:lineRule="exact"/>
        <w:jc w:val="center"/>
        <w:rPr>
          <w:rFonts w:ascii="宋体" w:hAnsi="宋体" w:eastAsia="宋体"/>
          <w:b/>
          <w:sz w:val="52"/>
        </w:rPr>
      </w:pPr>
    </w:p>
    <w:p w14:paraId="19393295">
      <w:pPr>
        <w:widowControl/>
        <w:spacing w:line="800" w:lineRule="exact"/>
        <w:jc w:val="center"/>
        <w:rPr>
          <w:rFonts w:ascii="宋体" w:hAnsi="宋体" w:eastAsia="宋体"/>
          <w:b/>
          <w:sz w:val="52"/>
        </w:rPr>
      </w:pPr>
    </w:p>
    <w:p w14:paraId="168C3E43">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14A83295">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杭州银行股份有限公司</w:t>
      </w:r>
      <w:r>
        <w:rPr>
          <w:rFonts w:ascii="宋体" w:hAnsi="宋体" w:eastAsia="宋体"/>
          <w:b/>
          <w:sz w:val="30"/>
        </w:rPr>
        <w:br w:type="page"/>
      </w:r>
    </w:p>
    <w:p w14:paraId="5E630508">
      <w:pPr>
        <w:pStyle w:val="2"/>
        <w:jc w:val="center"/>
        <w:rPr>
          <w:rFonts w:ascii="宋体" w:hAnsi="宋体" w:eastAsia="宋体"/>
          <w:sz w:val="30"/>
        </w:rPr>
      </w:pPr>
      <w:bookmarkStart w:id="0" w:name="_Toc239208836"/>
      <w:r>
        <w:rPr>
          <w:rFonts w:hint="eastAsia" w:ascii="宋体" w:hAnsi="宋体" w:eastAsia="宋体"/>
          <w:sz w:val="30"/>
        </w:rPr>
        <w:t>【重要提示】</w:t>
      </w:r>
      <w:bookmarkEnd w:id="0"/>
    </w:p>
    <w:p w14:paraId="3FF26956">
      <w:pPr>
        <w:pStyle w:val="8"/>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2016年4月11日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博时裕利纯债债券型证券投资基金</w:t>
      </w:r>
      <w:bookmarkEnd w:id="2"/>
      <w:r>
        <w:rPr>
          <w:rFonts w:hint="eastAsia"/>
          <w:sz w:val="21"/>
          <w:szCs w:val="21"/>
        </w:rPr>
        <w:t>注册的批复》（证监许可</w:t>
      </w:r>
      <w:bookmarkStart w:id="3" w:name="field_2343_lotnumber_1"/>
      <w:r>
        <w:rPr>
          <w:sz w:val="21"/>
          <w:szCs w:val="21"/>
        </w:rPr>
        <w:t>[2016]725</w:t>
      </w:r>
      <w:bookmarkEnd w:id="3"/>
      <w:r>
        <w:rPr>
          <w:rFonts w:hint="eastAsia"/>
          <w:sz w:val="21"/>
          <w:szCs w:val="21"/>
        </w:rPr>
        <w:t xml:space="preserve">号）进行募集。  </w:t>
      </w:r>
    </w:p>
    <w:p w14:paraId="1BC62DF2">
      <w:pPr>
        <w:pStyle w:val="8"/>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14:paraId="44AD354F">
      <w:pPr>
        <w:pStyle w:val="8"/>
        <w:spacing w:before="0" w:beforeAutospacing="0" w:after="0" w:afterAutospacing="0" w:line="360" w:lineRule="auto"/>
        <w:ind w:firstLine="420"/>
        <w:rPr>
          <w:sz w:val="21"/>
          <w:szCs w:val="21"/>
        </w:rPr>
      </w:pPr>
      <w:r>
        <w:rPr>
          <w:rFonts w:hint="eastAsia"/>
          <w:sz w:val="21"/>
          <w:szCs w:val="21"/>
        </w:rPr>
        <w:t xml:space="preserve">3、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216D1830">
      <w:pPr>
        <w:pStyle w:val="8"/>
        <w:spacing w:before="0" w:beforeAutospacing="0" w:after="0" w:afterAutospacing="0" w:line="360" w:lineRule="auto"/>
        <w:ind w:firstLine="420"/>
        <w:rPr>
          <w:sz w:val="21"/>
          <w:szCs w:val="21"/>
        </w:rPr>
      </w:pPr>
      <w:r>
        <w:rPr>
          <w:rFonts w:hint="eastAsia"/>
          <w:sz w:val="21"/>
          <w:szCs w:val="21"/>
        </w:rPr>
        <w:t xml:space="preserve">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5818344F">
      <w:pPr>
        <w:pStyle w:val="8"/>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14784E5E">
      <w:pPr>
        <w:pStyle w:val="8"/>
        <w:spacing w:before="0" w:beforeAutospacing="0" w:after="0" w:afterAutospacing="0" w:line="360" w:lineRule="auto"/>
        <w:ind w:firstLine="420"/>
        <w:rPr>
          <w:sz w:val="21"/>
          <w:szCs w:val="21"/>
        </w:rPr>
      </w:pPr>
      <w:r>
        <w:rPr>
          <w:rFonts w:hint="eastAsia"/>
          <w:sz w:val="21"/>
          <w:szCs w:val="21"/>
        </w:rPr>
        <w:t xml:space="preserve">本基金投资中小企业私募债券，中小企业私募债券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券，由此可能给基金净值带来更大的负面影响和损失。 </w:t>
      </w:r>
    </w:p>
    <w:p w14:paraId="33F89DBF">
      <w:pPr>
        <w:pStyle w:val="8"/>
        <w:spacing w:before="0" w:beforeAutospacing="0" w:after="0" w:afterAutospacing="0" w:line="360" w:lineRule="auto"/>
        <w:ind w:firstLine="420"/>
        <w:rPr>
          <w:sz w:val="21"/>
          <w:szCs w:val="21"/>
        </w:rPr>
      </w:pPr>
      <w:r>
        <w:rPr>
          <w:rFonts w:hint="eastAsia"/>
          <w:sz w:val="21"/>
          <w:szCs w:val="21"/>
        </w:rPr>
        <w:t xml:space="preserve">5、本基金为债券型基金，预期收益和预期风险高于货币市场基金，但低于混合型基金、股票型基金，属于中等风险/收益的产品。 </w:t>
      </w:r>
    </w:p>
    <w:p w14:paraId="23778EE0">
      <w:pPr>
        <w:pStyle w:val="8"/>
        <w:spacing w:before="0" w:beforeAutospacing="0" w:after="0" w:afterAutospacing="0" w:line="360" w:lineRule="auto"/>
        <w:ind w:firstLine="420"/>
        <w:rPr>
          <w:sz w:val="21"/>
          <w:szCs w:val="21"/>
        </w:rPr>
      </w:pPr>
      <w:r>
        <w:rPr>
          <w:rFonts w:hint="eastAsia"/>
          <w:sz w:val="21"/>
          <w:szCs w:val="21"/>
        </w:rPr>
        <w:t xml:space="preserve">6、本基金的投资范围主要为具有良好流动性的固定收益类品种，包括国债、金融债、企业债、公司债、央行票据、中期票据、短期融资券、中小企业私募债券、资产支持证券、次级债、可分离交易可转债的纯债部分、债券回购、银行存款等法律法规或中国证监会允许基金投资的其他固定收益类金融工具（但须符合中国证监会的相关规定）。 </w:t>
      </w:r>
    </w:p>
    <w:p w14:paraId="21A6B5A0">
      <w:pPr>
        <w:pStyle w:val="8"/>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14:paraId="795F5B49">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6049DD4E">
      <w:pPr>
        <w:pStyle w:val="8"/>
        <w:spacing w:before="0" w:beforeAutospacing="0" w:after="0" w:afterAutospacing="0" w:line="360" w:lineRule="auto"/>
        <w:ind w:firstLine="420"/>
        <w:rPr>
          <w:sz w:val="21"/>
          <w:szCs w:val="21"/>
        </w:rPr>
      </w:pPr>
      <w:r>
        <w:rPr>
          <w:rFonts w:hint="eastAsia"/>
          <w:sz w:val="21"/>
          <w:szCs w:val="21"/>
        </w:rPr>
        <w:t xml:space="preserve">7、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14:paraId="0A166A18">
      <w:pPr>
        <w:pStyle w:val="8"/>
        <w:spacing w:before="0" w:beforeAutospacing="0" w:after="0" w:afterAutospacing="0" w:line="360" w:lineRule="auto"/>
        <w:ind w:firstLine="420"/>
        <w:rPr>
          <w:sz w:val="21"/>
          <w:szCs w:val="21"/>
        </w:rPr>
      </w:pPr>
      <w:r>
        <w:rPr>
          <w:rFonts w:hint="eastAsia"/>
          <w:sz w:val="21"/>
          <w:szCs w:val="21"/>
        </w:rPr>
        <w:t xml:space="preserve">8、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14:paraId="6F1CCA44">
      <w:pPr>
        <w:pStyle w:val="8"/>
        <w:spacing w:before="0" w:beforeAutospacing="0" w:after="0" w:afterAutospacing="0" w:line="360" w:lineRule="auto"/>
        <w:ind w:firstLine="420"/>
        <w:rPr>
          <w:sz w:val="21"/>
          <w:szCs w:val="21"/>
        </w:rPr>
      </w:pPr>
      <w:r>
        <w:rPr>
          <w:rFonts w:hint="eastAsia"/>
          <w:sz w:val="21"/>
          <w:szCs w:val="21"/>
        </w:rPr>
        <w:t>9、本基金初始募集面值为人民币</w:t>
      </w:r>
      <w:bookmarkStart w:id="4" w:name="field_2343_facevalue_1"/>
      <w:r>
        <w:rPr>
          <w:sz w:val="21"/>
          <w:szCs w:val="21"/>
        </w:rPr>
        <w:t>1.00</w:t>
      </w:r>
      <w:bookmarkEnd w:id="4"/>
      <w:r>
        <w:rPr>
          <w:rFonts w:hint="eastAsia"/>
          <w:sz w:val="21"/>
          <w:szCs w:val="21"/>
        </w:rPr>
        <w:t xml:space="preserve">元。在市场波动因素影响下，本基金净值可能低于初始面值，本基金投资者有可能出现亏损。 </w:t>
      </w:r>
    </w:p>
    <w:p w14:paraId="4EF0F924">
      <w:pPr>
        <w:pStyle w:val="8"/>
        <w:spacing w:before="0" w:beforeAutospacing="0" w:after="0" w:afterAutospacing="0" w:line="360" w:lineRule="auto"/>
        <w:ind w:firstLine="420"/>
        <w:rPr>
          <w:sz w:val="21"/>
          <w:szCs w:val="21"/>
        </w:rPr>
      </w:pPr>
      <w:r>
        <w:rPr>
          <w:rFonts w:hint="eastAsia"/>
          <w:sz w:val="21"/>
          <w:szCs w:val="21"/>
        </w:rPr>
        <w:t xml:space="preserve">10、基金的过往业绩并不预示其未来表现，基金管理人管理的其他基金的业绩也不构成对本基金业绩表现的保证。 </w:t>
      </w:r>
    </w:p>
    <w:p w14:paraId="342EBC9A">
      <w:pPr>
        <w:pStyle w:val="8"/>
        <w:spacing w:before="0" w:beforeAutospacing="0" w:after="0" w:afterAutospacing="0" w:line="360" w:lineRule="auto"/>
        <w:ind w:firstLine="420"/>
        <w:rPr>
          <w:sz w:val="21"/>
          <w:szCs w:val="21"/>
        </w:rPr>
      </w:pPr>
      <w:r>
        <w:rPr>
          <w:rFonts w:hint="eastAsia"/>
          <w:sz w:val="21"/>
          <w:szCs w:val="21"/>
        </w:rPr>
        <w:t xml:space="preserve">11、基金管理人依照恪尽职守、诚实信用、谨慎勤勉的原则管理和运用基金财产，但不保证基金一定盈利，也不保证最低收益。 </w:t>
      </w:r>
    </w:p>
    <w:p w14:paraId="37500CA9">
      <w:pPr>
        <w:pStyle w:val="8"/>
        <w:spacing w:before="0" w:beforeAutospacing="0" w:after="0" w:afterAutospacing="0" w:line="360" w:lineRule="auto"/>
        <w:ind w:firstLine="420"/>
        <w:rPr>
          <w:sz w:val="21"/>
          <w:szCs w:val="21"/>
        </w:rPr>
      </w:pPr>
      <w:r>
        <w:rPr>
          <w:rFonts w:hint="eastAsia"/>
          <w:sz w:val="21"/>
          <w:szCs w:val="21"/>
        </w:rPr>
        <w:t>12、本招募说明书（更新）所载内容截止日为</w:t>
      </w:r>
      <w:bookmarkStart w:id="5" w:name="field_2343_infoendday_1"/>
      <w:r>
        <w:rPr>
          <w:sz w:val="21"/>
          <w:szCs w:val="21"/>
        </w:rPr>
        <w:t>2026年</w:t>
      </w:r>
      <w:r>
        <w:rPr>
          <w:rFonts w:hint="eastAsia"/>
          <w:sz w:val="21"/>
          <w:szCs w:val="21"/>
          <w:lang w:val="en-US" w:eastAsia="zh-CN"/>
        </w:rPr>
        <w:t>10</w:t>
      </w:r>
      <w:r>
        <w:rPr>
          <w:sz w:val="21"/>
          <w:szCs w:val="21"/>
        </w:rPr>
        <w:t>月</w:t>
      </w:r>
      <w:r>
        <w:rPr>
          <w:rFonts w:hint="eastAsia"/>
          <w:sz w:val="21"/>
          <w:szCs w:val="21"/>
          <w:lang w:val="en-US" w:eastAsia="zh-CN"/>
        </w:rPr>
        <w:t>23</w:t>
      </w:r>
      <w:r>
        <w:rPr>
          <w:sz w:val="21"/>
          <w:szCs w:val="21"/>
        </w:rPr>
        <w:t>日</w:t>
      </w:r>
      <w:bookmarkEnd w:id="5"/>
      <w:r>
        <w:rPr>
          <w:rFonts w:hint="eastAsia"/>
          <w:sz w:val="21"/>
          <w:szCs w:val="21"/>
        </w:rPr>
        <w:t>，有关财务数据和净值表现截止日为</w:t>
      </w:r>
      <w:bookmarkStart w:id="6" w:name="field_2343_financeendday_1"/>
      <w:r>
        <w:rPr>
          <w:sz w:val="21"/>
          <w:szCs w:val="21"/>
        </w:rPr>
        <w:t>2026年6月30日</w:t>
      </w:r>
      <w:bookmarkEnd w:id="6"/>
      <w:r>
        <w:rPr>
          <w:rFonts w:hint="eastAsia"/>
          <w:sz w:val="21"/>
          <w:szCs w:val="21"/>
        </w:rPr>
        <w:t xml:space="preserve">（财务数据未经审计）。  </w:t>
      </w:r>
      <w:r>
        <w:rPr>
          <w:sz w:val="30"/>
        </w:rPr>
        <w:br w:type="page"/>
      </w:r>
    </w:p>
    <w:p w14:paraId="56DDB7EF">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1F52F784">
      <w:pPr>
        <w:pStyle w:val="7"/>
        <w:tabs>
          <w:tab w:val="right" w:leader="dot" w:pos="8290"/>
        </w:tabs>
        <w:spacing w:line="360" w:lineRule="auto"/>
        <w:rPr>
          <w:rFonts w:ascii="宋体" w:hAnsi="宋体" w:eastAsia="宋体"/>
        </w:rPr>
      </w:pPr>
      <w:r>
        <w:fldChar w:fldCharType="begin"/>
      </w:r>
      <w:r>
        <w:instrText xml:space="preserve"> HYPERLINK \l "_Toc239208836"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_Toc239208836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58003ACE">
      <w:pPr>
        <w:pStyle w:val="7"/>
        <w:tabs>
          <w:tab w:val="right" w:leader="dot" w:pos="8290"/>
        </w:tabs>
        <w:spacing w:line="360" w:lineRule="auto"/>
        <w:rPr>
          <w:rFonts w:ascii="宋体" w:hAnsi="宋体" w:eastAsia="宋体"/>
        </w:rPr>
      </w:pPr>
      <w:r>
        <w:fldChar w:fldCharType="begin"/>
      </w:r>
      <w:r>
        <w:instrText xml:space="preserve"> HYPERLINK \l "_Toc239208837" </w:instrText>
      </w:r>
      <w:r>
        <w:fldChar w:fldCharType="separate"/>
      </w:r>
      <w:r>
        <w:rPr>
          <w:rStyle w:val="13"/>
          <w:rFonts w:hint="eastAsia" w:ascii="宋体" w:hAnsi="宋体" w:eastAsia="宋体"/>
          <w:u w:val="none"/>
        </w:rPr>
        <w:t>第一部分</w:t>
      </w:r>
      <w:r>
        <w:rPr>
          <w:rStyle w:val="13"/>
          <w:rFonts w:ascii="宋体" w:hAnsi="宋体" w:eastAsia="宋体"/>
          <w:u w:val="none"/>
        </w:rPr>
        <w:t xml:space="preserve">  </w:t>
      </w:r>
      <w:r>
        <w:rPr>
          <w:rStyle w:val="13"/>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_Toc239208837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p>
    <w:p w14:paraId="70B10617">
      <w:pPr>
        <w:pStyle w:val="7"/>
        <w:tabs>
          <w:tab w:val="right" w:leader="dot" w:pos="8290"/>
        </w:tabs>
        <w:spacing w:line="360" w:lineRule="auto"/>
        <w:rPr>
          <w:rFonts w:ascii="宋体" w:hAnsi="宋体" w:eastAsia="宋体"/>
        </w:rPr>
      </w:pPr>
      <w:r>
        <w:fldChar w:fldCharType="begin"/>
      </w:r>
      <w:r>
        <w:instrText xml:space="preserve"> HYPERLINK \l "_Toc239208838" </w:instrText>
      </w:r>
      <w:r>
        <w:fldChar w:fldCharType="separate"/>
      </w:r>
      <w:r>
        <w:rPr>
          <w:rStyle w:val="13"/>
          <w:rFonts w:hint="eastAsia" w:ascii="宋体" w:hAnsi="宋体" w:eastAsia="宋体"/>
          <w:u w:val="none"/>
        </w:rPr>
        <w:t>第二部分</w:t>
      </w:r>
      <w:r>
        <w:rPr>
          <w:rStyle w:val="13"/>
          <w:rFonts w:ascii="宋体" w:hAnsi="宋体" w:eastAsia="宋体"/>
          <w:u w:val="none"/>
        </w:rPr>
        <w:t xml:space="preserve">  </w:t>
      </w:r>
      <w:r>
        <w:rPr>
          <w:rStyle w:val="13"/>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_Toc239208838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2B88AA12">
      <w:pPr>
        <w:pStyle w:val="7"/>
        <w:tabs>
          <w:tab w:val="right" w:leader="dot" w:pos="8290"/>
        </w:tabs>
        <w:spacing w:line="360" w:lineRule="auto"/>
        <w:rPr>
          <w:rFonts w:ascii="宋体" w:hAnsi="宋体" w:eastAsia="宋体"/>
        </w:rPr>
      </w:pPr>
      <w:r>
        <w:fldChar w:fldCharType="begin"/>
      </w:r>
      <w:r>
        <w:instrText xml:space="preserve"> HYPERLINK \l "_Toc239208839" </w:instrText>
      </w:r>
      <w:r>
        <w:fldChar w:fldCharType="separate"/>
      </w:r>
      <w:r>
        <w:rPr>
          <w:rStyle w:val="13"/>
          <w:rFonts w:hint="eastAsia" w:ascii="宋体" w:hAnsi="宋体" w:eastAsia="宋体"/>
          <w:u w:val="none"/>
        </w:rPr>
        <w:t>第三部分</w:t>
      </w:r>
      <w:r>
        <w:rPr>
          <w:rStyle w:val="13"/>
          <w:rFonts w:ascii="宋体" w:hAnsi="宋体" w:eastAsia="宋体"/>
          <w:u w:val="none"/>
        </w:rPr>
        <w:t xml:space="preserve">  </w:t>
      </w:r>
      <w:r>
        <w:rPr>
          <w:rStyle w:val="13"/>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_Toc239208839 \h </w:instrText>
      </w:r>
      <w:r>
        <w:rPr>
          <w:rFonts w:ascii="宋体" w:hAnsi="宋体" w:eastAsia="宋体"/>
        </w:rPr>
        <w:fldChar w:fldCharType="separate"/>
      </w:r>
      <w:r>
        <w:rPr>
          <w:rFonts w:ascii="宋体" w:hAnsi="宋体" w:eastAsia="宋体"/>
        </w:rPr>
        <w:t>11</w:t>
      </w:r>
      <w:r>
        <w:rPr>
          <w:rFonts w:ascii="宋体" w:hAnsi="宋体" w:eastAsia="宋体"/>
        </w:rPr>
        <w:fldChar w:fldCharType="end"/>
      </w:r>
      <w:r>
        <w:rPr>
          <w:rFonts w:ascii="宋体" w:hAnsi="宋体" w:eastAsia="宋体"/>
        </w:rPr>
        <w:fldChar w:fldCharType="end"/>
      </w:r>
    </w:p>
    <w:p w14:paraId="7F47BB66">
      <w:pPr>
        <w:pStyle w:val="7"/>
        <w:tabs>
          <w:tab w:val="right" w:leader="dot" w:pos="8290"/>
        </w:tabs>
        <w:spacing w:line="360" w:lineRule="auto"/>
        <w:rPr>
          <w:rFonts w:ascii="宋体" w:hAnsi="宋体" w:eastAsia="宋体"/>
        </w:rPr>
      </w:pPr>
      <w:r>
        <w:fldChar w:fldCharType="begin"/>
      </w:r>
      <w:r>
        <w:instrText xml:space="preserve"> HYPERLINK \l "_Toc239208840" </w:instrText>
      </w:r>
      <w:r>
        <w:fldChar w:fldCharType="separate"/>
      </w:r>
      <w:r>
        <w:rPr>
          <w:rStyle w:val="13"/>
          <w:rFonts w:hint="eastAsia" w:ascii="宋体" w:hAnsi="宋体" w:eastAsia="宋体"/>
          <w:u w:val="none"/>
        </w:rPr>
        <w:t>第四部分</w:t>
      </w:r>
      <w:r>
        <w:rPr>
          <w:rStyle w:val="13"/>
          <w:rFonts w:ascii="宋体" w:hAnsi="宋体" w:eastAsia="宋体"/>
          <w:u w:val="none"/>
        </w:rPr>
        <w:t xml:space="preserve">  </w:t>
      </w:r>
      <w:r>
        <w:rPr>
          <w:rStyle w:val="13"/>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_Toc239208840 \h </w:instrText>
      </w:r>
      <w:r>
        <w:rPr>
          <w:rFonts w:ascii="宋体" w:hAnsi="宋体" w:eastAsia="宋体"/>
        </w:rPr>
        <w:fldChar w:fldCharType="separate"/>
      </w:r>
      <w:r>
        <w:rPr>
          <w:rFonts w:ascii="宋体" w:hAnsi="宋体" w:eastAsia="宋体"/>
        </w:rPr>
        <w:t>21</w:t>
      </w:r>
      <w:r>
        <w:rPr>
          <w:rFonts w:ascii="宋体" w:hAnsi="宋体" w:eastAsia="宋体"/>
        </w:rPr>
        <w:fldChar w:fldCharType="end"/>
      </w:r>
      <w:r>
        <w:rPr>
          <w:rFonts w:ascii="宋体" w:hAnsi="宋体" w:eastAsia="宋体"/>
        </w:rPr>
        <w:fldChar w:fldCharType="end"/>
      </w:r>
    </w:p>
    <w:p w14:paraId="297DA3ED">
      <w:pPr>
        <w:pStyle w:val="7"/>
        <w:tabs>
          <w:tab w:val="right" w:leader="dot" w:pos="8290"/>
        </w:tabs>
        <w:spacing w:line="360" w:lineRule="auto"/>
        <w:rPr>
          <w:rFonts w:ascii="宋体" w:hAnsi="宋体" w:eastAsia="宋体"/>
        </w:rPr>
      </w:pPr>
      <w:r>
        <w:fldChar w:fldCharType="begin"/>
      </w:r>
      <w:r>
        <w:instrText xml:space="preserve"> HYPERLINK \l "_Toc239208841" </w:instrText>
      </w:r>
      <w:r>
        <w:fldChar w:fldCharType="separate"/>
      </w:r>
      <w:r>
        <w:rPr>
          <w:rStyle w:val="13"/>
          <w:rFonts w:hint="eastAsia" w:ascii="宋体" w:hAnsi="宋体" w:eastAsia="宋体"/>
          <w:u w:val="none"/>
        </w:rPr>
        <w:t>第五部分</w:t>
      </w:r>
      <w:r>
        <w:rPr>
          <w:rStyle w:val="13"/>
          <w:rFonts w:ascii="宋体" w:hAnsi="宋体" w:eastAsia="宋体"/>
          <w:u w:val="none"/>
        </w:rPr>
        <w:t xml:space="preserve">  </w:t>
      </w:r>
      <w:r>
        <w:rPr>
          <w:rStyle w:val="13"/>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_Toc239208841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14:paraId="75DCC6F8">
      <w:pPr>
        <w:pStyle w:val="7"/>
        <w:tabs>
          <w:tab w:val="right" w:leader="dot" w:pos="8290"/>
        </w:tabs>
        <w:spacing w:line="360" w:lineRule="auto"/>
        <w:rPr>
          <w:rFonts w:ascii="宋体" w:hAnsi="宋体" w:eastAsia="宋体"/>
        </w:rPr>
      </w:pPr>
      <w:r>
        <w:fldChar w:fldCharType="begin"/>
      </w:r>
      <w:r>
        <w:instrText xml:space="preserve"> HYPERLINK \l "_Toc239208842" </w:instrText>
      </w:r>
      <w:r>
        <w:fldChar w:fldCharType="separate"/>
      </w:r>
      <w:r>
        <w:rPr>
          <w:rStyle w:val="13"/>
          <w:rFonts w:hint="eastAsia" w:ascii="宋体" w:hAnsi="宋体" w:eastAsia="宋体"/>
          <w:u w:val="none"/>
        </w:rPr>
        <w:t>第六部分</w:t>
      </w:r>
      <w:r>
        <w:rPr>
          <w:rStyle w:val="13"/>
          <w:rFonts w:ascii="宋体" w:hAnsi="宋体" w:eastAsia="宋体"/>
          <w:u w:val="none"/>
        </w:rPr>
        <w:t xml:space="preserve"> </w:t>
      </w:r>
      <w:r>
        <w:rPr>
          <w:rStyle w:val="13"/>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_Toc239208842 \h </w:instrText>
      </w:r>
      <w:r>
        <w:rPr>
          <w:rFonts w:ascii="宋体" w:hAnsi="宋体" w:eastAsia="宋体"/>
        </w:rPr>
        <w:fldChar w:fldCharType="separate"/>
      </w:r>
      <w:r>
        <w:rPr>
          <w:rFonts w:ascii="宋体" w:hAnsi="宋体" w:eastAsia="宋体"/>
        </w:rPr>
        <w:t>35</w:t>
      </w:r>
      <w:r>
        <w:rPr>
          <w:rFonts w:ascii="宋体" w:hAnsi="宋体" w:eastAsia="宋体"/>
        </w:rPr>
        <w:fldChar w:fldCharType="end"/>
      </w:r>
      <w:r>
        <w:rPr>
          <w:rFonts w:ascii="宋体" w:hAnsi="宋体" w:eastAsia="宋体"/>
        </w:rPr>
        <w:fldChar w:fldCharType="end"/>
      </w:r>
    </w:p>
    <w:p w14:paraId="23ED4D34">
      <w:pPr>
        <w:pStyle w:val="7"/>
        <w:tabs>
          <w:tab w:val="right" w:leader="dot" w:pos="8290"/>
        </w:tabs>
        <w:spacing w:line="360" w:lineRule="auto"/>
        <w:rPr>
          <w:rFonts w:ascii="宋体" w:hAnsi="宋体" w:eastAsia="宋体"/>
        </w:rPr>
      </w:pPr>
      <w:r>
        <w:fldChar w:fldCharType="begin"/>
      </w:r>
      <w:r>
        <w:instrText xml:space="preserve"> HYPERLINK \l "_Toc239208843" </w:instrText>
      </w:r>
      <w:r>
        <w:fldChar w:fldCharType="separate"/>
      </w:r>
      <w:r>
        <w:rPr>
          <w:rStyle w:val="13"/>
          <w:rFonts w:hint="eastAsia" w:ascii="宋体" w:hAnsi="宋体" w:eastAsia="宋体"/>
          <w:u w:val="none"/>
        </w:rPr>
        <w:t>第七部分</w:t>
      </w:r>
      <w:r>
        <w:rPr>
          <w:rStyle w:val="13"/>
          <w:rFonts w:ascii="宋体" w:hAnsi="宋体" w:eastAsia="宋体"/>
          <w:u w:val="none"/>
        </w:rPr>
        <w:t xml:space="preserve">  </w:t>
      </w:r>
      <w:r>
        <w:rPr>
          <w:rStyle w:val="13"/>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_Toc239208843 \h </w:instrText>
      </w:r>
      <w:r>
        <w:rPr>
          <w:rFonts w:ascii="宋体" w:hAnsi="宋体" w:eastAsia="宋体"/>
        </w:rPr>
        <w:fldChar w:fldCharType="separate"/>
      </w:r>
      <w:r>
        <w:rPr>
          <w:rFonts w:ascii="宋体" w:hAnsi="宋体" w:eastAsia="宋体"/>
        </w:rPr>
        <w:t>36</w:t>
      </w:r>
      <w:r>
        <w:rPr>
          <w:rFonts w:ascii="宋体" w:hAnsi="宋体" w:eastAsia="宋体"/>
        </w:rPr>
        <w:fldChar w:fldCharType="end"/>
      </w:r>
      <w:r>
        <w:rPr>
          <w:rFonts w:ascii="宋体" w:hAnsi="宋体" w:eastAsia="宋体"/>
        </w:rPr>
        <w:fldChar w:fldCharType="end"/>
      </w:r>
    </w:p>
    <w:p w14:paraId="272F4124">
      <w:pPr>
        <w:pStyle w:val="7"/>
        <w:tabs>
          <w:tab w:val="right" w:leader="dot" w:pos="8290"/>
        </w:tabs>
        <w:spacing w:line="360" w:lineRule="auto"/>
        <w:rPr>
          <w:rFonts w:ascii="宋体" w:hAnsi="宋体" w:eastAsia="宋体"/>
        </w:rPr>
      </w:pPr>
      <w:r>
        <w:fldChar w:fldCharType="begin"/>
      </w:r>
      <w:r>
        <w:instrText xml:space="preserve"> HYPERLINK \l "_Toc239208844" </w:instrText>
      </w:r>
      <w:r>
        <w:fldChar w:fldCharType="separate"/>
      </w:r>
      <w:r>
        <w:rPr>
          <w:rStyle w:val="13"/>
          <w:rFonts w:hint="eastAsia" w:ascii="宋体" w:hAnsi="宋体" w:eastAsia="宋体"/>
          <w:u w:val="none"/>
        </w:rPr>
        <w:t>第八部分</w:t>
      </w:r>
      <w:r>
        <w:rPr>
          <w:rStyle w:val="13"/>
          <w:rFonts w:ascii="宋体" w:hAnsi="宋体" w:eastAsia="宋体"/>
          <w:u w:val="none"/>
        </w:rPr>
        <w:t xml:space="preserve">  </w:t>
      </w:r>
      <w:r>
        <w:rPr>
          <w:rStyle w:val="13"/>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_Toc239208844 \h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fldChar w:fldCharType="end"/>
      </w:r>
    </w:p>
    <w:p w14:paraId="17AC85C1">
      <w:pPr>
        <w:pStyle w:val="7"/>
        <w:tabs>
          <w:tab w:val="right" w:leader="dot" w:pos="8290"/>
        </w:tabs>
        <w:spacing w:line="360" w:lineRule="auto"/>
        <w:rPr>
          <w:rFonts w:ascii="宋体" w:hAnsi="宋体" w:eastAsia="宋体"/>
        </w:rPr>
      </w:pPr>
      <w:r>
        <w:fldChar w:fldCharType="begin"/>
      </w:r>
      <w:r>
        <w:instrText xml:space="preserve"> HYPERLINK \l "_Toc239208845" </w:instrText>
      </w:r>
      <w:r>
        <w:fldChar w:fldCharType="separate"/>
      </w:r>
      <w:r>
        <w:rPr>
          <w:rStyle w:val="13"/>
          <w:rFonts w:hint="eastAsia" w:ascii="宋体" w:hAnsi="宋体" w:eastAsia="宋体"/>
          <w:u w:val="none"/>
        </w:rPr>
        <w:t>第九部分</w:t>
      </w:r>
      <w:r>
        <w:rPr>
          <w:rStyle w:val="13"/>
          <w:rFonts w:ascii="宋体" w:hAnsi="宋体" w:eastAsia="宋体"/>
          <w:u w:val="none"/>
        </w:rPr>
        <w:t xml:space="preserve"> </w:t>
      </w:r>
      <w:r>
        <w:rPr>
          <w:rStyle w:val="13"/>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_Toc239208845 \h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fldChar w:fldCharType="end"/>
      </w:r>
    </w:p>
    <w:p w14:paraId="1E7C93A1">
      <w:pPr>
        <w:pStyle w:val="7"/>
        <w:tabs>
          <w:tab w:val="right" w:leader="dot" w:pos="8290"/>
        </w:tabs>
        <w:spacing w:line="360" w:lineRule="auto"/>
        <w:rPr>
          <w:rFonts w:ascii="宋体" w:hAnsi="宋体" w:eastAsia="宋体"/>
        </w:rPr>
      </w:pPr>
      <w:r>
        <w:fldChar w:fldCharType="begin"/>
      </w:r>
      <w:r>
        <w:instrText xml:space="preserve"> HYPERLINK \l "_Toc239208846" </w:instrText>
      </w:r>
      <w:r>
        <w:fldChar w:fldCharType="separate"/>
      </w:r>
      <w:r>
        <w:rPr>
          <w:rStyle w:val="13"/>
          <w:rFonts w:hint="eastAsia" w:ascii="宋体" w:hAnsi="宋体" w:eastAsia="宋体"/>
          <w:u w:val="none"/>
        </w:rPr>
        <w:t>第十部分</w:t>
      </w:r>
      <w:r>
        <w:rPr>
          <w:rStyle w:val="13"/>
          <w:rFonts w:ascii="宋体" w:hAnsi="宋体" w:eastAsia="宋体"/>
          <w:u w:val="none"/>
        </w:rPr>
        <w:t xml:space="preserve">  </w:t>
      </w:r>
      <w:r>
        <w:rPr>
          <w:rStyle w:val="13"/>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_Toc239208846 \h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fldChar w:fldCharType="end"/>
      </w:r>
    </w:p>
    <w:p w14:paraId="4D7C41A9">
      <w:pPr>
        <w:pStyle w:val="7"/>
        <w:tabs>
          <w:tab w:val="right" w:leader="dot" w:pos="8290"/>
        </w:tabs>
        <w:spacing w:line="360" w:lineRule="auto"/>
        <w:rPr>
          <w:rFonts w:ascii="宋体" w:hAnsi="宋体" w:eastAsia="宋体"/>
        </w:rPr>
      </w:pPr>
      <w:r>
        <w:fldChar w:fldCharType="begin"/>
      </w:r>
      <w:r>
        <w:instrText xml:space="preserve"> HYPERLINK \l "_Toc239208847" </w:instrText>
      </w:r>
      <w:r>
        <w:fldChar w:fldCharType="separate"/>
      </w:r>
      <w:r>
        <w:rPr>
          <w:rStyle w:val="13"/>
          <w:rFonts w:hint="eastAsia" w:ascii="宋体" w:hAnsi="宋体" w:eastAsia="宋体"/>
          <w:u w:val="none"/>
        </w:rPr>
        <w:t>第十一部分</w:t>
      </w:r>
      <w:r>
        <w:rPr>
          <w:rStyle w:val="13"/>
          <w:rFonts w:ascii="宋体" w:hAnsi="宋体" w:eastAsia="宋体"/>
          <w:u w:val="none"/>
        </w:rPr>
        <w:t xml:space="preserve">  </w:t>
      </w:r>
      <w:r>
        <w:rPr>
          <w:rStyle w:val="13"/>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_Toc239208847 \h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fldChar w:fldCharType="end"/>
      </w:r>
    </w:p>
    <w:p w14:paraId="3E86AA49">
      <w:pPr>
        <w:pStyle w:val="7"/>
        <w:tabs>
          <w:tab w:val="right" w:leader="dot" w:pos="8290"/>
        </w:tabs>
        <w:spacing w:line="360" w:lineRule="auto"/>
        <w:rPr>
          <w:rFonts w:ascii="宋体" w:hAnsi="宋体" w:eastAsia="宋体"/>
        </w:rPr>
      </w:pPr>
      <w:r>
        <w:fldChar w:fldCharType="begin"/>
      </w:r>
      <w:r>
        <w:instrText xml:space="preserve"> HYPERLINK \l "_Toc239208848" </w:instrText>
      </w:r>
      <w:r>
        <w:fldChar w:fldCharType="separate"/>
      </w:r>
      <w:r>
        <w:rPr>
          <w:rStyle w:val="13"/>
          <w:rFonts w:hint="eastAsia" w:ascii="宋体" w:hAnsi="宋体" w:eastAsia="宋体"/>
          <w:u w:val="none"/>
        </w:rPr>
        <w:t>第十二部分</w:t>
      </w:r>
      <w:r>
        <w:rPr>
          <w:rStyle w:val="13"/>
          <w:rFonts w:ascii="宋体" w:hAnsi="宋体" w:eastAsia="宋体"/>
          <w:u w:val="none"/>
        </w:rPr>
        <w:t xml:space="preserve">  </w:t>
      </w:r>
      <w:r>
        <w:rPr>
          <w:rStyle w:val="13"/>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_Toc239208848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14:paraId="189DDCD0">
      <w:pPr>
        <w:pStyle w:val="7"/>
        <w:tabs>
          <w:tab w:val="right" w:leader="dot" w:pos="8290"/>
        </w:tabs>
        <w:spacing w:line="360" w:lineRule="auto"/>
        <w:rPr>
          <w:rFonts w:ascii="宋体" w:hAnsi="宋体" w:eastAsia="宋体"/>
        </w:rPr>
      </w:pPr>
      <w:r>
        <w:fldChar w:fldCharType="begin"/>
      </w:r>
      <w:r>
        <w:instrText xml:space="preserve"> HYPERLINK \l "_Toc239208849" </w:instrText>
      </w:r>
      <w:r>
        <w:fldChar w:fldCharType="separate"/>
      </w:r>
      <w:r>
        <w:rPr>
          <w:rStyle w:val="13"/>
          <w:rFonts w:hint="eastAsia" w:ascii="宋体" w:hAnsi="宋体" w:eastAsia="宋体"/>
          <w:u w:val="none"/>
        </w:rPr>
        <w:t>第十三部分</w:t>
      </w:r>
      <w:r>
        <w:rPr>
          <w:rStyle w:val="13"/>
          <w:rFonts w:ascii="宋体" w:hAnsi="宋体" w:eastAsia="宋体"/>
          <w:u w:val="none"/>
        </w:rPr>
        <w:t xml:space="preserve">  </w:t>
      </w:r>
      <w:r>
        <w:rPr>
          <w:rStyle w:val="13"/>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_Toc239208849 \h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fldChar w:fldCharType="end"/>
      </w:r>
    </w:p>
    <w:p w14:paraId="6F2F4C5F">
      <w:pPr>
        <w:pStyle w:val="7"/>
        <w:tabs>
          <w:tab w:val="right" w:leader="dot" w:pos="8290"/>
        </w:tabs>
        <w:spacing w:line="360" w:lineRule="auto"/>
        <w:rPr>
          <w:rFonts w:ascii="宋体" w:hAnsi="宋体" w:eastAsia="宋体"/>
        </w:rPr>
      </w:pPr>
      <w:r>
        <w:fldChar w:fldCharType="begin"/>
      </w:r>
      <w:r>
        <w:instrText xml:space="preserve"> HYPERLINK \l "_Toc239208850" </w:instrText>
      </w:r>
      <w:r>
        <w:fldChar w:fldCharType="separate"/>
      </w:r>
      <w:r>
        <w:rPr>
          <w:rStyle w:val="13"/>
          <w:rFonts w:hint="eastAsia" w:ascii="宋体" w:hAnsi="宋体" w:eastAsia="宋体"/>
          <w:u w:val="none"/>
        </w:rPr>
        <w:t>第十四部分</w:t>
      </w:r>
      <w:r>
        <w:rPr>
          <w:rStyle w:val="13"/>
          <w:rFonts w:ascii="宋体" w:hAnsi="宋体" w:eastAsia="宋体"/>
          <w:u w:val="none"/>
        </w:rPr>
        <w:t xml:space="preserve">  </w:t>
      </w:r>
      <w:r>
        <w:rPr>
          <w:rStyle w:val="13"/>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_Toc239208850 \h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fldChar w:fldCharType="end"/>
      </w:r>
    </w:p>
    <w:p w14:paraId="4FAC01AC">
      <w:pPr>
        <w:pStyle w:val="7"/>
        <w:tabs>
          <w:tab w:val="right" w:leader="dot" w:pos="8290"/>
        </w:tabs>
        <w:spacing w:line="360" w:lineRule="auto"/>
        <w:rPr>
          <w:rFonts w:ascii="宋体" w:hAnsi="宋体" w:eastAsia="宋体"/>
        </w:rPr>
      </w:pPr>
      <w:r>
        <w:fldChar w:fldCharType="begin"/>
      </w:r>
      <w:r>
        <w:instrText xml:space="preserve"> HYPERLINK \l "_Toc239208851" </w:instrText>
      </w:r>
      <w:r>
        <w:fldChar w:fldCharType="separate"/>
      </w:r>
      <w:r>
        <w:rPr>
          <w:rStyle w:val="13"/>
          <w:rFonts w:hint="eastAsia" w:ascii="宋体" w:hAnsi="宋体" w:eastAsia="宋体"/>
          <w:u w:val="none"/>
        </w:rPr>
        <w:t>第十五部分</w:t>
      </w:r>
      <w:r>
        <w:rPr>
          <w:rStyle w:val="13"/>
          <w:rFonts w:ascii="宋体" w:hAnsi="宋体" w:eastAsia="宋体"/>
          <w:u w:val="none"/>
        </w:rPr>
        <w:t xml:space="preserve">  </w:t>
      </w:r>
      <w:r>
        <w:rPr>
          <w:rStyle w:val="13"/>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_Toc239208851 \h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fldChar w:fldCharType="end"/>
      </w:r>
    </w:p>
    <w:p w14:paraId="572FEE05">
      <w:pPr>
        <w:pStyle w:val="7"/>
        <w:tabs>
          <w:tab w:val="right" w:leader="dot" w:pos="8290"/>
        </w:tabs>
        <w:spacing w:line="360" w:lineRule="auto"/>
        <w:rPr>
          <w:rFonts w:ascii="宋体" w:hAnsi="宋体" w:eastAsia="宋体"/>
        </w:rPr>
      </w:pPr>
      <w:r>
        <w:fldChar w:fldCharType="begin"/>
      </w:r>
      <w:r>
        <w:instrText xml:space="preserve"> HYPERLINK \l "_Toc239208852" </w:instrText>
      </w:r>
      <w:r>
        <w:fldChar w:fldCharType="separate"/>
      </w:r>
      <w:r>
        <w:rPr>
          <w:rStyle w:val="13"/>
          <w:rFonts w:hint="eastAsia" w:ascii="宋体" w:hAnsi="宋体" w:eastAsia="宋体"/>
          <w:u w:val="none"/>
        </w:rPr>
        <w:t>第十六部分</w:t>
      </w:r>
      <w:r>
        <w:rPr>
          <w:rStyle w:val="13"/>
          <w:rFonts w:ascii="宋体" w:hAnsi="宋体" w:eastAsia="宋体"/>
          <w:u w:val="none"/>
        </w:rPr>
        <w:t xml:space="preserve"> </w:t>
      </w:r>
      <w:r>
        <w:rPr>
          <w:rStyle w:val="13"/>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_Toc239208852 \h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fldChar w:fldCharType="end"/>
      </w:r>
    </w:p>
    <w:p w14:paraId="6EB8A954">
      <w:pPr>
        <w:pStyle w:val="7"/>
        <w:tabs>
          <w:tab w:val="right" w:leader="dot" w:pos="8290"/>
        </w:tabs>
        <w:spacing w:line="360" w:lineRule="auto"/>
        <w:rPr>
          <w:rFonts w:ascii="宋体" w:hAnsi="宋体" w:eastAsia="宋体"/>
        </w:rPr>
      </w:pPr>
      <w:r>
        <w:fldChar w:fldCharType="begin"/>
      </w:r>
      <w:r>
        <w:instrText xml:space="preserve"> HYPERLINK \l "_Toc239208853" </w:instrText>
      </w:r>
      <w:r>
        <w:fldChar w:fldCharType="separate"/>
      </w:r>
      <w:r>
        <w:rPr>
          <w:rStyle w:val="13"/>
          <w:rFonts w:hint="eastAsia" w:ascii="宋体" w:hAnsi="宋体" w:eastAsia="宋体"/>
          <w:u w:val="none"/>
        </w:rPr>
        <w:t>第十七部分</w:t>
      </w:r>
      <w:r>
        <w:rPr>
          <w:rStyle w:val="13"/>
          <w:rFonts w:ascii="宋体" w:hAnsi="宋体" w:eastAsia="宋体"/>
          <w:u w:val="none"/>
        </w:rPr>
        <w:t xml:space="preserve">  </w:t>
      </w:r>
      <w:r>
        <w:rPr>
          <w:rStyle w:val="13"/>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_Toc239208853 \h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fldChar w:fldCharType="end"/>
      </w:r>
    </w:p>
    <w:p w14:paraId="5CDDA315">
      <w:pPr>
        <w:pStyle w:val="7"/>
        <w:tabs>
          <w:tab w:val="right" w:leader="dot" w:pos="8290"/>
        </w:tabs>
        <w:spacing w:line="360" w:lineRule="auto"/>
        <w:rPr>
          <w:rFonts w:ascii="宋体" w:hAnsi="宋体" w:eastAsia="宋体"/>
        </w:rPr>
      </w:pPr>
      <w:r>
        <w:fldChar w:fldCharType="begin"/>
      </w:r>
      <w:r>
        <w:instrText xml:space="preserve"> HYPERLINK \l "_Toc239208854" </w:instrText>
      </w:r>
      <w:r>
        <w:fldChar w:fldCharType="separate"/>
      </w:r>
      <w:r>
        <w:rPr>
          <w:rStyle w:val="13"/>
          <w:rFonts w:hint="eastAsia" w:ascii="宋体" w:hAnsi="宋体" w:eastAsia="宋体"/>
          <w:u w:val="none"/>
        </w:rPr>
        <w:t>第十八部分</w:t>
      </w:r>
      <w:r>
        <w:rPr>
          <w:rStyle w:val="13"/>
          <w:rFonts w:ascii="宋体" w:hAnsi="宋体" w:eastAsia="宋体"/>
          <w:u w:val="none"/>
        </w:rPr>
        <w:t xml:space="preserve">  </w:t>
      </w:r>
      <w:r>
        <w:rPr>
          <w:rStyle w:val="13"/>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_Toc239208854 \h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fldChar w:fldCharType="end"/>
      </w:r>
    </w:p>
    <w:p w14:paraId="1FAD57A8">
      <w:pPr>
        <w:pStyle w:val="7"/>
        <w:tabs>
          <w:tab w:val="right" w:leader="dot" w:pos="8290"/>
        </w:tabs>
        <w:spacing w:line="360" w:lineRule="auto"/>
        <w:rPr>
          <w:rFonts w:ascii="宋体" w:hAnsi="宋体" w:eastAsia="宋体"/>
        </w:rPr>
      </w:pPr>
      <w:r>
        <w:fldChar w:fldCharType="begin"/>
      </w:r>
      <w:r>
        <w:instrText xml:space="preserve"> HYPERLINK \l "_Toc239208855" </w:instrText>
      </w:r>
      <w:r>
        <w:fldChar w:fldCharType="separate"/>
      </w:r>
      <w:r>
        <w:rPr>
          <w:rStyle w:val="13"/>
          <w:rFonts w:hint="eastAsia" w:ascii="宋体" w:hAnsi="宋体" w:eastAsia="宋体"/>
          <w:u w:val="none"/>
        </w:rPr>
        <w:t>第十九部分</w:t>
      </w:r>
      <w:r>
        <w:rPr>
          <w:rStyle w:val="13"/>
          <w:rFonts w:ascii="宋体" w:hAnsi="宋体" w:eastAsia="宋体"/>
          <w:u w:val="none"/>
        </w:rPr>
        <w:t xml:space="preserve">  </w:t>
      </w:r>
      <w:r>
        <w:rPr>
          <w:rStyle w:val="13"/>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_Toc239208855 \h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fldChar w:fldCharType="end"/>
      </w:r>
    </w:p>
    <w:p w14:paraId="260F71FD">
      <w:pPr>
        <w:pStyle w:val="7"/>
        <w:tabs>
          <w:tab w:val="right" w:leader="dot" w:pos="8290"/>
        </w:tabs>
        <w:spacing w:line="360" w:lineRule="auto"/>
        <w:rPr>
          <w:rFonts w:ascii="宋体" w:hAnsi="宋体" w:eastAsia="宋体"/>
        </w:rPr>
      </w:pPr>
      <w:r>
        <w:fldChar w:fldCharType="begin"/>
      </w:r>
      <w:r>
        <w:instrText xml:space="preserve"> HYPERLINK \l "_Toc239208856" </w:instrText>
      </w:r>
      <w:r>
        <w:fldChar w:fldCharType="separate"/>
      </w:r>
      <w:r>
        <w:rPr>
          <w:rStyle w:val="13"/>
          <w:rFonts w:hint="eastAsia" w:ascii="宋体" w:hAnsi="宋体" w:eastAsia="宋体"/>
          <w:u w:val="none"/>
        </w:rPr>
        <w:t>第二十部分</w:t>
      </w:r>
      <w:r>
        <w:rPr>
          <w:rStyle w:val="13"/>
          <w:rFonts w:ascii="宋体" w:hAnsi="宋体" w:eastAsia="宋体"/>
          <w:u w:val="none"/>
        </w:rPr>
        <w:t xml:space="preserve">  </w:t>
      </w:r>
      <w:r>
        <w:rPr>
          <w:rStyle w:val="13"/>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_Toc239208856 \h </w:instrText>
      </w:r>
      <w:r>
        <w:rPr>
          <w:rFonts w:ascii="宋体" w:hAnsi="宋体" w:eastAsia="宋体"/>
        </w:rPr>
        <w:fldChar w:fldCharType="separate"/>
      </w:r>
      <w:r>
        <w:rPr>
          <w:rFonts w:ascii="宋体" w:hAnsi="宋体" w:eastAsia="宋体"/>
        </w:rPr>
        <w:t>105</w:t>
      </w:r>
      <w:r>
        <w:rPr>
          <w:rFonts w:ascii="宋体" w:hAnsi="宋体" w:eastAsia="宋体"/>
        </w:rPr>
        <w:fldChar w:fldCharType="end"/>
      </w:r>
      <w:r>
        <w:rPr>
          <w:rFonts w:ascii="宋体" w:hAnsi="宋体" w:eastAsia="宋体"/>
        </w:rPr>
        <w:fldChar w:fldCharType="end"/>
      </w:r>
    </w:p>
    <w:p w14:paraId="0E20B858">
      <w:pPr>
        <w:pStyle w:val="7"/>
        <w:tabs>
          <w:tab w:val="right" w:leader="dot" w:pos="8290"/>
        </w:tabs>
        <w:spacing w:line="360" w:lineRule="auto"/>
        <w:rPr>
          <w:rFonts w:ascii="宋体" w:hAnsi="宋体" w:eastAsia="宋体"/>
        </w:rPr>
      </w:pPr>
      <w:r>
        <w:fldChar w:fldCharType="begin"/>
      </w:r>
      <w:r>
        <w:instrText xml:space="preserve"> HYPERLINK \l "_Toc239208857" </w:instrText>
      </w:r>
      <w:r>
        <w:fldChar w:fldCharType="separate"/>
      </w:r>
      <w:r>
        <w:rPr>
          <w:rStyle w:val="13"/>
          <w:rFonts w:hint="eastAsia" w:ascii="宋体" w:hAnsi="宋体" w:eastAsia="宋体"/>
          <w:u w:val="none"/>
        </w:rPr>
        <w:t>第二十一部分</w:t>
      </w:r>
      <w:r>
        <w:rPr>
          <w:rStyle w:val="13"/>
          <w:rFonts w:ascii="宋体" w:hAnsi="宋体" w:eastAsia="宋体"/>
          <w:u w:val="none"/>
        </w:rPr>
        <w:t xml:space="preserve">  </w:t>
      </w:r>
      <w:r>
        <w:rPr>
          <w:rStyle w:val="13"/>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_Toc239208857 \h </w:instrText>
      </w:r>
      <w:r>
        <w:rPr>
          <w:rFonts w:ascii="宋体" w:hAnsi="宋体" w:eastAsia="宋体"/>
        </w:rPr>
        <w:fldChar w:fldCharType="separate"/>
      </w:r>
      <w:r>
        <w:rPr>
          <w:rFonts w:ascii="宋体" w:hAnsi="宋体" w:eastAsia="宋体"/>
        </w:rPr>
        <w:t>121</w:t>
      </w:r>
      <w:r>
        <w:rPr>
          <w:rFonts w:ascii="宋体" w:hAnsi="宋体" w:eastAsia="宋体"/>
        </w:rPr>
        <w:fldChar w:fldCharType="end"/>
      </w:r>
      <w:r>
        <w:rPr>
          <w:rFonts w:ascii="宋体" w:hAnsi="宋体" w:eastAsia="宋体"/>
        </w:rPr>
        <w:fldChar w:fldCharType="end"/>
      </w:r>
    </w:p>
    <w:p w14:paraId="77D8F738">
      <w:pPr>
        <w:pStyle w:val="7"/>
        <w:tabs>
          <w:tab w:val="right" w:leader="dot" w:pos="8290"/>
        </w:tabs>
        <w:spacing w:line="360" w:lineRule="auto"/>
        <w:rPr>
          <w:rFonts w:ascii="宋体" w:hAnsi="宋体" w:eastAsia="宋体"/>
        </w:rPr>
      </w:pPr>
      <w:r>
        <w:fldChar w:fldCharType="begin"/>
      </w:r>
      <w:r>
        <w:instrText xml:space="preserve"> HYPERLINK \l "_Toc239208858" </w:instrText>
      </w:r>
      <w:r>
        <w:fldChar w:fldCharType="separate"/>
      </w:r>
      <w:r>
        <w:rPr>
          <w:rStyle w:val="13"/>
          <w:rFonts w:hint="eastAsia" w:ascii="宋体" w:hAnsi="宋体" w:eastAsia="宋体"/>
          <w:u w:val="none"/>
        </w:rPr>
        <w:t>第二十二部分</w:t>
      </w:r>
      <w:r>
        <w:rPr>
          <w:rStyle w:val="13"/>
          <w:rFonts w:ascii="宋体" w:hAnsi="宋体" w:eastAsia="宋体"/>
          <w:u w:val="none"/>
        </w:rPr>
        <w:t xml:space="preserve"> </w:t>
      </w:r>
      <w:r>
        <w:rPr>
          <w:rStyle w:val="13"/>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_Toc239208858 \h </w:instrText>
      </w:r>
      <w:r>
        <w:rPr>
          <w:rFonts w:ascii="宋体" w:hAnsi="宋体" w:eastAsia="宋体"/>
        </w:rPr>
        <w:fldChar w:fldCharType="separate"/>
      </w:r>
      <w:r>
        <w:rPr>
          <w:rFonts w:ascii="宋体" w:hAnsi="宋体" w:eastAsia="宋体"/>
        </w:rPr>
        <w:t>124</w:t>
      </w:r>
      <w:r>
        <w:rPr>
          <w:rFonts w:ascii="宋体" w:hAnsi="宋体" w:eastAsia="宋体"/>
        </w:rPr>
        <w:fldChar w:fldCharType="end"/>
      </w:r>
      <w:r>
        <w:rPr>
          <w:rFonts w:ascii="宋体" w:hAnsi="宋体" w:eastAsia="宋体"/>
        </w:rPr>
        <w:fldChar w:fldCharType="end"/>
      </w:r>
    </w:p>
    <w:p w14:paraId="5D378032">
      <w:pPr>
        <w:pStyle w:val="7"/>
        <w:tabs>
          <w:tab w:val="right" w:leader="dot" w:pos="8290"/>
        </w:tabs>
        <w:spacing w:line="360" w:lineRule="auto"/>
        <w:rPr>
          <w:rFonts w:ascii="宋体" w:hAnsi="宋体" w:eastAsia="宋体"/>
        </w:rPr>
      </w:pPr>
      <w:r>
        <w:fldChar w:fldCharType="begin"/>
      </w:r>
      <w:r>
        <w:instrText xml:space="preserve"> HYPERLINK \l "_Toc239208859" </w:instrText>
      </w:r>
      <w:r>
        <w:fldChar w:fldCharType="separate"/>
      </w:r>
      <w:r>
        <w:rPr>
          <w:rStyle w:val="13"/>
          <w:rFonts w:hint="eastAsia" w:ascii="宋体" w:hAnsi="宋体" w:eastAsia="宋体"/>
          <w:u w:val="none"/>
        </w:rPr>
        <w:t>第二十三部分</w:t>
      </w:r>
      <w:r>
        <w:rPr>
          <w:rStyle w:val="13"/>
          <w:rFonts w:ascii="宋体" w:hAnsi="宋体" w:eastAsia="宋体"/>
          <w:u w:val="none"/>
        </w:rPr>
        <w:t xml:space="preserve">  </w:t>
      </w:r>
      <w:r>
        <w:rPr>
          <w:rStyle w:val="13"/>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_Toc239208859 \h </w:instrText>
      </w:r>
      <w:r>
        <w:rPr>
          <w:rFonts w:ascii="宋体" w:hAnsi="宋体" w:eastAsia="宋体"/>
        </w:rPr>
        <w:fldChar w:fldCharType="separate"/>
      </w:r>
      <w:r>
        <w:rPr>
          <w:rFonts w:ascii="宋体" w:hAnsi="宋体" w:eastAsia="宋体"/>
        </w:rPr>
        <w:t>127</w:t>
      </w:r>
      <w:r>
        <w:rPr>
          <w:rFonts w:ascii="宋体" w:hAnsi="宋体" w:eastAsia="宋体"/>
        </w:rPr>
        <w:fldChar w:fldCharType="end"/>
      </w:r>
      <w:r>
        <w:rPr>
          <w:rFonts w:ascii="宋体" w:hAnsi="宋体" w:eastAsia="宋体"/>
        </w:rPr>
        <w:fldChar w:fldCharType="end"/>
      </w:r>
    </w:p>
    <w:p w14:paraId="588BF96E">
      <w:pPr>
        <w:pStyle w:val="7"/>
        <w:tabs>
          <w:tab w:val="right" w:leader="dot" w:pos="8290"/>
        </w:tabs>
        <w:spacing w:line="360" w:lineRule="auto"/>
        <w:rPr>
          <w:rFonts w:ascii="宋体" w:hAnsi="宋体" w:eastAsia="宋体"/>
        </w:rPr>
      </w:pPr>
      <w:r>
        <w:fldChar w:fldCharType="begin"/>
      </w:r>
      <w:r>
        <w:instrText xml:space="preserve"> HYPERLINK \l "_Toc239208860" </w:instrText>
      </w:r>
      <w:r>
        <w:fldChar w:fldCharType="separate"/>
      </w:r>
      <w:r>
        <w:rPr>
          <w:rStyle w:val="13"/>
          <w:rFonts w:hint="eastAsia" w:ascii="宋体" w:hAnsi="宋体" w:eastAsia="宋体"/>
          <w:u w:val="none"/>
        </w:rPr>
        <w:t>第二十四部分</w:t>
      </w:r>
      <w:r>
        <w:rPr>
          <w:rStyle w:val="13"/>
          <w:rFonts w:ascii="宋体" w:hAnsi="宋体" w:eastAsia="宋体"/>
          <w:u w:val="none"/>
        </w:rPr>
        <w:t xml:space="preserve">  </w:t>
      </w:r>
      <w:r>
        <w:rPr>
          <w:rStyle w:val="13"/>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_Toc239208860 \h </w:instrText>
      </w:r>
      <w:r>
        <w:rPr>
          <w:rFonts w:ascii="宋体" w:hAnsi="宋体" w:eastAsia="宋体"/>
        </w:rPr>
        <w:fldChar w:fldCharType="separate"/>
      </w:r>
      <w:r>
        <w:rPr>
          <w:rFonts w:ascii="宋体" w:hAnsi="宋体" w:eastAsia="宋体"/>
        </w:rPr>
        <w:t>128</w:t>
      </w:r>
      <w:r>
        <w:rPr>
          <w:rFonts w:ascii="宋体" w:hAnsi="宋体" w:eastAsia="宋体"/>
        </w:rPr>
        <w:fldChar w:fldCharType="end"/>
      </w:r>
      <w:r>
        <w:rPr>
          <w:rFonts w:ascii="宋体" w:hAnsi="宋体" w:eastAsia="宋体"/>
        </w:rPr>
        <w:fldChar w:fldCharType="end"/>
      </w:r>
    </w:p>
    <w:p w14:paraId="18D3EA51">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0C892AF5">
      <w:pPr>
        <w:pStyle w:val="2"/>
        <w:jc w:val="center"/>
        <w:rPr>
          <w:rFonts w:ascii="宋体" w:hAnsi="宋体" w:eastAsia="宋体"/>
          <w:sz w:val="30"/>
        </w:rPr>
      </w:pPr>
      <w:bookmarkStart w:id="7" w:name="_Toc239208837"/>
      <w:bookmarkStart w:id="8" w:name="chapter_level1_3_2344"/>
      <w:r>
        <w:rPr>
          <w:rFonts w:hint="eastAsia" w:ascii="宋体" w:hAnsi="宋体" w:eastAsia="宋体"/>
          <w:sz w:val="30"/>
        </w:rPr>
        <w:t>第一部分  绪言</w:t>
      </w:r>
      <w:bookmarkEnd w:id="7"/>
      <w:bookmarkEnd w:id="8"/>
    </w:p>
    <w:p w14:paraId="095ED329">
      <w:pPr>
        <w:pStyle w:val="8"/>
        <w:spacing w:before="0" w:beforeAutospacing="0" w:after="0" w:afterAutospacing="0" w:line="360" w:lineRule="auto"/>
        <w:ind w:firstLine="420"/>
        <w:rPr>
          <w:sz w:val="21"/>
          <w:szCs w:val="21"/>
        </w:rPr>
      </w:pPr>
      <w:bookmarkStart w:id="9" w:name="chapter_level1_3_2344_section_1"/>
      <w:bookmarkEnd w:id="9"/>
      <w:r>
        <w:rPr>
          <w:rFonts w:hint="eastAsia"/>
          <w:sz w:val="21"/>
          <w:szCs w:val="21"/>
        </w:rPr>
        <w:t>《</w:t>
      </w:r>
      <w:bookmarkStart w:id="10" w:name="field_0_productfullname_2"/>
      <w:r>
        <w:rPr>
          <w:rFonts w:hint="eastAsia"/>
          <w:sz w:val="21"/>
          <w:szCs w:val="21"/>
        </w:rPr>
        <w:t>博时裕利纯债债券型证券投资基金</w:t>
      </w:r>
      <w:bookmarkEnd w:id="10"/>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w:t>
      </w:r>
      <w:r>
        <w:rPr>
          <w:rFonts w:hint="eastAsia"/>
          <w:sz w:val="21"/>
          <w:szCs w:val="21"/>
          <w:lang w:eastAsia="zh-CN"/>
        </w:rPr>
        <w:t>开</w:t>
      </w:r>
      <w:r>
        <w:rPr>
          <w:rFonts w:hint="eastAsia"/>
          <w:sz w:val="21"/>
          <w:szCs w:val="21"/>
        </w:rPr>
        <w:t>募集证券投资基金信息披露管理办法》（以下简称“《信息披露办法》”）、《公开募集开放式证券投资基金流动性风险管理规定》（以下简称“《流动性风险管理规定》”）和其他有关法律法规以及《</w:t>
      </w:r>
      <w:bookmarkStart w:id="11" w:name="field_0_productfullname_3"/>
      <w:r>
        <w:rPr>
          <w:rFonts w:hint="eastAsia"/>
          <w:sz w:val="21"/>
          <w:szCs w:val="21"/>
        </w:rPr>
        <w:t>博时裕利纯债债券型证券投资基金</w:t>
      </w:r>
      <w:bookmarkEnd w:id="11"/>
      <w:r>
        <w:rPr>
          <w:rFonts w:hint="eastAsia"/>
          <w:sz w:val="21"/>
          <w:szCs w:val="21"/>
        </w:rPr>
        <w:t xml:space="preserve">基金合同》（以下简称“基金合同”）编写。  </w:t>
      </w:r>
    </w:p>
    <w:p w14:paraId="1F5449B7">
      <w:pPr>
        <w:pStyle w:val="8"/>
        <w:spacing w:before="0" w:beforeAutospacing="0" w:after="0" w:afterAutospacing="0" w:line="360" w:lineRule="auto"/>
        <w:ind w:firstLine="420"/>
        <w:rPr>
          <w:sz w:val="21"/>
          <w:szCs w:val="21"/>
        </w:rPr>
      </w:pPr>
      <w:r>
        <w:rPr>
          <w:rFonts w:hint="eastAsia"/>
          <w:sz w:val="21"/>
          <w:szCs w:val="21"/>
        </w:rPr>
        <w:t>本招募说明书阐述了</w:t>
      </w:r>
      <w:bookmarkStart w:id="12" w:name="field_0_productfullname_4"/>
      <w:r>
        <w:rPr>
          <w:rFonts w:hint="eastAsia"/>
          <w:sz w:val="21"/>
          <w:szCs w:val="21"/>
        </w:rPr>
        <w:t>博时裕利纯债债券型证券投资基金</w:t>
      </w:r>
      <w:bookmarkEnd w:id="12"/>
      <w:r>
        <w:rPr>
          <w:rFonts w:hint="eastAsia"/>
          <w:sz w:val="21"/>
          <w:szCs w:val="21"/>
        </w:rPr>
        <w:t xml:space="preserve">的投资目标、策略、风险、费率等与投资人投资决策有关的必要事项，投资人在作出投资决策前应仔细阅读本招募说明书。 </w:t>
      </w:r>
    </w:p>
    <w:p w14:paraId="1C8A16E8">
      <w:pPr>
        <w:pStyle w:val="8"/>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1A4D68D7">
      <w:pPr>
        <w:pStyle w:val="8"/>
        <w:spacing w:before="0" w:beforeAutospacing="0" w:after="0" w:afterAutospacing="0" w:line="360" w:lineRule="auto"/>
        <w:ind w:firstLine="420"/>
        <w:rPr>
          <w:sz w:val="21"/>
          <w:szCs w:val="21"/>
        </w:rPr>
      </w:pPr>
      <w:bookmarkStart w:id="13" w:name="field_0_productfullname_5"/>
      <w:r>
        <w:rPr>
          <w:rFonts w:hint="eastAsia"/>
          <w:sz w:val="21"/>
          <w:szCs w:val="21"/>
        </w:rPr>
        <w:t>博时裕利纯债债券型证券投资基金</w:t>
      </w:r>
      <w:bookmarkEnd w:id="13"/>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127B685C">
      <w:pPr>
        <w:pStyle w:val="8"/>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4" w:name="chapter_level1_3_2344_section_1_end"/>
      <w:bookmarkEnd w:id="14"/>
      <w:r>
        <w:rPr>
          <w:rFonts w:hint="eastAsia"/>
          <w:sz w:val="21"/>
          <w:szCs w:val="21"/>
        </w:rPr>
        <w:t xml:space="preserve">了解基金份额持有人的权利和义务，应详细查阅基金合同。 </w:t>
      </w:r>
    </w:p>
    <w:p w14:paraId="7552A074">
      <w:pPr>
        <w:widowControl/>
        <w:jc w:val="left"/>
        <w:rPr>
          <w:rFonts w:ascii="宋体" w:hAnsi="宋体" w:eastAsia="宋体"/>
        </w:rPr>
      </w:pPr>
      <w:r>
        <w:rPr>
          <w:rFonts w:ascii="宋体" w:hAnsi="宋体" w:eastAsia="宋体"/>
        </w:rPr>
        <w:br w:type="page"/>
      </w:r>
    </w:p>
    <w:p w14:paraId="4F56E8D1">
      <w:pPr>
        <w:pStyle w:val="2"/>
        <w:jc w:val="center"/>
        <w:rPr>
          <w:rFonts w:ascii="宋体" w:hAnsi="宋体" w:eastAsia="宋体"/>
          <w:sz w:val="30"/>
        </w:rPr>
      </w:pPr>
      <w:bookmarkStart w:id="15" w:name="chapter_level1_4_49"/>
      <w:bookmarkStart w:id="16" w:name="_Toc239208838"/>
      <w:r>
        <w:rPr>
          <w:rFonts w:hint="eastAsia" w:ascii="宋体" w:hAnsi="宋体" w:eastAsia="宋体"/>
          <w:sz w:val="30"/>
        </w:rPr>
        <w:t>第二部分  释义</w:t>
      </w:r>
      <w:bookmarkEnd w:id="15"/>
      <w:bookmarkEnd w:id="16"/>
    </w:p>
    <w:p w14:paraId="03CA609B">
      <w:pPr>
        <w:pStyle w:val="8"/>
        <w:spacing w:before="0" w:beforeAutospacing="0" w:after="0" w:afterAutospacing="0" w:line="360" w:lineRule="auto"/>
        <w:ind w:firstLine="420"/>
        <w:rPr>
          <w:sz w:val="21"/>
          <w:szCs w:val="21"/>
        </w:rPr>
      </w:pPr>
      <w:bookmarkStart w:id="17" w:name="chapter_level1_4_49_section_1"/>
      <w:bookmarkEnd w:id="17"/>
      <w:r>
        <w:rPr>
          <w:rFonts w:hint="eastAsia"/>
          <w:sz w:val="21"/>
          <w:szCs w:val="21"/>
        </w:rPr>
        <w:t xml:space="preserve">在本招募说明书中，除非文意另有所指，下列词语或简称具有如下含义：  </w:t>
      </w:r>
    </w:p>
    <w:p w14:paraId="5482B959">
      <w:pPr>
        <w:pStyle w:val="8"/>
        <w:spacing w:before="0" w:beforeAutospacing="0" w:after="0" w:afterAutospacing="0" w:line="360" w:lineRule="auto"/>
        <w:ind w:firstLine="420"/>
        <w:rPr>
          <w:sz w:val="21"/>
          <w:szCs w:val="21"/>
        </w:rPr>
      </w:pPr>
      <w:r>
        <w:rPr>
          <w:rFonts w:hint="eastAsia"/>
          <w:sz w:val="21"/>
          <w:szCs w:val="21"/>
        </w:rPr>
        <w:t>1、基金或本基金：指</w:t>
      </w:r>
      <w:bookmarkStart w:id="18" w:name="field_0_productfullname_6"/>
      <w:r>
        <w:rPr>
          <w:rFonts w:hint="eastAsia"/>
          <w:sz w:val="21"/>
          <w:szCs w:val="21"/>
        </w:rPr>
        <w:t>博时裕利纯债债券型证券投资基金</w:t>
      </w:r>
      <w:bookmarkEnd w:id="18"/>
      <w:r>
        <w:rPr>
          <w:rFonts w:hint="eastAsia"/>
          <w:sz w:val="21"/>
          <w:szCs w:val="21"/>
        </w:rPr>
        <w:t xml:space="preserve">  </w:t>
      </w:r>
    </w:p>
    <w:p w14:paraId="63FF60A5">
      <w:pPr>
        <w:pStyle w:val="8"/>
        <w:spacing w:before="0" w:beforeAutospacing="0" w:after="0" w:afterAutospacing="0" w:line="360" w:lineRule="auto"/>
        <w:ind w:firstLine="420"/>
        <w:rPr>
          <w:sz w:val="21"/>
          <w:szCs w:val="21"/>
        </w:rPr>
      </w:pPr>
      <w:r>
        <w:rPr>
          <w:rFonts w:hint="eastAsia"/>
          <w:sz w:val="21"/>
          <w:szCs w:val="21"/>
        </w:rPr>
        <w:t>2、基金管理人：指</w:t>
      </w:r>
      <w:bookmarkStart w:id="19" w:name="field_0_managerorgfullname_1"/>
      <w:r>
        <w:rPr>
          <w:rFonts w:hint="eastAsia"/>
          <w:sz w:val="21"/>
          <w:szCs w:val="21"/>
        </w:rPr>
        <w:t>博时基金管理有限公司</w:t>
      </w:r>
      <w:bookmarkEnd w:id="19"/>
      <w:r>
        <w:rPr>
          <w:rFonts w:hint="eastAsia"/>
          <w:sz w:val="21"/>
          <w:szCs w:val="21"/>
        </w:rPr>
        <w:t xml:space="preserve">      </w:t>
      </w:r>
    </w:p>
    <w:p w14:paraId="3E61288B">
      <w:pPr>
        <w:pStyle w:val="8"/>
        <w:spacing w:before="0" w:beforeAutospacing="0" w:after="0" w:afterAutospacing="0" w:line="360" w:lineRule="auto"/>
        <w:ind w:firstLine="420"/>
        <w:rPr>
          <w:sz w:val="21"/>
          <w:szCs w:val="21"/>
        </w:rPr>
      </w:pPr>
      <w:r>
        <w:rPr>
          <w:rFonts w:hint="eastAsia"/>
          <w:sz w:val="21"/>
          <w:szCs w:val="21"/>
        </w:rPr>
        <w:t>3、基金托管人：指</w:t>
      </w:r>
      <w:bookmarkStart w:id="20" w:name="field_0_trustorgfullname_1"/>
      <w:r>
        <w:rPr>
          <w:rFonts w:hint="eastAsia"/>
          <w:sz w:val="21"/>
          <w:szCs w:val="21"/>
        </w:rPr>
        <w:t>杭州银行股份有限公司</w:t>
      </w:r>
      <w:bookmarkEnd w:id="20"/>
      <w:r>
        <w:rPr>
          <w:rFonts w:hint="eastAsia"/>
          <w:sz w:val="21"/>
          <w:szCs w:val="21"/>
        </w:rPr>
        <w:t xml:space="preserve">    </w:t>
      </w:r>
    </w:p>
    <w:p w14:paraId="193B859F">
      <w:pPr>
        <w:pStyle w:val="8"/>
        <w:spacing w:before="0" w:beforeAutospacing="0" w:after="0" w:afterAutospacing="0" w:line="360" w:lineRule="auto"/>
        <w:ind w:firstLine="420"/>
        <w:rPr>
          <w:sz w:val="21"/>
          <w:szCs w:val="21"/>
        </w:rPr>
      </w:pPr>
      <w:r>
        <w:rPr>
          <w:rFonts w:hint="eastAsia"/>
          <w:sz w:val="21"/>
          <w:szCs w:val="21"/>
        </w:rPr>
        <w:t>4、基金合同：指《</w:t>
      </w:r>
      <w:bookmarkStart w:id="21" w:name="field_0_productfullname_7"/>
      <w:r>
        <w:rPr>
          <w:rFonts w:hint="eastAsia"/>
          <w:sz w:val="21"/>
          <w:szCs w:val="21"/>
        </w:rPr>
        <w:t>博时裕利纯债债券型证券投资基金</w:t>
      </w:r>
      <w:bookmarkEnd w:id="21"/>
      <w:r>
        <w:rPr>
          <w:rFonts w:hint="eastAsia"/>
          <w:sz w:val="21"/>
          <w:szCs w:val="21"/>
        </w:rPr>
        <w:t xml:space="preserve">基金合同》及对该基金合同的任何有效修订和补充 </w:t>
      </w:r>
    </w:p>
    <w:p w14:paraId="58C7CECF">
      <w:pPr>
        <w:pStyle w:val="8"/>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2" w:name="field_0_productfullname_8"/>
      <w:r>
        <w:rPr>
          <w:rFonts w:hint="eastAsia"/>
          <w:sz w:val="21"/>
          <w:szCs w:val="21"/>
        </w:rPr>
        <w:t>博时裕利纯债债券型证券投资基金</w:t>
      </w:r>
      <w:bookmarkEnd w:id="22"/>
      <w:r>
        <w:rPr>
          <w:rFonts w:hint="eastAsia"/>
          <w:sz w:val="21"/>
          <w:szCs w:val="21"/>
        </w:rPr>
        <w:t xml:space="preserve">托管协议》及对该托管协议的任何有效修订和补充 </w:t>
      </w:r>
    </w:p>
    <w:p w14:paraId="5814D97C">
      <w:pPr>
        <w:pStyle w:val="8"/>
        <w:spacing w:before="0" w:beforeAutospacing="0" w:after="0" w:afterAutospacing="0" w:line="360" w:lineRule="auto"/>
        <w:ind w:firstLine="420"/>
        <w:rPr>
          <w:sz w:val="21"/>
          <w:szCs w:val="21"/>
        </w:rPr>
      </w:pPr>
      <w:r>
        <w:rPr>
          <w:rFonts w:hint="eastAsia"/>
          <w:sz w:val="21"/>
          <w:szCs w:val="21"/>
        </w:rPr>
        <w:t>6、招募说明书或本招募说明书：指《</w:t>
      </w:r>
      <w:bookmarkStart w:id="23" w:name="field_0_productfullname_9"/>
      <w:r>
        <w:rPr>
          <w:rFonts w:hint="eastAsia"/>
          <w:sz w:val="21"/>
          <w:szCs w:val="21"/>
        </w:rPr>
        <w:t>博时裕利纯债债券型证券投资基金</w:t>
      </w:r>
      <w:bookmarkEnd w:id="23"/>
      <w:r>
        <w:rPr>
          <w:rFonts w:hint="eastAsia"/>
          <w:sz w:val="21"/>
          <w:szCs w:val="21"/>
        </w:rPr>
        <w:t xml:space="preserve">招募说明书》及其更新 </w:t>
      </w:r>
    </w:p>
    <w:p w14:paraId="77839530">
      <w:pPr>
        <w:pStyle w:val="8"/>
        <w:spacing w:before="0" w:beforeAutospacing="0" w:after="0" w:afterAutospacing="0" w:line="360" w:lineRule="auto"/>
        <w:ind w:firstLine="420"/>
        <w:rPr>
          <w:sz w:val="21"/>
          <w:szCs w:val="21"/>
        </w:rPr>
      </w:pPr>
      <w:r>
        <w:rPr>
          <w:rFonts w:hint="eastAsia"/>
          <w:sz w:val="21"/>
          <w:szCs w:val="21"/>
        </w:rPr>
        <w:t xml:space="preserve">7、基金产品资料概要：指《博时裕利纯债债券型证券投资基金基金产品资料概要》及其更新  </w:t>
      </w:r>
    </w:p>
    <w:p w14:paraId="10E431F3">
      <w:pPr>
        <w:pStyle w:val="8"/>
        <w:spacing w:before="0" w:beforeAutospacing="0" w:after="0" w:afterAutospacing="0" w:line="360" w:lineRule="auto"/>
        <w:ind w:firstLine="420"/>
        <w:rPr>
          <w:sz w:val="21"/>
          <w:szCs w:val="21"/>
        </w:rPr>
      </w:pPr>
      <w:r>
        <w:rPr>
          <w:rFonts w:hint="eastAsia"/>
          <w:sz w:val="21"/>
          <w:szCs w:val="21"/>
        </w:rPr>
        <w:t>8、基金份额发售公告：指《</w:t>
      </w:r>
      <w:bookmarkStart w:id="24" w:name="field_0_productfullname_10"/>
      <w:r>
        <w:rPr>
          <w:rFonts w:hint="eastAsia"/>
          <w:sz w:val="21"/>
          <w:szCs w:val="21"/>
        </w:rPr>
        <w:t>博时裕利纯债债券型证券投资基金</w:t>
      </w:r>
      <w:bookmarkEnd w:id="24"/>
      <w:r>
        <w:rPr>
          <w:rFonts w:hint="eastAsia"/>
          <w:sz w:val="21"/>
          <w:szCs w:val="21"/>
        </w:rPr>
        <w:t xml:space="preserve">基金份额发售公告》 </w:t>
      </w:r>
    </w:p>
    <w:p w14:paraId="484F3703">
      <w:pPr>
        <w:pStyle w:val="8"/>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56506FC4">
      <w:pPr>
        <w:pStyle w:val="8"/>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的《中华人民共和国证券投资基金法》及颁布机关对其不时做出的修订 </w:t>
      </w:r>
    </w:p>
    <w:p w14:paraId="7762CEFB">
      <w:pPr>
        <w:pStyle w:val="8"/>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14:paraId="657E77DD">
      <w:pPr>
        <w:pStyle w:val="8"/>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14:paraId="785E8D48">
      <w:pPr>
        <w:pStyle w:val="8"/>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520A6CD8">
      <w:pPr>
        <w:pStyle w:val="8"/>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671BC0F0">
      <w:pPr>
        <w:pStyle w:val="8"/>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76F3B041">
      <w:pPr>
        <w:pStyle w:val="8"/>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16、银行业监督管理机构：指中国人民银行和/或中国银行业监督管理委员会 </w:t>
      </w:r>
    </w:p>
    <w:p w14:paraId="29E0838D">
      <w:pPr>
        <w:pStyle w:val="8"/>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4110DFD0">
      <w:pPr>
        <w:pStyle w:val="8"/>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5B592E49">
      <w:pPr>
        <w:pStyle w:val="8"/>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6C856A65">
      <w:pPr>
        <w:pStyle w:val="8"/>
        <w:spacing w:before="0" w:beforeAutospacing="0" w:after="0" w:afterAutospacing="0" w:line="360" w:lineRule="auto"/>
        <w:ind w:firstLine="420"/>
        <w:rPr>
          <w:sz w:val="21"/>
          <w:szCs w:val="21"/>
        </w:rPr>
      </w:pPr>
      <w:r>
        <w:rPr>
          <w:rFonts w:hint="eastAsia"/>
          <w:sz w:val="21"/>
          <w:szCs w:val="21"/>
        </w:rPr>
        <w:t xml:space="preserve">20、合格境外机构投资者：指符合相关法律法规规定可以投资于在中国境内依法募集的证券投资基金的中国境外的机构投资者 </w:t>
      </w:r>
    </w:p>
    <w:p w14:paraId="3FD8B65F">
      <w:pPr>
        <w:pStyle w:val="8"/>
        <w:spacing w:before="0" w:beforeAutospacing="0" w:after="0" w:afterAutospacing="0" w:line="360" w:lineRule="auto"/>
        <w:ind w:firstLine="420"/>
        <w:rPr>
          <w:sz w:val="21"/>
          <w:szCs w:val="21"/>
        </w:rPr>
      </w:pPr>
      <w:r>
        <w:rPr>
          <w:rFonts w:hint="eastAsia"/>
          <w:sz w:val="21"/>
          <w:szCs w:val="21"/>
        </w:rPr>
        <w:t xml:space="preserve">21、投资人：指个人投资者、机构投资者、合格境外机构投资者以及法律法规或中国证监会允许购买证券投资基金的其他投资人的合称 </w:t>
      </w:r>
    </w:p>
    <w:p w14:paraId="2493FABA">
      <w:pPr>
        <w:pStyle w:val="8"/>
        <w:spacing w:before="0" w:beforeAutospacing="0" w:after="0" w:afterAutospacing="0" w:line="360" w:lineRule="auto"/>
        <w:ind w:firstLine="420"/>
        <w:rPr>
          <w:sz w:val="21"/>
          <w:szCs w:val="21"/>
        </w:rPr>
      </w:pPr>
      <w:r>
        <w:rPr>
          <w:rFonts w:hint="eastAsia"/>
          <w:sz w:val="21"/>
          <w:szCs w:val="21"/>
        </w:rPr>
        <w:t xml:space="preserve">22、基金份额持有人：指依基金合同和招募说明书合法取得基金份额的投资人 </w:t>
      </w:r>
    </w:p>
    <w:p w14:paraId="53FD23EC">
      <w:pPr>
        <w:pStyle w:val="8"/>
        <w:spacing w:before="0" w:beforeAutospacing="0" w:after="0" w:afterAutospacing="0" w:line="360" w:lineRule="auto"/>
        <w:ind w:firstLine="420"/>
        <w:rPr>
          <w:sz w:val="21"/>
          <w:szCs w:val="21"/>
        </w:rPr>
      </w:pPr>
      <w:r>
        <w:rPr>
          <w:rFonts w:hint="eastAsia"/>
          <w:sz w:val="21"/>
          <w:szCs w:val="21"/>
        </w:rPr>
        <w:t xml:space="preserve">23、基金销售业务：指基金管理人或销售机构宣传推介基金，发售基金份额，办理基金份额的申购、赎回、转换、转托管及定期定额投资等业务 </w:t>
      </w:r>
    </w:p>
    <w:p w14:paraId="29AAA282">
      <w:pPr>
        <w:pStyle w:val="8"/>
        <w:spacing w:before="0" w:beforeAutospacing="0" w:after="0" w:afterAutospacing="0" w:line="360" w:lineRule="auto"/>
        <w:ind w:firstLine="420"/>
        <w:rPr>
          <w:sz w:val="21"/>
          <w:szCs w:val="21"/>
        </w:rPr>
      </w:pPr>
      <w:r>
        <w:rPr>
          <w:rFonts w:hint="eastAsia"/>
          <w:sz w:val="21"/>
          <w:szCs w:val="21"/>
        </w:rPr>
        <w:t xml:space="preserve">24、销售机构：指直销机构和代销机构 </w:t>
      </w:r>
    </w:p>
    <w:p w14:paraId="07C9C7EA">
      <w:pPr>
        <w:pStyle w:val="8"/>
        <w:spacing w:before="0" w:beforeAutospacing="0" w:after="0" w:afterAutospacing="0" w:line="360" w:lineRule="auto"/>
        <w:ind w:firstLine="420"/>
        <w:rPr>
          <w:sz w:val="21"/>
          <w:szCs w:val="21"/>
        </w:rPr>
      </w:pPr>
      <w:r>
        <w:rPr>
          <w:rFonts w:hint="eastAsia"/>
          <w:sz w:val="21"/>
          <w:szCs w:val="21"/>
        </w:rPr>
        <w:t>25、直销机构：指</w:t>
      </w:r>
      <w:bookmarkStart w:id="25" w:name="field_0_managerorgfullname_2"/>
      <w:r>
        <w:rPr>
          <w:rFonts w:hint="eastAsia"/>
          <w:sz w:val="21"/>
          <w:szCs w:val="21"/>
        </w:rPr>
        <w:t>博时基金管理有限公司</w:t>
      </w:r>
      <w:bookmarkEnd w:id="25"/>
      <w:r>
        <w:rPr>
          <w:rFonts w:hint="eastAsia"/>
          <w:sz w:val="21"/>
          <w:szCs w:val="21"/>
        </w:rPr>
        <w:t xml:space="preserve">  </w:t>
      </w:r>
    </w:p>
    <w:p w14:paraId="5C95CE98">
      <w:pPr>
        <w:pStyle w:val="8"/>
        <w:spacing w:before="0" w:beforeAutospacing="0" w:after="0" w:afterAutospacing="0" w:line="360" w:lineRule="auto"/>
        <w:ind w:firstLine="420"/>
        <w:rPr>
          <w:sz w:val="21"/>
          <w:szCs w:val="21"/>
        </w:rPr>
      </w:pPr>
      <w:r>
        <w:rPr>
          <w:rFonts w:hint="eastAsia"/>
          <w:sz w:val="21"/>
          <w:szCs w:val="21"/>
        </w:rPr>
        <w:t>26、代销机构：指符合《销售办法》和中国证监会规定的其他条件，取得基金销售业务</w:t>
      </w:r>
      <w:bookmarkStart w:id="26" w:name="chapter_level1_4_49_section_1_end"/>
      <w:bookmarkEnd w:id="26"/>
      <w:r>
        <w:rPr>
          <w:rFonts w:hint="eastAsia"/>
          <w:sz w:val="21"/>
          <w:szCs w:val="21"/>
        </w:rPr>
        <w:t xml:space="preserve">资格并与基金管理人签订了基金销售服务代理协议，代为办理基金销售业务的机构 </w:t>
      </w:r>
    </w:p>
    <w:p w14:paraId="7C3E41DD">
      <w:pPr>
        <w:pStyle w:val="8"/>
        <w:spacing w:before="0" w:beforeAutospacing="0" w:after="0" w:afterAutospacing="0" w:line="360" w:lineRule="auto"/>
        <w:ind w:firstLine="420"/>
        <w:rPr>
          <w:sz w:val="21"/>
          <w:szCs w:val="21"/>
        </w:rPr>
      </w:pPr>
      <w:bookmarkStart w:id="27" w:name="chapter_level1_4_49_section_2"/>
      <w:bookmarkEnd w:id="27"/>
      <w:r>
        <w:rPr>
          <w:rFonts w:hint="eastAsia"/>
          <w:sz w:val="21"/>
          <w:szCs w:val="21"/>
        </w:rPr>
        <w:t xml:space="preserve">27、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526B45E7">
      <w:pPr>
        <w:pStyle w:val="8"/>
        <w:spacing w:before="0" w:beforeAutospacing="0" w:after="0" w:afterAutospacing="0" w:line="360" w:lineRule="auto"/>
        <w:ind w:firstLine="420"/>
        <w:rPr>
          <w:sz w:val="21"/>
          <w:szCs w:val="21"/>
        </w:rPr>
      </w:pPr>
      <w:r>
        <w:rPr>
          <w:rFonts w:hint="eastAsia"/>
          <w:sz w:val="21"/>
          <w:szCs w:val="21"/>
        </w:rPr>
        <w:t>28、登记机构：指办理登记业务的机构。基金的登记机构为</w:t>
      </w:r>
      <w:bookmarkStart w:id="28" w:name="field_0_managerorgfullname_3"/>
      <w:r>
        <w:rPr>
          <w:rFonts w:hint="eastAsia"/>
          <w:sz w:val="21"/>
          <w:szCs w:val="21"/>
        </w:rPr>
        <w:t>博时基金管理有限公司</w:t>
      </w:r>
      <w:bookmarkEnd w:id="28"/>
      <w:r>
        <w:rPr>
          <w:rFonts w:hint="eastAsia"/>
          <w:sz w:val="21"/>
          <w:szCs w:val="21"/>
        </w:rPr>
        <w:t>或接受</w:t>
      </w:r>
      <w:bookmarkStart w:id="29" w:name="field_0_managerorgfullname_4"/>
      <w:r>
        <w:rPr>
          <w:rFonts w:hint="eastAsia"/>
          <w:sz w:val="21"/>
          <w:szCs w:val="21"/>
        </w:rPr>
        <w:t>博时基金管理有限公司</w:t>
      </w:r>
      <w:bookmarkEnd w:id="29"/>
      <w:r>
        <w:rPr>
          <w:rFonts w:hint="eastAsia"/>
          <w:sz w:val="21"/>
          <w:szCs w:val="21"/>
        </w:rPr>
        <w:t xml:space="preserve">委托代为办理登记业务的机构 </w:t>
      </w:r>
    </w:p>
    <w:p w14:paraId="79ADA4D4">
      <w:pPr>
        <w:pStyle w:val="8"/>
        <w:spacing w:before="0" w:beforeAutospacing="0" w:after="0" w:afterAutospacing="0" w:line="360" w:lineRule="auto"/>
        <w:ind w:firstLine="420"/>
        <w:rPr>
          <w:sz w:val="21"/>
          <w:szCs w:val="21"/>
        </w:rPr>
      </w:pPr>
      <w:r>
        <w:rPr>
          <w:rFonts w:hint="eastAsia"/>
          <w:sz w:val="21"/>
          <w:szCs w:val="21"/>
        </w:rPr>
        <w:t xml:space="preserve">29、基金账户：指登记机构为投资人开立的、记录其持有的、基金管理人所管理的基金份额余额及其变动情况的账户 </w:t>
      </w:r>
    </w:p>
    <w:p w14:paraId="6AB79355">
      <w:pPr>
        <w:pStyle w:val="8"/>
        <w:spacing w:before="0" w:beforeAutospacing="0" w:after="0" w:afterAutospacing="0" w:line="360" w:lineRule="auto"/>
        <w:ind w:firstLine="420"/>
        <w:rPr>
          <w:sz w:val="21"/>
          <w:szCs w:val="21"/>
        </w:rPr>
      </w:pPr>
      <w:r>
        <w:rPr>
          <w:rFonts w:hint="eastAsia"/>
          <w:sz w:val="21"/>
          <w:szCs w:val="21"/>
        </w:rPr>
        <w:t xml:space="preserve">30、基金交易账户：指销售机构为投资人开立的、记录投资人通过该销售机构办理认购、申购、赎回、转换、转托管及定期定额投资等业务而引起的基金份额变动及结余情况的账户 </w:t>
      </w:r>
    </w:p>
    <w:p w14:paraId="5F056B9B">
      <w:pPr>
        <w:pStyle w:val="8"/>
        <w:spacing w:before="0" w:beforeAutospacing="0" w:after="0" w:afterAutospacing="0" w:line="360" w:lineRule="auto"/>
        <w:ind w:firstLine="420"/>
        <w:rPr>
          <w:sz w:val="21"/>
          <w:szCs w:val="21"/>
        </w:rPr>
      </w:pPr>
      <w:r>
        <w:rPr>
          <w:rFonts w:hint="eastAsia"/>
          <w:sz w:val="21"/>
          <w:szCs w:val="21"/>
        </w:rPr>
        <w:t xml:space="preserve">31、基金合同生效日：指基金募集达到法律法规规定及基金合同规定的条件，基金管理人向中国证监会办理基金备案手续完毕，并获得中国证监会书面确认的日期 </w:t>
      </w:r>
    </w:p>
    <w:p w14:paraId="32A85F7D">
      <w:pPr>
        <w:pStyle w:val="8"/>
        <w:spacing w:before="0" w:beforeAutospacing="0" w:after="0" w:afterAutospacing="0" w:line="360" w:lineRule="auto"/>
        <w:ind w:firstLine="420"/>
        <w:rPr>
          <w:sz w:val="21"/>
          <w:szCs w:val="21"/>
        </w:rPr>
      </w:pPr>
      <w:r>
        <w:rPr>
          <w:rFonts w:hint="eastAsia"/>
          <w:sz w:val="21"/>
          <w:szCs w:val="21"/>
        </w:rPr>
        <w:t xml:space="preserve">32、基金合同终止日：指基金合同规定的基金合同终止事由出现后，基金财产清算完毕，清算结果报中国证监会备案并予以公告的日期 </w:t>
      </w:r>
    </w:p>
    <w:p w14:paraId="7A14B445">
      <w:pPr>
        <w:pStyle w:val="8"/>
        <w:spacing w:before="0" w:beforeAutospacing="0" w:after="0" w:afterAutospacing="0" w:line="360" w:lineRule="auto"/>
        <w:ind w:firstLine="420"/>
        <w:rPr>
          <w:sz w:val="21"/>
          <w:szCs w:val="21"/>
        </w:rPr>
      </w:pPr>
      <w:r>
        <w:rPr>
          <w:rFonts w:hint="eastAsia"/>
          <w:sz w:val="21"/>
          <w:szCs w:val="21"/>
        </w:rPr>
        <w:t xml:space="preserve">33、基金募集期：指自基金份额发售之日起至发售结束之日止的期间，最长不得超过3个月 </w:t>
      </w:r>
    </w:p>
    <w:p w14:paraId="53977774">
      <w:pPr>
        <w:pStyle w:val="8"/>
        <w:spacing w:before="0" w:beforeAutospacing="0" w:after="0" w:afterAutospacing="0" w:line="360" w:lineRule="auto"/>
        <w:ind w:firstLine="420"/>
        <w:rPr>
          <w:sz w:val="21"/>
          <w:szCs w:val="21"/>
        </w:rPr>
      </w:pPr>
      <w:r>
        <w:rPr>
          <w:rFonts w:hint="eastAsia"/>
          <w:sz w:val="21"/>
          <w:szCs w:val="21"/>
        </w:rPr>
        <w:t xml:space="preserve">34、存续期：指基金合同生效至终止之间的不定期期限 </w:t>
      </w:r>
    </w:p>
    <w:p w14:paraId="73988EE0">
      <w:pPr>
        <w:pStyle w:val="8"/>
        <w:spacing w:before="0" w:beforeAutospacing="0" w:after="0" w:afterAutospacing="0" w:line="360" w:lineRule="auto"/>
        <w:ind w:firstLine="420"/>
        <w:rPr>
          <w:sz w:val="21"/>
          <w:szCs w:val="21"/>
        </w:rPr>
      </w:pPr>
      <w:r>
        <w:rPr>
          <w:rFonts w:hint="eastAsia"/>
          <w:sz w:val="21"/>
          <w:szCs w:val="21"/>
        </w:rPr>
        <w:t xml:space="preserve">35、工作日：指上海证券交易所、深圳证券交易所的正常交易日 </w:t>
      </w:r>
    </w:p>
    <w:p w14:paraId="21807122">
      <w:pPr>
        <w:pStyle w:val="8"/>
        <w:spacing w:before="0" w:beforeAutospacing="0" w:after="0" w:afterAutospacing="0" w:line="360" w:lineRule="auto"/>
        <w:ind w:firstLine="420"/>
        <w:rPr>
          <w:sz w:val="21"/>
          <w:szCs w:val="21"/>
        </w:rPr>
      </w:pPr>
      <w:r>
        <w:rPr>
          <w:rFonts w:hint="eastAsia"/>
          <w:sz w:val="21"/>
          <w:szCs w:val="21"/>
        </w:rPr>
        <w:t xml:space="preserve">36、T日：指销售机构在规定时间受理投资人申购、赎回或其他业务申请的工作日 </w:t>
      </w:r>
    </w:p>
    <w:p w14:paraId="482B28C9">
      <w:pPr>
        <w:pStyle w:val="8"/>
        <w:spacing w:before="0" w:beforeAutospacing="0" w:after="0" w:afterAutospacing="0" w:line="360" w:lineRule="auto"/>
        <w:ind w:firstLine="420"/>
        <w:rPr>
          <w:sz w:val="21"/>
          <w:szCs w:val="21"/>
        </w:rPr>
      </w:pPr>
      <w:r>
        <w:rPr>
          <w:rFonts w:hint="eastAsia"/>
          <w:sz w:val="21"/>
          <w:szCs w:val="21"/>
        </w:rPr>
        <w:t xml:space="preserve">37、T+n日：指自T日起第n个工作日（不包含T日） </w:t>
      </w:r>
    </w:p>
    <w:p w14:paraId="78AA0741">
      <w:pPr>
        <w:pStyle w:val="8"/>
        <w:spacing w:before="0" w:beforeAutospacing="0" w:after="0" w:afterAutospacing="0" w:line="360" w:lineRule="auto"/>
        <w:ind w:firstLine="420"/>
        <w:rPr>
          <w:sz w:val="21"/>
          <w:szCs w:val="21"/>
        </w:rPr>
      </w:pPr>
      <w:r>
        <w:rPr>
          <w:rFonts w:hint="eastAsia"/>
          <w:sz w:val="21"/>
          <w:szCs w:val="21"/>
        </w:rPr>
        <w:t xml:space="preserve">38、开放日：指为投资人办理基金份额申购、赎回或其他业务的工作日 </w:t>
      </w:r>
    </w:p>
    <w:p w14:paraId="547DA410">
      <w:pPr>
        <w:pStyle w:val="8"/>
        <w:spacing w:before="0" w:beforeAutospacing="0" w:after="0" w:afterAutospacing="0" w:line="360" w:lineRule="auto"/>
        <w:ind w:firstLine="420"/>
        <w:rPr>
          <w:sz w:val="21"/>
          <w:szCs w:val="21"/>
        </w:rPr>
      </w:pPr>
      <w:r>
        <w:rPr>
          <w:rFonts w:hint="eastAsia"/>
          <w:sz w:val="21"/>
          <w:szCs w:val="21"/>
        </w:rPr>
        <w:t xml:space="preserve">39、开放时间：指开放日基金接受申购、赎回或其他业务的时间段 </w:t>
      </w:r>
    </w:p>
    <w:p w14:paraId="0B768667">
      <w:pPr>
        <w:pStyle w:val="8"/>
        <w:spacing w:before="0" w:beforeAutospacing="0" w:after="0" w:afterAutospacing="0" w:line="360" w:lineRule="auto"/>
        <w:ind w:firstLine="420"/>
        <w:rPr>
          <w:sz w:val="21"/>
          <w:szCs w:val="21"/>
        </w:rPr>
      </w:pPr>
      <w:r>
        <w:rPr>
          <w:rFonts w:hint="eastAsia"/>
          <w:sz w:val="21"/>
          <w:szCs w:val="21"/>
        </w:rPr>
        <w:t>40、《业务规则》：指《</w:t>
      </w:r>
      <w:bookmarkStart w:id="30" w:name="field_0_managerorgfullname_5"/>
      <w:r>
        <w:rPr>
          <w:rFonts w:hint="eastAsia"/>
          <w:sz w:val="21"/>
          <w:szCs w:val="21"/>
        </w:rPr>
        <w:t>博时基金管理有限公司</w:t>
      </w:r>
      <w:bookmarkEnd w:id="30"/>
      <w:r>
        <w:rPr>
          <w:rFonts w:hint="eastAsia"/>
          <w:sz w:val="21"/>
          <w:szCs w:val="21"/>
        </w:rPr>
        <w:t xml:space="preserve">开放式基金业务规则》，是规范基金管理人所管理的开放式证券投资基金登记方面的业务规则，由基金管理人和投资人共同遵守 </w:t>
      </w:r>
    </w:p>
    <w:p w14:paraId="592222CF">
      <w:pPr>
        <w:pStyle w:val="8"/>
        <w:spacing w:before="0" w:beforeAutospacing="0" w:after="0" w:afterAutospacing="0" w:line="360" w:lineRule="auto"/>
        <w:ind w:firstLine="420"/>
        <w:rPr>
          <w:sz w:val="21"/>
          <w:szCs w:val="21"/>
        </w:rPr>
      </w:pPr>
      <w:r>
        <w:rPr>
          <w:rFonts w:hint="eastAsia"/>
          <w:sz w:val="21"/>
          <w:szCs w:val="21"/>
        </w:rPr>
        <w:t xml:space="preserve">41、认购：指在基金募集期内，投资人根据基金合同和招募说明书的规定申请购买基金份额的行为 </w:t>
      </w:r>
    </w:p>
    <w:p w14:paraId="7ED6EC1E">
      <w:pPr>
        <w:pStyle w:val="8"/>
        <w:spacing w:before="0" w:beforeAutospacing="0" w:after="0" w:afterAutospacing="0" w:line="360" w:lineRule="auto"/>
        <w:ind w:firstLine="420"/>
        <w:rPr>
          <w:sz w:val="21"/>
          <w:szCs w:val="21"/>
        </w:rPr>
      </w:pPr>
      <w:r>
        <w:rPr>
          <w:rFonts w:hint="eastAsia"/>
          <w:sz w:val="21"/>
          <w:szCs w:val="21"/>
        </w:rPr>
        <w:t xml:space="preserve">42、申购：指基金合同生效后，投资人根据基金合同和招募说明书的规定申请购买基金份额的行为 </w:t>
      </w:r>
    </w:p>
    <w:p w14:paraId="1354F151">
      <w:pPr>
        <w:pStyle w:val="8"/>
        <w:spacing w:before="0" w:beforeAutospacing="0" w:after="0" w:afterAutospacing="0" w:line="360" w:lineRule="auto"/>
        <w:ind w:firstLine="420"/>
        <w:rPr>
          <w:sz w:val="21"/>
          <w:szCs w:val="21"/>
        </w:rPr>
      </w:pPr>
      <w:r>
        <w:rPr>
          <w:rFonts w:hint="eastAsia"/>
          <w:sz w:val="21"/>
          <w:szCs w:val="21"/>
        </w:rPr>
        <w:t xml:space="preserve">43、赎回：指基金合同生效后，基金份额持有人按基金合同和招募说明书规定的条件要求将基金份额兑换为现金的行为 </w:t>
      </w:r>
    </w:p>
    <w:p w14:paraId="77ACD29C">
      <w:pPr>
        <w:pStyle w:val="8"/>
        <w:spacing w:before="0" w:beforeAutospacing="0" w:after="0" w:afterAutospacing="0" w:line="360" w:lineRule="auto"/>
        <w:ind w:firstLine="420"/>
        <w:rPr>
          <w:sz w:val="21"/>
          <w:szCs w:val="21"/>
        </w:rPr>
      </w:pPr>
      <w:r>
        <w:rPr>
          <w:rFonts w:hint="eastAsia"/>
          <w:sz w:val="21"/>
          <w:szCs w:val="21"/>
        </w:rPr>
        <w:t xml:space="preserve">44、基金转换：指基金份额持有人按照基金合同和基金管理人届时有效公告规定的条件，申请将其持有基金管理人管理的、某一基金的基金份额转换为基金管理人管理的其他基金基金份额的行为 </w:t>
      </w:r>
    </w:p>
    <w:p w14:paraId="009A4617">
      <w:pPr>
        <w:pStyle w:val="8"/>
        <w:spacing w:before="0" w:beforeAutospacing="0" w:after="0" w:afterAutospacing="0" w:line="360" w:lineRule="auto"/>
        <w:ind w:firstLine="420"/>
        <w:rPr>
          <w:sz w:val="21"/>
          <w:szCs w:val="21"/>
        </w:rPr>
      </w:pPr>
      <w:r>
        <w:rPr>
          <w:rFonts w:hint="eastAsia"/>
          <w:sz w:val="21"/>
          <w:szCs w:val="21"/>
        </w:rPr>
        <w:t xml:space="preserve">45、转托管：指基金份额持有人在本基金的不同销售机构之间实施的变更所持基金份额销售机构的操作 </w:t>
      </w:r>
    </w:p>
    <w:p w14:paraId="301255C8">
      <w:pPr>
        <w:pStyle w:val="8"/>
        <w:spacing w:before="0" w:beforeAutospacing="0" w:after="0" w:afterAutospacing="0" w:line="360" w:lineRule="auto"/>
        <w:ind w:firstLine="420"/>
        <w:rPr>
          <w:sz w:val="21"/>
          <w:szCs w:val="21"/>
        </w:rPr>
      </w:pPr>
      <w:r>
        <w:rPr>
          <w:rFonts w:hint="eastAsia"/>
          <w:sz w:val="21"/>
          <w:szCs w:val="21"/>
        </w:rPr>
        <w:t xml:space="preserve">46、定期定额投资计划：指投资人通过有关销售机构提出申请，约定每期申购日、申购金额及扣款方式，由销售机构于每期约定申购日在投资人指定银行账户内自动完成扣款及受理基金申购申请的一种投资方式 </w:t>
      </w:r>
    </w:p>
    <w:p w14:paraId="5843687B">
      <w:pPr>
        <w:pStyle w:val="8"/>
        <w:spacing w:before="0" w:beforeAutospacing="0" w:after="0" w:afterAutospacing="0" w:line="360" w:lineRule="auto"/>
        <w:ind w:firstLine="420"/>
        <w:rPr>
          <w:sz w:val="21"/>
          <w:szCs w:val="21"/>
        </w:rPr>
      </w:pPr>
      <w:r>
        <w:rPr>
          <w:rFonts w:hint="eastAsia"/>
          <w:sz w:val="21"/>
          <w:szCs w:val="21"/>
        </w:rPr>
        <w:t>47、巨额赎回：指本基金单个开放日，基金净赎回申请（赎回申请份额总数加上基金转换中转出申请份额总数后扣除申购申请份额总数及基金转换中转入申请份额总数后的余额）超过上一开放日基金总份额的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1" w:name="field_49_mintredeemscale_1"/>
      <w:r>
        <w:rPr>
          <w:sz w:val="21"/>
          <w:szCs w:val="21"/>
        </w:rPr>
        <w:t>10</w:t>
      </w:r>
      <w:bookmarkEnd w:id="31"/>
      <w:r>
        <w:rPr>
          <w:rFonts w:hint="eastAsia"/>
          <w:sz w:val="21"/>
          <w:szCs w:val="21"/>
        </w:rPr>
        <w:t xml:space="preserve">% </w:t>
      </w:r>
    </w:p>
    <w:p w14:paraId="116B8046">
      <w:pPr>
        <w:pStyle w:val="8"/>
        <w:spacing w:before="0" w:beforeAutospacing="0" w:after="0" w:afterAutospacing="0" w:line="360" w:lineRule="auto"/>
        <w:ind w:firstLine="420"/>
        <w:rPr>
          <w:sz w:val="21"/>
          <w:szCs w:val="21"/>
        </w:rPr>
      </w:pPr>
      <w:r>
        <w:rPr>
          <w:rFonts w:hint="eastAsia"/>
          <w:sz w:val="21"/>
          <w:szCs w:val="21"/>
        </w:rPr>
        <w:t xml:space="preserve">48、元：指人民币元 </w:t>
      </w:r>
    </w:p>
    <w:p w14:paraId="58843336">
      <w:pPr>
        <w:pStyle w:val="8"/>
        <w:spacing w:before="0" w:beforeAutospacing="0" w:after="0" w:afterAutospacing="0" w:line="360" w:lineRule="auto"/>
        <w:ind w:firstLine="420"/>
        <w:rPr>
          <w:sz w:val="21"/>
          <w:szCs w:val="21"/>
        </w:rPr>
      </w:pPr>
      <w:r>
        <w:rPr>
          <w:rFonts w:hint="eastAsia"/>
          <w:sz w:val="21"/>
          <w:szCs w:val="21"/>
        </w:rPr>
        <w:t xml:space="preserve">49、基金收益：指基金投资所得债券利息、买卖证券价差、银行存款利息、已实现的其他合法收入及因运用基金财产带来的成本和费用的节约 </w:t>
      </w:r>
    </w:p>
    <w:p w14:paraId="0E9E7860">
      <w:pPr>
        <w:pStyle w:val="8"/>
        <w:spacing w:before="0" w:beforeAutospacing="0" w:after="0" w:afterAutospacing="0" w:line="360" w:lineRule="auto"/>
        <w:ind w:firstLine="420"/>
        <w:rPr>
          <w:sz w:val="21"/>
          <w:szCs w:val="21"/>
        </w:rPr>
      </w:pPr>
      <w:r>
        <w:rPr>
          <w:rFonts w:hint="eastAsia"/>
          <w:sz w:val="21"/>
          <w:szCs w:val="21"/>
        </w:rPr>
        <w:t xml:space="preserve">50、基金资产总值：指基金拥有的各类有价证券、银行存款本息、基金应收款项及其他资产的价值总和 </w:t>
      </w:r>
    </w:p>
    <w:p w14:paraId="2E5FA985">
      <w:pPr>
        <w:pStyle w:val="8"/>
        <w:spacing w:before="0" w:beforeAutospacing="0" w:after="0" w:afterAutospacing="0" w:line="360" w:lineRule="auto"/>
        <w:ind w:firstLine="420"/>
        <w:rPr>
          <w:sz w:val="21"/>
          <w:szCs w:val="21"/>
        </w:rPr>
      </w:pPr>
      <w:r>
        <w:rPr>
          <w:rFonts w:hint="eastAsia"/>
          <w:sz w:val="21"/>
          <w:szCs w:val="21"/>
        </w:rPr>
        <w:t xml:space="preserve">51、基金资产净值：指基金资产总值减去基金负债后的价值 </w:t>
      </w:r>
    </w:p>
    <w:p w14:paraId="3BF8293C">
      <w:pPr>
        <w:pStyle w:val="8"/>
        <w:spacing w:before="0" w:beforeAutospacing="0" w:after="0" w:afterAutospacing="0" w:line="360" w:lineRule="auto"/>
        <w:ind w:firstLine="420"/>
        <w:rPr>
          <w:sz w:val="21"/>
          <w:szCs w:val="21"/>
        </w:rPr>
      </w:pPr>
      <w:r>
        <w:rPr>
          <w:rFonts w:hint="eastAsia"/>
          <w:sz w:val="21"/>
          <w:szCs w:val="21"/>
        </w:rPr>
        <w:t xml:space="preserve">52、基金份额净值：指计算日基金资产净值除以计算日基金份额总数 </w:t>
      </w:r>
    </w:p>
    <w:p w14:paraId="5149E792">
      <w:pPr>
        <w:pStyle w:val="8"/>
        <w:spacing w:before="0" w:beforeAutospacing="0" w:after="0" w:afterAutospacing="0" w:line="360" w:lineRule="auto"/>
        <w:ind w:firstLine="420"/>
        <w:rPr>
          <w:sz w:val="21"/>
          <w:szCs w:val="21"/>
        </w:rPr>
      </w:pPr>
      <w:r>
        <w:rPr>
          <w:rFonts w:hint="eastAsia"/>
          <w:sz w:val="21"/>
          <w:szCs w:val="21"/>
        </w:rPr>
        <w:t xml:space="preserve">53、基金资产估值：指计算评估基金资产和负债的价值，以确定基金资产净值和基金份额净值的过程 </w:t>
      </w:r>
    </w:p>
    <w:p w14:paraId="42B8646F">
      <w:pPr>
        <w:pStyle w:val="8"/>
        <w:spacing w:before="0" w:beforeAutospacing="0" w:after="0" w:afterAutospacing="0" w:line="360" w:lineRule="auto"/>
        <w:ind w:firstLine="420"/>
        <w:rPr>
          <w:sz w:val="21"/>
          <w:szCs w:val="21"/>
        </w:rPr>
      </w:pPr>
      <w:r>
        <w:rPr>
          <w:rFonts w:hint="eastAsia"/>
          <w:sz w:val="21"/>
          <w:szCs w:val="21"/>
        </w:rPr>
        <w:t xml:space="preserve">54、销售服务费：指从基金财产中计提的，用于本基金市场推广、销售以及基金份额持有人服务的费用  </w:t>
      </w:r>
    </w:p>
    <w:p w14:paraId="663A8364">
      <w:pPr>
        <w:pStyle w:val="8"/>
        <w:spacing w:before="0" w:beforeAutospacing="0" w:after="0" w:afterAutospacing="0" w:line="360" w:lineRule="auto"/>
        <w:ind w:firstLine="420"/>
        <w:rPr>
          <w:sz w:val="21"/>
          <w:szCs w:val="21"/>
        </w:rPr>
      </w:pPr>
      <w:r>
        <w:rPr>
          <w:rFonts w:hint="eastAsia"/>
          <w:sz w:val="21"/>
          <w:szCs w:val="21"/>
        </w:rPr>
        <w:t xml:space="preserve">55、基金份额类别：指本基金根据申购费用与销售服务费收取方式等不同，将基金份额分为不同的类别  </w:t>
      </w:r>
    </w:p>
    <w:p w14:paraId="6D120BFA">
      <w:pPr>
        <w:pStyle w:val="8"/>
        <w:spacing w:before="0" w:beforeAutospacing="0" w:after="0" w:afterAutospacing="0" w:line="360" w:lineRule="auto"/>
        <w:ind w:firstLine="420"/>
        <w:rPr>
          <w:sz w:val="21"/>
          <w:szCs w:val="21"/>
        </w:rPr>
      </w:pPr>
      <w:r>
        <w:rPr>
          <w:rFonts w:hint="eastAsia"/>
          <w:sz w:val="21"/>
          <w:szCs w:val="21"/>
        </w:rPr>
        <w:t xml:space="preserve">56、A类基金份额：指本基金在投资者申购基金时收取申购费，不收取销售服务费的基金份额  </w:t>
      </w:r>
    </w:p>
    <w:p w14:paraId="3F6A2379">
      <w:pPr>
        <w:pStyle w:val="8"/>
        <w:spacing w:before="0" w:beforeAutospacing="0" w:after="0" w:afterAutospacing="0" w:line="360" w:lineRule="auto"/>
        <w:ind w:firstLine="420"/>
        <w:rPr>
          <w:sz w:val="21"/>
          <w:szCs w:val="21"/>
        </w:rPr>
      </w:pPr>
      <w:r>
        <w:rPr>
          <w:rFonts w:hint="eastAsia"/>
          <w:sz w:val="21"/>
          <w:szCs w:val="21"/>
        </w:rPr>
        <w:t xml:space="preserve">57、C类基金份额：指本基金在投资者申购基金时不收取申购费，而是从本类别基金资产中计提销售服务费的基金份额  </w:t>
      </w:r>
    </w:p>
    <w:p w14:paraId="6D4E17D7">
      <w:pPr>
        <w:pStyle w:val="8"/>
        <w:spacing w:before="0" w:beforeAutospacing="0" w:after="0" w:afterAutospacing="0" w:line="360" w:lineRule="auto"/>
        <w:ind w:firstLine="420"/>
        <w:rPr>
          <w:sz w:val="21"/>
          <w:szCs w:val="21"/>
        </w:rPr>
      </w:pPr>
      <w:r>
        <w:rPr>
          <w:rFonts w:hint="eastAsia"/>
          <w:sz w:val="21"/>
          <w:szCs w:val="21"/>
        </w:rPr>
        <w:t xml:space="preserve">58、指定媒介：指中国证监会指定的用以进行信息披露的全国性报刊及指定互联网网站（包括基金管理人网站、基金托管人网站、中国证监会基金电子披露网站）等媒介  </w:t>
      </w:r>
    </w:p>
    <w:p w14:paraId="381FDC28">
      <w:pPr>
        <w:pStyle w:val="8"/>
        <w:spacing w:before="0" w:beforeAutospacing="0" w:after="0" w:afterAutospacing="0" w:line="360" w:lineRule="auto"/>
        <w:ind w:firstLine="420"/>
        <w:rPr>
          <w:sz w:val="21"/>
          <w:szCs w:val="21"/>
        </w:rPr>
      </w:pPr>
      <w:r>
        <w:rPr>
          <w:rFonts w:hint="eastAsia"/>
          <w:sz w:val="21"/>
          <w:szCs w:val="21"/>
        </w:rPr>
        <w:t xml:space="preserve">59、不可抗力：指基金合同当事人不能预见、不能避免且不能克服的客观事件 </w:t>
      </w:r>
    </w:p>
    <w:p w14:paraId="4B12B11B">
      <w:pPr>
        <w:pStyle w:val="8"/>
        <w:spacing w:before="0" w:beforeAutospacing="0" w:after="0" w:afterAutospacing="0" w:line="360" w:lineRule="auto"/>
        <w:ind w:firstLine="420"/>
        <w:rPr>
          <w:sz w:val="21"/>
          <w:szCs w:val="21"/>
        </w:rPr>
      </w:pPr>
      <w:r>
        <w:rPr>
          <w:rFonts w:hint="eastAsia"/>
          <w:sz w:val="21"/>
          <w:szCs w:val="21"/>
        </w:rPr>
        <w:t xml:space="preserve">60、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   </w:t>
      </w:r>
    </w:p>
    <w:p w14:paraId="7528A19B">
      <w:pPr>
        <w:pStyle w:val="8"/>
        <w:spacing w:before="0" w:beforeAutospacing="0" w:after="0" w:afterAutospacing="0" w:line="360" w:lineRule="auto"/>
        <w:ind w:firstLine="420"/>
        <w:rPr>
          <w:sz w:val="21"/>
          <w:szCs w:val="21"/>
        </w:rPr>
      </w:pPr>
      <w:r>
        <w:rPr>
          <w:rFonts w:hint="eastAsia"/>
          <w:sz w:val="21"/>
          <w:szCs w:val="21"/>
        </w:rPr>
        <w:t xml:space="preserve">61、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423C7354">
      <w:pPr>
        <w:pStyle w:val="8"/>
        <w:spacing w:before="0" w:beforeAutospacing="0" w:after="0" w:afterAutospacing="0" w:line="360" w:lineRule="auto"/>
        <w:ind w:firstLine="420"/>
        <w:rPr>
          <w:sz w:val="21"/>
          <w:szCs w:val="21"/>
        </w:rPr>
      </w:pPr>
      <w:r>
        <w:rPr>
          <w:rFonts w:hint="eastAsia"/>
          <w:sz w:val="21"/>
          <w:szCs w:val="21"/>
        </w:rPr>
        <w:t>62、特定资产：包括：（一）无可参考的活跃市场价格且采用估值技术仍导致公允价值存在重大不确定性的资产；（二）按摊余成本计量且计提资产减值准备仍导致资产价值存在</w:t>
      </w:r>
      <w:bookmarkStart w:id="32" w:name="chapter_level1_4_49_section_2_end"/>
      <w:bookmarkEnd w:id="32"/>
      <w:r>
        <w:rPr>
          <w:rFonts w:hint="eastAsia"/>
          <w:sz w:val="21"/>
          <w:szCs w:val="21"/>
        </w:rPr>
        <w:t xml:space="preserve">重大不确定性的资产；（三）其他资产价值存在重大不确定性的资产  </w:t>
      </w:r>
    </w:p>
    <w:p w14:paraId="4C804B44">
      <w:pPr>
        <w:widowControl/>
        <w:jc w:val="left"/>
        <w:rPr>
          <w:rFonts w:ascii="宋体" w:hAnsi="宋体" w:eastAsia="宋体"/>
        </w:rPr>
      </w:pPr>
      <w:r>
        <w:rPr>
          <w:rFonts w:ascii="宋体" w:hAnsi="宋体" w:eastAsia="宋体"/>
        </w:rPr>
        <w:br w:type="page"/>
      </w:r>
    </w:p>
    <w:p w14:paraId="70839E6F">
      <w:pPr>
        <w:pStyle w:val="2"/>
        <w:jc w:val="center"/>
        <w:rPr>
          <w:rFonts w:ascii="宋体" w:hAnsi="宋体" w:eastAsia="宋体"/>
          <w:sz w:val="30"/>
        </w:rPr>
      </w:pPr>
      <w:bookmarkStart w:id="33" w:name="_Toc239208839"/>
      <w:bookmarkStart w:id="34" w:name="chapter_level1_5_53"/>
      <w:r>
        <w:rPr>
          <w:rFonts w:hint="eastAsia" w:ascii="宋体" w:hAnsi="宋体" w:eastAsia="宋体"/>
          <w:sz w:val="30"/>
        </w:rPr>
        <w:t>第三部分  基金管理人</w:t>
      </w:r>
      <w:bookmarkEnd w:id="33"/>
      <w:bookmarkEnd w:id="34"/>
    </w:p>
    <w:p w14:paraId="60632689">
      <w:pPr>
        <w:pStyle w:val="8"/>
        <w:spacing w:before="0" w:beforeAutospacing="0" w:after="0" w:afterAutospacing="0" w:line="360" w:lineRule="auto"/>
        <w:ind w:firstLine="420"/>
        <w:rPr>
          <w:rFonts w:hint="eastAsia"/>
          <w:sz w:val="21"/>
          <w:szCs w:val="21"/>
        </w:rPr>
      </w:pPr>
      <w:bookmarkStart w:id="35" w:name="chapter_level1_5_53_section_1"/>
      <w:bookmarkEnd w:id="35"/>
      <w:r>
        <w:rPr>
          <w:rFonts w:hint="eastAsia"/>
          <w:sz w:val="21"/>
          <w:szCs w:val="21"/>
        </w:rPr>
        <w:t>一、基金管理人概况</w:t>
      </w:r>
    </w:p>
    <w:p w14:paraId="30C4C432">
      <w:pPr>
        <w:pStyle w:val="8"/>
        <w:spacing w:before="0" w:beforeAutospacing="0" w:after="0" w:afterAutospacing="0" w:line="360" w:lineRule="auto"/>
        <w:ind w:firstLine="420"/>
        <w:rPr>
          <w:rFonts w:hint="eastAsia"/>
          <w:sz w:val="21"/>
          <w:szCs w:val="21"/>
        </w:rPr>
      </w:pPr>
      <w:r>
        <w:rPr>
          <w:rFonts w:hint="eastAsia"/>
          <w:sz w:val="21"/>
          <w:szCs w:val="21"/>
        </w:rPr>
        <w:t>名称：</w:t>
      </w:r>
      <w:r>
        <w:rPr>
          <w:rFonts w:hint="eastAsia"/>
          <w:sz w:val="21"/>
          <w:szCs w:val="21"/>
        </w:rPr>
        <w:tab/>
      </w:r>
      <w:r>
        <w:rPr>
          <w:rFonts w:hint="eastAsia"/>
          <w:sz w:val="21"/>
          <w:szCs w:val="21"/>
        </w:rPr>
        <w:t>博时基金管理有限公司</w:t>
      </w:r>
    </w:p>
    <w:p w14:paraId="18ABCE5E">
      <w:pPr>
        <w:pStyle w:val="8"/>
        <w:spacing w:before="0" w:beforeAutospacing="0" w:after="0" w:afterAutospacing="0" w:line="360" w:lineRule="auto"/>
        <w:ind w:firstLine="420"/>
        <w:rPr>
          <w:rFonts w:hint="eastAsia"/>
          <w:sz w:val="21"/>
          <w:szCs w:val="21"/>
        </w:rPr>
      </w:pPr>
      <w:r>
        <w:rPr>
          <w:rFonts w:hint="eastAsia"/>
          <w:sz w:val="21"/>
          <w:szCs w:val="21"/>
        </w:rPr>
        <w:t>住所：</w:t>
      </w:r>
      <w:r>
        <w:rPr>
          <w:rFonts w:hint="eastAsia"/>
          <w:sz w:val="21"/>
          <w:szCs w:val="21"/>
        </w:rPr>
        <w:tab/>
      </w:r>
      <w:r>
        <w:rPr>
          <w:rFonts w:hint="eastAsia"/>
          <w:sz w:val="21"/>
          <w:szCs w:val="21"/>
        </w:rPr>
        <w:t>深圳市福田区莲花街道福新社区益田路5999号基金大厦21层</w:t>
      </w:r>
    </w:p>
    <w:p w14:paraId="25EEC05A">
      <w:pPr>
        <w:pStyle w:val="8"/>
        <w:spacing w:before="0" w:beforeAutospacing="0" w:after="0" w:afterAutospacing="0" w:line="360" w:lineRule="auto"/>
        <w:ind w:firstLine="420"/>
        <w:rPr>
          <w:rFonts w:hint="eastAsia"/>
          <w:sz w:val="21"/>
          <w:szCs w:val="21"/>
        </w:rPr>
      </w:pPr>
      <w:r>
        <w:rPr>
          <w:rFonts w:hint="eastAsia"/>
          <w:sz w:val="21"/>
          <w:szCs w:val="21"/>
        </w:rPr>
        <w:t>办公地址：</w:t>
      </w:r>
      <w:r>
        <w:rPr>
          <w:rFonts w:hint="eastAsia"/>
          <w:sz w:val="21"/>
          <w:szCs w:val="21"/>
        </w:rPr>
        <w:tab/>
      </w:r>
      <w:r>
        <w:rPr>
          <w:rFonts w:hint="eastAsia"/>
          <w:sz w:val="21"/>
          <w:szCs w:val="21"/>
        </w:rPr>
        <w:t>广东省深圳市福田区益田路5999号基金大厦21层</w:t>
      </w:r>
    </w:p>
    <w:p w14:paraId="76D22011">
      <w:pPr>
        <w:pStyle w:val="8"/>
        <w:spacing w:before="0" w:beforeAutospacing="0" w:after="0" w:afterAutospacing="0" w:line="360" w:lineRule="auto"/>
        <w:ind w:firstLine="420"/>
        <w:rPr>
          <w:rFonts w:hint="eastAsia"/>
          <w:sz w:val="21"/>
          <w:szCs w:val="21"/>
        </w:rPr>
      </w:pPr>
      <w:r>
        <w:rPr>
          <w:rFonts w:hint="eastAsia"/>
          <w:sz w:val="21"/>
          <w:szCs w:val="21"/>
        </w:rPr>
        <w:t>法定代表人：张东</w:t>
      </w:r>
    </w:p>
    <w:p w14:paraId="51829D18">
      <w:pPr>
        <w:pStyle w:val="8"/>
        <w:spacing w:before="0" w:beforeAutospacing="0" w:after="0" w:afterAutospacing="0" w:line="360" w:lineRule="auto"/>
        <w:ind w:firstLine="420"/>
        <w:rPr>
          <w:rFonts w:hint="eastAsia"/>
          <w:sz w:val="21"/>
          <w:szCs w:val="21"/>
        </w:rPr>
      </w:pPr>
      <w:r>
        <w:rPr>
          <w:rFonts w:hint="eastAsia"/>
          <w:sz w:val="21"/>
          <w:szCs w:val="21"/>
        </w:rPr>
        <w:t>成立时间：</w:t>
      </w:r>
      <w:r>
        <w:rPr>
          <w:rFonts w:hint="eastAsia"/>
          <w:sz w:val="21"/>
          <w:szCs w:val="21"/>
        </w:rPr>
        <w:tab/>
      </w:r>
      <w:r>
        <w:rPr>
          <w:rFonts w:hint="eastAsia"/>
          <w:sz w:val="21"/>
          <w:szCs w:val="21"/>
        </w:rPr>
        <w:t>1998年7月13日</w:t>
      </w:r>
    </w:p>
    <w:p w14:paraId="3C28352D">
      <w:pPr>
        <w:pStyle w:val="8"/>
        <w:spacing w:before="0" w:beforeAutospacing="0" w:after="0" w:afterAutospacing="0" w:line="360" w:lineRule="auto"/>
        <w:ind w:firstLine="420"/>
        <w:rPr>
          <w:rFonts w:hint="eastAsia"/>
          <w:sz w:val="21"/>
          <w:szCs w:val="21"/>
        </w:rPr>
      </w:pPr>
      <w:r>
        <w:rPr>
          <w:rFonts w:hint="eastAsia"/>
          <w:sz w:val="21"/>
          <w:szCs w:val="21"/>
        </w:rPr>
        <w:t>注册资本：</w:t>
      </w:r>
      <w:r>
        <w:rPr>
          <w:rFonts w:hint="eastAsia"/>
          <w:sz w:val="21"/>
          <w:szCs w:val="21"/>
        </w:rPr>
        <w:tab/>
      </w:r>
      <w:r>
        <w:rPr>
          <w:rFonts w:hint="eastAsia"/>
          <w:sz w:val="21"/>
          <w:szCs w:val="21"/>
        </w:rPr>
        <w:t>2.5亿元人民币</w:t>
      </w:r>
    </w:p>
    <w:p w14:paraId="7E68C12C">
      <w:pPr>
        <w:pStyle w:val="8"/>
        <w:spacing w:before="0" w:beforeAutospacing="0" w:after="0" w:afterAutospacing="0" w:line="360" w:lineRule="auto"/>
        <w:ind w:firstLine="420"/>
        <w:rPr>
          <w:rFonts w:hint="eastAsia"/>
          <w:sz w:val="21"/>
          <w:szCs w:val="21"/>
        </w:rPr>
      </w:pPr>
      <w:r>
        <w:rPr>
          <w:rFonts w:hint="eastAsia"/>
          <w:sz w:val="21"/>
          <w:szCs w:val="21"/>
        </w:rPr>
        <w:t>存续期间：</w:t>
      </w:r>
      <w:r>
        <w:rPr>
          <w:rFonts w:hint="eastAsia"/>
          <w:sz w:val="21"/>
          <w:szCs w:val="21"/>
        </w:rPr>
        <w:tab/>
      </w:r>
      <w:r>
        <w:rPr>
          <w:rFonts w:hint="eastAsia"/>
          <w:sz w:val="21"/>
          <w:szCs w:val="21"/>
        </w:rPr>
        <w:t>持续经营</w:t>
      </w:r>
    </w:p>
    <w:p w14:paraId="7DB833AE">
      <w:pPr>
        <w:pStyle w:val="8"/>
        <w:spacing w:before="0" w:beforeAutospacing="0" w:after="0" w:afterAutospacing="0" w:line="360" w:lineRule="auto"/>
        <w:ind w:firstLine="420"/>
        <w:rPr>
          <w:rFonts w:hint="eastAsia"/>
          <w:sz w:val="21"/>
          <w:szCs w:val="21"/>
        </w:rPr>
      </w:pPr>
      <w:r>
        <w:rPr>
          <w:rFonts w:hint="eastAsia"/>
          <w:sz w:val="21"/>
          <w:szCs w:val="21"/>
        </w:rPr>
        <w:t>联系人：    杜松岭</w:t>
      </w:r>
    </w:p>
    <w:p w14:paraId="4C404259">
      <w:pPr>
        <w:pStyle w:val="8"/>
        <w:spacing w:before="0" w:beforeAutospacing="0" w:after="0" w:afterAutospacing="0" w:line="360" w:lineRule="auto"/>
        <w:ind w:firstLine="420"/>
        <w:rPr>
          <w:rFonts w:hint="eastAsia"/>
          <w:sz w:val="21"/>
          <w:szCs w:val="21"/>
        </w:rPr>
      </w:pPr>
      <w:r>
        <w:rPr>
          <w:rFonts w:hint="eastAsia"/>
          <w:sz w:val="21"/>
          <w:szCs w:val="21"/>
        </w:rPr>
        <w:t>联系电话：  （0755）8316 9999</w:t>
      </w:r>
    </w:p>
    <w:p w14:paraId="36ACBB06">
      <w:pPr>
        <w:pStyle w:val="8"/>
        <w:spacing w:before="0" w:beforeAutospacing="0" w:after="0" w:afterAutospacing="0" w:line="360" w:lineRule="auto"/>
        <w:ind w:firstLine="420"/>
        <w:rPr>
          <w:rFonts w:hint="eastAsia"/>
          <w:sz w:val="21"/>
          <w:szCs w:val="21"/>
        </w:rPr>
      </w:pPr>
      <w:r>
        <w:rPr>
          <w:rFonts w:hint="eastAsia"/>
          <w:sz w:val="21"/>
          <w:szCs w:val="21"/>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1703DC7D">
      <w:pPr>
        <w:pStyle w:val="8"/>
        <w:spacing w:before="0" w:beforeAutospacing="0" w:after="0" w:afterAutospacing="0" w:line="360" w:lineRule="auto"/>
        <w:ind w:firstLine="420"/>
        <w:rPr>
          <w:rFonts w:hint="eastAsia"/>
          <w:sz w:val="21"/>
          <w:szCs w:val="21"/>
        </w:rPr>
      </w:pPr>
      <w:r>
        <w:rPr>
          <w:rFonts w:hint="eastAsia"/>
          <w:sz w:val="21"/>
          <w:szCs w:val="21"/>
        </w:rPr>
        <w:t>公司设立了投资决策委员会。投资决策委员会负责指导基金资产的运作、确定基本的投资策略和投资组合的原则。</w:t>
      </w:r>
    </w:p>
    <w:p w14:paraId="2BA62132">
      <w:pPr>
        <w:pStyle w:val="8"/>
        <w:spacing w:before="0" w:beforeAutospacing="0" w:after="0" w:afterAutospacing="0" w:line="360" w:lineRule="auto"/>
        <w:ind w:firstLine="420"/>
        <w:rPr>
          <w:rFonts w:hint="eastAsia"/>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p>
    <w:p w14:paraId="0151D01A">
      <w:pPr>
        <w:pStyle w:val="8"/>
        <w:spacing w:before="0" w:beforeAutospacing="0" w:after="0" w:afterAutospacing="0" w:line="360" w:lineRule="auto"/>
        <w:ind w:firstLine="420"/>
        <w:rPr>
          <w:rFonts w:hint="eastAsia"/>
          <w:sz w:val="21"/>
          <w:szCs w:val="21"/>
        </w:rPr>
      </w:pPr>
      <w:r>
        <w:rPr>
          <w:rFonts w:hint="eastAsia"/>
          <w:sz w:val="21"/>
          <w:szCs w:val="21"/>
        </w:rPr>
        <w:t>二、主要成员情况</w:t>
      </w:r>
    </w:p>
    <w:p w14:paraId="038921F2">
      <w:pPr>
        <w:pStyle w:val="8"/>
        <w:spacing w:before="0" w:beforeAutospacing="0" w:after="0" w:afterAutospacing="0" w:line="360" w:lineRule="auto"/>
        <w:ind w:firstLine="420"/>
        <w:rPr>
          <w:rFonts w:hint="eastAsia"/>
          <w:sz w:val="21"/>
          <w:szCs w:val="21"/>
        </w:rPr>
      </w:pPr>
      <w:r>
        <w:rPr>
          <w:rFonts w:hint="eastAsia"/>
          <w:sz w:val="21"/>
          <w:szCs w:val="21"/>
        </w:rPr>
        <w:t>1、基金管理人董事会成员</w:t>
      </w:r>
    </w:p>
    <w:p w14:paraId="258A2CD8">
      <w:pPr>
        <w:pStyle w:val="8"/>
        <w:spacing w:before="0" w:beforeAutospacing="0" w:after="0" w:afterAutospacing="0" w:line="360" w:lineRule="auto"/>
        <w:ind w:firstLine="420"/>
        <w:rPr>
          <w:rFonts w:hint="eastAsia"/>
          <w:sz w:val="21"/>
          <w:szCs w:val="21"/>
        </w:rPr>
      </w:pPr>
      <w:r>
        <w:rPr>
          <w:rFonts w:hint="eastAsia"/>
          <w:sz w:val="21"/>
          <w:szCs w:val="21"/>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04B9ED3A">
      <w:pPr>
        <w:pStyle w:val="8"/>
        <w:spacing w:before="0" w:beforeAutospacing="0" w:after="0" w:afterAutospacing="0" w:line="360" w:lineRule="auto"/>
        <w:ind w:firstLine="420"/>
        <w:rPr>
          <w:rFonts w:hint="eastAsia"/>
          <w:sz w:val="21"/>
          <w:szCs w:val="21"/>
        </w:rPr>
      </w:pPr>
      <w:r>
        <w:rPr>
          <w:rFonts w:hint="eastAsia"/>
          <w:sz w:val="21"/>
          <w:szCs w:val="21"/>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0D5D0542">
      <w:pPr>
        <w:pStyle w:val="8"/>
        <w:spacing w:before="0" w:beforeAutospacing="0" w:after="0" w:afterAutospacing="0" w:line="360" w:lineRule="auto"/>
        <w:ind w:firstLine="420"/>
        <w:rPr>
          <w:rFonts w:hint="eastAsia"/>
          <w:sz w:val="21"/>
          <w:szCs w:val="21"/>
        </w:rPr>
      </w:pPr>
      <w:r>
        <w:rPr>
          <w:rFonts w:hint="eastAsia"/>
          <w:sz w:val="21"/>
          <w:szCs w:val="21"/>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0D3FABAC">
      <w:pPr>
        <w:pStyle w:val="8"/>
        <w:spacing w:before="0" w:beforeAutospacing="0" w:after="0" w:afterAutospacing="0" w:line="360" w:lineRule="auto"/>
        <w:ind w:firstLine="420"/>
        <w:rPr>
          <w:rFonts w:hint="eastAsia"/>
          <w:sz w:val="21"/>
          <w:szCs w:val="21"/>
        </w:rPr>
      </w:pPr>
      <w:r>
        <w:rPr>
          <w:rFonts w:hint="eastAsia"/>
          <w:sz w:val="21"/>
          <w:szCs w:val="21"/>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1C8568C5">
      <w:pPr>
        <w:pStyle w:val="8"/>
        <w:spacing w:before="0" w:beforeAutospacing="0" w:after="0" w:afterAutospacing="0" w:line="360" w:lineRule="auto"/>
        <w:ind w:firstLine="420"/>
        <w:rPr>
          <w:rFonts w:hint="eastAsia"/>
          <w:sz w:val="21"/>
          <w:szCs w:val="21"/>
        </w:rPr>
      </w:pPr>
      <w:r>
        <w:rPr>
          <w:rFonts w:hint="eastAsia"/>
          <w:sz w:val="21"/>
          <w:szCs w:val="21"/>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0645D89D">
      <w:pPr>
        <w:pStyle w:val="8"/>
        <w:spacing w:before="0" w:beforeAutospacing="0" w:after="0" w:afterAutospacing="0" w:line="360" w:lineRule="auto"/>
        <w:ind w:firstLine="420"/>
        <w:rPr>
          <w:rFonts w:hint="eastAsia"/>
          <w:sz w:val="21"/>
          <w:szCs w:val="21"/>
        </w:rPr>
      </w:pPr>
      <w:r>
        <w:rPr>
          <w:rFonts w:hint="eastAsia"/>
          <w:sz w:val="21"/>
          <w:szCs w:val="21"/>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41A7A27B">
      <w:pPr>
        <w:pStyle w:val="8"/>
        <w:spacing w:before="0" w:beforeAutospacing="0" w:after="0" w:afterAutospacing="0" w:line="360" w:lineRule="auto"/>
        <w:ind w:firstLine="420"/>
        <w:rPr>
          <w:rFonts w:hint="eastAsia"/>
          <w:sz w:val="21"/>
          <w:szCs w:val="21"/>
        </w:rPr>
      </w:pPr>
      <w:r>
        <w:rPr>
          <w:rFonts w:hint="eastAsia"/>
          <w:sz w:val="21"/>
          <w:szCs w:val="21"/>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1BEA388D">
      <w:pPr>
        <w:pStyle w:val="8"/>
        <w:spacing w:before="0" w:beforeAutospacing="0" w:after="0" w:afterAutospacing="0" w:line="360" w:lineRule="auto"/>
        <w:ind w:firstLine="420"/>
        <w:rPr>
          <w:rFonts w:hint="eastAsia"/>
          <w:sz w:val="21"/>
          <w:szCs w:val="21"/>
        </w:rPr>
      </w:pPr>
      <w:r>
        <w:rPr>
          <w:rFonts w:hint="eastAsia"/>
          <w:sz w:val="21"/>
          <w:szCs w:val="21"/>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2ED7809B">
      <w:pPr>
        <w:pStyle w:val="8"/>
        <w:spacing w:before="0" w:beforeAutospacing="0" w:after="0" w:afterAutospacing="0" w:line="360" w:lineRule="auto"/>
        <w:ind w:firstLine="420"/>
        <w:rPr>
          <w:rFonts w:hint="eastAsia"/>
          <w:sz w:val="21"/>
          <w:szCs w:val="21"/>
        </w:rPr>
      </w:pPr>
      <w:r>
        <w:rPr>
          <w:rFonts w:hint="eastAsia"/>
          <w:sz w:val="21"/>
          <w:szCs w:val="21"/>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520E98EB">
      <w:pPr>
        <w:pStyle w:val="8"/>
        <w:spacing w:before="0" w:beforeAutospacing="0" w:after="0" w:afterAutospacing="0" w:line="360" w:lineRule="auto"/>
        <w:ind w:firstLine="420"/>
        <w:rPr>
          <w:rFonts w:hint="eastAsia"/>
          <w:sz w:val="21"/>
          <w:szCs w:val="21"/>
        </w:rPr>
      </w:pPr>
      <w:r>
        <w:rPr>
          <w:rFonts w:hint="eastAsia"/>
          <w:sz w:val="21"/>
          <w:szCs w:val="21"/>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1B4B1A85">
      <w:pPr>
        <w:pStyle w:val="8"/>
        <w:spacing w:before="0" w:beforeAutospacing="0" w:after="0" w:afterAutospacing="0" w:line="360" w:lineRule="auto"/>
        <w:ind w:firstLine="420"/>
        <w:rPr>
          <w:rFonts w:hint="eastAsia"/>
          <w:sz w:val="21"/>
          <w:szCs w:val="21"/>
        </w:rPr>
      </w:pPr>
      <w:r>
        <w:rPr>
          <w:rFonts w:hint="eastAsia"/>
          <w:sz w:val="21"/>
          <w:szCs w:val="21"/>
        </w:rPr>
        <w:t>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325346FF">
      <w:pPr>
        <w:pStyle w:val="8"/>
        <w:spacing w:before="0" w:beforeAutospacing="0" w:after="0" w:afterAutospacing="0" w:line="360" w:lineRule="auto"/>
        <w:ind w:firstLine="420"/>
        <w:rPr>
          <w:rFonts w:hint="eastAsia"/>
          <w:sz w:val="21"/>
          <w:szCs w:val="21"/>
        </w:rPr>
      </w:pPr>
      <w:r>
        <w:rPr>
          <w:rFonts w:hint="eastAsia"/>
          <w:sz w:val="21"/>
          <w:szCs w:val="21"/>
        </w:rPr>
        <w:t>2、高级管理人员</w:t>
      </w:r>
    </w:p>
    <w:p w14:paraId="06DF399A">
      <w:pPr>
        <w:pStyle w:val="8"/>
        <w:spacing w:before="0" w:beforeAutospacing="0" w:after="0" w:afterAutospacing="0" w:line="360" w:lineRule="auto"/>
        <w:ind w:firstLine="420"/>
        <w:rPr>
          <w:rFonts w:hint="eastAsia"/>
          <w:sz w:val="21"/>
          <w:szCs w:val="21"/>
        </w:rPr>
      </w:pPr>
      <w:r>
        <w:rPr>
          <w:rFonts w:hint="eastAsia"/>
          <w:sz w:val="21"/>
          <w:szCs w:val="21"/>
        </w:rPr>
        <w:t>张东先生，简历同上。</w:t>
      </w:r>
    </w:p>
    <w:p w14:paraId="499965AD">
      <w:pPr>
        <w:pStyle w:val="8"/>
        <w:spacing w:before="0" w:beforeAutospacing="0" w:after="0" w:afterAutospacing="0" w:line="360" w:lineRule="auto"/>
        <w:ind w:firstLine="420"/>
        <w:rPr>
          <w:rFonts w:hint="eastAsia"/>
          <w:sz w:val="21"/>
          <w:szCs w:val="21"/>
        </w:rPr>
      </w:pPr>
      <w:r>
        <w:rPr>
          <w:rFonts w:hint="eastAsia"/>
          <w:sz w:val="21"/>
          <w:szCs w:val="21"/>
        </w:rPr>
        <w:t>陈宇先生，简历同上。</w:t>
      </w:r>
    </w:p>
    <w:p w14:paraId="7A51963B">
      <w:pPr>
        <w:pStyle w:val="8"/>
        <w:spacing w:before="0" w:beforeAutospacing="0" w:after="0" w:afterAutospacing="0" w:line="360" w:lineRule="auto"/>
        <w:ind w:firstLine="420"/>
        <w:rPr>
          <w:rFonts w:hint="eastAsia"/>
          <w:sz w:val="21"/>
          <w:szCs w:val="21"/>
        </w:rPr>
      </w:pPr>
      <w:r>
        <w:rPr>
          <w:rFonts w:hint="eastAsia"/>
          <w:sz w:val="21"/>
          <w:szCs w:val="21"/>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2E9158DB">
      <w:pPr>
        <w:pStyle w:val="8"/>
        <w:spacing w:before="0" w:beforeAutospacing="0" w:after="0" w:afterAutospacing="0" w:line="360" w:lineRule="auto"/>
        <w:ind w:firstLine="420"/>
        <w:rPr>
          <w:rFonts w:hint="eastAsia"/>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p>
    <w:p w14:paraId="3442F867">
      <w:pPr>
        <w:pStyle w:val="8"/>
        <w:spacing w:before="0" w:beforeAutospacing="0" w:after="0" w:afterAutospacing="0" w:line="360" w:lineRule="auto"/>
        <w:ind w:firstLine="420"/>
        <w:rPr>
          <w:sz w:val="21"/>
          <w:szCs w:val="21"/>
        </w:rPr>
      </w:pPr>
      <w:r>
        <w:rPr>
          <w:rFonts w:hint="eastAsia"/>
          <w:sz w:val="21"/>
          <w:szCs w:val="21"/>
        </w:rPr>
        <w:t xml:space="preserve">于善辉先生，硕士，副总经理。 2001年至2023年先后在天相投资顾问有限公司、民生加银基金管理有限公司工作。2023年加入博时基金管理有限公司，现任公司副总经理兼公司投资决策委员会专职委员、年金投资部总经理。 </w:t>
      </w:r>
      <w:bookmarkStart w:id="36" w:name="field_0_managerpersoninfo_1_end"/>
      <w:bookmarkEnd w:id="36"/>
      <w:r>
        <w:rPr>
          <w:rFonts w:hint="eastAsia"/>
          <w:sz w:val="21"/>
          <w:szCs w:val="21"/>
        </w:rPr>
        <w:t xml:space="preserve">  </w:t>
      </w:r>
    </w:p>
    <w:p w14:paraId="01BB473C">
      <w:pPr>
        <w:pStyle w:val="8"/>
        <w:spacing w:before="0" w:beforeAutospacing="0" w:after="0" w:afterAutospacing="0" w:line="360" w:lineRule="auto"/>
        <w:ind w:firstLine="420"/>
        <w:rPr>
          <w:sz w:val="21"/>
          <w:szCs w:val="21"/>
        </w:rPr>
      </w:pPr>
      <w:bookmarkStart w:id="37" w:name="chapter_level1_5_53_section_2"/>
      <w:bookmarkEnd w:id="37"/>
      <w:r>
        <w:rPr>
          <w:rFonts w:hint="eastAsia"/>
          <w:sz w:val="21"/>
          <w:szCs w:val="21"/>
        </w:rPr>
        <w:t xml:space="preserve">3、本基金基金经理 </w:t>
      </w:r>
    </w:p>
    <w:p w14:paraId="029B060D">
      <w:pPr>
        <w:pStyle w:val="8"/>
        <w:spacing w:before="0" w:beforeAutospacing="0" w:after="0" w:afterAutospacing="0" w:line="360" w:lineRule="auto"/>
        <w:ind w:firstLine="420"/>
        <w:rPr>
          <w:sz w:val="21"/>
          <w:szCs w:val="21"/>
        </w:rPr>
      </w:pPr>
      <w:bookmarkStart w:id="38" w:name="field_0_fundmanagerresume_1_start"/>
      <w:bookmarkEnd w:id="38"/>
      <w:r>
        <w:rPr>
          <w:rFonts w:hint="eastAsia"/>
          <w:sz w:val="21"/>
          <w:szCs w:val="21"/>
        </w:rPr>
        <w:t xml:space="preserve">胥艺女士，硕士。2015年至2020年在泰康资产管理有限责任公司工作。2020年加入博时基金管理有限公司。曾任固定收益总部基金经理助理。现任博时安康18个月定期开放债券型证券投资基金(LOF)(2022年12月9日—至今)、博时富乐纯债债券型证券投资基金(2022年12月9日—至今)、博时双月薪定期支付债券型证券投资基金(2023年7月26日—至今)、博时富鸿金融债3个月定期开放债券型证券投资基金(2023年9月1日—至今)、博时聚源纯债债券型证券投资基金(2025年8月14日—至今)、博时裕康纯债债券型证券投资基金(2026年2月6日—至今)、博时裕利纯债债券型证券投资基金(2026年3月24日—至今)、博时裕诚纯债债券型证券投资基金(2026年5月12日—至今)、博时富诚纯债债券型证券投资基金(2026年8月10日—至今)的基金经理。 </w:t>
      </w:r>
    </w:p>
    <w:p w14:paraId="2EE5E718">
      <w:pPr>
        <w:pStyle w:val="8"/>
        <w:spacing w:before="0" w:beforeAutospacing="0" w:after="0" w:afterAutospacing="0" w:line="360" w:lineRule="auto"/>
        <w:ind w:firstLine="420"/>
        <w:rPr>
          <w:sz w:val="21"/>
          <w:szCs w:val="21"/>
        </w:rPr>
      </w:pPr>
      <w:bookmarkStart w:id="39" w:name="field_0_fundmanagershis_1_start"/>
      <w:bookmarkEnd w:id="39"/>
      <w:r>
        <w:rPr>
          <w:rFonts w:hint="eastAsia"/>
          <w:sz w:val="21"/>
          <w:szCs w:val="21"/>
        </w:rPr>
        <w:t>本基金历任基金经理：邓欣雨（2016年5月9日-2019年3月4日）、陈黎（2019年3月4日-2026年3月24日）、余斌（2024年3月12日-2026年3</w:t>
      </w:r>
      <w:bookmarkStart w:id="40" w:name="chapter_level1_5_53_section_2_end"/>
      <w:bookmarkEnd w:id="40"/>
      <w:r>
        <w:rPr>
          <w:rFonts w:hint="eastAsia"/>
          <w:sz w:val="21"/>
          <w:szCs w:val="21"/>
        </w:rPr>
        <w:t>月24日）。</w:t>
      </w:r>
      <w:bookmarkStart w:id="41" w:name="field_0_fundmanagershis_1_end"/>
      <w:bookmarkEnd w:id="41"/>
      <w:r>
        <w:rPr>
          <w:rFonts w:hint="eastAsia"/>
          <w:sz w:val="21"/>
          <w:szCs w:val="21"/>
        </w:rPr>
        <w:t xml:space="preserve">  </w:t>
      </w:r>
    </w:p>
    <w:p w14:paraId="276E9C7D">
      <w:pPr>
        <w:pStyle w:val="8"/>
        <w:spacing w:before="0" w:beforeAutospacing="0" w:after="0" w:afterAutospacing="0" w:line="360" w:lineRule="auto"/>
        <w:ind w:firstLine="420"/>
        <w:rPr>
          <w:rFonts w:hint="eastAsia"/>
          <w:sz w:val="21"/>
          <w:szCs w:val="21"/>
        </w:rPr>
      </w:pPr>
      <w:bookmarkStart w:id="42" w:name="field_0_managerpersoninfo2_1_start"/>
      <w:bookmarkEnd w:id="42"/>
      <w:bookmarkStart w:id="43" w:name="chapter_level1_5_53_section_3"/>
      <w:bookmarkEnd w:id="43"/>
      <w:r>
        <w:rPr>
          <w:rFonts w:hint="eastAsia"/>
          <w:sz w:val="21"/>
          <w:szCs w:val="21"/>
        </w:rPr>
        <w:t xml:space="preserve">4、投资决策委员会成员 </w:t>
      </w:r>
    </w:p>
    <w:p w14:paraId="1D4E6E2A">
      <w:pPr>
        <w:pStyle w:val="8"/>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338854E3">
      <w:pPr>
        <w:pStyle w:val="8"/>
        <w:spacing w:before="0" w:beforeAutospacing="0" w:after="0" w:afterAutospacing="0" w:line="360" w:lineRule="auto"/>
        <w:ind w:firstLine="420"/>
        <w:rPr>
          <w:rFonts w:hint="eastAsia"/>
          <w:sz w:val="21"/>
          <w:szCs w:val="21"/>
        </w:rPr>
      </w:pPr>
      <w:r>
        <w:rPr>
          <w:rFonts w:hint="eastAsia"/>
          <w:sz w:val="21"/>
          <w:szCs w:val="21"/>
        </w:rPr>
        <w:t>公司副总经理兼公司投资决策委员会专职委员、年金投资部总经理于善辉先生。</w:t>
      </w:r>
    </w:p>
    <w:p w14:paraId="2CBFB455">
      <w:pPr>
        <w:pStyle w:val="8"/>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0E2FFB87">
      <w:pPr>
        <w:pStyle w:val="8"/>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2939C44A">
      <w:pPr>
        <w:pStyle w:val="8"/>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1839912B">
      <w:pPr>
        <w:pStyle w:val="8"/>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6C03E019">
      <w:pPr>
        <w:pStyle w:val="8"/>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05D5A395">
      <w:pPr>
        <w:pStyle w:val="8"/>
        <w:spacing w:before="0" w:beforeAutospacing="0" w:after="0" w:afterAutospacing="0" w:line="360" w:lineRule="auto"/>
        <w:ind w:firstLine="420"/>
        <w:rPr>
          <w:rFonts w:hint="eastAsia"/>
          <w:sz w:val="21"/>
          <w:szCs w:val="21"/>
        </w:rPr>
      </w:pPr>
      <w:r>
        <w:rPr>
          <w:rFonts w:hint="eastAsia"/>
          <w:sz w:val="21"/>
          <w:szCs w:val="21"/>
        </w:rPr>
        <w:t xml:space="preserve">宏观策略部总经理助理（主持工作）兼首席策略分析师陈显顺先生。 </w:t>
      </w:r>
    </w:p>
    <w:p w14:paraId="58CEE6FC">
      <w:pPr>
        <w:pStyle w:val="8"/>
        <w:spacing w:before="0" w:beforeAutospacing="0" w:after="0" w:afterAutospacing="0" w:line="360" w:lineRule="auto"/>
        <w:ind w:firstLine="420"/>
        <w:rPr>
          <w:sz w:val="21"/>
          <w:szCs w:val="21"/>
        </w:rPr>
      </w:pPr>
      <w:r>
        <w:rPr>
          <w:rFonts w:hint="eastAsia"/>
          <w:sz w:val="21"/>
          <w:szCs w:val="21"/>
        </w:rPr>
        <w:t xml:space="preserve">5、上述人员之间均不存在近亲属关系。  </w:t>
      </w:r>
      <w:bookmarkStart w:id="44" w:name="field_0_managerpersoninfo2_1_end"/>
      <w:bookmarkEnd w:id="44"/>
      <w:r>
        <w:rPr>
          <w:rFonts w:hint="eastAsia"/>
          <w:sz w:val="21"/>
          <w:szCs w:val="21"/>
        </w:rPr>
        <w:t xml:space="preserve">  </w:t>
      </w:r>
    </w:p>
    <w:p w14:paraId="1AA453A1">
      <w:pPr>
        <w:pStyle w:val="8"/>
        <w:spacing w:before="0" w:beforeAutospacing="0" w:after="0" w:afterAutospacing="0" w:line="360" w:lineRule="auto"/>
        <w:ind w:firstLine="420"/>
        <w:rPr>
          <w:sz w:val="21"/>
          <w:szCs w:val="21"/>
        </w:rPr>
      </w:pPr>
      <w:bookmarkStart w:id="45" w:name="chapter_level1_5_53_section_4"/>
      <w:bookmarkEnd w:id="45"/>
      <w:r>
        <w:rPr>
          <w:rStyle w:val="12"/>
          <w:rFonts w:hint="eastAsia"/>
          <w:sz w:val="21"/>
          <w:szCs w:val="21"/>
        </w:rPr>
        <w:t>三、基金管理人的职责</w:t>
      </w:r>
    </w:p>
    <w:p w14:paraId="72A3BD9A">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0B379ABF">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6E1252DC">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54D1DA3F">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564692B4">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74636C97">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466D3C22">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59EAF037">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595AAF8F">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52D371A5">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45636F33">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3B508FF8">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51960216">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6684DB25">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1BAA9AD3">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111B9300">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65443199">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2237CE46">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0E1A1A81">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0AFA00D4">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429EE9BE">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31218225">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5C60DC74">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1D8C88B7">
      <w:pPr>
        <w:pStyle w:val="8"/>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55A49232">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2F68EB0D">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46262F95">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29C3495E">
      <w:pPr>
        <w:pStyle w:val="8"/>
        <w:spacing w:before="0" w:beforeAutospacing="0" w:after="0" w:afterAutospacing="0" w:line="360" w:lineRule="auto"/>
        <w:ind w:firstLine="420"/>
        <w:rPr>
          <w:sz w:val="21"/>
          <w:szCs w:val="21"/>
        </w:rPr>
      </w:pPr>
      <w:r>
        <w:rPr>
          <w:rStyle w:val="12"/>
          <w:rFonts w:hint="eastAsia"/>
          <w:sz w:val="21"/>
          <w:szCs w:val="21"/>
        </w:rPr>
        <w:t>四、基金管理人的承诺</w:t>
      </w:r>
    </w:p>
    <w:p w14:paraId="5D8643CC">
      <w:pPr>
        <w:pStyle w:val="8"/>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35A5CAA1">
      <w:pPr>
        <w:pStyle w:val="8"/>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6EC50AAE">
      <w:pPr>
        <w:pStyle w:val="8"/>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58E49BE1">
      <w:pPr>
        <w:pStyle w:val="8"/>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23128983">
      <w:pPr>
        <w:pStyle w:val="8"/>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52E636E6">
      <w:pPr>
        <w:pStyle w:val="8"/>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69915784">
      <w:pPr>
        <w:pStyle w:val="8"/>
        <w:spacing w:before="0" w:beforeAutospacing="0" w:after="0" w:afterAutospacing="0" w:line="360" w:lineRule="auto"/>
        <w:ind w:firstLine="420"/>
        <w:rPr>
          <w:sz w:val="21"/>
          <w:szCs w:val="21"/>
        </w:rPr>
      </w:pPr>
      <w:r>
        <w:rPr>
          <w:rFonts w:hint="eastAsia"/>
          <w:sz w:val="21"/>
          <w:szCs w:val="21"/>
        </w:rPr>
        <w:t xml:space="preserve">（5）侵占、挪用基金财产；   </w:t>
      </w:r>
    </w:p>
    <w:p w14:paraId="3E70946E">
      <w:pPr>
        <w:pStyle w:val="8"/>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10B2B96F">
      <w:pPr>
        <w:pStyle w:val="8"/>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2158D7E9">
      <w:pPr>
        <w:pStyle w:val="8"/>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73EC3C3C">
      <w:pPr>
        <w:pStyle w:val="8"/>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1132DEE1">
      <w:pPr>
        <w:pStyle w:val="8"/>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1FA647B9">
      <w:pPr>
        <w:pStyle w:val="8"/>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2A34DBB0">
      <w:pPr>
        <w:pStyle w:val="8"/>
        <w:spacing w:before="0" w:beforeAutospacing="0" w:after="0" w:afterAutospacing="0" w:line="360" w:lineRule="auto"/>
        <w:ind w:firstLine="420"/>
        <w:rPr>
          <w:sz w:val="21"/>
          <w:szCs w:val="21"/>
        </w:rPr>
      </w:pPr>
      <w:r>
        <w:rPr>
          <w:rStyle w:val="12"/>
          <w:rFonts w:hint="eastAsia"/>
          <w:sz w:val="21"/>
          <w:szCs w:val="21"/>
        </w:rPr>
        <w:t>五、基金经理承诺</w:t>
      </w:r>
    </w:p>
    <w:p w14:paraId="7C938100">
      <w:pPr>
        <w:pStyle w:val="8"/>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55D9A755">
      <w:pPr>
        <w:pStyle w:val="8"/>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6CC928A8">
      <w:pPr>
        <w:pStyle w:val="8"/>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3BD034BD">
      <w:pPr>
        <w:pStyle w:val="8"/>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2E2CD21D">
      <w:pPr>
        <w:pStyle w:val="8"/>
        <w:spacing w:before="0" w:beforeAutospacing="0" w:after="0" w:afterAutospacing="0" w:line="360" w:lineRule="auto"/>
        <w:ind w:firstLine="420"/>
        <w:rPr>
          <w:sz w:val="21"/>
          <w:szCs w:val="21"/>
        </w:rPr>
      </w:pPr>
      <w:r>
        <w:rPr>
          <w:rFonts w:hint="eastAsia"/>
          <w:b/>
          <w:bCs/>
          <w:sz w:val="21"/>
          <w:szCs w:val="21"/>
        </w:rPr>
        <w:t>六、基金管理人的内部控制制度</w:t>
      </w:r>
    </w:p>
    <w:p w14:paraId="512958E6">
      <w:pPr>
        <w:pStyle w:val="8"/>
        <w:spacing w:before="0" w:beforeAutospacing="0" w:after="0" w:afterAutospacing="0" w:line="360" w:lineRule="auto"/>
        <w:ind w:firstLine="420"/>
        <w:rPr>
          <w:sz w:val="21"/>
          <w:szCs w:val="21"/>
        </w:rPr>
      </w:pPr>
      <w:r>
        <w:rPr>
          <w:rFonts w:hint="eastAsia"/>
          <w:sz w:val="21"/>
          <w:szCs w:val="21"/>
        </w:rPr>
        <w:t xml:space="preserve">1、风险管理的原则 </w:t>
      </w:r>
    </w:p>
    <w:p w14:paraId="67702BCF">
      <w:pPr>
        <w:pStyle w:val="8"/>
        <w:spacing w:before="0" w:beforeAutospacing="0" w:after="0" w:afterAutospacing="0" w:line="360" w:lineRule="auto"/>
        <w:ind w:firstLine="420"/>
        <w:rPr>
          <w:sz w:val="21"/>
          <w:szCs w:val="21"/>
        </w:rPr>
      </w:pPr>
      <w:r>
        <w:rPr>
          <w:rFonts w:hint="eastAsia"/>
          <w:sz w:val="21"/>
          <w:szCs w:val="21"/>
        </w:rPr>
        <w:t xml:space="preserve">（1）全面性原则  </w:t>
      </w:r>
    </w:p>
    <w:p w14:paraId="5A7B7269">
      <w:pPr>
        <w:pStyle w:val="8"/>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6A1CC0F7">
      <w:pPr>
        <w:pStyle w:val="8"/>
        <w:spacing w:before="0" w:beforeAutospacing="0" w:after="0" w:afterAutospacing="0" w:line="360" w:lineRule="auto"/>
        <w:ind w:firstLine="420"/>
        <w:rPr>
          <w:sz w:val="21"/>
          <w:szCs w:val="21"/>
        </w:rPr>
      </w:pPr>
      <w:r>
        <w:rPr>
          <w:rFonts w:hint="eastAsia"/>
          <w:sz w:val="21"/>
          <w:szCs w:val="21"/>
        </w:rPr>
        <w:t xml:space="preserve">（2）独立性原则  </w:t>
      </w:r>
    </w:p>
    <w:p w14:paraId="10307A76">
      <w:pPr>
        <w:pStyle w:val="8"/>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公司设立独立的法律合规部，法律合规部保持高度的独立性和权威性，负责对公司各部门风险控制工作进行检查。 </w:t>
      </w:r>
    </w:p>
    <w:p w14:paraId="029D1530">
      <w:pPr>
        <w:pStyle w:val="8"/>
        <w:spacing w:before="0" w:beforeAutospacing="0" w:after="0" w:afterAutospacing="0" w:line="360" w:lineRule="auto"/>
        <w:ind w:firstLine="420"/>
        <w:rPr>
          <w:sz w:val="21"/>
          <w:szCs w:val="21"/>
        </w:rPr>
      </w:pPr>
      <w:r>
        <w:rPr>
          <w:rFonts w:hint="eastAsia"/>
          <w:sz w:val="21"/>
          <w:szCs w:val="21"/>
        </w:rPr>
        <w:t xml:space="preserve">（3）相互制约原则  </w:t>
      </w:r>
    </w:p>
    <w:p w14:paraId="10FA3F7A">
      <w:pPr>
        <w:pStyle w:val="8"/>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273BA06B">
      <w:pPr>
        <w:pStyle w:val="8"/>
        <w:spacing w:before="0" w:beforeAutospacing="0" w:after="0" w:afterAutospacing="0" w:line="360" w:lineRule="auto"/>
        <w:ind w:firstLine="420"/>
        <w:rPr>
          <w:sz w:val="21"/>
          <w:szCs w:val="21"/>
        </w:rPr>
      </w:pPr>
      <w:r>
        <w:rPr>
          <w:rFonts w:hint="eastAsia"/>
          <w:sz w:val="21"/>
          <w:szCs w:val="21"/>
        </w:rPr>
        <w:t xml:space="preserve">（4）定性和定量相结合原则  </w:t>
      </w:r>
    </w:p>
    <w:p w14:paraId="447787CC">
      <w:pPr>
        <w:pStyle w:val="8"/>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5591F48A">
      <w:pPr>
        <w:pStyle w:val="8"/>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410C6B70">
      <w:pPr>
        <w:pStyle w:val="8"/>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 </w:t>
      </w:r>
    </w:p>
    <w:p w14:paraId="7DFCDEE8">
      <w:pPr>
        <w:pStyle w:val="8"/>
        <w:spacing w:before="0" w:beforeAutospacing="0" w:after="0" w:afterAutospacing="0" w:line="360" w:lineRule="auto"/>
        <w:ind w:firstLine="420"/>
        <w:rPr>
          <w:sz w:val="21"/>
          <w:szCs w:val="21"/>
        </w:rPr>
      </w:pPr>
      <w:r>
        <w:rPr>
          <w:rFonts w:hint="eastAsia"/>
          <w:sz w:val="21"/>
          <w:szCs w:val="21"/>
        </w:rPr>
        <w:t xml:space="preserve">（1）董事会  </w:t>
      </w:r>
    </w:p>
    <w:p w14:paraId="1EF32D1D">
      <w:pPr>
        <w:pStyle w:val="8"/>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38826C54">
      <w:pPr>
        <w:pStyle w:val="8"/>
        <w:spacing w:before="0" w:beforeAutospacing="0" w:after="0" w:afterAutospacing="0" w:line="360" w:lineRule="auto"/>
        <w:ind w:firstLine="420"/>
        <w:rPr>
          <w:sz w:val="21"/>
          <w:szCs w:val="21"/>
        </w:rPr>
      </w:pPr>
      <w:r>
        <w:rPr>
          <w:rFonts w:hint="eastAsia"/>
          <w:sz w:val="21"/>
          <w:szCs w:val="21"/>
        </w:rPr>
        <w:t xml:space="preserve">（2）风险管理委员会  </w:t>
      </w:r>
    </w:p>
    <w:p w14:paraId="71863AD8">
      <w:pPr>
        <w:pStyle w:val="8"/>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44F10F74">
      <w:pPr>
        <w:pStyle w:val="8"/>
        <w:spacing w:before="0" w:beforeAutospacing="0" w:after="0" w:afterAutospacing="0" w:line="360" w:lineRule="auto"/>
        <w:ind w:firstLine="420"/>
        <w:rPr>
          <w:sz w:val="21"/>
          <w:szCs w:val="21"/>
        </w:rPr>
      </w:pPr>
      <w:r>
        <w:rPr>
          <w:rFonts w:hint="eastAsia"/>
          <w:sz w:val="21"/>
          <w:szCs w:val="21"/>
        </w:rPr>
        <w:t xml:space="preserve">（3）督察长  </w:t>
      </w:r>
    </w:p>
    <w:p w14:paraId="6422C078">
      <w:pPr>
        <w:pStyle w:val="8"/>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33B5CD28">
      <w:pPr>
        <w:pStyle w:val="8"/>
        <w:spacing w:before="0" w:beforeAutospacing="0" w:after="0" w:afterAutospacing="0" w:line="360" w:lineRule="auto"/>
        <w:ind w:firstLine="420"/>
        <w:rPr>
          <w:sz w:val="21"/>
          <w:szCs w:val="21"/>
        </w:rPr>
      </w:pPr>
      <w:r>
        <w:rPr>
          <w:rFonts w:hint="eastAsia"/>
          <w:sz w:val="21"/>
          <w:szCs w:val="21"/>
        </w:rPr>
        <w:t xml:space="preserve">（4）法律合规部 </w:t>
      </w:r>
    </w:p>
    <w:p w14:paraId="3CC61F77">
      <w:pPr>
        <w:pStyle w:val="8"/>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法律合规部负责对公司风险管理政策和措施的执行情况进行检查，并为每一个部门的风险管理系统的发展提供协助，使公司在一种风险管理和控制的环境中实现业务目标。 </w:t>
      </w:r>
    </w:p>
    <w:p w14:paraId="04B3BEF8">
      <w:pPr>
        <w:pStyle w:val="8"/>
        <w:spacing w:before="0" w:beforeAutospacing="0" w:after="0" w:afterAutospacing="0" w:line="360" w:lineRule="auto"/>
        <w:ind w:firstLine="420"/>
        <w:rPr>
          <w:sz w:val="21"/>
          <w:szCs w:val="21"/>
        </w:rPr>
      </w:pPr>
      <w:r>
        <w:rPr>
          <w:rFonts w:hint="eastAsia"/>
          <w:sz w:val="21"/>
          <w:szCs w:val="21"/>
        </w:rPr>
        <w:t xml:space="preserve">（5）风险管理部  </w:t>
      </w:r>
    </w:p>
    <w:p w14:paraId="1EBB82E4">
      <w:pPr>
        <w:pStyle w:val="8"/>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73328452">
      <w:pPr>
        <w:pStyle w:val="8"/>
        <w:spacing w:before="0" w:beforeAutospacing="0" w:after="0" w:afterAutospacing="0" w:line="360" w:lineRule="auto"/>
        <w:ind w:firstLine="420"/>
        <w:rPr>
          <w:sz w:val="21"/>
          <w:szCs w:val="21"/>
        </w:rPr>
      </w:pPr>
      <w:r>
        <w:rPr>
          <w:rFonts w:hint="eastAsia"/>
          <w:sz w:val="21"/>
          <w:szCs w:val="21"/>
        </w:rPr>
        <w:t xml:space="preserve">（6）业务部门  </w:t>
      </w:r>
    </w:p>
    <w:p w14:paraId="5F3D7118">
      <w:pPr>
        <w:pStyle w:val="8"/>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60A36CB1">
      <w:pPr>
        <w:pStyle w:val="8"/>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6A69DDDD">
      <w:pPr>
        <w:pStyle w:val="8"/>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4A09E570">
      <w:pPr>
        <w:pStyle w:val="8"/>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4B6067A8">
      <w:pPr>
        <w:pStyle w:val="8"/>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25CC86E9">
      <w:pPr>
        <w:pStyle w:val="8"/>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116D077C">
      <w:pPr>
        <w:pStyle w:val="8"/>
        <w:spacing w:before="0" w:beforeAutospacing="0" w:after="0" w:afterAutospacing="0" w:line="360" w:lineRule="auto"/>
        <w:ind w:firstLine="420"/>
        <w:rPr>
          <w:sz w:val="21"/>
          <w:szCs w:val="21"/>
        </w:rPr>
      </w:pPr>
      <w:r>
        <w:rPr>
          <w:rFonts w:hint="eastAsia"/>
          <w:sz w:val="21"/>
          <w:szCs w:val="21"/>
        </w:rPr>
        <w:t xml:space="preserve">（3）建立、健全岗位责任制  </w:t>
      </w:r>
    </w:p>
    <w:p w14:paraId="502CDE32">
      <w:pPr>
        <w:pStyle w:val="8"/>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4DF9D160">
      <w:pPr>
        <w:pStyle w:val="8"/>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514F34BD">
      <w:pPr>
        <w:pStyle w:val="8"/>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605BDCD2">
      <w:pPr>
        <w:pStyle w:val="8"/>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4192BB2C">
      <w:pPr>
        <w:pStyle w:val="8"/>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7456A7DA">
      <w:pPr>
        <w:pStyle w:val="8"/>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57059A62">
      <w:pPr>
        <w:pStyle w:val="8"/>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6C9A7DBD">
      <w:pPr>
        <w:pStyle w:val="8"/>
        <w:spacing w:before="0" w:beforeAutospacing="0" w:after="0" w:afterAutospacing="0" w:line="360" w:lineRule="auto"/>
        <w:ind w:firstLine="420"/>
        <w:rPr>
          <w:sz w:val="21"/>
          <w:szCs w:val="21"/>
        </w:rPr>
      </w:pPr>
      <w:r>
        <w:rPr>
          <w:rFonts w:hint="eastAsia"/>
          <w:sz w:val="21"/>
          <w:szCs w:val="21"/>
        </w:rPr>
        <w:t xml:space="preserve">（7）提供足够的培训  </w:t>
      </w:r>
    </w:p>
    <w:p w14:paraId="1983E547">
      <w:pPr>
        <w:pStyle w:val="8"/>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46" w:name="chapter_level1_5_53_section_4_end"/>
      <w:bookmarkEnd w:id="46"/>
      <w:r>
        <w:rPr>
          <w:rFonts w:hint="eastAsia"/>
          <w:sz w:val="21"/>
          <w:szCs w:val="21"/>
        </w:rPr>
        <w:t xml:space="preserve">控制风险。 </w:t>
      </w:r>
    </w:p>
    <w:p w14:paraId="18232739">
      <w:pPr>
        <w:widowControl/>
        <w:jc w:val="left"/>
        <w:rPr>
          <w:rFonts w:ascii="宋体" w:hAnsi="宋体" w:eastAsia="宋体"/>
        </w:rPr>
      </w:pPr>
      <w:r>
        <w:rPr>
          <w:rFonts w:ascii="宋体" w:hAnsi="宋体" w:eastAsia="宋体"/>
        </w:rPr>
        <w:br w:type="page"/>
      </w:r>
    </w:p>
    <w:p w14:paraId="5E01A580">
      <w:pPr>
        <w:pStyle w:val="2"/>
        <w:jc w:val="center"/>
        <w:rPr>
          <w:rFonts w:ascii="宋体" w:hAnsi="宋体" w:eastAsia="宋体"/>
          <w:sz w:val="30"/>
        </w:rPr>
      </w:pPr>
      <w:bookmarkStart w:id="47" w:name="_Toc239208840"/>
      <w:bookmarkStart w:id="48" w:name="chapter_level1_6_55"/>
      <w:r>
        <w:rPr>
          <w:rFonts w:hint="eastAsia" w:ascii="宋体" w:hAnsi="宋体" w:eastAsia="宋体"/>
          <w:sz w:val="30"/>
        </w:rPr>
        <w:t>第四部分  基金托管人</w:t>
      </w:r>
      <w:bookmarkEnd w:id="47"/>
      <w:bookmarkEnd w:id="48"/>
    </w:p>
    <w:p w14:paraId="448652E6">
      <w:pPr>
        <w:pStyle w:val="8"/>
        <w:spacing w:before="0" w:beforeAutospacing="0" w:after="0" w:afterAutospacing="0" w:line="360" w:lineRule="auto"/>
        <w:ind w:firstLine="420"/>
        <w:rPr>
          <w:sz w:val="21"/>
          <w:szCs w:val="21"/>
        </w:rPr>
      </w:pPr>
      <w:bookmarkStart w:id="49" w:name="field_0_trustcompanyinfo_1_start"/>
      <w:bookmarkEnd w:id="49"/>
      <w:bookmarkStart w:id="50" w:name="chapter_level1_6_55_section_1"/>
      <w:bookmarkEnd w:id="50"/>
      <w:r>
        <w:rPr>
          <w:rFonts w:hint="eastAsia"/>
          <w:sz w:val="21"/>
          <w:szCs w:val="21"/>
        </w:rPr>
        <w:t xml:space="preserve">（一）基金托管人情况 </w:t>
      </w:r>
    </w:p>
    <w:p w14:paraId="14FC165B">
      <w:pPr>
        <w:pStyle w:val="8"/>
        <w:spacing w:before="0" w:beforeAutospacing="0" w:after="0" w:afterAutospacing="0" w:line="360" w:lineRule="auto"/>
        <w:ind w:firstLine="420"/>
        <w:rPr>
          <w:sz w:val="21"/>
          <w:szCs w:val="21"/>
        </w:rPr>
      </w:pPr>
      <w:r>
        <w:rPr>
          <w:rFonts w:hint="eastAsia"/>
          <w:sz w:val="21"/>
          <w:szCs w:val="21"/>
        </w:rPr>
        <w:t xml:space="preserve">名称：杭州银行股份有限公司（简称：杭州银行） </w:t>
      </w:r>
    </w:p>
    <w:p w14:paraId="01089163">
      <w:pPr>
        <w:pStyle w:val="8"/>
        <w:spacing w:before="0" w:beforeAutospacing="0" w:after="0" w:afterAutospacing="0" w:line="360" w:lineRule="auto"/>
        <w:ind w:firstLine="420"/>
        <w:rPr>
          <w:sz w:val="21"/>
          <w:szCs w:val="21"/>
        </w:rPr>
      </w:pPr>
      <w:r>
        <w:rPr>
          <w:rFonts w:hint="eastAsia"/>
          <w:sz w:val="21"/>
          <w:szCs w:val="21"/>
        </w:rPr>
        <w:t xml:space="preserve">住所：杭州市上城区解放东路168号 </w:t>
      </w:r>
    </w:p>
    <w:p w14:paraId="120F0BEE">
      <w:pPr>
        <w:pStyle w:val="8"/>
        <w:spacing w:before="0" w:beforeAutospacing="0" w:after="0" w:afterAutospacing="0" w:line="360" w:lineRule="auto"/>
        <w:ind w:firstLine="420"/>
        <w:rPr>
          <w:sz w:val="21"/>
          <w:szCs w:val="21"/>
        </w:rPr>
      </w:pPr>
      <w:r>
        <w:rPr>
          <w:rFonts w:hint="eastAsia"/>
          <w:sz w:val="21"/>
          <w:szCs w:val="21"/>
        </w:rPr>
        <w:t xml:space="preserve">办公地址：杭州市拱墅区庆春路46号 </w:t>
      </w:r>
    </w:p>
    <w:p w14:paraId="31B24AF4">
      <w:pPr>
        <w:pStyle w:val="8"/>
        <w:spacing w:before="0" w:beforeAutospacing="0" w:after="0" w:afterAutospacing="0" w:line="360" w:lineRule="auto"/>
        <w:ind w:firstLine="420"/>
        <w:rPr>
          <w:sz w:val="21"/>
          <w:szCs w:val="21"/>
        </w:rPr>
      </w:pPr>
      <w:r>
        <w:rPr>
          <w:rFonts w:hint="eastAsia"/>
          <w:sz w:val="21"/>
          <w:szCs w:val="21"/>
        </w:rPr>
        <w:t xml:space="preserve">邮政编码：310000 </w:t>
      </w:r>
    </w:p>
    <w:p w14:paraId="38BC631E">
      <w:pPr>
        <w:pStyle w:val="8"/>
        <w:spacing w:before="0" w:beforeAutospacing="0" w:after="0" w:afterAutospacing="0" w:line="360" w:lineRule="auto"/>
        <w:ind w:firstLine="420"/>
        <w:rPr>
          <w:sz w:val="21"/>
          <w:szCs w:val="21"/>
        </w:rPr>
      </w:pPr>
      <w:r>
        <w:rPr>
          <w:rFonts w:hint="eastAsia"/>
          <w:sz w:val="21"/>
          <w:szCs w:val="21"/>
        </w:rPr>
        <w:t xml:space="preserve">法定代表人：宋剑斌 </w:t>
      </w:r>
    </w:p>
    <w:p w14:paraId="020A5422">
      <w:pPr>
        <w:pStyle w:val="8"/>
        <w:spacing w:before="0" w:beforeAutospacing="0" w:after="0" w:afterAutospacing="0" w:line="360" w:lineRule="auto"/>
        <w:ind w:firstLine="420"/>
        <w:rPr>
          <w:sz w:val="21"/>
          <w:szCs w:val="21"/>
        </w:rPr>
      </w:pPr>
      <w:r>
        <w:rPr>
          <w:rFonts w:hint="eastAsia"/>
          <w:sz w:val="21"/>
          <w:szCs w:val="21"/>
        </w:rPr>
        <w:t xml:space="preserve">成立时间：1996年9月25日 </w:t>
      </w:r>
    </w:p>
    <w:p w14:paraId="390B4FEE">
      <w:pPr>
        <w:pStyle w:val="8"/>
        <w:spacing w:before="0" w:beforeAutospacing="0" w:after="0" w:afterAutospacing="0" w:line="360" w:lineRule="auto"/>
        <w:ind w:firstLine="420"/>
        <w:rPr>
          <w:sz w:val="21"/>
          <w:szCs w:val="21"/>
        </w:rPr>
      </w:pPr>
      <w:r>
        <w:rPr>
          <w:rFonts w:hint="eastAsia"/>
          <w:sz w:val="21"/>
          <w:szCs w:val="21"/>
        </w:rPr>
        <w:t xml:space="preserve">基金托管业务批准文号：证监许可[2014]337号 </w:t>
      </w:r>
    </w:p>
    <w:p w14:paraId="1B6CCF8C">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14:paraId="2EA7935E">
      <w:pPr>
        <w:pStyle w:val="8"/>
        <w:spacing w:before="0" w:beforeAutospacing="0" w:after="0" w:afterAutospacing="0" w:line="360" w:lineRule="auto"/>
        <w:ind w:firstLine="420"/>
        <w:rPr>
          <w:sz w:val="21"/>
          <w:szCs w:val="21"/>
        </w:rPr>
      </w:pPr>
      <w:r>
        <w:rPr>
          <w:rFonts w:hint="eastAsia"/>
          <w:sz w:val="21"/>
          <w:szCs w:val="21"/>
        </w:rPr>
        <w:t xml:space="preserve">注册资本：人民币7,249,002,548元 </w:t>
      </w:r>
    </w:p>
    <w:p w14:paraId="4C70838E">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0362BE88">
      <w:pPr>
        <w:pStyle w:val="8"/>
        <w:spacing w:before="0" w:beforeAutospacing="0" w:after="0" w:afterAutospacing="0" w:line="360" w:lineRule="auto"/>
        <w:ind w:firstLine="420"/>
        <w:rPr>
          <w:sz w:val="21"/>
          <w:szCs w:val="21"/>
        </w:rPr>
      </w:pPr>
      <w:r>
        <w:rPr>
          <w:rFonts w:hint="eastAsia"/>
          <w:sz w:val="21"/>
          <w:szCs w:val="21"/>
        </w:rPr>
        <w:t xml:space="preserve">（二）基金托管人开展资产托管业务的情况 </w:t>
      </w:r>
    </w:p>
    <w:p w14:paraId="0080FE33">
      <w:pPr>
        <w:pStyle w:val="8"/>
        <w:spacing w:before="0" w:beforeAutospacing="0" w:after="0" w:afterAutospacing="0" w:line="360" w:lineRule="auto"/>
        <w:ind w:firstLine="420"/>
        <w:rPr>
          <w:sz w:val="21"/>
          <w:szCs w:val="21"/>
        </w:rPr>
      </w:pPr>
      <w:r>
        <w:rPr>
          <w:rFonts w:hint="eastAsia"/>
          <w:sz w:val="21"/>
          <w:szCs w:val="21"/>
        </w:rPr>
        <w:t>杭州银行自2014年3月获得中国证券监督管理委员会和中国银行业监督管理委员会的核准，取得证券投资基金托管资格。目前，杭州银行已全面开展了包括证券投资基金、基金公司资管产品、证券公司资管产品、信托计划、商业银行理财产品、保险资管产品、期货公司资管产品、私募投资基金等各类资产托管业务，业务覆盖市场上所有类型的资管机构和主流业务品种。截至2026年6月末，资产托管规模2.24万亿元，已成功托管货币型、混合型、</w:t>
      </w:r>
      <w:bookmarkStart w:id="51" w:name="chapter_level1_6_55_section_1_end"/>
      <w:bookmarkEnd w:id="51"/>
      <w:r>
        <w:rPr>
          <w:rFonts w:hint="eastAsia"/>
          <w:sz w:val="21"/>
          <w:szCs w:val="21"/>
        </w:rPr>
        <w:t xml:space="preserve">债券型和指数型等各类公募基金95只。 </w:t>
      </w:r>
      <w:bookmarkStart w:id="52" w:name="field_0_trustcompanyinfo_1_end"/>
      <w:bookmarkEnd w:id="52"/>
      <w:r>
        <w:rPr>
          <w:rFonts w:hint="eastAsia"/>
          <w:sz w:val="21"/>
          <w:szCs w:val="21"/>
        </w:rPr>
        <w:t xml:space="preserve"> </w:t>
      </w:r>
    </w:p>
    <w:p w14:paraId="4C3D44DE">
      <w:pPr>
        <w:pStyle w:val="8"/>
        <w:spacing w:before="0" w:beforeAutospacing="0" w:after="0" w:afterAutospacing="0" w:line="360" w:lineRule="auto"/>
        <w:ind w:firstLine="420"/>
        <w:rPr>
          <w:sz w:val="21"/>
          <w:szCs w:val="21"/>
        </w:rPr>
      </w:pPr>
      <w:bookmarkStart w:id="53" w:name="chapter_level1_6_55_section_2"/>
      <w:bookmarkEnd w:id="53"/>
      <w:bookmarkStart w:id="54" w:name="field_0_trustcontrollawinfo_1_start"/>
      <w:bookmarkEnd w:id="54"/>
      <w:r>
        <w:rPr>
          <w:rFonts w:hint="eastAsia"/>
          <w:sz w:val="21"/>
          <w:szCs w:val="21"/>
        </w:rPr>
        <w:t xml:space="preserve">（三）基金托管业务情况介绍 </w:t>
      </w:r>
    </w:p>
    <w:p w14:paraId="7AA5A509">
      <w:pPr>
        <w:pStyle w:val="8"/>
        <w:spacing w:before="0" w:beforeAutospacing="0" w:after="0" w:afterAutospacing="0" w:line="360" w:lineRule="auto"/>
        <w:ind w:firstLine="420"/>
        <w:rPr>
          <w:sz w:val="21"/>
          <w:szCs w:val="21"/>
        </w:rPr>
      </w:pPr>
      <w:r>
        <w:rPr>
          <w:rFonts w:hint="eastAsia"/>
          <w:sz w:val="21"/>
          <w:szCs w:val="21"/>
        </w:rPr>
        <w:t xml:space="preserve">1、资产托管业务的机构设置及人员配备 </w:t>
      </w:r>
    </w:p>
    <w:p w14:paraId="05FE0BE0">
      <w:pPr>
        <w:pStyle w:val="8"/>
        <w:spacing w:before="0" w:beforeAutospacing="0" w:after="0" w:afterAutospacing="0" w:line="360" w:lineRule="auto"/>
        <w:ind w:firstLine="420"/>
        <w:rPr>
          <w:sz w:val="21"/>
          <w:szCs w:val="21"/>
        </w:rPr>
      </w:pPr>
      <w:r>
        <w:rPr>
          <w:rFonts w:hint="eastAsia"/>
          <w:sz w:val="21"/>
          <w:szCs w:val="21"/>
        </w:rPr>
        <w:t xml:space="preserve">杭州银行于2012年12月成立了证券投资基金托管项目组，并于2013年3月由董事会同意在总行正式设立资产托管部，专门负责全行包括证券投资基金在内的各类资产托管业务的业务运行和管理工作，并与其他业务部门保持独立。 </w:t>
      </w:r>
    </w:p>
    <w:p w14:paraId="4CAABCAD">
      <w:pPr>
        <w:pStyle w:val="8"/>
        <w:spacing w:before="0" w:beforeAutospacing="0" w:after="0" w:afterAutospacing="0" w:line="360" w:lineRule="auto"/>
        <w:ind w:firstLine="420"/>
        <w:rPr>
          <w:sz w:val="21"/>
          <w:szCs w:val="21"/>
        </w:rPr>
      </w:pPr>
      <w:r>
        <w:rPr>
          <w:rFonts w:hint="eastAsia"/>
          <w:sz w:val="21"/>
          <w:szCs w:val="21"/>
        </w:rPr>
        <w:t xml:space="preserve">我行高度重视托管业务发展，组建了精通资产管理行业的“专家团队”服务客户，团队人员来自于托管银行、外资银行、基金、证券、投行等各类型机构，具有扎实的专业理论知识和实战经验。部门从事资金清算、估值核算、投资监督、信息披露、内部稽核监控业务的执业人员不少于8人，均具有基金从业资格，其中，核算、监督等核心业务岗位人员均具备2年以上托管业务从业经验。 </w:t>
      </w:r>
    </w:p>
    <w:p w14:paraId="0921D542">
      <w:pPr>
        <w:pStyle w:val="8"/>
        <w:spacing w:before="0" w:beforeAutospacing="0" w:after="0" w:afterAutospacing="0" w:line="360" w:lineRule="auto"/>
        <w:ind w:firstLine="420"/>
        <w:rPr>
          <w:sz w:val="21"/>
          <w:szCs w:val="21"/>
        </w:rPr>
      </w:pPr>
      <w:r>
        <w:rPr>
          <w:rFonts w:hint="eastAsia"/>
          <w:sz w:val="21"/>
          <w:szCs w:val="21"/>
        </w:rPr>
        <w:t xml:space="preserve">2、托管业务技术系统 </w:t>
      </w:r>
    </w:p>
    <w:p w14:paraId="5D5EE742">
      <w:pPr>
        <w:pStyle w:val="8"/>
        <w:spacing w:before="0" w:beforeAutospacing="0" w:after="0" w:afterAutospacing="0" w:line="360" w:lineRule="auto"/>
        <w:ind w:firstLine="420"/>
        <w:rPr>
          <w:sz w:val="21"/>
          <w:szCs w:val="21"/>
        </w:rPr>
      </w:pPr>
      <w:r>
        <w:rPr>
          <w:rFonts w:hint="eastAsia"/>
          <w:sz w:val="21"/>
          <w:szCs w:val="21"/>
        </w:rPr>
        <w:t xml:space="preserve">杭州银行采购了业内广泛使用的深圳赢时胜公司开发的托管业务系统，具有完善的估值核算、资金清算、投资监督和信息披露等功能，具备良好的安全性、稳定性、开放性和可扩展性。 </w:t>
      </w:r>
    </w:p>
    <w:p w14:paraId="7DBBD29F">
      <w:pPr>
        <w:pStyle w:val="8"/>
        <w:spacing w:before="0" w:beforeAutospacing="0" w:after="0" w:afterAutospacing="0" w:line="360" w:lineRule="auto"/>
        <w:ind w:firstLine="420"/>
        <w:rPr>
          <w:sz w:val="21"/>
          <w:szCs w:val="21"/>
        </w:rPr>
      </w:pPr>
      <w:r>
        <w:rPr>
          <w:rFonts w:hint="eastAsia"/>
          <w:sz w:val="21"/>
          <w:szCs w:val="21"/>
        </w:rPr>
        <w:t xml:space="preserve">3、杭州银行资产托管业务内部控制与风险管理情况 </w:t>
      </w:r>
    </w:p>
    <w:p w14:paraId="55D33F29">
      <w:pPr>
        <w:pStyle w:val="8"/>
        <w:spacing w:before="0" w:beforeAutospacing="0" w:after="0" w:afterAutospacing="0" w:line="360" w:lineRule="auto"/>
        <w:ind w:firstLine="420"/>
        <w:rPr>
          <w:sz w:val="21"/>
          <w:szCs w:val="21"/>
        </w:rPr>
      </w:pPr>
      <w:r>
        <w:rPr>
          <w:rFonts w:hint="eastAsia"/>
          <w:sz w:val="21"/>
          <w:szCs w:val="21"/>
        </w:rPr>
        <w:t xml:space="preserve">杭州银行建立了较为完善的法人治理结构，形成了从董事会、经营层到操作层，覆盖信用风险、市场风险、操作风险在内的全面风险管理体系，资产托管部也牢固树立风险意识，采取各种必要措施防范和化解风险。 </w:t>
      </w:r>
    </w:p>
    <w:p w14:paraId="53721200">
      <w:pPr>
        <w:pStyle w:val="8"/>
        <w:spacing w:before="0" w:beforeAutospacing="0" w:after="0" w:afterAutospacing="0" w:line="360" w:lineRule="auto"/>
        <w:ind w:firstLine="420"/>
        <w:rPr>
          <w:sz w:val="21"/>
          <w:szCs w:val="21"/>
        </w:rPr>
      </w:pPr>
      <w:r>
        <w:rPr>
          <w:rFonts w:hint="eastAsia"/>
          <w:sz w:val="21"/>
          <w:szCs w:val="21"/>
        </w:rPr>
        <w:t xml:space="preserve">（1）建立科学、严格的岗位分离制度 </w:t>
      </w:r>
    </w:p>
    <w:p w14:paraId="062F47FB">
      <w:pPr>
        <w:pStyle w:val="8"/>
        <w:spacing w:before="0" w:beforeAutospacing="0" w:after="0" w:afterAutospacing="0" w:line="360" w:lineRule="auto"/>
        <w:ind w:firstLine="420"/>
        <w:rPr>
          <w:sz w:val="21"/>
          <w:szCs w:val="21"/>
        </w:rPr>
      </w:pPr>
      <w:r>
        <w:rPr>
          <w:rFonts w:hint="eastAsia"/>
          <w:sz w:val="21"/>
          <w:szCs w:val="21"/>
        </w:rPr>
        <w:t xml:space="preserve">杭州银行明确划分各岗位职责，系统运维、估值核算、资金清算、投资监督和内部稽核监控等重要岗位、人员严格分开，估值核算、资金清算、投资监督等能接触到基金交易数据的岗位人员进行物理分离。 </w:t>
      </w:r>
    </w:p>
    <w:p w14:paraId="485D1DD2">
      <w:pPr>
        <w:pStyle w:val="8"/>
        <w:spacing w:before="0" w:beforeAutospacing="0" w:after="0" w:afterAutospacing="0" w:line="360" w:lineRule="auto"/>
        <w:ind w:firstLine="420"/>
        <w:rPr>
          <w:sz w:val="21"/>
          <w:szCs w:val="21"/>
        </w:rPr>
      </w:pPr>
      <w:r>
        <w:rPr>
          <w:rFonts w:hint="eastAsia"/>
          <w:sz w:val="21"/>
          <w:szCs w:val="21"/>
        </w:rPr>
        <w:t xml:space="preserve">（2）建立健全授权管理体系 </w:t>
      </w:r>
    </w:p>
    <w:p w14:paraId="33990B43">
      <w:pPr>
        <w:pStyle w:val="8"/>
        <w:spacing w:before="0" w:beforeAutospacing="0" w:after="0" w:afterAutospacing="0" w:line="360" w:lineRule="auto"/>
        <w:ind w:firstLine="420"/>
        <w:rPr>
          <w:sz w:val="21"/>
          <w:szCs w:val="21"/>
        </w:rPr>
      </w:pPr>
      <w:r>
        <w:rPr>
          <w:rFonts w:hint="eastAsia"/>
          <w:sz w:val="21"/>
          <w:szCs w:val="21"/>
        </w:rPr>
        <w:t xml:space="preserve">杭州银行制定了《杭州银行资产托管业务管理办法》、《杭州银行资产托管业务运营实施细则》，将授权管理贯穿于资产托管业务的始终，各岗位业务人员均在规定授权范围内行使相应职责。 </w:t>
      </w:r>
    </w:p>
    <w:p w14:paraId="0AAC07DB">
      <w:pPr>
        <w:pStyle w:val="8"/>
        <w:spacing w:before="0" w:beforeAutospacing="0" w:after="0" w:afterAutospacing="0" w:line="360" w:lineRule="auto"/>
        <w:ind w:firstLine="420"/>
        <w:rPr>
          <w:sz w:val="21"/>
          <w:szCs w:val="21"/>
        </w:rPr>
      </w:pPr>
      <w:r>
        <w:rPr>
          <w:rFonts w:hint="eastAsia"/>
          <w:sz w:val="21"/>
          <w:szCs w:val="21"/>
        </w:rPr>
        <w:t xml:space="preserve">（3）建立完备的备份机制 </w:t>
      </w:r>
    </w:p>
    <w:p w14:paraId="2550E025">
      <w:pPr>
        <w:pStyle w:val="8"/>
        <w:spacing w:before="0" w:beforeAutospacing="0" w:after="0" w:afterAutospacing="0" w:line="360" w:lineRule="auto"/>
        <w:ind w:firstLine="420"/>
        <w:rPr>
          <w:sz w:val="21"/>
          <w:szCs w:val="21"/>
        </w:rPr>
      </w:pPr>
      <w:r>
        <w:rPr>
          <w:rFonts w:hint="eastAsia"/>
          <w:sz w:val="21"/>
          <w:szCs w:val="21"/>
        </w:rPr>
        <w:t xml:space="preserve">杭州银行资产托管的业务数据及其他重要数据每日进行安全备份，定期将数据完整、真实、准确地转储到不可更改的介质上，并要求集中和异地保存，保存期限至少20年。资产托管部关键岗位人员也采用双人备份制度。 </w:t>
      </w:r>
    </w:p>
    <w:p w14:paraId="56EFBCC4">
      <w:pPr>
        <w:pStyle w:val="8"/>
        <w:spacing w:before="0" w:beforeAutospacing="0" w:after="0" w:afterAutospacing="0" w:line="360" w:lineRule="auto"/>
        <w:ind w:firstLine="420"/>
        <w:rPr>
          <w:sz w:val="21"/>
          <w:szCs w:val="21"/>
        </w:rPr>
      </w:pPr>
      <w:r>
        <w:rPr>
          <w:rFonts w:hint="eastAsia"/>
          <w:sz w:val="21"/>
          <w:szCs w:val="21"/>
        </w:rPr>
        <w:t xml:space="preserve">（4）建立完备有效的应急措施 </w:t>
      </w:r>
    </w:p>
    <w:p w14:paraId="4D036FFA">
      <w:pPr>
        <w:pStyle w:val="8"/>
        <w:spacing w:before="0" w:beforeAutospacing="0" w:after="0" w:afterAutospacing="0" w:line="360" w:lineRule="auto"/>
        <w:ind w:firstLine="420"/>
        <w:rPr>
          <w:sz w:val="21"/>
          <w:szCs w:val="21"/>
        </w:rPr>
      </w:pPr>
      <w:r>
        <w:rPr>
          <w:rFonts w:hint="eastAsia"/>
          <w:sz w:val="21"/>
          <w:szCs w:val="21"/>
        </w:rPr>
        <w:t xml:space="preserve">杭州银行制定了《杭州银行资产托管业务运营实施细则》、《杭州银行资产托管业务信息系统管理办法》，并针对托管业务备份、信息系统及资金清算等业务制定了专门的应急预案，对于各类突发事件、紧急事件或故障，定期开展应急演练，检验应急预案的有效性和可靠性。 </w:t>
      </w:r>
    </w:p>
    <w:p w14:paraId="5C426D7B">
      <w:pPr>
        <w:pStyle w:val="8"/>
        <w:spacing w:before="0" w:beforeAutospacing="0" w:after="0" w:afterAutospacing="0" w:line="360" w:lineRule="auto"/>
        <w:ind w:firstLine="420"/>
        <w:rPr>
          <w:sz w:val="21"/>
          <w:szCs w:val="21"/>
        </w:rPr>
      </w:pPr>
      <w:r>
        <w:rPr>
          <w:rFonts w:hint="eastAsia"/>
          <w:sz w:val="21"/>
          <w:szCs w:val="21"/>
        </w:rPr>
        <w:t xml:space="preserve">（5）建立严格的保密机制 </w:t>
      </w:r>
    </w:p>
    <w:p w14:paraId="08D3CC51">
      <w:pPr>
        <w:pStyle w:val="8"/>
        <w:spacing w:before="0" w:beforeAutospacing="0" w:after="0" w:afterAutospacing="0" w:line="360" w:lineRule="auto"/>
        <w:ind w:firstLine="420"/>
        <w:rPr>
          <w:sz w:val="21"/>
          <w:szCs w:val="21"/>
        </w:rPr>
      </w:pPr>
      <w:r>
        <w:rPr>
          <w:rFonts w:hint="eastAsia"/>
          <w:sz w:val="21"/>
          <w:szCs w:val="21"/>
        </w:rPr>
        <w:t xml:space="preserve">杭州银行制定了《杭州银行资产托管从业人员管理实施细则》，资产托管部配备独立的门禁系统，严格禁止无关人员进入资产托管部办公区域，能接触到基金交易数据的岗位人员进行物理分离，并采用电话录音、监控录像、信息加密传递技术等手段来实现风险控制。 </w:t>
      </w:r>
    </w:p>
    <w:p w14:paraId="0DD9E80D">
      <w:pPr>
        <w:pStyle w:val="8"/>
        <w:spacing w:before="0" w:beforeAutospacing="0" w:after="0" w:afterAutospacing="0" w:line="360" w:lineRule="auto"/>
        <w:ind w:firstLine="420"/>
        <w:rPr>
          <w:sz w:val="21"/>
          <w:szCs w:val="21"/>
        </w:rPr>
      </w:pPr>
      <w:r>
        <w:rPr>
          <w:rFonts w:hint="eastAsia"/>
          <w:sz w:val="21"/>
          <w:szCs w:val="21"/>
        </w:rPr>
        <w:t xml:space="preserve">（6）建立有效的内控稽核机制 </w:t>
      </w:r>
    </w:p>
    <w:p w14:paraId="2AB064EB">
      <w:pPr>
        <w:pStyle w:val="8"/>
        <w:spacing w:before="0" w:beforeAutospacing="0" w:after="0" w:afterAutospacing="0" w:line="360" w:lineRule="auto"/>
        <w:ind w:firstLine="420"/>
        <w:rPr>
          <w:sz w:val="21"/>
          <w:szCs w:val="21"/>
        </w:rPr>
      </w:pPr>
      <w:r>
        <w:rPr>
          <w:rFonts w:hint="eastAsia"/>
          <w:sz w:val="21"/>
          <w:szCs w:val="21"/>
        </w:rPr>
        <w:t xml:space="preserve">杭州银行资产托管部设立内控稽核岗，直接对资产托管部总经理负责，独立对各岗位、各项业务实施全面的监督反馈，以确保杭州银行资产托管各项业务合法合规、安全有效，切实履行托管人职责。 </w:t>
      </w:r>
    </w:p>
    <w:p w14:paraId="6E27FD65">
      <w:pPr>
        <w:pStyle w:val="8"/>
        <w:spacing w:before="0" w:beforeAutospacing="0" w:after="0" w:afterAutospacing="0" w:line="360" w:lineRule="auto"/>
        <w:ind w:firstLine="420"/>
        <w:rPr>
          <w:sz w:val="21"/>
          <w:szCs w:val="21"/>
        </w:rPr>
      </w:pPr>
      <w:r>
        <w:rPr>
          <w:rFonts w:hint="eastAsia"/>
          <w:sz w:val="21"/>
          <w:szCs w:val="21"/>
        </w:rPr>
        <w:t xml:space="preserve">（四）基金托管人对基金管理人运作基金进行监督的方法和程序 </w:t>
      </w:r>
    </w:p>
    <w:p w14:paraId="1025BEE4">
      <w:pPr>
        <w:pStyle w:val="8"/>
        <w:spacing w:before="0" w:beforeAutospacing="0" w:after="0" w:afterAutospacing="0" w:line="360" w:lineRule="auto"/>
        <w:ind w:firstLine="420"/>
        <w:rPr>
          <w:sz w:val="21"/>
          <w:szCs w:val="21"/>
        </w:rPr>
      </w:pPr>
      <w:r>
        <w:rPr>
          <w:rFonts w:hint="eastAsia"/>
          <w:sz w:val="21"/>
          <w:szCs w:val="21"/>
        </w:rPr>
        <w:t xml:space="preserve">基金托管人负有对基金管理人的投资运作行使监督权的职责。根据《基金法》、《运作办法》、基金合同及其他有关规定，托管人对基金的投资对象和范围、投资组合比例、投资限制、费用的计提和支付方式、基金会计核算、基金资产估值和基金净值的计算、收益分配、申购赎回以及其他有关基金投资和运作的事项，对基金管理人进行业务监督、核查。 </w:t>
      </w:r>
    </w:p>
    <w:p w14:paraId="71D5D133">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有违反法律法规和基金合同的行为，应及时以书面形式通知基金管理人限期纠正，基金管理人收到通知后应及时核对并以书面形式对基金托管人发出回函。在限期内，基金托管人有权随时对通知事项进行复查，督促基金管理人改正。基金管理人对基金托管人通知的违规事项未能在限期内纠正的，基金托管人应报告中国证监会。 </w:t>
      </w:r>
    </w:p>
    <w:p w14:paraId="46330D00">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基金托管人发现基金管理人有重大违规行为，立即报告中国证监会，同时，通知基金管理人限期纠正，并将纠正结果报告中国证监会。 </w:t>
      </w:r>
    </w:p>
    <w:p w14:paraId="37214422">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基金托管人发现基金管理人的指令违反法律、行政法规和其他有关规定，或者违反基金合同约定的，应当拒绝执行，立即通知基金管理人，并及时向中国证监会报告。 </w:t>
      </w:r>
    </w:p>
    <w:p w14:paraId="3DCD1710">
      <w:pPr>
        <w:pStyle w:val="8"/>
        <w:spacing w:before="0" w:beforeAutospacing="0" w:after="0" w:afterAutospacing="0" w:line="360" w:lineRule="auto"/>
        <w:ind w:firstLine="420"/>
        <w:rPr>
          <w:sz w:val="21"/>
          <w:szCs w:val="21"/>
        </w:rPr>
      </w:pPr>
      <w:r>
        <w:rPr>
          <w:rFonts w:hint="eastAsia"/>
          <w:sz w:val="21"/>
          <w:szCs w:val="21"/>
        </w:rPr>
        <w:t>基金托管人发现基金管理人依据交易程序已经生效的投资指令违反法律、行政法规和其他有关规定，或者违反基金合同约定的，应当及时通知基金管理人，并及时向中国证监会报</w:t>
      </w:r>
      <w:bookmarkStart w:id="55" w:name="chapter_level1_6_55_section_2_end"/>
      <w:bookmarkEnd w:id="55"/>
      <w:r>
        <w:rPr>
          <w:rFonts w:hint="eastAsia"/>
          <w:sz w:val="21"/>
          <w:szCs w:val="21"/>
        </w:rPr>
        <w:t xml:space="preserve">告。 </w:t>
      </w:r>
      <w:bookmarkStart w:id="56" w:name="field_0_trustcontrollawinfo_1_end"/>
      <w:bookmarkEnd w:id="56"/>
      <w:r>
        <w:rPr>
          <w:rFonts w:hint="eastAsia"/>
          <w:sz w:val="21"/>
          <w:szCs w:val="21"/>
        </w:rPr>
        <w:t xml:space="preserve">  </w:t>
      </w:r>
    </w:p>
    <w:p w14:paraId="72C2D3E0">
      <w:pPr>
        <w:widowControl/>
        <w:jc w:val="left"/>
        <w:rPr>
          <w:rFonts w:ascii="宋体" w:hAnsi="宋体" w:eastAsia="宋体"/>
        </w:rPr>
      </w:pPr>
      <w:r>
        <w:rPr>
          <w:rFonts w:ascii="宋体" w:hAnsi="宋体" w:eastAsia="宋体"/>
        </w:rPr>
        <w:br w:type="page"/>
      </w:r>
    </w:p>
    <w:p w14:paraId="66BE0229">
      <w:pPr>
        <w:pStyle w:val="2"/>
        <w:jc w:val="center"/>
        <w:rPr>
          <w:rFonts w:ascii="宋体" w:hAnsi="宋体" w:eastAsia="宋体"/>
          <w:sz w:val="30"/>
        </w:rPr>
      </w:pPr>
      <w:bookmarkStart w:id="57" w:name="_Toc239208841"/>
      <w:bookmarkStart w:id="58" w:name="chapter_level1_7_56"/>
      <w:r>
        <w:rPr>
          <w:rFonts w:hint="eastAsia" w:ascii="宋体" w:hAnsi="宋体" w:eastAsia="宋体"/>
          <w:sz w:val="30"/>
        </w:rPr>
        <w:t>第五部分  相关服务机构</w:t>
      </w:r>
      <w:bookmarkEnd w:id="57"/>
      <w:bookmarkEnd w:id="58"/>
    </w:p>
    <w:p w14:paraId="0127B33F">
      <w:pPr>
        <w:pStyle w:val="8"/>
        <w:spacing w:before="0" w:beforeAutospacing="0" w:after="0" w:afterAutospacing="0" w:line="360" w:lineRule="auto"/>
        <w:ind w:firstLine="420"/>
        <w:rPr>
          <w:sz w:val="21"/>
          <w:szCs w:val="21"/>
        </w:rPr>
      </w:pPr>
      <w:bookmarkStart w:id="59" w:name="chapter_level1_7_56_section_1"/>
      <w:bookmarkEnd w:id="59"/>
      <w:r>
        <w:rPr>
          <w:rFonts w:hint="eastAsia"/>
          <w:b/>
          <w:bCs/>
          <w:sz w:val="21"/>
          <w:szCs w:val="21"/>
        </w:rPr>
        <w:t>一、基金份额销售机构</w:t>
      </w:r>
    </w:p>
    <w:p w14:paraId="697DFFD4">
      <w:pPr>
        <w:pStyle w:val="8"/>
        <w:spacing w:before="0" w:beforeAutospacing="0" w:after="0" w:afterAutospacing="0" w:line="360" w:lineRule="auto"/>
        <w:ind w:firstLine="420"/>
        <w:rPr>
          <w:sz w:val="21"/>
          <w:szCs w:val="21"/>
        </w:rPr>
      </w:pPr>
      <w:r>
        <w:rPr>
          <w:rFonts w:hint="eastAsia"/>
          <w:sz w:val="21"/>
          <w:szCs w:val="21"/>
        </w:rPr>
        <w:t xml:space="preserve">1、直销机构 </w:t>
      </w:r>
    </w:p>
    <w:p w14:paraId="75D65EC9">
      <w:pPr>
        <w:pStyle w:val="8"/>
        <w:spacing w:before="0" w:beforeAutospacing="0" w:after="0" w:afterAutospacing="0" w:line="360" w:lineRule="auto"/>
        <w:ind w:firstLine="420"/>
        <w:rPr>
          <w:sz w:val="21"/>
          <w:szCs w:val="21"/>
        </w:rPr>
      </w:pPr>
      <w:bookmarkStart w:id="60" w:name="field_0_marketcompanyinfo_1_start"/>
      <w:bookmarkEnd w:id="60"/>
      <w:r>
        <w:rPr>
          <w:rFonts w:hint="eastAsia"/>
          <w:sz w:val="21"/>
          <w:szCs w:val="21"/>
        </w:rPr>
        <w:t xml:space="preserve">名称：博时基金管理有限公司北京直销中心 </w:t>
      </w:r>
    </w:p>
    <w:p w14:paraId="65B9DE65">
      <w:pPr>
        <w:pStyle w:val="8"/>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2F4998B2">
      <w:pPr>
        <w:pStyle w:val="8"/>
        <w:spacing w:before="0" w:beforeAutospacing="0" w:after="0" w:afterAutospacing="0" w:line="360" w:lineRule="auto"/>
        <w:ind w:firstLine="420"/>
        <w:rPr>
          <w:sz w:val="21"/>
          <w:szCs w:val="21"/>
        </w:rPr>
      </w:pPr>
      <w:r>
        <w:rPr>
          <w:rFonts w:hint="eastAsia"/>
          <w:sz w:val="21"/>
          <w:szCs w:val="21"/>
        </w:rPr>
        <w:t xml:space="preserve">电话：010-65187055 </w:t>
      </w:r>
    </w:p>
    <w:p w14:paraId="17A459A1">
      <w:pPr>
        <w:pStyle w:val="8"/>
        <w:spacing w:before="0" w:beforeAutospacing="0" w:after="0" w:afterAutospacing="0" w:line="360" w:lineRule="auto"/>
        <w:ind w:firstLine="420"/>
        <w:rPr>
          <w:sz w:val="21"/>
          <w:szCs w:val="21"/>
        </w:rPr>
      </w:pPr>
      <w:r>
        <w:rPr>
          <w:rFonts w:hint="eastAsia"/>
          <w:sz w:val="21"/>
          <w:szCs w:val="21"/>
        </w:rPr>
        <w:t xml:space="preserve">传真：010-65187032 </w:t>
      </w:r>
    </w:p>
    <w:p w14:paraId="5B8DC7C3">
      <w:pPr>
        <w:pStyle w:val="8"/>
        <w:spacing w:before="0" w:beforeAutospacing="0" w:after="0" w:afterAutospacing="0" w:line="360" w:lineRule="auto"/>
        <w:ind w:firstLine="420"/>
        <w:rPr>
          <w:sz w:val="21"/>
          <w:szCs w:val="21"/>
        </w:rPr>
      </w:pPr>
      <w:r>
        <w:rPr>
          <w:rFonts w:hint="eastAsia"/>
          <w:sz w:val="21"/>
          <w:szCs w:val="21"/>
        </w:rPr>
        <w:t xml:space="preserve">联系人：韩明亮 </w:t>
      </w:r>
    </w:p>
    <w:p w14:paraId="6CB85D03">
      <w:pPr>
        <w:pStyle w:val="8"/>
        <w:spacing w:before="0" w:beforeAutospacing="0" w:after="0" w:afterAutospacing="0" w:line="360" w:lineRule="auto"/>
        <w:ind w:firstLine="420"/>
        <w:rPr>
          <w:sz w:val="21"/>
          <w:szCs w:val="21"/>
        </w:rPr>
      </w:pPr>
      <w:bookmarkStart w:id="61" w:name="chapter_level1_7_56_section_1_end"/>
      <w:bookmarkEnd w:id="61"/>
      <w:r>
        <w:rPr>
          <w:rFonts w:hint="eastAsia"/>
          <w:sz w:val="21"/>
          <w:szCs w:val="21"/>
        </w:rPr>
        <w:t xml:space="preserve">博时一线通：95105568（免长途话费） </w:t>
      </w:r>
      <w:bookmarkStart w:id="62" w:name="field_0_marketcompanyinfo_1_end"/>
      <w:bookmarkEnd w:id="62"/>
      <w:r>
        <w:rPr>
          <w:rFonts w:hint="eastAsia"/>
          <w:sz w:val="21"/>
          <w:szCs w:val="21"/>
        </w:rPr>
        <w:t xml:space="preserve">  </w:t>
      </w:r>
    </w:p>
    <w:p w14:paraId="1AEAB179">
      <w:pPr>
        <w:pStyle w:val="8"/>
        <w:spacing w:before="0" w:beforeAutospacing="0" w:after="0" w:afterAutospacing="0" w:line="360" w:lineRule="auto"/>
        <w:ind w:firstLine="420"/>
        <w:rPr>
          <w:sz w:val="21"/>
          <w:szCs w:val="21"/>
        </w:rPr>
      </w:pPr>
      <w:bookmarkStart w:id="63" w:name="chapter_level1_7_56_section_2"/>
      <w:bookmarkEnd w:id="63"/>
      <w:r>
        <w:rPr>
          <w:rFonts w:hint="eastAsia"/>
          <w:sz w:val="21"/>
          <w:szCs w:val="21"/>
        </w:rPr>
        <w:t xml:space="preserve">2、代销机构 </w:t>
      </w:r>
    </w:p>
    <w:p w14:paraId="5B44D37B">
      <w:pPr>
        <w:pStyle w:val="8"/>
        <w:spacing w:before="0" w:beforeAutospacing="0" w:after="0" w:afterAutospacing="0" w:line="360" w:lineRule="auto"/>
        <w:ind w:firstLine="420"/>
        <w:rPr>
          <w:sz w:val="21"/>
          <w:szCs w:val="21"/>
        </w:rPr>
      </w:pPr>
      <w:bookmarkStart w:id="64" w:name="field_0_allproxysaletables_1_start"/>
      <w:bookmarkEnd w:id="64"/>
      <w:r>
        <w:rPr>
          <w:rFonts w:hint="eastAsia"/>
          <w:b/>
          <w:bCs/>
          <w:sz w:val="21"/>
          <w:szCs w:val="21"/>
        </w:rPr>
        <w:t>(1)兴业银行股份有限公司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3976D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B1B9B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E54BC8F">
            <w:pPr>
              <w:rPr>
                <w:rFonts w:ascii="宋体" w:hAnsi="宋体" w:eastAsia="宋体" w:cs="宋体"/>
                <w:sz w:val="24"/>
                <w:szCs w:val="24"/>
              </w:rPr>
            </w:pPr>
            <w:r>
              <w:rPr>
                <w:rFonts w:hint="eastAsia" w:ascii="宋体" w:hAnsi="宋体" w:eastAsia="宋体"/>
              </w:rPr>
              <w:t xml:space="preserve">福州市湖东路154号 </w:t>
            </w:r>
          </w:p>
        </w:tc>
      </w:tr>
      <w:tr w14:paraId="3AB22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2E9F2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AAF54DA">
            <w:pPr>
              <w:rPr>
                <w:rFonts w:ascii="宋体" w:hAnsi="宋体" w:eastAsia="宋体" w:cs="宋体"/>
                <w:sz w:val="24"/>
                <w:szCs w:val="24"/>
              </w:rPr>
            </w:pPr>
            <w:r>
              <w:rPr>
                <w:rFonts w:hint="eastAsia" w:ascii="宋体" w:hAnsi="宋体" w:eastAsia="宋体"/>
              </w:rPr>
              <w:t xml:space="preserve">上海市江宁路168号 </w:t>
            </w:r>
          </w:p>
        </w:tc>
      </w:tr>
      <w:tr w14:paraId="1050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C52CF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E3086F1">
            <w:pPr>
              <w:rPr>
                <w:rFonts w:ascii="宋体" w:hAnsi="宋体" w:eastAsia="宋体" w:cs="宋体"/>
                <w:sz w:val="24"/>
                <w:szCs w:val="24"/>
              </w:rPr>
            </w:pPr>
            <w:r>
              <w:rPr>
                <w:rFonts w:hint="eastAsia" w:ascii="宋体" w:hAnsi="宋体" w:eastAsia="宋体"/>
              </w:rPr>
              <w:t xml:space="preserve">吕家进 </w:t>
            </w:r>
          </w:p>
        </w:tc>
      </w:tr>
      <w:tr w14:paraId="7FECA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115E97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D180494">
            <w:pPr>
              <w:rPr>
                <w:rFonts w:ascii="宋体" w:hAnsi="宋体" w:eastAsia="宋体" w:cs="宋体"/>
                <w:sz w:val="24"/>
                <w:szCs w:val="24"/>
              </w:rPr>
            </w:pPr>
            <w:r>
              <w:rPr>
                <w:rFonts w:hint="eastAsia" w:ascii="宋体" w:hAnsi="宋体" w:eastAsia="宋体"/>
              </w:rPr>
              <w:t xml:space="preserve">曾鸣 </w:t>
            </w:r>
          </w:p>
        </w:tc>
      </w:tr>
      <w:tr w14:paraId="60E4B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4D8B7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F99386E">
            <w:pPr>
              <w:rPr>
                <w:rFonts w:ascii="宋体" w:hAnsi="宋体" w:eastAsia="宋体" w:cs="宋体"/>
                <w:sz w:val="24"/>
                <w:szCs w:val="24"/>
              </w:rPr>
            </w:pPr>
            <w:r>
              <w:rPr>
                <w:rFonts w:hint="eastAsia" w:ascii="宋体" w:hAnsi="宋体" w:eastAsia="宋体"/>
              </w:rPr>
              <w:t xml:space="preserve">021-52629999 </w:t>
            </w:r>
          </w:p>
        </w:tc>
      </w:tr>
      <w:tr w14:paraId="36938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97A4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838BECD">
            <w:pPr>
              <w:rPr>
                <w:rFonts w:ascii="宋体" w:hAnsi="宋体" w:eastAsia="宋体" w:cs="宋体"/>
                <w:sz w:val="24"/>
                <w:szCs w:val="24"/>
              </w:rPr>
            </w:pPr>
            <w:r>
              <w:rPr>
                <w:rFonts w:hint="eastAsia" w:ascii="宋体" w:hAnsi="宋体" w:eastAsia="宋体"/>
              </w:rPr>
              <w:t xml:space="preserve">95561 </w:t>
            </w:r>
          </w:p>
        </w:tc>
      </w:tr>
      <w:tr w14:paraId="5CDA4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66037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5544B4">
            <w:pPr>
              <w:rPr>
                <w:rFonts w:ascii="宋体" w:hAnsi="宋体" w:eastAsia="宋体" w:cs="宋体"/>
                <w:sz w:val="24"/>
                <w:szCs w:val="24"/>
              </w:rPr>
            </w:pPr>
            <w:r>
              <w:rPr>
                <w:rFonts w:hint="eastAsia" w:ascii="宋体" w:hAnsi="宋体" w:eastAsia="宋体"/>
              </w:rPr>
              <w:t xml:space="preserve">www.cib.com.cn </w:t>
            </w:r>
          </w:p>
        </w:tc>
      </w:tr>
    </w:tbl>
    <w:p w14:paraId="36FE1007">
      <w:pPr>
        <w:pStyle w:val="8"/>
        <w:spacing w:before="0" w:beforeAutospacing="0" w:after="0" w:afterAutospacing="0" w:line="360" w:lineRule="auto"/>
        <w:ind w:firstLine="420"/>
        <w:rPr>
          <w:sz w:val="21"/>
          <w:szCs w:val="21"/>
        </w:rPr>
      </w:pPr>
      <w:r>
        <w:rPr>
          <w:rFonts w:hint="eastAsia"/>
          <w:b/>
          <w:bCs/>
          <w:sz w:val="21"/>
          <w:szCs w:val="21"/>
        </w:rPr>
        <w:t>(2)浙商银行股份有限公司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21D82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C004D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7F1043F">
            <w:pPr>
              <w:rPr>
                <w:rFonts w:ascii="宋体" w:hAnsi="宋体" w:eastAsia="宋体" w:cs="宋体"/>
                <w:sz w:val="24"/>
                <w:szCs w:val="24"/>
              </w:rPr>
            </w:pPr>
            <w:r>
              <w:rPr>
                <w:rFonts w:hint="eastAsia" w:ascii="宋体" w:hAnsi="宋体" w:eastAsia="宋体"/>
              </w:rPr>
              <w:t xml:space="preserve">浙江省杭州市庆春路288号 </w:t>
            </w:r>
          </w:p>
        </w:tc>
      </w:tr>
      <w:tr w14:paraId="52687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D2A51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D5A91D2">
            <w:pPr>
              <w:rPr>
                <w:rFonts w:ascii="宋体" w:hAnsi="宋体" w:eastAsia="宋体" w:cs="宋体"/>
                <w:sz w:val="24"/>
                <w:szCs w:val="24"/>
              </w:rPr>
            </w:pPr>
            <w:r>
              <w:rPr>
                <w:rFonts w:hint="eastAsia" w:ascii="宋体" w:hAnsi="宋体" w:eastAsia="宋体"/>
              </w:rPr>
              <w:t xml:space="preserve">浙江省杭州市庆春路288号 </w:t>
            </w:r>
          </w:p>
        </w:tc>
      </w:tr>
      <w:tr w14:paraId="61CF2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52156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92668C2">
            <w:pPr>
              <w:rPr>
                <w:rFonts w:ascii="宋体" w:hAnsi="宋体" w:eastAsia="宋体" w:cs="宋体"/>
                <w:sz w:val="24"/>
                <w:szCs w:val="24"/>
              </w:rPr>
            </w:pPr>
            <w:r>
              <w:rPr>
                <w:rFonts w:hint="eastAsia" w:ascii="宋体" w:hAnsi="宋体" w:eastAsia="宋体"/>
              </w:rPr>
              <w:t xml:space="preserve">张达洋 </w:t>
            </w:r>
          </w:p>
        </w:tc>
      </w:tr>
      <w:tr w14:paraId="1FD83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06D27D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14F4D1D">
            <w:pPr>
              <w:rPr>
                <w:rFonts w:ascii="宋体" w:hAnsi="宋体" w:eastAsia="宋体" w:cs="宋体"/>
                <w:sz w:val="24"/>
                <w:szCs w:val="24"/>
              </w:rPr>
            </w:pPr>
            <w:r>
              <w:rPr>
                <w:rFonts w:hint="eastAsia" w:ascii="宋体" w:hAnsi="宋体" w:eastAsia="宋体"/>
              </w:rPr>
              <w:t xml:space="preserve">毛真海 </w:t>
            </w:r>
          </w:p>
        </w:tc>
      </w:tr>
      <w:tr w14:paraId="00611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7FB7C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D618E6D">
            <w:pPr>
              <w:rPr>
                <w:rFonts w:ascii="宋体" w:hAnsi="宋体" w:eastAsia="宋体" w:cs="宋体"/>
                <w:sz w:val="24"/>
                <w:szCs w:val="24"/>
              </w:rPr>
            </w:pPr>
            <w:r>
              <w:rPr>
                <w:rFonts w:hint="eastAsia" w:ascii="宋体" w:hAnsi="宋体" w:eastAsia="宋体"/>
              </w:rPr>
              <w:t xml:space="preserve">0571-87659546 </w:t>
            </w:r>
          </w:p>
        </w:tc>
      </w:tr>
      <w:tr w14:paraId="44466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A9D2A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F67B8F1">
            <w:pPr>
              <w:rPr>
                <w:rFonts w:ascii="宋体" w:hAnsi="宋体" w:eastAsia="宋体" w:cs="宋体"/>
                <w:sz w:val="24"/>
                <w:szCs w:val="24"/>
              </w:rPr>
            </w:pPr>
            <w:r>
              <w:rPr>
                <w:rFonts w:hint="eastAsia" w:ascii="宋体" w:hAnsi="宋体" w:eastAsia="宋体"/>
              </w:rPr>
              <w:t xml:space="preserve">0571-87659188 </w:t>
            </w:r>
          </w:p>
        </w:tc>
      </w:tr>
      <w:tr w14:paraId="1FDF1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C2991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A9F4CD5">
            <w:pPr>
              <w:rPr>
                <w:rFonts w:ascii="宋体" w:hAnsi="宋体" w:eastAsia="宋体" w:cs="宋体"/>
                <w:sz w:val="24"/>
                <w:szCs w:val="24"/>
              </w:rPr>
            </w:pPr>
            <w:r>
              <w:rPr>
                <w:rFonts w:hint="eastAsia" w:ascii="宋体" w:hAnsi="宋体" w:eastAsia="宋体"/>
              </w:rPr>
              <w:t xml:space="preserve">95527 </w:t>
            </w:r>
          </w:p>
        </w:tc>
      </w:tr>
      <w:tr w14:paraId="3DE51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711C8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876A3D3">
            <w:pPr>
              <w:rPr>
                <w:rFonts w:ascii="宋体" w:hAnsi="宋体" w:eastAsia="宋体" w:cs="宋体"/>
                <w:sz w:val="24"/>
                <w:szCs w:val="24"/>
              </w:rPr>
            </w:pPr>
            <w:r>
              <w:rPr>
                <w:rFonts w:hint="eastAsia" w:ascii="宋体" w:hAnsi="宋体" w:eastAsia="宋体"/>
              </w:rPr>
              <w:t xml:space="preserve">http://www.czbank.com </w:t>
            </w:r>
          </w:p>
        </w:tc>
      </w:tr>
    </w:tbl>
    <w:p w14:paraId="1DF458F1">
      <w:pPr>
        <w:pStyle w:val="8"/>
        <w:spacing w:before="0" w:beforeAutospacing="0" w:after="0" w:afterAutospacing="0" w:line="360" w:lineRule="auto"/>
        <w:ind w:firstLine="420"/>
        <w:rPr>
          <w:sz w:val="21"/>
          <w:szCs w:val="21"/>
        </w:rPr>
      </w:pPr>
      <w:r>
        <w:rPr>
          <w:rFonts w:hint="eastAsia"/>
          <w:b/>
          <w:bCs/>
          <w:sz w:val="21"/>
          <w:szCs w:val="21"/>
        </w:rPr>
        <w:t>(3)渤海银行股份有限公司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ADB8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E035D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45675AE">
            <w:pPr>
              <w:rPr>
                <w:rFonts w:ascii="宋体" w:hAnsi="宋体" w:eastAsia="宋体" w:cs="宋体"/>
                <w:sz w:val="24"/>
                <w:szCs w:val="24"/>
              </w:rPr>
            </w:pPr>
            <w:r>
              <w:rPr>
                <w:rFonts w:hint="eastAsia" w:ascii="宋体" w:hAnsi="宋体" w:eastAsia="宋体"/>
              </w:rPr>
              <w:t xml:space="preserve">天津市河东区海河东路218号 </w:t>
            </w:r>
          </w:p>
        </w:tc>
      </w:tr>
      <w:tr w14:paraId="6E135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24966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5728891">
            <w:pPr>
              <w:rPr>
                <w:rFonts w:ascii="宋体" w:hAnsi="宋体" w:eastAsia="宋体" w:cs="宋体"/>
                <w:sz w:val="24"/>
                <w:szCs w:val="24"/>
              </w:rPr>
            </w:pPr>
            <w:r>
              <w:rPr>
                <w:rFonts w:hint="eastAsia" w:ascii="宋体" w:hAnsi="宋体" w:eastAsia="宋体"/>
              </w:rPr>
              <w:t xml:space="preserve">天津市河东区海河东路218号 </w:t>
            </w:r>
          </w:p>
        </w:tc>
      </w:tr>
      <w:tr w14:paraId="40DE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CEEA9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F02BDAD">
            <w:pPr>
              <w:rPr>
                <w:rFonts w:ascii="宋体" w:hAnsi="宋体" w:eastAsia="宋体" w:cs="宋体"/>
                <w:sz w:val="24"/>
                <w:szCs w:val="24"/>
              </w:rPr>
            </w:pPr>
            <w:r>
              <w:rPr>
                <w:rFonts w:hint="eastAsia" w:ascii="宋体" w:hAnsi="宋体" w:eastAsia="宋体"/>
              </w:rPr>
              <w:t xml:space="preserve">李伏安 </w:t>
            </w:r>
          </w:p>
        </w:tc>
      </w:tr>
      <w:tr w14:paraId="2CF21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88F9CF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7DF1893">
            <w:pPr>
              <w:rPr>
                <w:rFonts w:ascii="宋体" w:hAnsi="宋体" w:eastAsia="宋体" w:cs="宋体"/>
                <w:sz w:val="24"/>
                <w:szCs w:val="24"/>
              </w:rPr>
            </w:pPr>
            <w:r>
              <w:rPr>
                <w:rFonts w:hint="eastAsia" w:ascii="宋体" w:hAnsi="宋体" w:eastAsia="宋体"/>
              </w:rPr>
              <w:t xml:space="preserve">王宏 </w:t>
            </w:r>
          </w:p>
        </w:tc>
      </w:tr>
      <w:tr w14:paraId="720AF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D4300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95A711A">
            <w:pPr>
              <w:rPr>
                <w:rFonts w:ascii="宋体" w:hAnsi="宋体" w:eastAsia="宋体" w:cs="宋体"/>
                <w:sz w:val="24"/>
                <w:szCs w:val="24"/>
              </w:rPr>
            </w:pPr>
            <w:r>
              <w:rPr>
                <w:rFonts w:hint="eastAsia" w:ascii="宋体" w:hAnsi="宋体" w:eastAsia="宋体"/>
              </w:rPr>
              <w:t xml:space="preserve">022-58316666 </w:t>
            </w:r>
          </w:p>
        </w:tc>
      </w:tr>
      <w:tr w14:paraId="248A1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96CCE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DC925CD">
            <w:pPr>
              <w:rPr>
                <w:rFonts w:ascii="宋体" w:hAnsi="宋体" w:eastAsia="宋体" w:cs="宋体"/>
                <w:sz w:val="24"/>
                <w:szCs w:val="24"/>
              </w:rPr>
            </w:pPr>
            <w:r>
              <w:rPr>
                <w:rFonts w:hint="eastAsia" w:ascii="宋体" w:hAnsi="宋体" w:eastAsia="宋体"/>
              </w:rPr>
              <w:t xml:space="preserve">022-58316569 </w:t>
            </w:r>
          </w:p>
        </w:tc>
      </w:tr>
      <w:tr w14:paraId="5883A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66E4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7BF8B29">
            <w:pPr>
              <w:rPr>
                <w:rFonts w:ascii="宋体" w:hAnsi="宋体" w:eastAsia="宋体" w:cs="宋体"/>
                <w:sz w:val="24"/>
                <w:szCs w:val="24"/>
              </w:rPr>
            </w:pPr>
            <w:r>
              <w:rPr>
                <w:rFonts w:hint="eastAsia" w:ascii="宋体" w:hAnsi="宋体" w:eastAsia="宋体"/>
              </w:rPr>
              <w:t xml:space="preserve">95541 </w:t>
            </w:r>
          </w:p>
        </w:tc>
      </w:tr>
      <w:tr w14:paraId="7256D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DB490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F01F7CC">
            <w:pPr>
              <w:rPr>
                <w:rFonts w:ascii="宋体" w:hAnsi="宋体" w:eastAsia="宋体" w:cs="宋体"/>
                <w:sz w:val="24"/>
                <w:szCs w:val="24"/>
              </w:rPr>
            </w:pPr>
            <w:r>
              <w:rPr>
                <w:rFonts w:hint="eastAsia" w:ascii="宋体" w:hAnsi="宋体" w:eastAsia="宋体"/>
              </w:rPr>
              <w:t xml:space="preserve">http://www.cbhb.com.cn </w:t>
            </w:r>
          </w:p>
        </w:tc>
      </w:tr>
    </w:tbl>
    <w:p w14:paraId="6A5D0DD7">
      <w:pPr>
        <w:pStyle w:val="8"/>
        <w:spacing w:before="0" w:beforeAutospacing="0" w:after="0" w:afterAutospacing="0" w:line="360" w:lineRule="auto"/>
        <w:ind w:firstLine="420"/>
        <w:rPr>
          <w:sz w:val="21"/>
          <w:szCs w:val="21"/>
        </w:rPr>
      </w:pPr>
      <w:r>
        <w:rPr>
          <w:rFonts w:hint="eastAsia"/>
          <w:b/>
          <w:bCs/>
          <w:sz w:val="21"/>
          <w:szCs w:val="21"/>
        </w:rPr>
        <w:t>(4)东莞农村商业银行股份有限公司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2E618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52B54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1C566B3">
            <w:pPr>
              <w:rPr>
                <w:rFonts w:ascii="宋体" w:hAnsi="宋体" w:eastAsia="宋体" w:cs="宋体"/>
                <w:sz w:val="24"/>
                <w:szCs w:val="24"/>
              </w:rPr>
            </w:pPr>
            <w:r>
              <w:rPr>
                <w:rFonts w:hint="eastAsia" w:ascii="宋体" w:hAnsi="宋体" w:eastAsia="宋体"/>
              </w:rPr>
              <w:t xml:space="preserve">广东省东莞市东城区鸿福东路2号 </w:t>
            </w:r>
          </w:p>
        </w:tc>
      </w:tr>
      <w:tr w14:paraId="668AB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EBFB6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38610E4">
            <w:pPr>
              <w:rPr>
                <w:rFonts w:ascii="宋体" w:hAnsi="宋体" w:eastAsia="宋体" w:cs="宋体"/>
                <w:sz w:val="24"/>
                <w:szCs w:val="24"/>
              </w:rPr>
            </w:pPr>
            <w:r>
              <w:rPr>
                <w:rFonts w:hint="eastAsia" w:ascii="宋体" w:hAnsi="宋体" w:eastAsia="宋体"/>
              </w:rPr>
              <w:t xml:space="preserve">广东省东莞市东城区鸿福东路2号东莞农商银行大厦 </w:t>
            </w:r>
          </w:p>
        </w:tc>
      </w:tr>
      <w:tr w14:paraId="33DA5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BDF81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DF19874">
            <w:pPr>
              <w:rPr>
                <w:rFonts w:ascii="宋体" w:hAnsi="宋体" w:eastAsia="宋体" w:cs="宋体"/>
                <w:sz w:val="24"/>
                <w:szCs w:val="24"/>
              </w:rPr>
            </w:pPr>
            <w:r>
              <w:rPr>
                <w:rFonts w:hint="eastAsia" w:ascii="宋体" w:hAnsi="宋体" w:eastAsia="宋体"/>
              </w:rPr>
              <w:t xml:space="preserve">王耀球 </w:t>
            </w:r>
          </w:p>
        </w:tc>
      </w:tr>
      <w:tr w14:paraId="6E0D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C2AC61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352959E">
            <w:pPr>
              <w:rPr>
                <w:rFonts w:ascii="宋体" w:hAnsi="宋体" w:eastAsia="宋体" w:cs="宋体"/>
                <w:sz w:val="24"/>
                <w:szCs w:val="24"/>
              </w:rPr>
            </w:pPr>
            <w:r>
              <w:rPr>
                <w:rFonts w:hint="eastAsia" w:ascii="宋体" w:hAnsi="宋体" w:eastAsia="宋体"/>
              </w:rPr>
              <w:t xml:space="preserve">杨亢 </w:t>
            </w:r>
          </w:p>
        </w:tc>
      </w:tr>
      <w:tr w14:paraId="5398B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F4D87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94B3ED7">
            <w:pPr>
              <w:rPr>
                <w:rFonts w:ascii="宋体" w:hAnsi="宋体" w:eastAsia="宋体" w:cs="宋体"/>
                <w:sz w:val="24"/>
                <w:szCs w:val="24"/>
              </w:rPr>
            </w:pPr>
            <w:r>
              <w:rPr>
                <w:rFonts w:hint="eastAsia" w:ascii="宋体" w:hAnsi="宋体" w:eastAsia="宋体"/>
              </w:rPr>
              <w:t xml:space="preserve">0769-22866270 </w:t>
            </w:r>
          </w:p>
        </w:tc>
      </w:tr>
      <w:tr w14:paraId="58289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16E8F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BF0A0B7">
            <w:pPr>
              <w:rPr>
                <w:rFonts w:ascii="宋体" w:hAnsi="宋体" w:eastAsia="宋体" w:cs="宋体"/>
                <w:sz w:val="24"/>
                <w:szCs w:val="24"/>
              </w:rPr>
            </w:pPr>
            <w:r>
              <w:rPr>
                <w:rFonts w:hint="eastAsia" w:ascii="宋体" w:hAnsi="宋体" w:eastAsia="宋体"/>
              </w:rPr>
              <w:t xml:space="preserve">0769-22866282 </w:t>
            </w:r>
          </w:p>
        </w:tc>
      </w:tr>
      <w:tr w14:paraId="40918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18125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179D8CB">
            <w:pPr>
              <w:rPr>
                <w:rFonts w:ascii="宋体" w:hAnsi="宋体" w:eastAsia="宋体" w:cs="宋体"/>
                <w:sz w:val="24"/>
                <w:szCs w:val="24"/>
              </w:rPr>
            </w:pPr>
            <w:r>
              <w:rPr>
                <w:rFonts w:hint="eastAsia" w:ascii="宋体" w:hAnsi="宋体" w:eastAsia="宋体"/>
              </w:rPr>
              <w:t xml:space="preserve">961122 </w:t>
            </w:r>
          </w:p>
        </w:tc>
      </w:tr>
      <w:tr w14:paraId="21CBF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B3624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3537911">
            <w:pPr>
              <w:rPr>
                <w:rFonts w:ascii="宋体" w:hAnsi="宋体" w:eastAsia="宋体" w:cs="宋体"/>
                <w:sz w:val="24"/>
                <w:szCs w:val="24"/>
              </w:rPr>
            </w:pPr>
            <w:r>
              <w:rPr>
                <w:rFonts w:hint="eastAsia" w:ascii="宋体" w:hAnsi="宋体" w:eastAsia="宋体"/>
              </w:rPr>
              <w:t xml:space="preserve">http://www.drcbank.com/ </w:t>
            </w:r>
          </w:p>
        </w:tc>
      </w:tr>
    </w:tbl>
    <w:p w14:paraId="39CA4BC8">
      <w:pPr>
        <w:pStyle w:val="8"/>
        <w:spacing w:before="0" w:beforeAutospacing="0" w:after="0" w:afterAutospacing="0" w:line="360" w:lineRule="auto"/>
        <w:ind w:firstLine="420"/>
        <w:rPr>
          <w:sz w:val="21"/>
          <w:szCs w:val="21"/>
        </w:rPr>
      </w:pPr>
      <w:r>
        <w:rPr>
          <w:rFonts w:hint="eastAsia"/>
          <w:b/>
          <w:bCs/>
          <w:sz w:val="21"/>
          <w:szCs w:val="21"/>
        </w:rPr>
        <w:t>(5)晋商银行股份有限公司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1896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9446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F5A0309">
            <w:pPr>
              <w:rPr>
                <w:rFonts w:ascii="宋体" w:hAnsi="宋体" w:eastAsia="宋体" w:cs="宋体"/>
                <w:sz w:val="24"/>
                <w:szCs w:val="24"/>
              </w:rPr>
            </w:pPr>
            <w:r>
              <w:rPr>
                <w:rFonts w:hint="eastAsia" w:ascii="宋体" w:hAnsi="宋体" w:eastAsia="宋体"/>
              </w:rPr>
              <w:t xml:space="preserve">山西省太原市万柏林区长风西街一号丽华大厦 </w:t>
            </w:r>
          </w:p>
        </w:tc>
      </w:tr>
      <w:tr w14:paraId="27434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0A68A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C4F3B01">
            <w:pPr>
              <w:rPr>
                <w:rFonts w:ascii="宋体" w:hAnsi="宋体" w:eastAsia="宋体" w:cs="宋体"/>
                <w:sz w:val="24"/>
                <w:szCs w:val="24"/>
              </w:rPr>
            </w:pPr>
            <w:r>
              <w:rPr>
                <w:rFonts w:hint="eastAsia" w:ascii="宋体" w:hAnsi="宋体" w:eastAsia="宋体"/>
              </w:rPr>
              <w:t xml:space="preserve">山西省太原市万柏林区长风西街一号丽华大厦 </w:t>
            </w:r>
          </w:p>
        </w:tc>
      </w:tr>
      <w:tr w14:paraId="27D75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2C0B4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80D146C">
            <w:pPr>
              <w:rPr>
                <w:rFonts w:ascii="宋体" w:hAnsi="宋体" w:eastAsia="宋体" w:cs="宋体"/>
                <w:sz w:val="24"/>
                <w:szCs w:val="24"/>
              </w:rPr>
            </w:pPr>
            <w:r>
              <w:rPr>
                <w:rFonts w:hint="eastAsia" w:ascii="宋体" w:hAnsi="宋体" w:eastAsia="宋体"/>
              </w:rPr>
              <w:t xml:space="preserve">阎俊生 </w:t>
            </w:r>
          </w:p>
        </w:tc>
      </w:tr>
      <w:tr w14:paraId="05E33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1EDA13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3C0B8DB">
            <w:pPr>
              <w:rPr>
                <w:rFonts w:ascii="宋体" w:hAnsi="宋体" w:eastAsia="宋体" w:cs="宋体"/>
                <w:sz w:val="24"/>
                <w:szCs w:val="24"/>
              </w:rPr>
            </w:pPr>
            <w:r>
              <w:rPr>
                <w:rFonts w:hint="eastAsia" w:ascii="宋体" w:hAnsi="宋体" w:eastAsia="宋体"/>
              </w:rPr>
              <w:t xml:space="preserve">董嘉文 </w:t>
            </w:r>
          </w:p>
        </w:tc>
      </w:tr>
      <w:tr w14:paraId="0FDFA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1927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867DABD">
            <w:pPr>
              <w:rPr>
                <w:rFonts w:ascii="宋体" w:hAnsi="宋体" w:eastAsia="宋体" w:cs="宋体"/>
                <w:sz w:val="24"/>
                <w:szCs w:val="24"/>
              </w:rPr>
            </w:pPr>
            <w:r>
              <w:rPr>
                <w:rFonts w:hint="eastAsia" w:ascii="宋体" w:hAnsi="宋体" w:eastAsia="宋体"/>
              </w:rPr>
              <w:t xml:space="preserve">0351-6819926 </w:t>
            </w:r>
          </w:p>
        </w:tc>
      </w:tr>
      <w:tr w14:paraId="23E5A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907BE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E55EF41">
            <w:pPr>
              <w:rPr>
                <w:rFonts w:ascii="宋体" w:hAnsi="宋体" w:eastAsia="宋体" w:cs="宋体"/>
                <w:sz w:val="24"/>
                <w:szCs w:val="24"/>
              </w:rPr>
            </w:pPr>
            <w:r>
              <w:rPr>
                <w:rFonts w:hint="eastAsia" w:ascii="宋体" w:hAnsi="宋体" w:eastAsia="宋体"/>
              </w:rPr>
              <w:t xml:space="preserve">0351-6819926 </w:t>
            </w:r>
          </w:p>
        </w:tc>
      </w:tr>
      <w:tr w14:paraId="6496E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26163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1DD2590">
            <w:pPr>
              <w:rPr>
                <w:rFonts w:ascii="宋体" w:hAnsi="宋体" w:eastAsia="宋体" w:cs="宋体"/>
                <w:sz w:val="24"/>
                <w:szCs w:val="24"/>
              </w:rPr>
            </w:pPr>
            <w:r>
              <w:rPr>
                <w:rFonts w:hint="eastAsia" w:ascii="宋体" w:hAnsi="宋体" w:eastAsia="宋体"/>
              </w:rPr>
              <w:t xml:space="preserve">95105588 </w:t>
            </w:r>
          </w:p>
        </w:tc>
      </w:tr>
      <w:tr w14:paraId="57D01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556CB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00F0D41">
            <w:pPr>
              <w:rPr>
                <w:rFonts w:ascii="宋体" w:hAnsi="宋体" w:eastAsia="宋体" w:cs="宋体"/>
                <w:sz w:val="24"/>
                <w:szCs w:val="24"/>
              </w:rPr>
            </w:pPr>
            <w:r>
              <w:rPr>
                <w:rFonts w:hint="eastAsia" w:ascii="宋体" w:hAnsi="宋体" w:eastAsia="宋体"/>
              </w:rPr>
              <w:t xml:space="preserve">http://www.jshbank.com </w:t>
            </w:r>
          </w:p>
        </w:tc>
      </w:tr>
    </w:tbl>
    <w:p w14:paraId="361AA68F">
      <w:pPr>
        <w:pStyle w:val="8"/>
        <w:spacing w:before="0" w:beforeAutospacing="0" w:after="0" w:afterAutospacing="0" w:line="360" w:lineRule="auto"/>
        <w:ind w:firstLine="420"/>
        <w:rPr>
          <w:sz w:val="21"/>
          <w:szCs w:val="21"/>
        </w:rPr>
      </w:pPr>
      <w:r>
        <w:rPr>
          <w:rFonts w:hint="eastAsia"/>
          <w:b/>
          <w:bCs/>
          <w:sz w:val="21"/>
          <w:szCs w:val="21"/>
        </w:rPr>
        <w:t>(6)深圳市新兰德证券投资咨询有限公司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6C3B5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8AFA0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5731899">
            <w:pPr>
              <w:rPr>
                <w:rFonts w:ascii="宋体" w:hAnsi="宋体" w:eastAsia="宋体" w:cs="宋体"/>
                <w:sz w:val="24"/>
                <w:szCs w:val="24"/>
              </w:rPr>
            </w:pPr>
            <w:r>
              <w:rPr>
                <w:rFonts w:hint="eastAsia" w:ascii="宋体" w:hAnsi="宋体" w:eastAsia="宋体"/>
              </w:rPr>
              <w:t xml:space="preserve">深圳市福田区梅林街道梅都社区中康路136号深圳新一代产业园2栋3703-A </w:t>
            </w:r>
          </w:p>
        </w:tc>
      </w:tr>
      <w:tr w14:paraId="6F7DD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D412A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93754C0">
            <w:pPr>
              <w:rPr>
                <w:rFonts w:ascii="宋体" w:hAnsi="宋体" w:eastAsia="宋体" w:cs="宋体"/>
                <w:sz w:val="24"/>
                <w:szCs w:val="24"/>
              </w:rPr>
            </w:pPr>
            <w:r>
              <w:rPr>
                <w:rFonts w:hint="eastAsia" w:ascii="宋体" w:hAnsi="宋体" w:eastAsia="宋体"/>
              </w:rPr>
              <w:t xml:space="preserve">北京市西城区宣武门外大街28号富卓大厦A座6层 </w:t>
            </w:r>
          </w:p>
        </w:tc>
      </w:tr>
      <w:tr w14:paraId="4ACEA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56446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8EC7A4A">
            <w:pPr>
              <w:rPr>
                <w:rFonts w:ascii="宋体" w:hAnsi="宋体" w:eastAsia="宋体" w:cs="宋体"/>
                <w:sz w:val="24"/>
                <w:szCs w:val="24"/>
              </w:rPr>
            </w:pPr>
            <w:r>
              <w:rPr>
                <w:rFonts w:hint="eastAsia" w:ascii="宋体" w:hAnsi="宋体" w:eastAsia="宋体"/>
              </w:rPr>
              <w:t xml:space="preserve">张斌 </w:t>
            </w:r>
          </w:p>
        </w:tc>
      </w:tr>
      <w:tr w14:paraId="1C8DE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55CE86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CFC5D24">
            <w:pPr>
              <w:rPr>
                <w:rFonts w:ascii="宋体" w:hAnsi="宋体" w:eastAsia="宋体" w:cs="宋体"/>
                <w:sz w:val="24"/>
                <w:szCs w:val="24"/>
              </w:rPr>
            </w:pPr>
            <w:r>
              <w:rPr>
                <w:rFonts w:hint="eastAsia" w:ascii="宋体" w:hAnsi="宋体" w:eastAsia="宋体"/>
              </w:rPr>
              <w:t xml:space="preserve">张燕 </w:t>
            </w:r>
          </w:p>
        </w:tc>
      </w:tr>
      <w:tr w14:paraId="5C066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23D3A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3DD6A7E">
            <w:pPr>
              <w:rPr>
                <w:rFonts w:ascii="宋体" w:hAnsi="宋体" w:eastAsia="宋体" w:cs="宋体"/>
                <w:sz w:val="24"/>
                <w:szCs w:val="24"/>
              </w:rPr>
            </w:pPr>
            <w:r>
              <w:rPr>
                <w:rFonts w:hint="eastAsia" w:ascii="宋体" w:hAnsi="宋体" w:eastAsia="宋体"/>
              </w:rPr>
              <w:t xml:space="preserve">010-58325388 </w:t>
            </w:r>
          </w:p>
        </w:tc>
      </w:tr>
      <w:tr w14:paraId="1BFEF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44F99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852A14A">
            <w:pPr>
              <w:rPr>
                <w:rFonts w:ascii="宋体" w:hAnsi="宋体" w:eastAsia="宋体" w:cs="宋体"/>
                <w:sz w:val="24"/>
                <w:szCs w:val="24"/>
              </w:rPr>
            </w:pPr>
            <w:r>
              <w:rPr>
                <w:rFonts w:hint="eastAsia" w:ascii="宋体" w:hAnsi="宋体" w:eastAsia="宋体"/>
              </w:rPr>
              <w:t xml:space="preserve">010-58325300 </w:t>
            </w:r>
          </w:p>
        </w:tc>
      </w:tr>
      <w:tr w14:paraId="43909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6B408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201AC33">
            <w:pPr>
              <w:rPr>
                <w:rFonts w:ascii="宋体" w:hAnsi="宋体" w:eastAsia="宋体" w:cs="宋体"/>
                <w:sz w:val="24"/>
                <w:szCs w:val="24"/>
              </w:rPr>
            </w:pPr>
            <w:r>
              <w:rPr>
                <w:rFonts w:hint="eastAsia" w:ascii="宋体" w:hAnsi="宋体" w:eastAsia="宋体"/>
              </w:rPr>
              <w:t xml:space="preserve">4000661199-2 </w:t>
            </w:r>
          </w:p>
        </w:tc>
      </w:tr>
      <w:tr w14:paraId="0D1BE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5DD5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27DBD71">
            <w:pPr>
              <w:rPr>
                <w:rFonts w:ascii="宋体" w:hAnsi="宋体" w:eastAsia="宋体" w:cs="宋体"/>
                <w:sz w:val="24"/>
                <w:szCs w:val="24"/>
              </w:rPr>
            </w:pPr>
            <w:r>
              <w:rPr>
                <w:rFonts w:hint="eastAsia" w:ascii="宋体" w:hAnsi="宋体" w:eastAsia="宋体"/>
              </w:rPr>
              <w:t xml:space="preserve">www.xinlande.com.cn </w:t>
            </w:r>
          </w:p>
        </w:tc>
      </w:tr>
    </w:tbl>
    <w:p w14:paraId="74339896">
      <w:pPr>
        <w:pStyle w:val="8"/>
        <w:spacing w:before="0" w:beforeAutospacing="0" w:after="0" w:afterAutospacing="0" w:line="360" w:lineRule="auto"/>
        <w:ind w:firstLine="420"/>
        <w:rPr>
          <w:sz w:val="21"/>
          <w:szCs w:val="21"/>
        </w:rPr>
      </w:pPr>
      <w:r>
        <w:rPr>
          <w:rFonts w:hint="eastAsia"/>
          <w:b/>
          <w:bCs/>
          <w:sz w:val="21"/>
          <w:szCs w:val="21"/>
        </w:rPr>
        <w:t>(7)和讯信息科技有限公司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D28F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972B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FEB8ED8">
            <w:pPr>
              <w:rPr>
                <w:rFonts w:ascii="宋体" w:hAnsi="宋体" w:eastAsia="宋体" w:cs="宋体"/>
                <w:sz w:val="24"/>
                <w:szCs w:val="24"/>
              </w:rPr>
            </w:pPr>
            <w:r>
              <w:rPr>
                <w:rFonts w:hint="eastAsia" w:ascii="宋体" w:hAnsi="宋体" w:eastAsia="宋体"/>
              </w:rPr>
              <w:t xml:space="preserve">北京市朝阳区朝外大街22号泛利大厦10层 </w:t>
            </w:r>
          </w:p>
        </w:tc>
      </w:tr>
      <w:tr w14:paraId="71FB7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F234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3AF7005">
            <w:pPr>
              <w:rPr>
                <w:rFonts w:ascii="宋体" w:hAnsi="宋体" w:eastAsia="宋体" w:cs="宋体"/>
                <w:sz w:val="24"/>
                <w:szCs w:val="24"/>
              </w:rPr>
            </w:pPr>
            <w:r>
              <w:rPr>
                <w:rFonts w:hint="eastAsia" w:ascii="宋体" w:hAnsi="宋体" w:eastAsia="宋体"/>
              </w:rPr>
              <w:t xml:space="preserve">北京市朝阳区朝外大街22号泛利大厦10层 </w:t>
            </w:r>
          </w:p>
        </w:tc>
      </w:tr>
      <w:tr w14:paraId="1F39F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ACED2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03CD2F">
            <w:pPr>
              <w:rPr>
                <w:rFonts w:ascii="宋体" w:hAnsi="宋体" w:eastAsia="宋体" w:cs="宋体"/>
                <w:sz w:val="24"/>
                <w:szCs w:val="24"/>
              </w:rPr>
            </w:pPr>
            <w:r>
              <w:rPr>
                <w:rFonts w:hint="eastAsia" w:ascii="宋体" w:hAnsi="宋体" w:eastAsia="宋体"/>
              </w:rPr>
              <w:t xml:space="preserve">王莉 </w:t>
            </w:r>
          </w:p>
        </w:tc>
      </w:tr>
      <w:tr w14:paraId="4CC79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51DDAD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B5596D6">
            <w:pPr>
              <w:rPr>
                <w:rFonts w:ascii="宋体" w:hAnsi="宋体" w:eastAsia="宋体" w:cs="宋体"/>
                <w:sz w:val="24"/>
                <w:szCs w:val="24"/>
              </w:rPr>
            </w:pPr>
            <w:r>
              <w:rPr>
                <w:rFonts w:hint="eastAsia" w:ascii="宋体" w:hAnsi="宋体" w:eastAsia="宋体"/>
              </w:rPr>
              <w:t xml:space="preserve">张紫薇 </w:t>
            </w:r>
          </w:p>
        </w:tc>
      </w:tr>
      <w:tr w14:paraId="0552B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FC2C4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BD65C00">
            <w:pPr>
              <w:rPr>
                <w:rFonts w:ascii="宋体" w:hAnsi="宋体" w:eastAsia="宋体" w:cs="宋体"/>
                <w:sz w:val="24"/>
                <w:szCs w:val="24"/>
              </w:rPr>
            </w:pPr>
            <w:r>
              <w:rPr>
                <w:rFonts w:hint="eastAsia" w:ascii="宋体" w:hAnsi="宋体" w:eastAsia="宋体"/>
              </w:rPr>
              <w:t xml:space="preserve">0755-82721122-8625 </w:t>
            </w:r>
          </w:p>
        </w:tc>
      </w:tr>
      <w:tr w14:paraId="5D76E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DE20E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DBA5E4F">
            <w:pPr>
              <w:rPr>
                <w:rFonts w:ascii="宋体" w:hAnsi="宋体" w:eastAsia="宋体" w:cs="宋体"/>
                <w:sz w:val="24"/>
                <w:szCs w:val="24"/>
              </w:rPr>
            </w:pPr>
            <w:r>
              <w:rPr>
                <w:rFonts w:hint="eastAsia" w:ascii="宋体" w:hAnsi="宋体" w:eastAsia="宋体"/>
              </w:rPr>
              <w:t xml:space="preserve">0755-82029055 </w:t>
            </w:r>
          </w:p>
        </w:tc>
      </w:tr>
      <w:tr w14:paraId="529FA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4BE4F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0FD445B">
            <w:pPr>
              <w:rPr>
                <w:rFonts w:ascii="宋体" w:hAnsi="宋体" w:eastAsia="宋体" w:cs="宋体"/>
                <w:sz w:val="24"/>
                <w:szCs w:val="24"/>
              </w:rPr>
            </w:pPr>
            <w:r>
              <w:rPr>
                <w:rFonts w:hint="eastAsia" w:ascii="宋体" w:hAnsi="宋体" w:eastAsia="宋体"/>
              </w:rPr>
              <w:t xml:space="preserve">400-920-0022 </w:t>
            </w:r>
          </w:p>
        </w:tc>
      </w:tr>
      <w:tr w14:paraId="01AFB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711A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F94A1AB">
            <w:pPr>
              <w:rPr>
                <w:rFonts w:ascii="宋体" w:hAnsi="宋体" w:eastAsia="宋体" w:cs="宋体"/>
                <w:sz w:val="24"/>
                <w:szCs w:val="24"/>
              </w:rPr>
            </w:pPr>
            <w:r>
              <w:rPr>
                <w:rFonts w:hint="eastAsia" w:ascii="宋体" w:hAnsi="宋体" w:eastAsia="宋体"/>
              </w:rPr>
              <w:t xml:space="preserve">http://Licaike.hexun.com </w:t>
            </w:r>
          </w:p>
        </w:tc>
      </w:tr>
    </w:tbl>
    <w:p w14:paraId="0BFDB714">
      <w:pPr>
        <w:pStyle w:val="8"/>
        <w:spacing w:before="0" w:beforeAutospacing="0" w:after="0" w:afterAutospacing="0" w:line="360" w:lineRule="auto"/>
        <w:ind w:firstLine="420"/>
        <w:rPr>
          <w:sz w:val="21"/>
          <w:szCs w:val="21"/>
        </w:rPr>
      </w:pPr>
      <w:r>
        <w:rPr>
          <w:rFonts w:hint="eastAsia"/>
          <w:b/>
          <w:bCs/>
          <w:sz w:val="21"/>
          <w:szCs w:val="21"/>
        </w:rPr>
        <w:t>(8)贵州省贵文文化基金销售有限公司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287B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E0656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895A174">
            <w:pPr>
              <w:rPr>
                <w:rFonts w:ascii="宋体" w:hAnsi="宋体" w:eastAsia="宋体" w:cs="宋体"/>
                <w:sz w:val="24"/>
                <w:szCs w:val="24"/>
              </w:rPr>
            </w:pPr>
            <w:r>
              <w:rPr>
                <w:rFonts w:hint="eastAsia" w:ascii="宋体" w:hAnsi="宋体" w:eastAsia="宋体"/>
              </w:rPr>
              <w:t xml:space="preserve">贵州省贵阳市南明区龙洞堡电子商务港太升国际A栋2单元5层17号 </w:t>
            </w:r>
          </w:p>
        </w:tc>
      </w:tr>
      <w:tr w14:paraId="725AE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61C07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D66A2D2">
            <w:pPr>
              <w:rPr>
                <w:rFonts w:ascii="宋体" w:hAnsi="宋体" w:eastAsia="宋体" w:cs="宋体"/>
                <w:sz w:val="24"/>
                <w:szCs w:val="24"/>
              </w:rPr>
            </w:pPr>
            <w:r>
              <w:rPr>
                <w:rFonts w:hint="eastAsia" w:ascii="宋体" w:hAnsi="宋体" w:eastAsia="宋体"/>
              </w:rPr>
              <w:t xml:space="preserve">贵州省贵阳市龙洞堡兴业西路CCDI版权云工作基地 二楼 </w:t>
            </w:r>
          </w:p>
        </w:tc>
      </w:tr>
      <w:tr w14:paraId="26A8E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EB11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FE854D0">
            <w:pPr>
              <w:rPr>
                <w:rFonts w:ascii="宋体" w:hAnsi="宋体" w:eastAsia="宋体" w:cs="宋体"/>
                <w:sz w:val="24"/>
                <w:szCs w:val="24"/>
              </w:rPr>
            </w:pPr>
            <w:r>
              <w:rPr>
                <w:rFonts w:hint="eastAsia" w:ascii="宋体" w:hAnsi="宋体" w:eastAsia="宋体"/>
              </w:rPr>
              <w:t xml:space="preserve">陈成 </w:t>
            </w:r>
          </w:p>
        </w:tc>
      </w:tr>
      <w:tr w14:paraId="4D478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4B9389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D38BF28">
            <w:pPr>
              <w:rPr>
                <w:rFonts w:ascii="宋体" w:hAnsi="宋体" w:eastAsia="宋体" w:cs="宋体"/>
                <w:sz w:val="24"/>
                <w:szCs w:val="24"/>
              </w:rPr>
            </w:pPr>
            <w:r>
              <w:rPr>
                <w:rFonts w:hint="eastAsia" w:ascii="宋体" w:hAnsi="宋体" w:eastAsia="宋体"/>
              </w:rPr>
              <w:t xml:space="preserve">李辰 </w:t>
            </w:r>
          </w:p>
        </w:tc>
      </w:tr>
      <w:tr w14:paraId="77E95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D934D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3882919">
            <w:pPr>
              <w:rPr>
                <w:rFonts w:ascii="宋体" w:hAnsi="宋体" w:eastAsia="宋体" w:cs="宋体"/>
                <w:sz w:val="24"/>
                <w:szCs w:val="24"/>
              </w:rPr>
            </w:pPr>
            <w:r>
              <w:rPr>
                <w:rFonts w:hint="eastAsia" w:ascii="宋体" w:hAnsi="宋体" w:eastAsia="宋体"/>
              </w:rPr>
              <w:t xml:space="preserve">17601206766 </w:t>
            </w:r>
          </w:p>
        </w:tc>
      </w:tr>
      <w:tr w14:paraId="4EDED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4DB3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E3B0B0C">
            <w:pPr>
              <w:rPr>
                <w:rFonts w:ascii="宋体" w:hAnsi="宋体" w:eastAsia="宋体" w:cs="宋体"/>
                <w:sz w:val="24"/>
                <w:szCs w:val="24"/>
              </w:rPr>
            </w:pPr>
            <w:r>
              <w:rPr>
                <w:rFonts w:hint="eastAsia" w:ascii="宋体" w:hAnsi="宋体" w:eastAsia="宋体"/>
              </w:rPr>
              <w:t xml:space="preserve">0851-85407888 </w:t>
            </w:r>
          </w:p>
        </w:tc>
      </w:tr>
      <w:tr w14:paraId="2AAE0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F26FF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583EA03">
            <w:pPr>
              <w:rPr>
                <w:rFonts w:ascii="宋体" w:hAnsi="宋体" w:eastAsia="宋体" w:cs="宋体"/>
                <w:sz w:val="24"/>
                <w:szCs w:val="24"/>
              </w:rPr>
            </w:pPr>
            <w:r>
              <w:rPr>
                <w:rFonts w:hint="eastAsia" w:ascii="宋体" w:hAnsi="宋体" w:eastAsia="宋体"/>
              </w:rPr>
              <w:t xml:space="preserve">https://www.gwcaifu.com/ </w:t>
            </w:r>
          </w:p>
        </w:tc>
      </w:tr>
    </w:tbl>
    <w:p w14:paraId="707893EB">
      <w:pPr>
        <w:pStyle w:val="8"/>
        <w:spacing w:before="0" w:beforeAutospacing="0" w:after="0" w:afterAutospacing="0" w:line="360" w:lineRule="auto"/>
        <w:ind w:firstLine="420"/>
        <w:rPr>
          <w:sz w:val="21"/>
          <w:szCs w:val="21"/>
        </w:rPr>
      </w:pPr>
      <w:r>
        <w:rPr>
          <w:rFonts w:hint="eastAsia"/>
          <w:b/>
          <w:bCs/>
          <w:sz w:val="21"/>
          <w:szCs w:val="21"/>
        </w:rPr>
        <w:t>(9)博时财富基金销售有限公司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730E8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176AC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9D8B981">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71F57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CE72E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EB8180F">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2406C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FD97F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84B4444">
            <w:pPr>
              <w:rPr>
                <w:rFonts w:hint="eastAsia" w:ascii="宋体" w:hAnsi="宋体" w:eastAsia="宋体" w:cs="宋体"/>
                <w:sz w:val="24"/>
                <w:szCs w:val="24"/>
                <w:lang w:eastAsia="zh-CN"/>
              </w:rPr>
            </w:pPr>
            <w:r>
              <w:rPr>
                <w:rFonts w:hint="eastAsia" w:ascii="宋体" w:hAnsi="宋体" w:eastAsia="宋体"/>
                <w:lang w:eastAsia="zh-CN"/>
              </w:rPr>
              <w:t>杜松岭</w:t>
            </w:r>
          </w:p>
        </w:tc>
      </w:tr>
      <w:tr w14:paraId="0A9F7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FF2AAD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139F9DE">
            <w:pPr>
              <w:rPr>
                <w:rFonts w:ascii="宋体" w:hAnsi="宋体" w:eastAsia="宋体" w:cs="宋体"/>
                <w:sz w:val="24"/>
                <w:szCs w:val="24"/>
              </w:rPr>
            </w:pPr>
            <w:r>
              <w:rPr>
                <w:rFonts w:hint="eastAsia" w:ascii="宋体" w:hAnsi="宋体" w:eastAsia="宋体"/>
              </w:rPr>
              <w:t xml:space="preserve">崔丹 </w:t>
            </w:r>
          </w:p>
        </w:tc>
      </w:tr>
      <w:tr w14:paraId="66D57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3555D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1C8A2AE">
            <w:pPr>
              <w:rPr>
                <w:rFonts w:ascii="宋体" w:hAnsi="宋体" w:eastAsia="宋体" w:cs="宋体"/>
                <w:sz w:val="24"/>
                <w:szCs w:val="24"/>
              </w:rPr>
            </w:pPr>
            <w:r>
              <w:rPr>
                <w:rFonts w:hint="eastAsia" w:ascii="宋体" w:hAnsi="宋体" w:eastAsia="宋体"/>
              </w:rPr>
              <w:t xml:space="preserve">0755-83169999 </w:t>
            </w:r>
          </w:p>
        </w:tc>
      </w:tr>
      <w:tr w14:paraId="3CA59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7A84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5BE0030">
            <w:pPr>
              <w:rPr>
                <w:rFonts w:ascii="宋体" w:hAnsi="宋体" w:eastAsia="宋体" w:cs="宋体"/>
                <w:sz w:val="24"/>
                <w:szCs w:val="24"/>
              </w:rPr>
            </w:pPr>
            <w:r>
              <w:rPr>
                <w:rFonts w:hint="eastAsia" w:ascii="宋体" w:hAnsi="宋体" w:eastAsia="宋体"/>
              </w:rPr>
              <w:t xml:space="preserve">0755-83195220 </w:t>
            </w:r>
          </w:p>
        </w:tc>
      </w:tr>
      <w:tr w14:paraId="0CE7D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E80F6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B408195">
            <w:pPr>
              <w:rPr>
                <w:rFonts w:ascii="宋体" w:hAnsi="宋体" w:eastAsia="宋体" w:cs="宋体"/>
                <w:sz w:val="24"/>
                <w:szCs w:val="24"/>
              </w:rPr>
            </w:pPr>
            <w:r>
              <w:rPr>
                <w:rFonts w:hint="eastAsia" w:ascii="宋体" w:hAnsi="宋体" w:eastAsia="宋体"/>
              </w:rPr>
              <w:t xml:space="preserve">400-610-5568 </w:t>
            </w:r>
          </w:p>
        </w:tc>
      </w:tr>
      <w:tr w14:paraId="2431C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DE721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818EBF">
            <w:pPr>
              <w:rPr>
                <w:rFonts w:ascii="宋体" w:hAnsi="宋体" w:eastAsia="宋体" w:cs="宋体"/>
                <w:sz w:val="24"/>
                <w:szCs w:val="24"/>
              </w:rPr>
            </w:pPr>
            <w:r>
              <w:rPr>
                <w:rFonts w:hint="eastAsia" w:ascii="宋体" w:hAnsi="宋体" w:eastAsia="宋体"/>
              </w:rPr>
              <w:t xml:space="preserve">www.boserawealth.com </w:t>
            </w:r>
          </w:p>
        </w:tc>
      </w:tr>
    </w:tbl>
    <w:p w14:paraId="470E5D76">
      <w:pPr>
        <w:pStyle w:val="8"/>
        <w:spacing w:before="0" w:beforeAutospacing="0" w:after="0" w:afterAutospacing="0" w:line="360" w:lineRule="auto"/>
        <w:ind w:firstLine="420"/>
        <w:rPr>
          <w:sz w:val="21"/>
          <w:szCs w:val="21"/>
        </w:rPr>
      </w:pPr>
      <w:r>
        <w:rPr>
          <w:rFonts w:hint="eastAsia"/>
          <w:b/>
          <w:bCs/>
          <w:sz w:val="21"/>
          <w:szCs w:val="21"/>
        </w:rPr>
        <w:t>(10)诺亚正行基金销售有限公司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13FB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F18A5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FB6789D">
            <w:pPr>
              <w:rPr>
                <w:rFonts w:ascii="宋体" w:hAnsi="宋体" w:eastAsia="宋体" w:cs="宋体"/>
                <w:sz w:val="24"/>
                <w:szCs w:val="24"/>
              </w:rPr>
            </w:pPr>
            <w:r>
              <w:rPr>
                <w:rFonts w:hint="eastAsia" w:ascii="宋体" w:hAnsi="宋体" w:eastAsia="宋体"/>
              </w:rPr>
              <w:t xml:space="preserve">上海市虹口区飞虹路360弄9号6层 </w:t>
            </w:r>
          </w:p>
        </w:tc>
      </w:tr>
      <w:tr w14:paraId="704EA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F65F3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C246416">
            <w:pPr>
              <w:rPr>
                <w:rFonts w:ascii="宋体" w:hAnsi="宋体" w:eastAsia="宋体" w:cs="宋体"/>
                <w:sz w:val="24"/>
                <w:szCs w:val="24"/>
              </w:rPr>
            </w:pPr>
            <w:r>
              <w:rPr>
                <w:rFonts w:hint="eastAsia" w:ascii="宋体" w:hAnsi="宋体" w:eastAsia="宋体"/>
              </w:rPr>
              <w:t xml:space="preserve">上海市闵行区申滨南路1226号诺亚财富中心 </w:t>
            </w:r>
          </w:p>
        </w:tc>
      </w:tr>
      <w:tr w14:paraId="62B97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EFBAE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3BBE9C1">
            <w:pPr>
              <w:rPr>
                <w:rFonts w:ascii="宋体" w:hAnsi="宋体" w:eastAsia="宋体" w:cs="宋体"/>
                <w:sz w:val="24"/>
                <w:szCs w:val="24"/>
              </w:rPr>
            </w:pPr>
            <w:r>
              <w:rPr>
                <w:rFonts w:hint="eastAsia" w:ascii="宋体" w:hAnsi="宋体" w:eastAsia="宋体"/>
              </w:rPr>
              <w:t xml:space="preserve">吴卫国 </w:t>
            </w:r>
          </w:p>
        </w:tc>
      </w:tr>
      <w:tr w14:paraId="354D4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733FFE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5127B1B">
            <w:pPr>
              <w:rPr>
                <w:rFonts w:ascii="宋体" w:hAnsi="宋体" w:eastAsia="宋体" w:cs="宋体"/>
                <w:sz w:val="24"/>
                <w:szCs w:val="24"/>
              </w:rPr>
            </w:pPr>
            <w:r>
              <w:rPr>
                <w:rFonts w:hint="eastAsia" w:ascii="宋体" w:hAnsi="宋体" w:eastAsia="宋体"/>
              </w:rPr>
              <w:t xml:space="preserve">黄欣文 </w:t>
            </w:r>
          </w:p>
        </w:tc>
      </w:tr>
      <w:tr w14:paraId="259D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E2EE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3C32C9E">
            <w:pPr>
              <w:rPr>
                <w:rFonts w:ascii="宋体" w:hAnsi="宋体" w:eastAsia="宋体" w:cs="宋体"/>
                <w:sz w:val="24"/>
                <w:szCs w:val="24"/>
              </w:rPr>
            </w:pPr>
            <w:r>
              <w:rPr>
                <w:rFonts w:hint="eastAsia" w:ascii="宋体" w:hAnsi="宋体" w:eastAsia="宋体"/>
              </w:rPr>
              <w:t xml:space="preserve">021-38602377 </w:t>
            </w:r>
          </w:p>
        </w:tc>
      </w:tr>
      <w:tr w14:paraId="3F6BD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ED589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C76C81F">
            <w:pPr>
              <w:rPr>
                <w:rFonts w:ascii="宋体" w:hAnsi="宋体" w:eastAsia="宋体" w:cs="宋体"/>
                <w:sz w:val="24"/>
                <w:szCs w:val="24"/>
              </w:rPr>
            </w:pPr>
            <w:r>
              <w:rPr>
                <w:rFonts w:hint="eastAsia" w:ascii="宋体" w:hAnsi="宋体" w:eastAsia="宋体"/>
              </w:rPr>
              <w:t xml:space="preserve">021-38509777 </w:t>
            </w:r>
          </w:p>
        </w:tc>
      </w:tr>
      <w:tr w14:paraId="463D8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2CBAD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E4599FA">
            <w:pPr>
              <w:rPr>
                <w:rFonts w:ascii="宋体" w:hAnsi="宋体" w:eastAsia="宋体" w:cs="宋体"/>
                <w:sz w:val="24"/>
                <w:szCs w:val="24"/>
              </w:rPr>
            </w:pPr>
            <w:r>
              <w:rPr>
                <w:rFonts w:hint="eastAsia" w:ascii="宋体" w:hAnsi="宋体" w:eastAsia="宋体"/>
              </w:rPr>
              <w:t xml:space="preserve">400-821-5399 </w:t>
            </w:r>
          </w:p>
        </w:tc>
      </w:tr>
      <w:tr w14:paraId="22FE4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8A545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640E3E">
            <w:pPr>
              <w:rPr>
                <w:rFonts w:ascii="宋体" w:hAnsi="宋体" w:eastAsia="宋体" w:cs="宋体"/>
                <w:sz w:val="24"/>
                <w:szCs w:val="24"/>
              </w:rPr>
            </w:pPr>
            <w:r>
              <w:rPr>
                <w:rFonts w:hint="eastAsia" w:ascii="宋体" w:hAnsi="宋体" w:eastAsia="宋体"/>
              </w:rPr>
              <w:t xml:space="preserve">http://www.noah-fund.com </w:t>
            </w:r>
          </w:p>
        </w:tc>
      </w:tr>
    </w:tbl>
    <w:p w14:paraId="1B75B534">
      <w:pPr>
        <w:pStyle w:val="8"/>
        <w:spacing w:before="0" w:beforeAutospacing="0" w:after="0" w:afterAutospacing="0" w:line="360" w:lineRule="auto"/>
        <w:ind w:firstLine="420"/>
        <w:rPr>
          <w:sz w:val="21"/>
          <w:szCs w:val="21"/>
        </w:rPr>
      </w:pPr>
      <w:r>
        <w:rPr>
          <w:rFonts w:hint="eastAsia"/>
          <w:b/>
          <w:bCs/>
          <w:sz w:val="21"/>
          <w:szCs w:val="21"/>
        </w:rPr>
        <w:t>(11)深圳众禄基金销售股份有限公司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BDEE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570C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D386E2E">
            <w:pPr>
              <w:rPr>
                <w:rFonts w:ascii="宋体" w:hAnsi="宋体" w:eastAsia="宋体" w:cs="宋体"/>
                <w:sz w:val="24"/>
                <w:szCs w:val="24"/>
              </w:rPr>
            </w:pPr>
            <w:r>
              <w:rPr>
                <w:rFonts w:hint="eastAsia" w:ascii="宋体" w:hAnsi="宋体" w:eastAsia="宋体"/>
              </w:rPr>
              <w:t xml:space="preserve">深圳市罗湖区梨园路物资控股置地大厦8楼 </w:t>
            </w:r>
          </w:p>
        </w:tc>
      </w:tr>
      <w:tr w14:paraId="74E49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14078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687EA4E">
            <w:pPr>
              <w:rPr>
                <w:rFonts w:ascii="宋体" w:hAnsi="宋体" w:eastAsia="宋体" w:cs="宋体"/>
                <w:sz w:val="24"/>
                <w:szCs w:val="24"/>
              </w:rPr>
            </w:pPr>
            <w:r>
              <w:rPr>
                <w:rFonts w:hint="eastAsia" w:ascii="宋体" w:hAnsi="宋体" w:eastAsia="宋体"/>
              </w:rPr>
              <w:t xml:space="preserve">深圳市罗湖区梨园路物资控股置地大厦8楼 </w:t>
            </w:r>
          </w:p>
        </w:tc>
      </w:tr>
      <w:tr w14:paraId="56BC7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A2054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8D14238">
            <w:pPr>
              <w:rPr>
                <w:rFonts w:ascii="宋体" w:hAnsi="宋体" w:eastAsia="宋体" w:cs="宋体"/>
                <w:sz w:val="24"/>
                <w:szCs w:val="24"/>
              </w:rPr>
            </w:pPr>
            <w:r>
              <w:rPr>
                <w:rFonts w:hint="eastAsia" w:ascii="宋体" w:hAnsi="宋体" w:eastAsia="宋体"/>
              </w:rPr>
              <w:t xml:space="preserve">薛峰 </w:t>
            </w:r>
          </w:p>
        </w:tc>
      </w:tr>
      <w:tr w14:paraId="25710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421079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C028CE4">
            <w:pPr>
              <w:rPr>
                <w:rFonts w:ascii="宋体" w:hAnsi="宋体" w:eastAsia="宋体" w:cs="宋体"/>
                <w:sz w:val="24"/>
                <w:szCs w:val="24"/>
              </w:rPr>
            </w:pPr>
            <w:r>
              <w:rPr>
                <w:rFonts w:hint="eastAsia" w:ascii="宋体" w:hAnsi="宋体" w:eastAsia="宋体"/>
              </w:rPr>
              <w:t xml:space="preserve">童彩平 </w:t>
            </w:r>
          </w:p>
        </w:tc>
      </w:tr>
      <w:tr w14:paraId="4417D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B17E0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E8EEAC6">
            <w:pPr>
              <w:rPr>
                <w:rFonts w:ascii="宋体" w:hAnsi="宋体" w:eastAsia="宋体" w:cs="宋体"/>
                <w:sz w:val="24"/>
                <w:szCs w:val="24"/>
              </w:rPr>
            </w:pPr>
            <w:r>
              <w:rPr>
                <w:rFonts w:hint="eastAsia" w:ascii="宋体" w:hAnsi="宋体" w:eastAsia="宋体"/>
              </w:rPr>
              <w:t xml:space="preserve">0755-33227950 </w:t>
            </w:r>
          </w:p>
        </w:tc>
      </w:tr>
      <w:tr w14:paraId="34D2F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69968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8C3ADBA">
            <w:pPr>
              <w:rPr>
                <w:rFonts w:ascii="宋体" w:hAnsi="宋体" w:eastAsia="宋体" w:cs="宋体"/>
                <w:sz w:val="24"/>
                <w:szCs w:val="24"/>
              </w:rPr>
            </w:pPr>
            <w:r>
              <w:rPr>
                <w:rFonts w:hint="eastAsia" w:ascii="宋体" w:hAnsi="宋体" w:eastAsia="宋体"/>
              </w:rPr>
              <w:t xml:space="preserve">0755-33227951 </w:t>
            </w:r>
          </w:p>
        </w:tc>
      </w:tr>
      <w:tr w14:paraId="08B59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420D1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CE6F121">
            <w:pPr>
              <w:rPr>
                <w:rFonts w:ascii="宋体" w:hAnsi="宋体" w:eastAsia="宋体" w:cs="宋体"/>
                <w:sz w:val="24"/>
                <w:szCs w:val="24"/>
              </w:rPr>
            </w:pPr>
            <w:r>
              <w:rPr>
                <w:rFonts w:hint="eastAsia" w:ascii="宋体" w:hAnsi="宋体" w:eastAsia="宋体"/>
              </w:rPr>
              <w:t xml:space="preserve">400-678-8887 </w:t>
            </w:r>
          </w:p>
        </w:tc>
      </w:tr>
      <w:tr w14:paraId="4CEDD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AE022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81E1742">
            <w:pPr>
              <w:rPr>
                <w:rFonts w:ascii="宋体" w:hAnsi="宋体" w:eastAsia="宋体" w:cs="宋体"/>
                <w:sz w:val="24"/>
                <w:szCs w:val="24"/>
              </w:rPr>
            </w:pPr>
            <w:r>
              <w:rPr>
                <w:rFonts w:hint="eastAsia" w:ascii="宋体" w:hAnsi="宋体" w:eastAsia="宋体"/>
              </w:rPr>
              <w:t xml:space="preserve">https://www.zlfund.cn/ </w:t>
            </w:r>
          </w:p>
        </w:tc>
      </w:tr>
    </w:tbl>
    <w:p w14:paraId="5B54622A">
      <w:pPr>
        <w:pStyle w:val="8"/>
        <w:spacing w:before="0" w:beforeAutospacing="0" w:after="0" w:afterAutospacing="0" w:line="360" w:lineRule="auto"/>
        <w:ind w:firstLine="420"/>
        <w:rPr>
          <w:sz w:val="21"/>
          <w:szCs w:val="21"/>
        </w:rPr>
      </w:pPr>
      <w:r>
        <w:rPr>
          <w:rFonts w:hint="eastAsia"/>
          <w:b/>
          <w:bCs/>
          <w:sz w:val="21"/>
          <w:szCs w:val="21"/>
        </w:rPr>
        <w:t>(12)上海天天基金销售有限公司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28865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A9510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DD191F2">
            <w:pPr>
              <w:rPr>
                <w:rFonts w:ascii="宋体" w:hAnsi="宋体" w:eastAsia="宋体" w:cs="宋体"/>
                <w:sz w:val="24"/>
                <w:szCs w:val="24"/>
              </w:rPr>
            </w:pPr>
            <w:r>
              <w:rPr>
                <w:rFonts w:hint="eastAsia" w:ascii="宋体" w:hAnsi="宋体" w:eastAsia="宋体"/>
              </w:rPr>
              <w:t xml:space="preserve">上海市徐汇区龙田路190号2号楼2层 </w:t>
            </w:r>
          </w:p>
        </w:tc>
      </w:tr>
      <w:tr w14:paraId="4FEDA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1B26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E6B7AAC">
            <w:pPr>
              <w:rPr>
                <w:rFonts w:ascii="宋体" w:hAnsi="宋体" w:eastAsia="宋体" w:cs="宋体"/>
                <w:sz w:val="24"/>
                <w:szCs w:val="24"/>
              </w:rPr>
            </w:pPr>
            <w:r>
              <w:rPr>
                <w:rFonts w:hint="eastAsia" w:ascii="宋体" w:hAnsi="宋体" w:eastAsia="宋体"/>
              </w:rPr>
              <w:t xml:space="preserve">上海市徐汇区龙田路195号3C座9楼 </w:t>
            </w:r>
          </w:p>
        </w:tc>
      </w:tr>
      <w:tr w14:paraId="3AD8A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8B9C8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6D7C7EF">
            <w:pPr>
              <w:rPr>
                <w:rFonts w:ascii="宋体" w:hAnsi="宋体" w:eastAsia="宋体" w:cs="宋体"/>
                <w:sz w:val="24"/>
                <w:szCs w:val="24"/>
              </w:rPr>
            </w:pPr>
            <w:r>
              <w:rPr>
                <w:rFonts w:hint="eastAsia" w:ascii="宋体" w:hAnsi="宋体" w:eastAsia="宋体"/>
              </w:rPr>
              <w:t xml:space="preserve">其实 </w:t>
            </w:r>
          </w:p>
        </w:tc>
      </w:tr>
      <w:tr w14:paraId="0F0A6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EA0897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5473ADF">
            <w:pPr>
              <w:rPr>
                <w:rFonts w:ascii="宋体" w:hAnsi="宋体" w:eastAsia="宋体" w:cs="宋体"/>
                <w:sz w:val="24"/>
                <w:szCs w:val="24"/>
              </w:rPr>
            </w:pPr>
            <w:r>
              <w:rPr>
                <w:rFonts w:hint="eastAsia" w:ascii="宋体" w:hAnsi="宋体" w:eastAsia="宋体"/>
              </w:rPr>
              <w:t xml:space="preserve">潘世友 </w:t>
            </w:r>
          </w:p>
        </w:tc>
      </w:tr>
      <w:tr w14:paraId="2D8B2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5CF06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CD40D71">
            <w:pPr>
              <w:rPr>
                <w:rFonts w:ascii="宋体" w:hAnsi="宋体" w:eastAsia="宋体" w:cs="宋体"/>
                <w:sz w:val="24"/>
                <w:szCs w:val="24"/>
              </w:rPr>
            </w:pPr>
            <w:r>
              <w:rPr>
                <w:rFonts w:hint="eastAsia" w:ascii="宋体" w:hAnsi="宋体" w:eastAsia="宋体"/>
              </w:rPr>
              <w:t xml:space="preserve">021-54509998 </w:t>
            </w:r>
          </w:p>
        </w:tc>
      </w:tr>
      <w:tr w14:paraId="49D30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CB7B5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EC4F35B">
            <w:pPr>
              <w:rPr>
                <w:rFonts w:ascii="宋体" w:hAnsi="宋体" w:eastAsia="宋体" w:cs="宋体"/>
                <w:sz w:val="24"/>
                <w:szCs w:val="24"/>
              </w:rPr>
            </w:pPr>
            <w:r>
              <w:rPr>
                <w:rFonts w:hint="eastAsia" w:ascii="宋体" w:hAnsi="宋体" w:eastAsia="宋体"/>
              </w:rPr>
              <w:t xml:space="preserve">021-64385308 </w:t>
            </w:r>
          </w:p>
        </w:tc>
      </w:tr>
      <w:tr w14:paraId="329BB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B9205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3ACA1BC">
            <w:pPr>
              <w:rPr>
                <w:rFonts w:ascii="宋体" w:hAnsi="宋体" w:eastAsia="宋体" w:cs="宋体"/>
                <w:sz w:val="24"/>
                <w:szCs w:val="24"/>
              </w:rPr>
            </w:pPr>
            <w:r>
              <w:rPr>
                <w:rFonts w:hint="eastAsia" w:ascii="宋体" w:hAnsi="宋体" w:eastAsia="宋体"/>
              </w:rPr>
              <w:t xml:space="preserve">400-181-8188 </w:t>
            </w:r>
          </w:p>
        </w:tc>
      </w:tr>
      <w:tr w14:paraId="17940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DE9E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628EF74">
            <w:pPr>
              <w:rPr>
                <w:rFonts w:ascii="宋体" w:hAnsi="宋体" w:eastAsia="宋体" w:cs="宋体"/>
                <w:sz w:val="24"/>
                <w:szCs w:val="24"/>
              </w:rPr>
            </w:pPr>
            <w:r>
              <w:rPr>
                <w:rFonts w:hint="eastAsia" w:ascii="宋体" w:hAnsi="宋体" w:eastAsia="宋体"/>
              </w:rPr>
              <w:t xml:space="preserve">http://www.1234567.com.cn </w:t>
            </w:r>
          </w:p>
        </w:tc>
      </w:tr>
    </w:tbl>
    <w:p w14:paraId="53DE6DCF">
      <w:pPr>
        <w:pStyle w:val="8"/>
        <w:spacing w:before="0" w:beforeAutospacing="0" w:after="0" w:afterAutospacing="0" w:line="360" w:lineRule="auto"/>
        <w:ind w:firstLine="420"/>
        <w:rPr>
          <w:sz w:val="21"/>
          <w:szCs w:val="21"/>
        </w:rPr>
      </w:pPr>
      <w:r>
        <w:rPr>
          <w:rFonts w:hint="eastAsia"/>
          <w:b/>
          <w:bCs/>
          <w:sz w:val="21"/>
          <w:szCs w:val="21"/>
        </w:rPr>
        <w:t>(13)上海好买基金销售有限公司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0713B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AFCD7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D70E297">
            <w:pPr>
              <w:rPr>
                <w:rFonts w:ascii="宋体" w:hAnsi="宋体" w:eastAsia="宋体" w:cs="宋体"/>
                <w:sz w:val="24"/>
                <w:szCs w:val="24"/>
              </w:rPr>
            </w:pPr>
            <w:r>
              <w:rPr>
                <w:rFonts w:hint="eastAsia" w:ascii="宋体" w:hAnsi="宋体" w:eastAsia="宋体"/>
              </w:rPr>
              <w:t xml:space="preserve">上海市虹口区场中路685弄37号4号楼449室 </w:t>
            </w:r>
          </w:p>
        </w:tc>
      </w:tr>
      <w:tr w14:paraId="145ED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8A093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D0BDA81">
            <w:pPr>
              <w:rPr>
                <w:rFonts w:ascii="宋体" w:hAnsi="宋体" w:eastAsia="宋体" w:cs="宋体"/>
                <w:sz w:val="24"/>
                <w:szCs w:val="24"/>
              </w:rPr>
            </w:pPr>
            <w:r>
              <w:rPr>
                <w:rFonts w:hint="eastAsia" w:ascii="宋体" w:hAnsi="宋体" w:eastAsia="宋体"/>
              </w:rPr>
              <w:t xml:space="preserve">上海市浦东新区浦东南路1118号鄂尔多斯国际大厦903～906室 </w:t>
            </w:r>
          </w:p>
        </w:tc>
      </w:tr>
      <w:tr w14:paraId="3A471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32FE5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79D9EF8">
            <w:pPr>
              <w:rPr>
                <w:rFonts w:ascii="宋体" w:hAnsi="宋体" w:eastAsia="宋体" w:cs="宋体"/>
                <w:sz w:val="24"/>
                <w:szCs w:val="24"/>
              </w:rPr>
            </w:pPr>
            <w:r>
              <w:rPr>
                <w:rFonts w:hint="eastAsia" w:ascii="宋体" w:hAnsi="宋体" w:eastAsia="宋体"/>
              </w:rPr>
              <w:t xml:space="preserve">杨文斌 </w:t>
            </w:r>
          </w:p>
        </w:tc>
      </w:tr>
      <w:tr w14:paraId="3F5E9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B9B1EA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A96263F">
            <w:pPr>
              <w:rPr>
                <w:rFonts w:ascii="宋体" w:hAnsi="宋体" w:eastAsia="宋体" w:cs="宋体"/>
                <w:sz w:val="24"/>
                <w:szCs w:val="24"/>
              </w:rPr>
            </w:pPr>
            <w:r>
              <w:rPr>
                <w:rFonts w:hint="eastAsia" w:ascii="宋体" w:hAnsi="宋体" w:eastAsia="宋体"/>
              </w:rPr>
              <w:t xml:space="preserve">张茹 </w:t>
            </w:r>
          </w:p>
        </w:tc>
      </w:tr>
      <w:tr w14:paraId="316A2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CAF22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063C0E4">
            <w:pPr>
              <w:rPr>
                <w:rFonts w:ascii="宋体" w:hAnsi="宋体" w:eastAsia="宋体" w:cs="宋体"/>
                <w:sz w:val="24"/>
                <w:szCs w:val="24"/>
              </w:rPr>
            </w:pPr>
            <w:r>
              <w:rPr>
                <w:rFonts w:hint="eastAsia" w:ascii="宋体" w:hAnsi="宋体" w:eastAsia="宋体"/>
              </w:rPr>
              <w:t xml:space="preserve">021-20613610 </w:t>
            </w:r>
          </w:p>
        </w:tc>
      </w:tr>
      <w:tr w14:paraId="0E818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DDDBA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1E383E7">
            <w:pPr>
              <w:rPr>
                <w:rFonts w:ascii="宋体" w:hAnsi="宋体" w:eastAsia="宋体" w:cs="宋体"/>
                <w:sz w:val="24"/>
                <w:szCs w:val="24"/>
              </w:rPr>
            </w:pPr>
            <w:r>
              <w:rPr>
                <w:rFonts w:hint="eastAsia" w:ascii="宋体" w:hAnsi="宋体" w:eastAsia="宋体"/>
              </w:rPr>
              <w:t xml:space="preserve">400-700-9665 </w:t>
            </w:r>
          </w:p>
        </w:tc>
      </w:tr>
      <w:tr w14:paraId="13658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959E9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EDD5C08">
            <w:pPr>
              <w:rPr>
                <w:rFonts w:ascii="宋体" w:hAnsi="宋体" w:eastAsia="宋体" w:cs="宋体"/>
                <w:sz w:val="24"/>
                <w:szCs w:val="24"/>
              </w:rPr>
            </w:pPr>
            <w:r>
              <w:rPr>
                <w:rFonts w:hint="eastAsia" w:ascii="宋体" w:hAnsi="宋体" w:eastAsia="宋体"/>
              </w:rPr>
              <w:t xml:space="preserve">http://www.howbuy.com </w:t>
            </w:r>
          </w:p>
        </w:tc>
      </w:tr>
    </w:tbl>
    <w:p w14:paraId="20164DB4">
      <w:pPr>
        <w:pStyle w:val="8"/>
        <w:spacing w:before="0" w:beforeAutospacing="0" w:after="0" w:afterAutospacing="0" w:line="360" w:lineRule="auto"/>
        <w:ind w:firstLine="420"/>
        <w:rPr>
          <w:sz w:val="21"/>
          <w:szCs w:val="21"/>
        </w:rPr>
      </w:pPr>
      <w:r>
        <w:rPr>
          <w:rFonts w:hint="eastAsia"/>
          <w:b/>
          <w:bCs/>
          <w:sz w:val="21"/>
          <w:szCs w:val="21"/>
        </w:rPr>
        <w:t>(14)蚂蚁（杭州）基金销售有限公司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2BA4D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E8FEA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2200317">
            <w:pPr>
              <w:rPr>
                <w:rFonts w:ascii="宋体" w:hAnsi="宋体" w:eastAsia="宋体" w:cs="宋体"/>
                <w:sz w:val="24"/>
                <w:szCs w:val="24"/>
              </w:rPr>
            </w:pPr>
            <w:r>
              <w:rPr>
                <w:rFonts w:hint="eastAsia" w:ascii="宋体" w:hAnsi="宋体" w:eastAsia="宋体"/>
              </w:rPr>
              <w:t xml:space="preserve">浙江省杭州市余杭区五常街道文一西路969号3幢5层599室 </w:t>
            </w:r>
          </w:p>
        </w:tc>
      </w:tr>
      <w:tr w14:paraId="234B4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87D7D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78692D8">
            <w:pPr>
              <w:rPr>
                <w:rFonts w:ascii="宋体" w:hAnsi="宋体" w:eastAsia="宋体" w:cs="宋体"/>
                <w:sz w:val="24"/>
                <w:szCs w:val="24"/>
              </w:rPr>
            </w:pPr>
            <w:r>
              <w:rPr>
                <w:rFonts w:hint="eastAsia" w:ascii="宋体" w:hAnsi="宋体" w:eastAsia="宋体"/>
              </w:rPr>
              <w:t xml:space="preserve">浙江省杭州市西湖区西溪路556号 </w:t>
            </w:r>
          </w:p>
        </w:tc>
      </w:tr>
      <w:tr w14:paraId="0975A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FF43D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437D308">
            <w:pPr>
              <w:rPr>
                <w:rFonts w:ascii="宋体" w:hAnsi="宋体" w:eastAsia="宋体" w:cs="宋体"/>
                <w:sz w:val="24"/>
                <w:szCs w:val="24"/>
              </w:rPr>
            </w:pPr>
            <w:r>
              <w:rPr>
                <w:rFonts w:hint="eastAsia" w:ascii="宋体" w:hAnsi="宋体" w:eastAsia="宋体"/>
              </w:rPr>
              <w:t xml:space="preserve">王珺 </w:t>
            </w:r>
          </w:p>
        </w:tc>
      </w:tr>
      <w:tr w14:paraId="30C7A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372AB0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4B7C0B6">
            <w:pPr>
              <w:rPr>
                <w:rFonts w:ascii="宋体" w:hAnsi="宋体" w:eastAsia="宋体" w:cs="宋体"/>
                <w:sz w:val="24"/>
                <w:szCs w:val="24"/>
              </w:rPr>
            </w:pPr>
            <w:r>
              <w:rPr>
                <w:rFonts w:hint="eastAsia" w:ascii="宋体" w:hAnsi="宋体" w:eastAsia="宋体"/>
              </w:rPr>
              <w:t xml:space="preserve">韩爱彬 </w:t>
            </w:r>
          </w:p>
        </w:tc>
      </w:tr>
      <w:tr w14:paraId="177F2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1BEA1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FB45F0F">
            <w:pPr>
              <w:rPr>
                <w:rFonts w:ascii="宋体" w:hAnsi="宋体" w:eastAsia="宋体" w:cs="宋体"/>
                <w:sz w:val="24"/>
                <w:szCs w:val="24"/>
              </w:rPr>
            </w:pPr>
            <w:r>
              <w:rPr>
                <w:rFonts w:hint="eastAsia" w:ascii="宋体" w:hAnsi="宋体" w:eastAsia="宋体"/>
              </w:rPr>
              <w:t xml:space="preserve">021-60897840 </w:t>
            </w:r>
          </w:p>
        </w:tc>
      </w:tr>
      <w:tr w14:paraId="1B35B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5E30B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8D0E1D5">
            <w:pPr>
              <w:rPr>
                <w:rFonts w:ascii="宋体" w:hAnsi="宋体" w:eastAsia="宋体" w:cs="宋体"/>
                <w:sz w:val="24"/>
                <w:szCs w:val="24"/>
              </w:rPr>
            </w:pPr>
            <w:r>
              <w:rPr>
                <w:rFonts w:hint="eastAsia" w:ascii="宋体" w:hAnsi="宋体" w:eastAsia="宋体"/>
              </w:rPr>
              <w:t xml:space="preserve">0571-26697013 </w:t>
            </w:r>
          </w:p>
        </w:tc>
      </w:tr>
      <w:tr w14:paraId="4D53D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A661F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E58CC51">
            <w:pPr>
              <w:rPr>
                <w:rFonts w:ascii="宋体" w:hAnsi="宋体" w:eastAsia="宋体" w:cs="宋体"/>
                <w:sz w:val="24"/>
                <w:szCs w:val="24"/>
              </w:rPr>
            </w:pPr>
            <w:r>
              <w:rPr>
                <w:rFonts w:hint="eastAsia" w:ascii="宋体" w:hAnsi="宋体" w:eastAsia="宋体"/>
              </w:rPr>
              <w:t xml:space="preserve">95188-8 </w:t>
            </w:r>
          </w:p>
        </w:tc>
      </w:tr>
      <w:tr w14:paraId="5A299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54831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FF74ABE">
            <w:pPr>
              <w:rPr>
                <w:rFonts w:ascii="宋体" w:hAnsi="宋体" w:eastAsia="宋体" w:cs="宋体"/>
                <w:sz w:val="24"/>
                <w:szCs w:val="24"/>
              </w:rPr>
            </w:pPr>
            <w:r>
              <w:rPr>
                <w:rFonts w:hint="eastAsia" w:ascii="宋体" w:hAnsi="宋体" w:eastAsia="宋体"/>
              </w:rPr>
              <w:t xml:space="preserve">http://www.fund123.cn </w:t>
            </w:r>
          </w:p>
        </w:tc>
      </w:tr>
    </w:tbl>
    <w:p w14:paraId="0B586C00">
      <w:pPr>
        <w:pStyle w:val="8"/>
        <w:spacing w:before="0" w:beforeAutospacing="0" w:after="0" w:afterAutospacing="0" w:line="360" w:lineRule="auto"/>
        <w:ind w:firstLine="420"/>
        <w:rPr>
          <w:sz w:val="21"/>
          <w:szCs w:val="21"/>
        </w:rPr>
      </w:pPr>
      <w:r>
        <w:rPr>
          <w:rFonts w:hint="eastAsia"/>
          <w:b/>
          <w:bCs/>
          <w:sz w:val="21"/>
          <w:szCs w:val="21"/>
        </w:rPr>
        <w:t>(15)浙江同花顺基金销售有限公司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242C7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187F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1E77EA9">
            <w:pPr>
              <w:rPr>
                <w:rFonts w:ascii="宋体" w:hAnsi="宋体" w:eastAsia="宋体" w:cs="宋体"/>
                <w:sz w:val="24"/>
                <w:szCs w:val="24"/>
              </w:rPr>
            </w:pPr>
            <w:r>
              <w:rPr>
                <w:rFonts w:hint="eastAsia" w:ascii="宋体" w:hAnsi="宋体" w:eastAsia="宋体"/>
              </w:rPr>
              <w:t xml:space="preserve">杭州市西湖区文二西路1号元茂大厦903室 </w:t>
            </w:r>
          </w:p>
        </w:tc>
      </w:tr>
      <w:tr w14:paraId="253C0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E1477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BB83ECA">
            <w:pPr>
              <w:rPr>
                <w:rFonts w:ascii="宋体" w:hAnsi="宋体" w:eastAsia="宋体" w:cs="宋体"/>
                <w:sz w:val="24"/>
                <w:szCs w:val="24"/>
              </w:rPr>
            </w:pPr>
            <w:r>
              <w:rPr>
                <w:rFonts w:hint="eastAsia" w:ascii="宋体" w:hAnsi="宋体" w:eastAsia="宋体"/>
              </w:rPr>
              <w:t xml:space="preserve">浙江省杭州市余杭区五常街道同顺街18号同花顺大楼 </w:t>
            </w:r>
          </w:p>
        </w:tc>
      </w:tr>
      <w:tr w14:paraId="188CD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EC458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C15ACEB">
            <w:pPr>
              <w:rPr>
                <w:rFonts w:ascii="宋体" w:hAnsi="宋体" w:eastAsia="宋体" w:cs="宋体"/>
                <w:sz w:val="24"/>
                <w:szCs w:val="24"/>
              </w:rPr>
            </w:pPr>
            <w:r>
              <w:rPr>
                <w:rFonts w:hint="eastAsia" w:ascii="宋体" w:hAnsi="宋体" w:eastAsia="宋体"/>
              </w:rPr>
              <w:t xml:space="preserve">凌顺平 </w:t>
            </w:r>
          </w:p>
        </w:tc>
      </w:tr>
      <w:tr w14:paraId="015CA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19131E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A2D0359">
            <w:pPr>
              <w:rPr>
                <w:rFonts w:ascii="宋体" w:hAnsi="宋体" w:eastAsia="宋体" w:cs="宋体"/>
                <w:sz w:val="24"/>
                <w:szCs w:val="24"/>
              </w:rPr>
            </w:pPr>
            <w:r>
              <w:rPr>
                <w:rFonts w:hint="eastAsia" w:ascii="宋体" w:hAnsi="宋体" w:eastAsia="宋体"/>
              </w:rPr>
              <w:t xml:space="preserve">吴杰 </w:t>
            </w:r>
          </w:p>
        </w:tc>
      </w:tr>
      <w:tr w14:paraId="797DF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CB783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E176545">
            <w:pPr>
              <w:rPr>
                <w:rFonts w:ascii="宋体" w:hAnsi="宋体" w:eastAsia="宋体" w:cs="宋体"/>
                <w:sz w:val="24"/>
                <w:szCs w:val="24"/>
              </w:rPr>
            </w:pPr>
            <w:r>
              <w:rPr>
                <w:rFonts w:hint="eastAsia" w:ascii="宋体" w:hAnsi="宋体" w:eastAsia="宋体"/>
              </w:rPr>
              <w:t xml:space="preserve">0571-88911818 </w:t>
            </w:r>
          </w:p>
        </w:tc>
      </w:tr>
      <w:tr w14:paraId="08AB0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0B13A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86A1EE9">
            <w:pPr>
              <w:rPr>
                <w:rFonts w:ascii="宋体" w:hAnsi="宋体" w:eastAsia="宋体" w:cs="宋体"/>
                <w:sz w:val="24"/>
                <w:szCs w:val="24"/>
              </w:rPr>
            </w:pPr>
            <w:r>
              <w:rPr>
                <w:rFonts w:hint="eastAsia" w:ascii="宋体" w:hAnsi="宋体" w:eastAsia="宋体"/>
              </w:rPr>
              <w:t xml:space="preserve">0571-86800423 </w:t>
            </w:r>
          </w:p>
        </w:tc>
      </w:tr>
      <w:tr w14:paraId="01396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1177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D6F65A7">
            <w:pPr>
              <w:rPr>
                <w:rFonts w:ascii="宋体" w:hAnsi="宋体" w:eastAsia="宋体" w:cs="宋体"/>
                <w:sz w:val="24"/>
                <w:szCs w:val="24"/>
              </w:rPr>
            </w:pPr>
            <w:r>
              <w:rPr>
                <w:rFonts w:hint="eastAsia" w:ascii="宋体" w:hAnsi="宋体" w:eastAsia="宋体"/>
              </w:rPr>
              <w:t xml:space="preserve">952555 </w:t>
            </w:r>
          </w:p>
        </w:tc>
      </w:tr>
      <w:tr w14:paraId="5C135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024E2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2D3A904">
            <w:pPr>
              <w:rPr>
                <w:rFonts w:ascii="宋体" w:hAnsi="宋体" w:eastAsia="宋体" w:cs="宋体"/>
                <w:sz w:val="24"/>
                <w:szCs w:val="24"/>
              </w:rPr>
            </w:pPr>
            <w:r>
              <w:rPr>
                <w:rFonts w:hint="eastAsia" w:ascii="宋体" w:hAnsi="宋体" w:eastAsia="宋体"/>
              </w:rPr>
              <w:t xml:space="preserve">www.5ifund.com </w:t>
            </w:r>
          </w:p>
        </w:tc>
      </w:tr>
    </w:tbl>
    <w:p w14:paraId="41F86C64">
      <w:pPr>
        <w:pStyle w:val="8"/>
        <w:spacing w:before="0" w:beforeAutospacing="0" w:after="0" w:afterAutospacing="0" w:line="360" w:lineRule="auto"/>
        <w:ind w:firstLine="420"/>
        <w:rPr>
          <w:sz w:val="21"/>
          <w:szCs w:val="21"/>
        </w:rPr>
      </w:pPr>
      <w:r>
        <w:rPr>
          <w:rFonts w:hint="eastAsia"/>
          <w:b/>
          <w:bCs/>
          <w:sz w:val="21"/>
          <w:szCs w:val="21"/>
        </w:rPr>
        <w:t>(16)上海利得基金销售有限公司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49214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3B2C9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FD61130">
            <w:pPr>
              <w:rPr>
                <w:rFonts w:ascii="宋体" w:hAnsi="宋体" w:eastAsia="宋体" w:cs="宋体"/>
                <w:sz w:val="24"/>
                <w:szCs w:val="24"/>
              </w:rPr>
            </w:pPr>
            <w:r>
              <w:rPr>
                <w:rFonts w:hint="eastAsia" w:ascii="宋体" w:hAnsi="宋体" w:eastAsia="宋体"/>
              </w:rPr>
              <w:t xml:space="preserve">上海市宝山区蕴川路5475号1033室 </w:t>
            </w:r>
          </w:p>
        </w:tc>
      </w:tr>
      <w:tr w14:paraId="10356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2B71D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91C004D">
            <w:pPr>
              <w:rPr>
                <w:rFonts w:ascii="宋体" w:hAnsi="宋体" w:eastAsia="宋体" w:cs="宋体"/>
                <w:sz w:val="24"/>
                <w:szCs w:val="24"/>
              </w:rPr>
            </w:pPr>
            <w:r>
              <w:rPr>
                <w:rFonts w:hint="eastAsia" w:ascii="宋体" w:hAnsi="宋体" w:eastAsia="宋体"/>
              </w:rPr>
              <w:t xml:space="preserve">上海浦东新区峨山路91弄61号10号楼12楼 </w:t>
            </w:r>
          </w:p>
        </w:tc>
      </w:tr>
      <w:tr w14:paraId="1E37C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A0409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4DD5147">
            <w:pPr>
              <w:rPr>
                <w:rFonts w:ascii="宋体" w:hAnsi="宋体" w:eastAsia="宋体" w:cs="宋体"/>
                <w:sz w:val="24"/>
                <w:szCs w:val="24"/>
              </w:rPr>
            </w:pPr>
            <w:r>
              <w:rPr>
                <w:rFonts w:hint="eastAsia" w:ascii="宋体" w:hAnsi="宋体" w:eastAsia="宋体"/>
              </w:rPr>
              <w:t xml:space="preserve">李兴春 </w:t>
            </w:r>
          </w:p>
        </w:tc>
      </w:tr>
      <w:tr w14:paraId="78B62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2BB8EE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9465CEC">
            <w:pPr>
              <w:rPr>
                <w:rFonts w:ascii="宋体" w:hAnsi="宋体" w:eastAsia="宋体" w:cs="宋体"/>
                <w:sz w:val="24"/>
                <w:szCs w:val="24"/>
              </w:rPr>
            </w:pPr>
            <w:r>
              <w:rPr>
                <w:rFonts w:hint="eastAsia" w:ascii="宋体" w:hAnsi="宋体" w:eastAsia="宋体"/>
              </w:rPr>
              <w:t xml:space="preserve">徐鹏 </w:t>
            </w:r>
          </w:p>
        </w:tc>
      </w:tr>
      <w:tr w14:paraId="25926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C2450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69C2B25">
            <w:pPr>
              <w:rPr>
                <w:rFonts w:ascii="宋体" w:hAnsi="宋体" w:eastAsia="宋体" w:cs="宋体"/>
                <w:sz w:val="24"/>
                <w:szCs w:val="24"/>
              </w:rPr>
            </w:pPr>
            <w:r>
              <w:rPr>
                <w:rFonts w:hint="eastAsia" w:ascii="宋体" w:hAnsi="宋体" w:eastAsia="宋体"/>
              </w:rPr>
              <w:t xml:space="preserve">021-50583533 </w:t>
            </w:r>
          </w:p>
        </w:tc>
      </w:tr>
      <w:tr w14:paraId="1A7B5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6B5CE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E79C2BF">
            <w:pPr>
              <w:rPr>
                <w:rFonts w:ascii="宋体" w:hAnsi="宋体" w:eastAsia="宋体" w:cs="宋体"/>
                <w:sz w:val="24"/>
                <w:szCs w:val="24"/>
              </w:rPr>
            </w:pPr>
            <w:r>
              <w:rPr>
                <w:rFonts w:hint="eastAsia" w:ascii="宋体" w:hAnsi="宋体" w:eastAsia="宋体"/>
              </w:rPr>
              <w:t xml:space="preserve">021-50583633 </w:t>
            </w:r>
          </w:p>
        </w:tc>
      </w:tr>
      <w:tr w14:paraId="5B04F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8E976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7E7ED00">
            <w:pPr>
              <w:rPr>
                <w:rFonts w:ascii="宋体" w:hAnsi="宋体" w:eastAsia="宋体" w:cs="宋体"/>
                <w:sz w:val="24"/>
                <w:szCs w:val="24"/>
              </w:rPr>
            </w:pPr>
            <w:r>
              <w:rPr>
                <w:rFonts w:hint="eastAsia" w:ascii="宋体" w:hAnsi="宋体" w:eastAsia="宋体"/>
              </w:rPr>
              <w:t xml:space="preserve">400-921-7755 </w:t>
            </w:r>
          </w:p>
        </w:tc>
      </w:tr>
      <w:tr w14:paraId="2323F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2B764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96AF140">
            <w:pPr>
              <w:rPr>
                <w:rFonts w:ascii="宋体" w:hAnsi="宋体" w:eastAsia="宋体" w:cs="宋体"/>
                <w:sz w:val="24"/>
                <w:szCs w:val="24"/>
              </w:rPr>
            </w:pPr>
            <w:r>
              <w:rPr>
                <w:rFonts w:hint="eastAsia" w:ascii="宋体" w:hAnsi="宋体" w:eastAsia="宋体"/>
              </w:rPr>
              <w:t xml:space="preserve">http://a.leadfund.com.cn/ </w:t>
            </w:r>
          </w:p>
        </w:tc>
      </w:tr>
    </w:tbl>
    <w:p w14:paraId="42848348">
      <w:pPr>
        <w:pStyle w:val="8"/>
        <w:spacing w:before="0" w:beforeAutospacing="0" w:after="0" w:afterAutospacing="0" w:line="360" w:lineRule="auto"/>
        <w:ind w:firstLine="420"/>
        <w:rPr>
          <w:sz w:val="21"/>
          <w:szCs w:val="21"/>
        </w:rPr>
      </w:pPr>
      <w:r>
        <w:rPr>
          <w:rFonts w:hint="eastAsia"/>
          <w:b/>
          <w:bCs/>
          <w:sz w:val="21"/>
          <w:szCs w:val="21"/>
        </w:rPr>
        <w:t>(17)嘉实财富管理有限公司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66177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81080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EC87193">
            <w:pPr>
              <w:rPr>
                <w:rFonts w:ascii="宋体" w:hAnsi="宋体" w:eastAsia="宋体" w:cs="宋体"/>
                <w:sz w:val="24"/>
                <w:szCs w:val="24"/>
              </w:rPr>
            </w:pPr>
            <w:r>
              <w:rPr>
                <w:rFonts w:hint="eastAsia" w:ascii="宋体" w:hAnsi="宋体" w:eastAsia="宋体"/>
              </w:rPr>
              <w:t xml:space="preserve">上海市浦东新区世纪大道8号上海国金中心办公楼二期46层4609-10单元 </w:t>
            </w:r>
          </w:p>
        </w:tc>
      </w:tr>
      <w:tr w14:paraId="21F60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C5636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4AB5826">
            <w:pPr>
              <w:rPr>
                <w:rFonts w:ascii="宋体" w:hAnsi="宋体" w:eastAsia="宋体" w:cs="宋体"/>
                <w:sz w:val="24"/>
                <w:szCs w:val="24"/>
              </w:rPr>
            </w:pPr>
            <w:r>
              <w:rPr>
                <w:rFonts w:hint="eastAsia" w:ascii="宋体" w:hAnsi="宋体" w:eastAsia="宋体"/>
              </w:rPr>
              <w:t xml:space="preserve">北京市朝阳区建国门外大街21号北京国际俱乐部C座写字楼11层 </w:t>
            </w:r>
          </w:p>
        </w:tc>
      </w:tr>
      <w:tr w14:paraId="2D0B0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5E23A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3243302">
            <w:pPr>
              <w:rPr>
                <w:rFonts w:ascii="宋体" w:hAnsi="宋体" w:eastAsia="宋体" w:cs="宋体"/>
                <w:sz w:val="24"/>
                <w:szCs w:val="24"/>
              </w:rPr>
            </w:pPr>
            <w:r>
              <w:rPr>
                <w:rFonts w:hint="eastAsia" w:ascii="宋体" w:hAnsi="宋体" w:eastAsia="宋体"/>
              </w:rPr>
              <w:t xml:space="preserve">赵学军 </w:t>
            </w:r>
          </w:p>
        </w:tc>
      </w:tr>
      <w:tr w14:paraId="64F0C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41FAEF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F05C998">
            <w:pPr>
              <w:rPr>
                <w:rFonts w:ascii="宋体" w:hAnsi="宋体" w:eastAsia="宋体" w:cs="宋体"/>
                <w:sz w:val="24"/>
                <w:szCs w:val="24"/>
              </w:rPr>
            </w:pPr>
            <w:r>
              <w:rPr>
                <w:rFonts w:hint="eastAsia" w:ascii="宋体" w:hAnsi="宋体" w:eastAsia="宋体"/>
              </w:rPr>
              <w:t xml:space="preserve">余永键 </w:t>
            </w:r>
          </w:p>
        </w:tc>
      </w:tr>
      <w:tr w14:paraId="07505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389F3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9A3EAE3">
            <w:pPr>
              <w:rPr>
                <w:rFonts w:ascii="宋体" w:hAnsi="宋体" w:eastAsia="宋体" w:cs="宋体"/>
                <w:sz w:val="24"/>
                <w:szCs w:val="24"/>
              </w:rPr>
            </w:pPr>
            <w:r>
              <w:rPr>
                <w:rFonts w:hint="eastAsia" w:ascii="宋体" w:hAnsi="宋体" w:eastAsia="宋体"/>
              </w:rPr>
              <w:t xml:space="preserve">010-85097570 </w:t>
            </w:r>
          </w:p>
        </w:tc>
      </w:tr>
      <w:tr w14:paraId="47668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4F63D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2D47B72">
            <w:pPr>
              <w:rPr>
                <w:rFonts w:ascii="宋体" w:hAnsi="宋体" w:eastAsia="宋体" w:cs="宋体"/>
                <w:sz w:val="24"/>
                <w:szCs w:val="24"/>
              </w:rPr>
            </w:pPr>
            <w:r>
              <w:rPr>
                <w:rFonts w:hint="eastAsia" w:ascii="宋体" w:hAnsi="宋体" w:eastAsia="宋体"/>
              </w:rPr>
              <w:t xml:space="preserve">010-65215433 </w:t>
            </w:r>
          </w:p>
        </w:tc>
      </w:tr>
      <w:tr w14:paraId="50D7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086E2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44B09ED">
            <w:pPr>
              <w:rPr>
                <w:rFonts w:ascii="宋体" w:hAnsi="宋体" w:eastAsia="宋体" w:cs="宋体"/>
                <w:sz w:val="24"/>
                <w:szCs w:val="24"/>
              </w:rPr>
            </w:pPr>
            <w:r>
              <w:rPr>
                <w:rFonts w:hint="eastAsia" w:ascii="宋体" w:hAnsi="宋体" w:eastAsia="宋体"/>
              </w:rPr>
              <w:t xml:space="preserve">400-021-8850 </w:t>
            </w:r>
          </w:p>
        </w:tc>
      </w:tr>
      <w:tr w14:paraId="75C4E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28BF4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25238F8">
            <w:pPr>
              <w:rPr>
                <w:rFonts w:ascii="宋体" w:hAnsi="宋体" w:eastAsia="宋体" w:cs="宋体"/>
                <w:sz w:val="24"/>
                <w:szCs w:val="24"/>
              </w:rPr>
            </w:pPr>
            <w:r>
              <w:rPr>
                <w:rFonts w:hint="eastAsia" w:ascii="宋体" w:hAnsi="宋体" w:eastAsia="宋体"/>
              </w:rPr>
              <w:t xml:space="preserve">www.harvestwm.cn </w:t>
            </w:r>
          </w:p>
        </w:tc>
      </w:tr>
    </w:tbl>
    <w:p w14:paraId="38F4501F">
      <w:pPr>
        <w:pStyle w:val="8"/>
        <w:spacing w:before="0" w:beforeAutospacing="0" w:after="0" w:afterAutospacing="0" w:line="360" w:lineRule="auto"/>
        <w:ind w:firstLine="420"/>
        <w:rPr>
          <w:sz w:val="21"/>
          <w:szCs w:val="21"/>
        </w:rPr>
      </w:pPr>
      <w:r>
        <w:rPr>
          <w:rFonts w:hint="eastAsia"/>
          <w:b/>
          <w:bCs/>
          <w:sz w:val="21"/>
          <w:szCs w:val="21"/>
        </w:rPr>
        <w:t>(18)北京创金启富基金销售有限公司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3ACC4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2C955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B2177EB">
            <w:pPr>
              <w:rPr>
                <w:rFonts w:ascii="宋体" w:hAnsi="宋体" w:eastAsia="宋体" w:cs="宋体"/>
                <w:sz w:val="24"/>
                <w:szCs w:val="24"/>
              </w:rPr>
            </w:pPr>
            <w:r>
              <w:rPr>
                <w:rFonts w:hint="eastAsia" w:ascii="宋体" w:hAnsi="宋体" w:eastAsia="宋体"/>
              </w:rPr>
              <w:t xml:space="preserve">北京市西城区白纸坊东街2号院6号楼712室 </w:t>
            </w:r>
          </w:p>
        </w:tc>
      </w:tr>
      <w:tr w14:paraId="73F40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72E57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476FEFD">
            <w:pPr>
              <w:rPr>
                <w:rFonts w:ascii="宋体" w:hAnsi="宋体" w:eastAsia="宋体" w:cs="宋体"/>
                <w:sz w:val="24"/>
                <w:szCs w:val="24"/>
              </w:rPr>
            </w:pPr>
            <w:r>
              <w:rPr>
                <w:rFonts w:hint="eastAsia" w:ascii="宋体" w:hAnsi="宋体" w:eastAsia="宋体"/>
              </w:rPr>
              <w:t xml:space="preserve">北京市西城区白纸坊东街2号院6号楼712室 </w:t>
            </w:r>
          </w:p>
        </w:tc>
      </w:tr>
      <w:tr w14:paraId="104F0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A763F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98E1851">
            <w:pPr>
              <w:rPr>
                <w:rFonts w:ascii="宋体" w:hAnsi="宋体" w:eastAsia="宋体" w:cs="宋体"/>
                <w:sz w:val="24"/>
                <w:szCs w:val="24"/>
              </w:rPr>
            </w:pPr>
            <w:r>
              <w:rPr>
                <w:rFonts w:hint="eastAsia" w:ascii="宋体" w:hAnsi="宋体" w:eastAsia="宋体"/>
              </w:rPr>
              <w:t xml:space="preserve">梁蓉 </w:t>
            </w:r>
          </w:p>
        </w:tc>
      </w:tr>
      <w:tr w14:paraId="2E493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487E6F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5438506">
            <w:pPr>
              <w:rPr>
                <w:rFonts w:ascii="宋体" w:hAnsi="宋体" w:eastAsia="宋体" w:cs="宋体"/>
                <w:sz w:val="24"/>
                <w:szCs w:val="24"/>
              </w:rPr>
            </w:pPr>
            <w:r>
              <w:rPr>
                <w:rFonts w:hint="eastAsia" w:ascii="宋体" w:hAnsi="宋体" w:eastAsia="宋体"/>
              </w:rPr>
              <w:t xml:space="preserve">魏素清 </w:t>
            </w:r>
          </w:p>
        </w:tc>
      </w:tr>
      <w:tr w14:paraId="01D61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2257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A88F323">
            <w:pPr>
              <w:rPr>
                <w:rFonts w:ascii="宋体" w:hAnsi="宋体" w:eastAsia="宋体" w:cs="宋体"/>
                <w:sz w:val="24"/>
                <w:szCs w:val="24"/>
              </w:rPr>
            </w:pPr>
            <w:r>
              <w:rPr>
                <w:rFonts w:hint="eastAsia" w:ascii="宋体" w:hAnsi="宋体" w:eastAsia="宋体"/>
              </w:rPr>
              <w:t xml:space="preserve">010-66154828 </w:t>
            </w:r>
          </w:p>
        </w:tc>
      </w:tr>
      <w:tr w14:paraId="06237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72972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0E2B29E">
            <w:pPr>
              <w:rPr>
                <w:rFonts w:ascii="宋体" w:hAnsi="宋体" w:eastAsia="宋体" w:cs="宋体"/>
                <w:sz w:val="24"/>
                <w:szCs w:val="24"/>
              </w:rPr>
            </w:pPr>
            <w:r>
              <w:rPr>
                <w:rFonts w:hint="eastAsia" w:ascii="宋体" w:hAnsi="宋体" w:eastAsia="宋体"/>
              </w:rPr>
              <w:t xml:space="preserve">010-63583991 </w:t>
            </w:r>
          </w:p>
        </w:tc>
      </w:tr>
      <w:tr w14:paraId="782F7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BE343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FF9E1DE">
            <w:pPr>
              <w:rPr>
                <w:rFonts w:ascii="宋体" w:hAnsi="宋体" w:eastAsia="宋体" w:cs="宋体"/>
                <w:sz w:val="24"/>
                <w:szCs w:val="24"/>
              </w:rPr>
            </w:pPr>
            <w:r>
              <w:rPr>
                <w:rFonts w:hint="eastAsia" w:ascii="宋体" w:hAnsi="宋体" w:eastAsia="宋体"/>
              </w:rPr>
              <w:t xml:space="preserve">010-66154828 </w:t>
            </w:r>
          </w:p>
        </w:tc>
      </w:tr>
      <w:tr w14:paraId="0CEA8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BE2CE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6ACC68E">
            <w:pPr>
              <w:rPr>
                <w:rFonts w:ascii="宋体" w:hAnsi="宋体" w:eastAsia="宋体" w:cs="宋体"/>
                <w:sz w:val="24"/>
                <w:szCs w:val="24"/>
              </w:rPr>
            </w:pPr>
            <w:r>
              <w:rPr>
                <w:rFonts w:hint="eastAsia" w:ascii="宋体" w:hAnsi="宋体" w:eastAsia="宋体"/>
              </w:rPr>
              <w:t xml:space="preserve">www.5irich.com </w:t>
            </w:r>
          </w:p>
        </w:tc>
      </w:tr>
    </w:tbl>
    <w:p w14:paraId="4C4BDC10">
      <w:pPr>
        <w:pStyle w:val="8"/>
        <w:spacing w:before="0" w:beforeAutospacing="0" w:after="0" w:afterAutospacing="0" w:line="360" w:lineRule="auto"/>
        <w:ind w:firstLine="420"/>
        <w:rPr>
          <w:sz w:val="21"/>
          <w:szCs w:val="21"/>
        </w:rPr>
      </w:pPr>
      <w:r>
        <w:rPr>
          <w:rFonts w:hint="eastAsia"/>
          <w:b/>
          <w:bCs/>
          <w:sz w:val="21"/>
          <w:szCs w:val="21"/>
        </w:rPr>
        <w:t>(19)深圳腾元基金销售有限公司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8254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EAAF3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1B64504">
            <w:pPr>
              <w:rPr>
                <w:rFonts w:ascii="宋体" w:hAnsi="宋体" w:eastAsia="宋体" w:cs="宋体"/>
                <w:sz w:val="24"/>
                <w:szCs w:val="24"/>
              </w:rPr>
            </w:pPr>
            <w:r>
              <w:rPr>
                <w:rFonts w:hint="eastAsia" w:ascii="宋体" w:hAnsi="宋体" w:eastAsia="宋体"/>
              </w:rPr>
              <w:t xml:space="preserve">深圳市福田区金田路2028号卓越世纪中心1号楼1806-1808 </w:t>
            </w:r>
          </w:p>
        </w:tc>
      </w:tr>
      <w:tr w14:paraId="7E1FB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8E302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67D7016">
            <w:pPr>
              <w:rPr>
                <w:rFonts w:ascii="宋体" w:hAnsi="宋体" w:eastAsia="宋体" w:cs="宋体"/>
                <w:sz w:val="24"/>
                <w:szCs w:val="24"/>
              </w:rPr>
            </w:pPr>
            <w:r>
              <w:rPr>
                <w:rFonts w:hint="eastAsia" w:ascii="宋体" w:hAnsi="宋体" w:eastAsia="宋体"/>
              </w:rPr>
              <w:t xml:space="preserve">深圳市福田区金田路2028号卓越世纪中心1号楼1806-1808 </w:t>
            </w:r>
          </w:p>
        </w:tc>
      </w:tr>
      <w:tr w14:paraId="3A9E2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1F6B0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5C0AFD6">
            <w:pPr>
              <w:rPr>
                <w:rFonts w:ascii="宋体" w:hAnsi="宋体" w:eastAsia="宋体" w:cs="宋体"/>
                <w:sz w:val="24"/>
                <w:szCs w:val="24"/>
              </w:rPr>
            </w:pPr>
            <w:r>
              <w:rPr>
                <w:rFonts w:hint="eastAsia" w:ascii="宋体" w:hAnsi="宋体" w:eastAsia="宋体"/>
              </w:rPr>
              <w:t xml:space="preserve">曾革 </w:t>
            </w:r>
          </w:p>
        </w:tc>
      </w:tr>
      <w:tr w14:paraId="4DA8A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4EA172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3F5AE0C">
            <w:pPr>
              <w:rPr>
                <w:rFonts w:ascii="宋体" w:hAnsi="宋体" w:eastAsia="宋体" w:cs="宋体"/>
                <w:sz w:val="24"/>
                <w:szCs w:val="24"/>
              </w:rPr>
            </w:pPr>
            <w:r>
              <w:rPr>
                <w:rFonts w:hint="eastAsia" w:ascii="宋体" w:hAnsi="宋体" w:eastAsia="宋体"/>
              </w:rPr>
              <w:t xml:space="preserve">鄢萌莎 </w:t>
            </w:r>
          </w:p>
        </w:tc>
      </w:tr>
      <w:tr w14:paraId="5B6C3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8883F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30187D7">
            <w:pPr>
              <w:rPr>
                <w:rFonts w:ascii="宋体" w:hAnsi="宋体" w:eastAsia="宋体" w:cs="宋体"/>
                <w:sz w:val="24"/>
                <w:szCs w:val="24"/>
              </w:rPr>
            </w:pPr>
            <w:r>
              <w:rPr>
                <w:rFonts w:hint="eastAsia" w:ascii="宋体" w:hAnsi="宋体" w:eastAsia="宋体"/>
              </w:rPr>
              <w:t xml:space="preserve">0755-33376922 </w:t>
            </w:r>
          </w:p>
        </w:tc>
      </w:tr>
      <w:tr w14:paraId="3FDFC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7959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E6F6748">
            <w:pPr>
              <w:rPr>
                <w:rFonts w:ascii="宋体" w:hAnsi="宋体" w:eastAsia="宋体" w:cs="宋体"/>
                <w:sz w:val="24"/>
                <w:szCs w:val="24"/>
              </w:rPr>
            </w:pPr>
            <w:r>
              <w:rPr>
                <w:rFonts w:hint="eastAsia" w:ascii="宋体" w:hAnsi="宋体" w:eastAsia="宋体"/>
              </w:rPr>
              <w:t xml:space="preserve">0755-33065516 </w:t>
            </w:r>
          </w:p>
        </w:tc>
      </w:tr>
      <w:tr w14:paraId="3A0A9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EBB6F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432182A">
            <w:pPr>
              <w:rPr>
                <w:rFonts w:ascii="宋体" w:hAnsi="宋体" w:eastAsia="宋体" w:cs="宋体"/>
                <w:sz w:val="24"/>
                <w:szCs w:val="24"/>
              </w:rPr>
            </w:pPr>
            <w:r>
              <w:rPr>
                <w:rFonts w:hint="eastAsia" w:ascii="宋体" w:hAnsi="宋体" w:eastAsia="宋体"/>
              </w:rPr>
              <w:t xml:space="preserve">400-990-8600 </w:t>
            </w:r>
          </w:p>
        </w:tc>
      </w:tr>
      <w:tr w14:paraId="2520F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63D16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D5E6781">
            <w:pPr>
              <w:rPr>
                <w:rFonts w:ascii="宋体" w:hAnsi="宋体" w:eastAsia="宋体" w:cs="宋体"/>
                <w:sz w:val="24"/>
                <w:szCs w:val="24"/>
              </w:rPr>
            </w:pPr>
            <w:r>
              <w:rPr>
                <w:rFonts w:hint="eastAsia" w:ascii="宋体" w:hAnsi="宋体" w:eastAsia="宋体"/>
              </w:rPr>
              <w:t xml:space="preserve">www.tenyuanfund.com </w:t>
            </w:r>
          </w:p>
        </w:tc>
      </w:tr>
    </w:tbl>
    <w:p w14:paraId="29B1B5B1">
      <w:pPr>
        <w:pStyle w:val="8"/>
        <w:spacing w:before="0" w:beforeAutospacing="0" w:after="0" w:afterAutospacing="0" w:line="360" w:lineRule="auto"/>
        <w:ind w:firstLine="420"/>
        <w:rPr>
          <w:sz w:val="21"/>
          <w:szCs w:val="21"/>
        </w:rPr>
      </w:pPr>
      <w:r>
        <w:rPr>
          <w:rFonts w:hint="eastAsia"/>
          <w:b/>
          <w:bCs/>
          <w:sz w:val="21"/>
          <w:szCs w:val="21"/>
        </w:rPr>
        <w:t>(20)华源证券股份有限公司（鑫理财）</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164DA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1F760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B9972EA">
            <w:pPr>
              <w:rPr>
                <w:rFonts w:ascii="宋体" w:hAnsi="宋体" w:eastAsia="宋体" w:cs="宋体"/>
                <w:sz w:val="24"/>
                <w:szCs w:val="24"/>
              </w:rPr>
            </w:pPr>
            <w:r>
              <w:rPr>
                <w:rFonts w:hint="eastAsia" w:ascii="宋体" w:hAnsi="宋体" w:eastAsia="宋体"/>
              </w:rPr>
              <w:t xml:space="preserve">青海省西宁市南川工业园区创业路108号 </w:t>
            </w:r>
          </w:p>
        </w:tc>
      </w:tr>
      <w:tr w14:paraId="387DD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C92A3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730A40D">
            <w:pPr>
              <w:rPr>
                <w:rFonts w:ascii="宋体" w:hAnsi="宋体" w:eastAsia="宋体" w:cs="宋体"/>
                <w:sz w:val="24"/>
                <w:szCs w:val="24"/>
              </w:rPr>
            </w:pPr>
            <w:r>
              <w:rPr>
                <w:rFonts w:hint="eastAsia" w:ascii="宋体" w:hAnsi="宋体" w:eastAsia="宋体"/>
              </w:rPr>
              <w:t xml:space="preserve">湖北省武汉市江汉区万松街道青年路278号中海中心32F-34F  </w:t>
            </w:r>
          </w:p>
        </w:tc>
      </w:tr>
      <w:tr w14:paraId="20A57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4C111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A0900A3">
            <w:pPr>
              <w:rPr>
                <w:rFonts w:ascii="宋体" w:hAnsi="宋体" w:eastAsia="宋体" w:cs="宋体"/>
                <w:sz w:val="24"/>
                <w:szCs w:val="24"/>
              </w:rPr>
            </w:pPr>
            <w:r>
              <w:rPr>
                <w:rFonts w:hint="eastAsia" w:ascii="宋体" w:hAnsi="宋体" w:eastAsia="宋体"/>
              </w:rPr>
              <w:t xml:space="preserve">邓晖 </w:t>
            </w:r>
          </w:p>
        </w:tc>
      </w:tr>
      <w:tr w14:paraId="3A8FA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FDD4E9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1D3C46B">
            <w:pPr>
              <w:rPr>
                <w:rFonts w:ascii="宋体" w:hAnsi="宋体" w:eastAsia="宋体" w:cs="宋体"/>
                <w:sz w:val="24"/>
                <w:szCs w:val="24"/>
              </w:rPr>
            </w:pPr>
            <w:r>
              <w:rPr>
                <w:rFonts w:hint="eastAsia" w:ascii="宋体" w:hAnsi="宋体" w:eastAsia="宋体"/>
              </w:rPr>
              <w:t xml:space="preserve">丛瑞丰 </w:t>
            </w:r>
          </w:p>
        </w:tc>
      </w:tr>
      <w:tr w14:paraId="10D9A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95981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01777B7">
            <w:pPr>
              <w:rPr>
                <w:rFonts w:ascii="宋体" w:hAnsi="宋体" w:eastAsia="宋体" w:cs="宋体"/>
                <w:sz w:val="24"/>
                <w:szCs w:val="24"/>
              </w:rPr>
            </w:pPr>
            <w:r>
              <w:rPr>
                <w:rFonts w:hint="eastAsia" w:ascii="宋体" w:hAnsi="宋体" w:eastAsia="宋体"/>
              </w:rPr>
              <w:t xml:space="preserve">15069421014 </w:t>
            </w:r>
          </w:p>
        </w:tc>
      </w:tr>
      <w:tr w14:paraId="278DE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7A8D4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56DB0AE">
            <w:pPr>
              <w:rPr>
                <w:rFonts w:ascii="宋体" w:hAnsi="宋体" w:eastAsia="宋体" w:cs="宋体"/>
                <w:sz w:val="24"/>
                <w:szCs w:val="24"/>
              </w:rPr>
            </w:pPr>
            <w:r>
              <w:rPr>
                <w:rFonts w:hint="eastAsia" w:ascii="宋体" w:hAnsi="宋体" w:eastAsia="宋体"/>
              </w:rPr>
              <w:t xml:space="preserve">- </w:t>
            </w:r>
          </w:p>
        </w:tc>
      </w:tr>
      <w:tr w14:paraId="0C80A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A616A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2F30168">
            <w:pPr>
              <w:rPr>
                <w:rFonts w:ascii="宋体" w:hAnsi="宋体" w:eastAsia="宋体" w:cs="宋体"/>
                <w:sz w:val="24"/>
                <w:szCs w:val="24"/>
              </w:rPr>
            </w:pPr>
            <w:r>
              <w:rPr>
                <w:rFonts w:hint="eastAsia" w:ascii="宋体" w:hAnsi="宋体" w:eastAsia="宋体"/>
              </w:rPr>
              <w:t xml:space="preserve">95305 </w:t>
            </w:r>
          </w:p>
        </w:tc>
      </w:tr>
      <w:tr w14:paraId="3B6C9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30AA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591D6C9">
            <w:pPr>
              <w:rPr>
                <w:rFonts w:ascii="宋体" w:hAnsi="宋体" w:eastAsia="宋体" w:cs="宋体"/>
                <w:sz w:val="24"/>
                <w:szCs w:val="24"/>
              </w:rPr>
            </w:pPr>
            <w:r>
              <w:rPr>
                <w:rFonts w:hint="eastAsia" w:ascii="宋体" w:hAnsi="宋体" w:eastAsia="宋体"/>
              </w:rPr>
              <w:t xml:space="preserve">www.huayuanstock.com </w:t>
            </w:r>
          </w:p>
        </w:tc>
      </w:tr>
    </w:tbl>
    <w:p w14:paraId="1D0D721F">
      <w:pPr>
        <w:pStyle w:val="8"/>
        <w:spacing w:before="0" w:beforeAutospacing="0" w:after="0" w:afterAutospacing="0" w:line="360" w:lineRule="auto"/>
        <w:ind w:firstLine="420"/>
        <w:rPr>
          <w:sz w:val="21"/>
          <w:szCs w:val="21"/>
        </w:rPr>
      </w:pPr>
      <w:r>
        <w:rPr>
          <w:rFonts w:hint="eastAsia"/>
          <w:b/>
          <w:bCs/>
          <w:sz w:val="21"/>
          <w:szCs w:val="21"/>
        </w:rPr>
        <w:t>(21)北京汇成基金销售有限公司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708EE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FBC7E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D42DF17">
            <w:pPr>
              <w:rPr>
                <w:rFonts w:ascii="宋体" w:hAnsi="宋体" w:eastAsia="宋体" w:cs="宋体"/>
                <w:sz w:val="24"/>
                <w:szCs w:val="24"/>
              </w:rPr>
            </w:pPr>
            <w:r>
              <w:rPr>
                <w:rFonts w:hint="eastAsia" w:ascii="宋体" w:hAnsi="宋体" w:eastAsia="宋体"/>
              </w:rPr>
              <w:t xml:space="preserve">北京市西城区宣武门外大街甲1号4层401-2 </w:t>
            </w:r>
          </w:p>
        </w:tc>
      </w:tr>
      <w:tr w14:paraId="09F0A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2FB70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49B38EB">
            <w:pPr>
              <w:rPr>
                <w:rFonts w:ascii="宋体" w:hAnsi="宋体" w:eastAsia="宋体" w:cs="宋体"/>
                <w:sz w:val="24"/>
                <w:szCs w:val="24"/>
              </w:rPr>
            </w:pPr>
            <w:r>
              <w:rPr>
                <w:rFonts w:hint="eastAsia" w:ascii="宋体" w:hAnsi="宋体" w:eastAsia="宋体"/>
              </w:rPr>
              <w:t xml:space="preserve">北京市西城区宣武门外大街甲1号4层401-2 </w:t>
            </w:r>
          </w:p>
        </w:tc>
      </w:tr>
      <w:tr w14:paraId="48D72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323CB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E166A23">
            <w:pPr>
              <w:rPr>
                <w:rFonts w:ascii="宋体" w:hAnsi="宋体" w:eastAsia="宋体" w:cs="宋体"/>
                <w:sz w:val="24"/>
                <w:szCs w:val="24"/>
              </w:rPr>
            </w:pPr>
            <w:r>
              <w:rPr>
                <w:rFonts w:hint="eastAsia" w:ascii="宋体" w:hAnsi="宋体" w:eastAsia="宋体"/>
              </w:rPr>
              <w:t xml:space="preserve">王伟刚 </w:t>
            </w:r>
          </w:p>
        </w:tc>
      </w:tr>
      <w:tr w14:paraId="2BE2E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8C9880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8B8EB2B">
            <w:pPr>
              <w:rPr>
                <w:rFonts w:ascii="宋体" w:hAnsi="宋体" w:eastAsia="宋体" w:cs="宋体"/>
                <w:sz w:val="24"/>
                <w:szCs w:val="24"/>
              </w:rPr>
            </w:pPr>
            <w:r>
              <w:rPr>
                <w:rFonts w:hint="eastAsia" w:ascii="宋体" w:hAnsi="宋体" w:eastAsia="宋体"/>
              </w:rPr>
              <w:t xml:space="preserve">丁向坤 </w:t>
            </w:r>
          </w:p>
        </w:tc>
      </w:tr>
      <w:tr w14:paraId="051D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CC94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F113746">
            <w:pPr>
              <w:rPr>
                <w:rFonts w:ascii="宋体" w:hAnsi="宋体" w:eastAsia="宋体" w:cs="宋体"/>
                <w:sz w:val="24"/>
                <w:szCs w:val="24"/>
              </w:rPr>
            </w:pPr>
            <w:r>
              <w:rPr>
                <w:rFonts w:hint="eastAsia" w:ascii="宋体" w:hAnsi="宋体" w:eastAsia="宋体"/>
              </w:rPr>
              <w:t xml:space="preserve">010-56282140 </w:t>
            </w:r>
          </w:p>
        </w:tc>
      </w:tr>
      <w:tr w14:paraId="16BC3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FF10C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066D38C">
            <w:pPr>
              <w:rPr>
                <w:rFonts w:ascii="宋体" w:hAnsi="宋体" w:eastAsia="宋体" w:cs="宋体"/>
                <w:sz w:val="24"/>
                <w:szCs w:val="24"/>
              </w:rPr>
            </w:pPr>
            <w:r>
              <w:rPr>
                <w:rFonts w:hint="eastAsia" w:ascii="宋体" w:hAnsi="宋体" w:eastAsia="宋体"/>
              </w:rPr>
              <w:t xml:space="preserve">010-62680827 </w:t>
            </w:r>
          </w:p>
        </w:tc>
      </w:tr>
      <w:tr w14:paraId="1CC80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A8A4A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0DFF0A0">
            <w:pPr>
              <w:rPr>
                <w:rFonts w:ascii="宋体" w:hAnsi="宋体" w:eastAsia="宋体" w:cs="宋体"/>
                <w:sz w:val="24"/>
                <w:szCs w:val="24"/>
              </w:rPr>
            </w:pPr>
            <w:r>
              <w:rPr>
                <w:rFonts w:hint="eastAsia" w:ascii="宋体" w:hAnsi="宋体" w:eastAsia="宋体"/>
              </w:rPr>
              <w:t xml:space="preserve">010-63158805 </w:t>
            </w:r>
          </w:p>
        </w:tc>
      </w:tr>
      <w:tr w14:paraId="3BEE2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193A4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4618F7A">
            <w:pPr>
              <w:rPr>
                <w:rFonts w:ascii="宋体" w:hAnsi="宋体" w:eastAsia="宋体" w:cs="宋体"/>
                <w:sz w:val="24"/>
                <w:szCs w:val="24"/>
              </w:rPr>
            </w:pPr>
            <w:r>
              <w:rPr>
                <w:rFonts w:hint="eastAsia" w:ascii="宋体" w:hAnsi="宋体" w:eastAsia="宋体"/>
              </w:rPr>
              <w:t xml:space="preserve">www.hcfunds.com </w:t>
            </w:r>
          </w:p>
        </w:tc>
      </w:tr>
    </w:tbl>
    <w:p w14:paraId="5C470D23">
      <w:pPr>
        <w:pStyle w:val="8"/>
        <w:spacing w:before="0" w:beforeAutospacing="0" w:after="0" w:afterAutospacing="0" w:line="360" w:lineRule="auto"/>
        <w:ind w:firstLine="420"/>
        <w:rPr>
          <w:sz w:val="21"/>
          <w:szCs w:val="21"/>
        </w:rPr>
      </w:pPr>
      <w:r>
        <w:rPr>
          <w:rFonts w:hint="eastAsia"/>
          <w:b/>
          <w:bCs/>
          <w:sz w:val="21"/>
          <w:szCs w:val="21"/>
        </w:rPr>
        <w:t>(22)北京钱景基金销售有限公司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13BB4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4B5AA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12319B6">
            <w:pPr>
              <w:rPr>
                <w:rFonts w:ascii="宋体" w:hAnsi="宋体" w:eastAsia="宋体" w:cs="宋体"/>
                <w:sz w:val="24"/>
                <w:szCs w:val="24"/>
              </w:rPr>
            </w:pPr>
            <w:r>
              <w:rPr>
                <w:rFonts w:hint="eastAsia" w:ascii="宋体" w:hAnsi="宋体" w:eastAsia="宋体"/>
              </w:rPr>
              <w:t xml:space="preserve">北京市海淀区丹棱街6号1幢9层1008-1012 </w:t>
            </w:r>
          </w:p>
        </w:tc>
      </w:tr>
      <w:tr w14:paraId="21C66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B7E4F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D4677F4">
            <w:pPr>
              <w:rPr>
                <w:rFonts w:ascii="宋体" w:hAnsi="宋体" w:eastAsia="宋体" w:cs="宋体"/>
                <w:sz w:val="24"/>
                <w:szCs w:val="24"/>
              </w:rPr>
            </w:pPr>
            <w:r>
              <w:rPr>
                <w:rFonts w:hint="eastAsia" w:ascii="宋体" w:hAnsi="宋体" w:eastAsia="宋体"/>
              </w:rPr>
              <w:t xml:space="preserve">北京市海淀区丹棱街6号1幢9层1008-1012 </w:t>
            </w:r>
          </w:p>
        </w:tc>
      </w:tr>
      <w:tr w14:paraId="705DF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ED67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53C5540">
            <w:pPr>
              <w:rPr>
                <w:rFonts w:ascii="宋体" w:hAnsi="宋体" w:eastAsia="宋体" w:cs="宋体"/>
                <w:sz w:val="24"/>
                <w:szCs w:val="24"/>
              </w:rPr>
            </w:pPr>
            <w:r>
              <w:rPr>
                <w:rFonts w:hint="eastAsia" w:ascii="宋体" w:hAnsi="宋体" w:eastAsia="宋体"/>
              </w:rPr>
              <w:t xml:space="preserve">赵荣春 </w:t>
            </w:r>
          </w:p>
        </w:tc>
      </w:tr>
      <w:tr w14:paraId="22C19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5C4C5F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E03F72D">
            <w:pPr>
              <w:rPr>
                <w:rFonts w:ascii="宋体" w:hAnsi="宋体" w:eastAsia="宋体" w:cs="宋体"/>
                <w:sz w:val="24"/>
                <w:szCs w:val="24"/>
              </w:rPr>
            </w:pPr>
            <w:r>
              <w:rPr>
                <w:rFonts w:hint="eastAsia" w:ascii="宋体" w:hAnsi="宋体" w:eastAsia="宋体"/>
              </w:rPr>
              <w:t xml:space="preserve">魏争 </w:t>
            </w:r>
          </w:p>
        </w:tc>
      </w:tr>
      <w:tr w14:paraId="14541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03AF0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B1EFD5E">
            <w:pPr>
              <w:rPr>
                <w:rFonts w:ascii="宋体" w:hAnsi="宋体" w:eastAsia="宋体" w:cs="宋体"/>
                <w:sz w:val="24"/>
                <w:szCs w:val="24"/>
              </w:rPr>
            </w:pPr>
            <w:r>
              <w:rPr>
                <w:rFonts w:hint="eastAsia" w:ascii="宋体" w:hAnsi="宋体" w:eastAsia="宋体"/>
              </w:rPr>
              <w:t xml:space="preserve">010-57418829 </w:t>
            </w:r>
          </w:p>
        </w:tc>
      </w:tr>
      <w:tr w14:paraId="056FD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B7D03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17D01C2">
            <w:pPr>
              <w:rPr>
                <w:rFonts w:ascii="宋体" w:hAnsi="宋体" w:eastAsia="宋体" w:cs="宋体"/>
                <w:sz w:val="24"/>
                <w:szCs w:val="24"/>
              </w:rPr>
            </w:pPr>
            <w:r>
              <w:rPr>
                <w:rFonts w:hint="eastAsia" w:ascii="宋体" w:hAnsi="宋体" w:eastAsia="宋体"/>
              </w:rPr>
              <w:t xml:space="preserve">010-57569671 </w:t>
            </w:r>
          </w:p>
        </w:tc>
      </w:tr>
      <w:tr w14:paraId="4E2BF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644E9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B8F1F04">
            <w:pPr>
              <w:rPr>
                <w:rFonts w:ascii="宋体" w:hAnsi="宋体" w:eastAsia="宋体" w:cs="宋体"/>
                <w:sz w:val="24"/>
                <w:szCs w:val="24"/>
              </w:rPr>
            </w:pPr>
            <w:r>
              <w:rPr>
                <w:rFonts w:hint="eastAsia" w:ascii="宋体" w:hAnsi="宋体" w:eastAsia="宋体"/>
              </w:rPr>
              <w:t xml:space="preserve">400-893-6885 </w:t>
            </w:r>
          </w:p>
        </w:tc>
      </w:tr>
      <w:tr w14:paraId="40DCA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16008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A318D24">
            <w:pPr>
              <w:rPr>
                <w:rFonts w:ascii="宋体" w:hAnsi="宋体" w:eastAsia="宋体" w:cs="宋体"/>
                <w:sz w:val="24"/>
                <w:szCs w:val="24"/>
              </w:rPr>
            </w:pPr>
            <w:r>
              <w:rPr>
                <w:rFonts w:hint="eastAsia" w:ascii="宋体" w:hAnsi="宋体" w:eastAsia="宋体"/>
              </w:rPr>
              <w:t xml:space="preserve">www.qianjing.com </w:t>
            </w:r>
          </w:p>
        </w:tc>
      </w:tr>
    </w:tbl>
    <w:p w14:paraId="5DC372DA">
      <w:pPr>
        <w:pStyle w:val="8"/>
        <w:spacing w:before="0" w:beforeAutospacing="0" w:after="0" w:afterAutospacing="0" w:line="360" w:lineRule="auto"/>
        <w:ind w:firstLine="420"/>
        <w:rPr>
          <w:sz w:val="21"/>
          <w:szCs w:val="21"/>
        </w:rPr>
      </w:pPr>
      <w:r>
        <w:rPr>
          <w:rFonts w:hint="eastAsia"/>
          <w:b/>
          <w:bCs/>
          <w:sz w:val="21"/>
          <w:szCs w:val="21"/>
        </w:rPr>
        <w:t>(23)海银基金销售有限公司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257DD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22A18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0F446A8">
            <w:pPr>
              <w:rPr>
                <w:rFonts w:ascii="宋体" w:hAnsi="宋体" w:eastAsia="宋体" w:cs="宋体"/>
                <w:sz w:val="24"/>
                <w:szCs w:val="24"/>
              </w:rPr>
            </w:pPr>
            <w:r>
              <w:rPr>
                <w:rFonts w:hint="eastAsia" w:ascii="宋体" w:hAnsi="宋体" w:eastAsia="宋体"/>
              </w:rPr>
              <w:t xml:space="preserve">中国（上海）自由贸易试验区银城中路8号401室 </w:t>
            </w:r>
          </w:p>
        </w:tc>
      </w:tr>
      <w:tr w14:paraId="64CF8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4CDD6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CE38763">
            <w:pPr>
              <w:rPr>
                <w:rFonts w:ascii="宋体" w:hAnsi="宋体" w:eastAsia="宋体" w:cs="宋体"/>
                <w:sz w:val="24"/>
                <w:szCs w:val="24"/>
              </w:rPr>
            </w:pPr>
            <w:r>
              <w:rPr>
                <w:rFonts w:hint="eastAsia" w:ascii="宋体" w:hAnsi="宋体" w:eastAsia="宋体"/>
              </w:rPr>
              <w:t xml:space="preserve">上海市浦东新区银城中路8号4楼 </w:t>
            </w:r>
          </w:p>
        </w:tc>
      </w:tr>
      <w:tr w14:paraId="5A80C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47291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B81EFB5">
            <w:pPr>
              <w:rPr>
                <w:rFonts w:ascii="宋体" w:hAnsi="宋体" w:eastAsia="宋体" w:cs="宋体"/>
                <w:sz w:val="24"/>
                <w:szCs w:val="24"/>
              </w:rPr>
            </w:pPr>
            <w:r>
              <w:rPr>
                <w:rFonts w:hint="eastAsia" w:ascii="宋体" w:hAnsi="宋体" w:eastAsia="宋体"/>
              </w:rPr>
              <w:t xml:space="preserve">孙亚超 </w:t>
            </w:r>
          </w:p>
        </w:tc>
      </w:tr>
      <w:tr w14:paraId="0E6E3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4ED1F7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BD01D0B">
            <w:pPr>
              <w:rPr>
                <w:rFonts w:ascii="宋体" w:hAnsi="宋体" w:eastAsia="宋体" w:cs="宋体"/>
                <w:sz w:val="24"/>
                <w:szCs w:val="24"/>
              </w:rPr>
            </w:pPr>
            <w:r>
              <w:rPr>
                <w:rFonts w:hint="eastAsia" w:ascii="宋体" w:hAnsi="宋体" w:eastAsia="宋体"/>
              </w:rPr>
              <w:t xml:space="preserve">刘晖 </w:t>
            </w:r>
          </w:p>
        </w:tc>
      </w:tr>
      <w:tr w14:paraId="60B38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6E3D7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0A52037">
            <w:pPr>
              <w:rPr>
                <w:rFonts w:ascii="宋体" w:hAnsi="宋体" w:eastAsia="宋体" w:cs="宋体"/>
                <w:sz w:val="24"/>
                <w:szCs w:val="24"/>
              </w:rPr>
            </w:pPr>
            <w:r>
              <w:rPr>
                <w:rFonts w:hint="eastAsia" w:ascii="宋体" w:hAnsi="宋体" w:eastAsia="宋体"/>
              </w:rPr>
              <w:t xml:space="preserve">021-60206991 </w:t>
            </w:r>
          </w:p>
        </w:tc>
      </w:tr>
      <w:tr w14:paraId="57631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E8E15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611594A">
            <w:pPr>
              <w:rPr>
                <w:rFonts w:ascii="宋体" w:hAnsi="宋体" w:eastAsia="宋体" w:cs="宋体"/>
                <w:sz w:val="24"/>
                <w:szCs w:val="24"/>
              </w:rPr>
            </w:pPr>
            <w:r>
              <w:rPr>
                <w:rFonts w:hint="eastAsia" w:ascii="宋体" w:hAnsi="宋体" w:eastAsia="宋体"/>
              </w:rPr>
              <w:t xml:space="preserve">021-80133413 </w:t>
            </w:r>
          </w:p>
        </w:tc>
      </w:tr>
      <w:tr w14:paraId="7B511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D0DC6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587D0DB">
            <w:pPr>
              <w:rPr>
                <w:rFonts w:ascii="宋体" w:hAnsi="宋体" w:eastAsia="宋体" w:cs="宋体"/>
                <w:sz w:val="24"/>
                <w:szCs w:val="24"/>
              </w:rPr>
            </w:pPr>
            <w:r>
              <w:rPr>
                <w:rFonts w:hint="eastAsia" w:ascii="宋体" w:hAnsi="宋体" w:eastAsia="宋体"/>
              </w:rPr>
              <w:t xml:space="preserve">400-808-1016 </w:t>
            </w:r>
          </w:p>
        </w:tc>
      </w:tr>
      <w:tr w14:paraId="5A1ED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DB5F9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013A796">
            <w:pPr>
              <w:rPr>
                <w:rFonts w:ascii="宋体" w:hAnsi="宋体" w:eastAsia="宋体" w:cs="宋体"/>
                <w:sz w:val="24"/>
                <w:szCs w:val="24"/>
              </w:rPr>
            </w:pPr>
            <w:r>
              <w:rPr>
                <w:rFonts w:hint="eastAsia" w:ascii="宋体" w:hAnsi="宋体" w:eastAsia="宋体"/>
              </w:rPr>
              <w:t xml:space="preserve">www.fundhaiyin.com </w:t>
            </w:r>
          </w:p>
        </w:tc>
      </w:tr>
    </w:tbl>
    <w:p w14:paraId="0C1B6F6B">
      <w:pPr>
        <w:pStyle w:val="8"/>
        <w:spacing w:before="0" w:beforeAutospacing="0" w:after="0" w:afterAutospacing="0" w:line="360" w:lineRule="auto"/>
        <w:ind w:firstLine="420"/>
        <w:rPr>
          <w:sz w:val="21"/>
          <w:szCs w:val="21"/>
        </w:rPr>
      </w:pPr>
      <w:r>
        <w:rPr>
          <w:rFonts w:hint="eastAsia"/>
          <w:b/>
          <w:bCs/>
          <w:sz w:val="21"/>
          <w:szCs w:val="21"/>
        </w:rPr>
        <w:t>(24)北京新浪仓石基金销售有限公司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4147A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C166E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3CFDFED">
            <w:pPr>
              <w:rPr>
                <w:rFonts w:ascii="宋体" w:hAnsi="宋体" w:eastAsia="宋体" w:cs="宋体"/>
                <w:sz w:val="24"/>
                <w:szCs w:val="24"/>
              </w:rPr>
            </w:pPr>
            <w:r>
              <w:rPr>
                <w:rFonts w:hint="eastAsia" w:ascii="宋体" w:hAnsi="宋体" w:eastAsia="宋体"/>
              </w:rPr>
              <w:t xml:space="preserve">北京市海淀区东北旺西路中关村软件园二期（西扩）N-1、N-2地块新浪总部科研楼5层518室 </w:t>
            </w:r>
          </w:p>
        </w:tc>
      </w:tr>
      <w:tr w14:paraId="04548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87653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16B5E06">
            <w:pPr>
              <w:rPr>
                <w:rFonts w:ascii="宋体" w:hAnsi="宋体" w:eastAsia="宋体" w:cs="宋体"/>
                <w:sz w:val="24"/>
                <w:szCs w:val="24"/>
              </w:rPr>
            </w:pPr>
            <w:r>
              <w:rPr>
                <w:rFonts w:hint="eastAsia" w:ascii="宋体" w:hAnsi="宋体" w:eastAsia="宋体"/>
              </w:rPr>
              <w:t xml:space="preserve">北京市海淀区西北旺东路10号院东区3号楼为明大厦C座 </w:t>
            </w:r>
          </w:p>
        </w:tc>
      </w:tr>
      <w:tr w14:paraId="7CB49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1073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5930018">
            <w:pPr>
              <w:rPr>
                <w:rFonts w:ascii="宋体" w:hAnsi="宋体" w:eastAsia="宋体" w:cs="宋体"/>
                <w:sz w:val="24"/>
                <w:szCs w:val="24"/>
              </w:rPr>
            </w:pPr>
            <w:r>
              <w:rPr>
                <w:rFonts w:hint="eastAsia" w:ascii="宋体" w:hAnsi="宋体" w:eastAsia="宋体"/>
              </w:rPr>
              <w:t xml:space="preserve">赵芯蕊 </w:t>
            </w:r>
          </w:p>
        </w:tc>
      </w:tr>
      <w:tr w14:paraId="32700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41E439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40AF45F">
            <w:pPr>
              <w:rPr>
                <w:rFonts w:ascii="宋体" w:hAnsi="宋体" w:eastAsia="宋体" w:cs="宋体"/>
                <w:sz w:val="24"/>
                <w:szCs w:val="24"/>
              </w:rPr>
            </w:pPr>
            <w:r>
              <w:rPr>
                <w:rFonts w:hint="eastAsia" w:ascii="宋体" w:hAnsi="宋体" w:eastAsia="宋体"/>
              </w:rPr>
              <w:t xml:space="preserve">赵芯蕊 </w:t>
            </w:r>
          </w:p>
        </w:tc>
      </w:tr>
      <w:tr w14:paraId="41213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18B17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1950F1B">
            <w:pPr>
              <w:rPr>
                <w:rFonts w:ascii="宋体" w:hAnsi="宋体" w:eastAsia="宋体" w:cs="宋体"/>
                <w:sz w:val="24"/>
                <w:szCs w:val="24"/>
              </w:rPr>
            </w:pPr>
            <w:r>
              <w:rPr>
                <w:rFonts w:hint="eastAsia" w:ascii="宋体" w:hAnsi="宋体" w:eastAsia="宋体"/>
              </w:rPr>
              <w:t xml:space="preserve">010-62675768 </w:t>
            </w:r>
          </w:p>
        </w:tc>
      </w:tr>
      <w:tr w14:paraId="44BDE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05FED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590FC72">
            <w:pPr>
              <w:rPr>
                <w:rFonts w:ascii="宋体" w:hAnsi="宋体" w:eastAsia="宋体" w:cs="宋体"/>
                <w:sz w:val="24"/>
                <w:szCs w:val="24"/>
              </w:rPr>
            </w:pPr>
            <w:r>
              <w:rPr>
                <w:rFonts w:hint="eastAsia" w:ascii="宋体" w:hAnsi="宋体" w:eastAsia="宋体"/>
              </w:rPr>
              <w:t xml:space="preserve">010-62676582 </w:t>
            </w:r>
          </w:p>
        </w:tc>
      </w:tr>
      <w:tr w14:paraId="35247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69459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2018886">
            <w:pPr>
              <w:rPr>
                <w:rFonts w:ascii="宋体" w:hAnsi="宋体" w:eastAsia="宋体" w:cs="宋体"/>
                <w:sz w:val="24"/>
                <w:szCs w:val="24"/>
              </w:rPr>
            </w:pPr>
            <w:r>
              <w:rPr>
                <w:rFonts w:hint="eastAsia" w:ascii="宋体" w:hAnsi="宋体" w:eastAsia="宋体"/>
              </w:rPr>
              <w:t xml:space="preserve">010-62675369 </w:t>
            </w:r>
          </w:p>
        </w:tc>
      </w:tr>
      <w:tr w14:paraId="48B55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D530F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1DE910C">
            <w:pPr>
              <w:rPr>
                <w:rFonts w:ascii="宋体" w:hAnsi="宋体" w:eastAsia="宋体" w:cs="宋体"/>
                <w:sz w:val="24"/>
                <w:szCs w:val="24"/>
              </w:rPr>
            </w:pPr>
            <w:r>
              <w:rPr>
                <w:rFonts w:hint="eastAsia" w:ascii="宋体" w:hAnsi="宋体" w:eastAsia="宋体"/>
              </w:rPr>
              <w:t xml:space="preserve">www.xincai.com </w:t>
            </w:r>
          </w:p>
        </w:tc>
      </w:tr>
    </w:tbl>
    <w:p w14:paraId="71C4B9C9">
      <w:pPr>
        <w:pStyle w:val="8"/>
        <w:spacing w:before="0" w:beforeAutospacing="0" w:after="0" w:afterAutospacing="0" w:line="360" w:lineRule="auto"/>
        <w:ind w:firstLine="420"/>
        <w:rPr>
          <w:sz w:val="21"/>
          <w:szCs w:val="21"/>
        </w:rPr>
      </w:pPr>
      <w:r>
        <w:rPr>
          <w:rFonts w:hint="eastAsia"/>
          <w:b/>
          <w:bCs/>
          <w:sz w:val="21"/>
          <w:szCs w:val="21"/>
        </w:rPr>
        <w:t>(25)上海万得基金销售有限公司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03E00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1DDD9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54605A2">
            <w:pPr>
              <w:rPr>
                <w:rFonts w:ascii="宋体" w:hAnsi="宋体" w:eastAsia="宋体" w:cs="宋体"/>
                <w:sz w:val="24"/>
                <w:szCs w:val="24"/>
              </w:rPr>
            </w:pPr>
            <w:r>
              <w:rPr>
                <w:rFonts w:hint="eastAsia" w:ascii="宋体" w:hAnsi="宋体" w:eastAsia="宋体"/>
              </w:rPr>
              <w:t xml:space="preserve">中国（上海）自由贸易试验区福山路33号11楼B座 </w:t>
            </w:r>
          </w:p>
        </w:tc>
      </w:tr>
      <w:tr w14:paraId="679E0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69B48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3B8549D">
            <w:pPr>
              <w:rPr>
                <w:rFonts w:ascii="宋体" w:hAnsi="宋体" w:eastAsia="宋体" w:cs="宋体"/>
                <w:sz w:val="24"/>
                <w:szCs w:val="24"/>
              </w:rPr>
            </w:pPr>
            <w:r>
              <w:rPr>
                <w:rFonts w:hint="eastAsia" w:ascii="宋体" w:hAnsi="宋体" w:eastAsia="宋体"/>
              </w:rPr>
              <w:t xml:space="preserve">上海市浦东新区浦明路1500号万得大厦11楼 </w:t>
            </w:r>
          </w:p>
        </w:tc>
      </w:tr>
      <w:tr w14:paraId="7E059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F1F8A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286A2CA">
            <w:pPr>
              <w:rPr>
                <w:rFonts w:ascii="宋体" w:hAnsi="宋体" w:eastAsia="宋体" w:cs="宋体"/>
                <w:sz w:val="24"/>
                <w:szCs w:val="24"/>
              </w:rPr>
            </w:pPr>
            <w:r>
              <w:rPr>
                <w:rFonts w:hint="eastAsia" w:ascii="宋体" w:hAnsi="宋体" w:eastAsia="宋体"/>
              </w:rPr>
              <w:t xml:space="preserve">王廷富 </w:t>
            </w:r>
          </w:p>
        </w:tc>
      </w:tr>
      <w:tr w14:paraId="203A6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82777B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93AB210">
            <w:pPr>
              <w:rPr>
                <w:rFonts w:ascii="宋体" w:hAnsi="宋体" w:eastAsia="宋体" w:cs="宋体"/>
                <w:sz w:val="24"/>
                <w:szCs w:val="24"/>
              </w:rPr>
            </w:pPr>
            <w:r>
              <w:rPr>
                <w:rFonts w:hint="eastAsia" w:ascii="宋体" w:hAnsi="宋体" w:eastAsia="宋体"/>
              </w:rPr>
              <w:t xml:space="preserve">姜吉灵 </w:t>
            </w:r>
          </w:p>
        </w:tc>
      </w:tr>
      <w:tr w14:paraId="5B113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BE0F8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3041FF7">
            <w:pPr>
              <w:rPr>
                <w:rFonts w:ascii="宋体" w:hAnsi="宋体" w:eastAsia="宋体" w:cs="宋体"/>
                <w:sz w:val="24"/>
                <w:szCs w:val="24"/>
              </w:rPr>
            </w:pPr>
            <w:r>
              <w:rPr>
                <w:rFonts w:hint="eastAsia" w:ascii="宋体" w:hAnsi="宋体" w:eastAsia="宋体"/>
              </w:rPr>
              <w:t xml:space="preserve">021-5132 7185 </w:t>
            </w:r>
          </w:p>
        </w:tc>
      </w:tr>
      <w:tr w14:paraId="6D114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C867D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08EDC68">
            <w:pPr>
              <w:rPr>
                <w:rFonts w:ascii="宋体" w:hAnsi="宋体" w:eastAsia="宋体" w:cs="宋体"/>
                <w:sz w:val="24"/>
                <w:szCs w:val="24"/>
              </w:rPr>
            </w:pPr>
            <w:r>
              <w:rPr>
                <w:rFonts w:hint="eastAsia" w:ascii="宋体" w:hAnsi="宋体" w:eastAsia="宋体"/>
              </w:rPr>
              <w:t xml:space="preserve">021-6888 2281 </w:t>
            </w:r>
          </w:p>
        </w:tc>
      </w:tr>
      <w:tr w14:paraId="0F2F3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9C2B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57CCFE0">
            <w:pPr>
              <w:rPr>
                <w:rFonts w:ascii="宋体" w:hAnsi="宋体" w:eastAsia="宋体" w:cs="宋体"/>
                <w:sz w:val="24"/>
                <w:szCs w:val="24"/>
              </w:rPr>
            </w:pPr>
            <w:r>
              <w:rPr>
                <w:rFonts w:hint="eastAsia" w:ascii="宋体" w:hAnsi="宋体" w:eastAsia="宋体"/>
              </w:rPr>
              <w:t xml:space="preserve">400-821-0203 </w:t>
            </w:r>
          </w:p>
        </w:tc>
      </w:tr>
      <w:tr w14:paraId="186F2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0B24C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DFFAD74">
            <w:pPr>
              <w:rPr>
                <w:rFonts w:ascii="宋体" w:hAnsi="宋体" w:eastAsia="宋体" w:cs="宋体"/>
                <w:sz w:val="24"/>
                <w:szCs w:val="24"/>
              </w:rPr>
            </w:pPr>
            <w:r>
              <w:rPr>
                <w:rFonts w:hint="eastAsia" w:ascii="宋体" w:hAnsi="宋体" w:eastAsia="宋体"/>
              </w:rPr>
              <w:t xml:space="preserve">www.520fund.com.cn </w:t>
            </w:r>
          </w:p>
        </w:tc>
      </w:tr>
    </w:tbl>
    <w:p w14:paraId="502D5969">
      <w:pPr>
        <w:pStyle w:val="8"/>
        <w:spacing w:before="0" w:beforeAutospacing="0" w:after="0" w:afterAutospacing="0" w:line="360" w:lineRule="auto"/>
        <w:ind w:firstLine="420"/>
        <w:rPr>
          <w:sz w:val="21"/>
          <w:szCs w:val="21"/>
        </w:rPr>
      </w:pPr>
      <w:r>
        <w:rPr>
          <w:rFonts w:hint="eastAsia"/>
          <w:b/>
          <w:bCs/>
          <w:sz w:val="21"/>
          <w:szCs w:val="21"/>
        </w:rPr>
        <w:t>(26)上海联泰基金销售有限公司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32B79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EDDFD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EA61A67">
            <w:pPr>
              <w:rPr>
                <w:rFonts w:ascii="宋体" w:hAnsi="宋体" w:eastAsia="宋体" w:cs="宋体"/>
                <w:sz w:val="24"/>
                <w:szCs w:val="24"/>
              </w:rPr>
            </w:pPr>
            <w:r>
              <w:rPr>
                <w:rFonts w:hint="eastAsia" w:ascii="宋体" w:hAnsi="宋体" w:eastAsia="宋体"/>
              </w:rPr>
              <w:t xml:space="preserve">上海市普陀区兰溪路900弄15号526室 </w:t>
            </w:r>
          </w:p>
        </w:tc>
      </w:tr>
      <w:tr w14:paraId="6FB06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AEE2D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062D1A4">
            <w:pPr>
              <w:rPr>
                <w:rFonts w:ascii="宋体" w:hAnsi="宋体" w:eastAsia="宋体" w:cs="宋体"/>
                <w:sz w:val="24"/>
                <w:szCs w:val="24"/>
              </w:rPr>
            </w:pPr>
            <w:r>
              <w:rPr>
                <w:rFonts w:hint="eastAsia" w:ascii="宋体" w:hAnsi="宋体" w:eastAsia="宋体"/>
              </w:rPr>
              <w:t xml:space="preserve">上海市虹口区溧阳路735号2幢3层 </w:t>
            </w:r>
          </w:p>
        </w:tc>
      </w:tr>
      <w:tr w14:paraId="6FCD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26327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631435E">
            <w:pPr>
              <w:rPr>
                <w:rFonts w:ascii="宋体" w:hAnsi="宋体" w:eastAsia="宋体" w:cs="宋体"/>
                <w:sz w:val="24"/>
                <w:szCs w:val="24"/>
              </w:rPr>
            </w:pPr>
            <w:r>
              <w:rPr>
                <w:rFonts w:hint="eastAsia" w:ascii="宋体" w:hAnsi="宋体" w:eastAsia="宋体"/>
              </w:rPr>
              <w:t xml:space="preserve">尹彬彬 </w:t>
            </w:r>
          </w:p>
        </w:tc>
      </w:tr>
      <w:tr w14:paraId="46E37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6D9E2A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0956AF1">
            <w:pPr>
              <w:rPr>
                <w:rFonts w:ascii="宋体" w:hAnsi="宋体" w:eastAsia="宋体" w:cs="宋体"/>
                <w:sz w:val="24"/>
                <w:szCs w:val="24"/>
              </w:rPr>
            </w:pPr>
            <w:r>
              <w:rPr>
                <w:rFonts w:hint="eastAsia" w:ascii="宋体" w:hAnsi="宋体" w:eastAsia="宋体"/>
              </w:rPr>
              <w:t xml:space="preserve">兰敏 </w:t>
            </w:r>
          </w:p>
        </w:tc>
      </w:tr>
      <w:tr w14:paraId="4A637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A8F9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B291B30">
            <w:pPr>
              <w:rPr>
                <w:rFonts w:ascii="宋体" w:hAnsi="宋体" w:eastAsia="宋体" w:cs="宋体"/>
                <w:sz w:val="24"/>
                <w:szCs w:val="24"/>
              </w:rPr>
            </w:pPr>
            <w:r>
              <w:rPr>
                <w:rFonts w:hint="eastAsia" w:ascii="宋体" w:hAnsi="宋体" w:eastAsia="宋体"/>
              </w:rPr>
              <w:t xml:space="preserve">021-62680166 </w:t>
            </w:r>
          </w:p>
        </w:tc>
      </w:tr>
      <w:tr w14:paraId="40E1D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D2DAE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08C1890">
            <w:pPr>
              <w:rPr>
                <w:rFonts w:ascii="宋体" w:hAnsi="宋体" w:eastAsia="宋体" w:cs="宋体"/>
                <w:sz w:val="24"/>
                <w:szCs w:val="24"/>
              </w:rPr>
            </w:pPr>
            <w:r>
              <w:rPr>
                <w:rFonts w:hint="eastAsia" w:ascii="宋体" w:hAnsi="宋体" w:eastAsia="宋体"/>
              </w:rPr>
              <w:t xml:space="preserve">021-52975270 </w:t>
            </w:r>
          </w:p>
        </w:tc>
      </w:tr>
      <w:tr w14:paraId="0661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F34B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263AFEF">
            <w:pPr>
              <w:rPr>
                <w:rFonts w:ascii="宋体" w:hAnsi="宋体" w:eastAsia="宋体" w:cs="宋体"/>
                <w:sz w:val="24"/>
                <w:szCs w:val="24"/>
              </w:rPr>
            </w:pPr>
            <w:r>
              <w:rPr>
                <w:rFonts w:hint="eastAsia" w:ascii="宋体" w:hAnsi="宋体" w:eastAsia="宋体"/>
              </w:rPr>
              <w:t xml:space="preserve">400-118-1188 </w:t>
            </w:r>
          </w:p>
        </w:tc>
      </w:tr>
      <w:tr w14:paraId="75B14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51485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9367172">
            <w:pPr>
              <w:rPr>
                <w:rFonts w:ascii="宋体" w:hAnsi="宋体" w:eastAsia="宋体" w:cs="宋体"/>
                <w:sz w:val="24"/>
                <w:szCs w:val="24"/>
              </w:rPr>
            </w:pPr>
            <w:r>
              <w:rPr>
                <w:rFonts w:hint="eastAsia" w:ascii="宋体" w:hAnsi="宋体" w:eastAsia="宋体"/>
              </w:rPr>
              <w:t xml:space="preserve">www.66liantai.com </w:t>
            </w:r>
          </w:p>
        </w:tc>
      </w:tr>
    </w:tbl>
    <w:p w14:paraId="3C7E832C">
      <w:pPr>
        <w:pStyle w:val="8"/>
        <w:spacing w:before="0" w:beforeAutospacing="0" w:after="0" w:afterAutospacing="0" w:line="360" w:lineRule="auto"/>
        <w:ind w:firstLine="420"/>
        <w:rPr>
          <w:sz w:val="21"/>
          <w:szCs w:val="21"/>
        </w:rPr>
      </w:pPr>
      <w:r>
        <w:rPr>
          <w:rFonts w:hint="eastAsia"/>
          <w:b/>
          <w:bCs/>
          <w:sz w:val="21"/>
          <w:szCs w:val="21"/>
        </w:rPr>
        <w:t>(27)上海基煜基金销售有限公司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A40F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82ACF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24B720E">
            <w:pPr>
              <w:rPr>
                <w:rFonts w:ascii="宋体" w:hAnsi="宋体" w:eastAsia="宋体" w:cs="宋体"/>
                <w:sz w:val="24"/>
                <w:szCs w:val="24"/>
              </w:rPr>
            </w:pPr>
            <w:r>
              <w:rPr>
                <w:rFonts w:hint="eastAsia" w:ascii="宋体" w:hAnsi="宋体" w:eastAsia="宋体"/>
              </w:rPr>
              <w:t xml:space="preserve">上海市黄浦区广东路500号30层3001单元 </w:t>
            </w:r>
          </w:p>
        </w:tc>
      </w:tr>
      <w:tr w14:paraId="4CE73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24FBE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A440B99">
            <w:pPr>
              <w:rPr>
                <w:rFonts w:ascii="宋体" w:hAnsi="宋体" w:eastAsia="宋体" w:cs="宋体"/>
                <w:sz w:val="24"/>
                <w:szCs w:val="24"/>
              </w:rPr>
            </w:pPr>
            <w:r>
              <w:rPr>
                <w:rFonts w:hint="eastAsia" w:ascii="宋体" w:hAnsi="宋体" w:eastAsia="宋体"/>
              </w:rPr>
              <w:t xml:space="preserve">上海市浦东新区银城中路488号太平金融大厦1503室 </w:t>
            </w:r>
          </w:p>
        </w:tc>
      </w:tr>
      <w:tr w14:paraId="02BF3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89B04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BD6B4B9">
            <w:pPr>
              <w:rPr>
                <w:rFonts w:ascii="宋体" w:hAnsi="宋体" w:eastAsia="宋体" w:cs="宋体"/>
                <w:sz w:val="24"/>
                <w:szCs w:val="24"/>
              </w:rPr>
            </w:pPr>
            <w:r>
              <w:rPr>
                <w:rFonts w:hint="eastAsia" w:ascii="宋体" w:hAnsi="宋体" w:eastAsia="宋体"/>
              </w:rPr>
              <w:t xml:space="preserve">王翔  </w:t>
            </w:r>
          </w:p>
        </w:tc>
      </w:tr>
      <w:tr w14:paraId="5919B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0DD97D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6EA8C92">
            <w:pPr>
              <w:rPr>
                <w:rFonts w:ascii="宋体" w:hAnsi="宋体" w:eastAsia="宋体" w:cs="宋体"/>
                <w:sz w:val="24"/>
                <w:szCs w:val="24"/>
              </w:rPr>
            </w:pPr>
            <w:r>
              <w:rPr>
                <w:rFonts w:hint="eastAsia" w:ascii="宋体" w:hAnsi="宋体" w:eastAsia="宋体"/>
              </w:rPr>
              <w:t xml:space="preserve">蓝杰 </w:t>
            </w:r>
          </w:p>
        </w:tc>
      </w:tr>
      <w:tr w14:paraId="27FEE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61B43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301C8D0">
            <w:pPr>
              <w:rPr>
                <w:rFonts w:ascii="宋体" w:hAnsi="宋体" w:eastAsia="宋体" w:cs="宋体"/>
                <w:sz w:val="24"/>
                <w:szCs w:val="24"/>
              </w:rPr>
            </w:pPr>
            <w:r>
              <w:rPr>
                <w:rFonts w:hint="eastAsia" w:ascii="宋体" w:hAnsi="宋体" w:eastAsia="宋体"/>
              </w:rPr>
              <w:t xml:space="preserve">021-65370077 </w:t>
            </w:r>
          </w:p>
        </w:tc>
      </w:tr>
      <w:tr w14:paraId="2E9F4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54EF7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5DAF8C0">
            <w:pPr>
              <w:rPr>
                <w:rFonts w:ascii="宋体" w:hAnsi="宋体" w:eastAsia="宋体" w:cs="宋体"/>
                <w:sz w:val="24"/>
                <w:szCs w:val="24"/>
              </w:rPr>
            </w:pPr>
            <w:r>
              <w:rPr>
                <w:rFonts w:hint="eastAsia" w:ascii="宋体" w:hAnsi="宋体" w:eastAsia="宋体"/>
              </w:rPr>
              <w:t xml:space="preserve">021-55085991 </w:t>
            </w:r>
          </w:p>
        </w:tc>
      </w:tr>
      <w:tr w14:paraId="56C1C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B9F8E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8F5C41A">
            <w:pPr>
              <w:rPr>
                <w:rFonts w:ascii="宋体" w:hAnsi="宋体" w:eastAsia="宋体" w:cs="宋体"/>
                <w:sz w:val="24"/>
                <w:szCs w:val="24"/>
              </w:rPr>
            </w:pPr>
            <w:r>
              <w:rPr>
                <w:rFonts w:hint="eastAsia" w:ascii="宋体" w:hAnsi="宋体" w:eastAsia="宋体"/>
              </w:rPr>
              <w:t xml:space="preserve">400-820-5369 </w:t>
            </w:r>
          </w:p>
        </w:tc>
      </w:tr>
      <w:tr w14:paraId="73254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01F73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DAFB943">
            <w:pPr>
              <w:rPr>
                <w:rFonts w:ascii="宋体" w:hAnsi="宋体" w:eastAsia="宋体" w:cs="宋体"/>
                <w:sz w:val="24"/>
                <w:szCs w:val="24"/>
              </w:rPr>
            </w:pPr>
            <w:r>
              <w:rPr>
                <w:rFonts w:hint="eastAsia" w:ascii="宋体" w:hAnsi="宋体" w:eastAsia="宋体"/>
              </w:rPr>
              <w:t xml:space="preserve">www.jiyufund.com.cn </w:t>
            </w:r>
          </w:p>
        </w:tc>
      </w:tr>
    </w:tbl>
    <w:p w14:paraId="71ABBB35">
      <w:pPr>
        <w:pStyle w:val="8"/>
        <w:spacing w:before="0" w:beforeAutospacing="0" w:after="0" w:afterAutospacing="0" w:line="360" w:lineRule="auto"/>
        <w:ind w:firstLine="420"/>
        <w:rPr>
          <w:sz w:val="21"/>
          <w:szCs w:val="21"/>
        </w:rPr>
      </w:pPr>
      <w:r>
        <w:rPr>
          <w:rFonts w:hint="eastAsia"/>
          <w:b/>
          <w:bCs/>
          <w:sz w:val="21"/>
          <w:szCs w:val="21"/>
        </w:rPr>
        <w:t>(28)上海凯石财富基金销售有限公司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561A2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EDCCC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9B23E09">
            <w:pPr>
              <w:rPr>
                <w:rFonts w:ascii="宋体" w:hAnsi="宋体" w:eastAsia="宋体" w:cs="宋体"/>
                <w:sz w:val="24"/>
                <w:szCs w:val="24"/>
              </w:rPr>
            </w:pPr>
            <w:r>
              <w:rPr>
                <w:rFonts w:hint="eastAsia" w:ascii="宋体" w:hAnsi="宋体" w:eastAsia="宋体"/>
              </w:rPr>
              <w:t xml:space="preserve">上海市黄浦区西藏南路765号602-115室 </w:t>
            </w:r>
          </w:p>
        </w:tc>
      </w:tr>
      <w:tr w14:paraId="408A8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DB1BC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99E95FC">
            <w:pPr>
              <w:rPr>
                <w:rFonts w:ascii="宋体" w:hAnsi="宋体" w:eastAsia="宋体" w:cs="宋体"/>
                <w:sz w:val="24"/>
                <w:szCs w:val="24"/>
              </w:rPr>
            </w:pPr>
            <w:r>
              <w:rPr>
                <w:rFonts w:hint="eastAsia" w:ascii="宋体" w:hAnsi="宋体" w:eastAsia="宋体"/>
              </w:rPr>
              <w:t xml:space="preserve">上海市黄浦区延安东路1号凯石大厦四楼  </w:t>
            </w:r>
          </w:p>
        </w:tc>
      </w:tr>
      <w:tr w14:paraId="0F924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0C913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8E8092F">
            <w:pPr>
              <w:rPr>
                <w:rFonts w:ascii="宋体" w:hAnsi="宋体" w:eastAsia="宋体" w:cs="宋体"/>
                <w:sz w:val="24"/>
                <w:szCs w:val="24"/>
              </w:rPr>
            </w:pPr>
            <w:r>
              <w:rPr>
                <w:rFonts w:hint="eastAsia" w:ascii="宋体" w:hAnsi="宋体" w:eastAsia="宋体"/>
              </w:rPr>
              <w:t xml:space="preserve">陈继武 </w:t>
            </w:r>
          </w:p>
        </w:tc>
      </w:tr>
      <w:tr w14:paraId="5AB42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EAD418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C4F0471">
            <w:pPr>
              <w:rPr>
                <w:rFonts w:ascii="宋体" w:hAnsi="宋体" w:eastAsia="宋体" w:cs="宋体"/>
                <w:sz w:val="24"/>
                <w:szCs w:val="24"/>
              </w:rPr>
            </w:pPr>
            <w:r>
              <w:rPr>
                <w:rFonts w:hint="eastAsia" w:ascii="宋体" w:hAnsi="宋体" w:eastAsia="宋体"/>
              </w:rPr>
              <w:t xml:space="preserve">李晓明 </w:t>
            </w:r>
          </w:p>
        </w:tc>
      </w:tr>
      <w:tr w14:paraId="1721E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433FC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CBBB0A9">
            <w:pPr>
              <w:rPr>
                <w:rFonts w:ascii="宋体" w:hAnsi="宋体" w:eastAsia="宋体" w:cs="宋体"/>
                <w:sz w:val="24"/>
                <w:szCs w:val="24"/>
              </w:rPr>
            </w:pPr>
            <w:r>
              <w:rPr>
                <w:rFonts w:hint="eastAsia" w:ascii="宋体" w:hAnsi="宋体" w:eastAsia="宋体"/>
              </w:rPr>
              <w:t xml:space="preserve">021-63333319 </w:t>
            </w:r>
          </w:p>
        </w:tc>
      </w:tr>
      <w:tr w14:paraId="39BEA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FE9B8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24F5837">
            <w:pPr>
              <w:rPr>
                <w:rFonts w:ascii="宋体" w:hAnsi="宋体" w:eastAsia="宋体" w:cs="宋体"/>
                <w:sz w:val="24"/>
                <w:szCs w:val="24"/>
              </w:rPr>
            </w:pPr>
            <w:r>
              <w:rPr>
                <w:rFonts w:hint="eastAsia" w:ascii="宋体" w:hAnsi="宋体" w:eastAsia="宋体"/>
              </w:rPr>
              <w:t xml:space="preserve">021-63332523 </w:t>
            </w:r>
          </w:p>
        </w:tc>
      </w:tr>
      <w:tr w14:paraId="7F338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76A12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BBF62A7">
            <w:pPr>
              <w:rPr>
                <w:rFonts w:ascii="宋体" w:hAnsi="宋体" w:eastAsia="宋体" w:cs="宋体"/>
                <w:sz w:val="24"/>
                <w:szCs w:val="24"/>
              </w:rPr>
            </w:pPr>
            <w:r>
              <w:rPr>
                <w:rFonts w:hint="eastAsia" w:ascii="宋体" w:hAnsi="宋体" w:eastAsia="宋体"/>
              </w:rPr>
              <w:t xml:space="preserve">400-643-3389 </w:t>
            </w:r>
          </w:p>
        </w:tc>
      </w:tr>
      <w:tr w14:paraId="2F0FF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9380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E9AE0BD">
            <w:pPr>
              <w:rPr>
                <w:rFonts w:ascii="宋体" w:hAnsi="宋体" w:eastAsia="宋体" w:cs="宋体"/>
                <w:sz w:val="24"/>
                <w:szCs w:val="24"/>
              </w:rPr>
            </w:pPr>
            <w:r>
              <w:rPr>
                <w:rFonts w:hint="eastAsia" w:ascii="宋体" w:hAnsi="宋体" w:eastAsia="宋体"/>
              </w:rPr>
              <w:t xml:space="preserve">www.vstonewealth.com </w:t>
            </w:r>
          </w:p>
        </w:tc>
      </w:tr>
    </w:tbl>
    <w:p w14:paraId="4DF5D65D">
      <w:pPr>
        <w:pStyle w:val="8"/>
        <w:spacing w:before="0" w:beforeAutospacing="0" w:after="0" w:afterAutospacing="0" w:line="360" w:lineRule="auto"/>
        <w:ind w:firstLine="420"/>
        <w:rPr>
          <w:sz w:val="21"/>
          <w:szCs w:val="21"/>
        </w:rPr>
      </w:pPr>
      <w:r>
        <w:rPr>
          <w:rFonts w:hint="eastAsia"/>
          <w:b/>
          <w:bCs/>
          <w:sz w:val="21"/>
          <w:szCs w:val="21"/>
        </w:rPr>
        <w:t>(29)深圳富济基金销售有限公司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7BB8B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15354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7192072">
            <w:pPr>
              <w:rPr>
                <w:rFonts w:ascii="宋体" w:hAnsi="宋体" w:eastAsia="宋体" w:cs="宋体"/>
                <w:sz w:val="24"/>
                <w:szCs w:val="24"/>
              </w:rPr>
            </w:pPr>
            <w:r>
              <w:rPr>
                <w:rFonts w:hint="eastAsia" w:ascii="宋体" w:hAnsi="宋体" w:eastAsia="宋体"/>
              </w:rPr>
              <w:t xml:space="preserve">深圳市福田区福田街道岗厦社区金田路3088号中洲大厦3203A单元 </w:t>
            </w:r>
          </w:p>
        </w:tc>
      </w:tr>
      <w:tr w14:paraId="4501A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859FD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CB0FF49">
            <w:pPr>
              <w:rPr>
                <w:rFonts w:ascii="宋体" w:hAnsi="宋体" w:eastAsia="宋体" w:cs="宋体"/>
                <w:sz w:val="24"/>
                <w:szCs w:val="24"/>
              </w:rPr>
            </w:pPr>
            <w:r>
              <w:rPr>
                <w:rFonts w:hint="eastAsia" w:ascii="宋体" w:hAnsi="宋体" w:eastAsia="宋体"/>
              </w:rPr>
              <w:t xml:space="preserve">深圳市福田区福田街道岗厦社区金田路3088号中洲大厦3203A单元 </w:t>
            </w:r>
          </w:p>
        </w:tc>
      </w:tr>
      <w:tr w14:paraId="290BA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0DA82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E66B0D7">
            <w:pPr>
              <w:rPr>
                <w:rFonts w:ascii="宋体" w:hAnsi="宋体" w:eastAsia="宋体" w:cs="宋体"/>
                <w:sz w:val="24"/>
                <w:szCs w:val="24"/>
              </w:rPr>
            </w:pPr>
            <w:r>
              <w:rPr>
                <w:rFonts w:hint="eastAsia" w:ascii="宋体" w:hAnsi="宋体" w:eastAsia="宋体"/>
              </w:rPr>
              <w:t xml:space="preserve">祝中村 </w:t>
            </w:r>
          </w:p>
        </w:tc>
      </w:tr>
      <w:tr w14:paraId="69DBB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F49ED3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CD0D30A">
            <w:pPr>
              <w:rPr>
                <w:rFonts w:ascii="宋体" w:hAnsi="宋体" w:eastAsia="宋体" w:cs="宋体"/>
                <w:sz w:val="24"/>
                <w:szCs w:val="24"/>
              </w:rPr>
            </w:pPr>
            <w:r>
              <w:rPr>
                <w:rFonts w:hint="eastAsia" w:ascii="宋体" w:hAnsi="宋体" w:eastAsia="宋体"/>
              </w:rPr>
              <w:t xml:space="preserve">曾瑶敏 </w:t>
            </w:r>
          </w:p>
        </w:tc>
      </w:tr>
      <w:tr w14:paraId="7D5CD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E14FC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D0B267C">
            <w:pPr>
              <w:rPr>
                <w:rFonts w:ascii="宋体" w:hAnsi="宋体" w:eastAsia="宋体" w:cs="宋体"/>
                <w:sz w:val="24"/>
                <w:szCs w:val="24"/>
              </w:rPr>
            </w:pPr>
            <w:r>
              <w:rPr>
                <w:rFonts w:hint="eastAsia" w:ascii="宋体" w:hAnsi="宋体" w:eastAsia="宋体"/>
              </w:rPr>
              <w:t xml:space="preserve">0755-83999907 </w:t>
            </w:r>
          </w:p>
        </w:tc>
      </w:tr>
      <w:tr w14:paraId="585EC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0A19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63CD402">
            <w:pPr>
              <w:rPr>
                <w:rFonts w:ascii="宋体" w:hAnsi="宋体" w:eastAsia="宋体" w:cs="宋体"/>
                <w:sz w:val="24"/>
                <w:szCs w:val="24"/>
              </w:rPr>
            </w:pPr>
            <w:r>
              <w:rPr>
                <w:rFonts w:hint="eastAsia" w:ascii="宋体" w:hAnsi="宋体" w:eastAsia="宋体"/>
              </w:rPr>
              <w:t xml:space="preserve">0755-83999926 </w:t>
            </w:r>
          </w:p>
        </w:tc>
      </w:tr>
      <w:tr w14:paraId="147FC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5EA37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5F2935E">
            <w:pPr>
              <w:rPr>
                <w:rFonts w:ascii="宋体" w:hAnsi="宋体" w:eastAsia="宋体" w:cs="宋体"/>
                <w:sz w:val="24"/>
                <w:szCs w:val="24"/>
              </w:rPr>
            </w:pPr>
            <w:r>
              <w:rPr>
                <w:rFonts w:hint="eastAsia" w:ascii="宋体" w:hAnsi="宋体" w:eastAsia="宋体"/>
              </w:rPr>
              <w:t xml:space="preserve">0755-83999907 </w:t>
            </w:r>
          </w:p>
        </w:tc>
      </w:tr>
      <w:tr w14:paraId="2A525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A28DD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A916DA7">
            <w:pPr>
              <w:rPr>
                <w:rFonts w:ascii="宋体" w:hAnsi="宋体" w:eastAsia="宋体" w:cs="宋体"/>
                <w:sz w:val="24"/>
                <w:szCs w:val="24"/>
              </w:rPr>
            </w:pPr>
            <w:r>
              <w:rPr>
                <w:rFonts w:hint="eastAsia" w:ascii="宋体" w:hAnsi="宋体" w:eastAsia="宋体"/>
              </w:rPr>
              <w:t xml:space="preserve">www.fujifund.cn </w:t>
            </w:r>
          </w:p>
        </w:tc>
      </w:tr>
    </w:tbl>
    <w:p w14:paraId="0436EAC5">
      <w:pPr>
        <w:pStyle w:val="8"/>
        <w:spacing w:before="0" w:beforeAutospacing="0" w:after="0" w:afterAutospacing="0" w:line="360" w:lineRule="auto"/>
        <w:ind w:firstLine="420"/>
        <w:rPr>
          <w:sz w:val="21"/>
          <w:szCs w:val="21"/>
        </w:rPr>
      </w:pPr>
      <w:r>
        <w:rPr>
          <w:rFonts w:hint="eastAsia"/>
          <w:b/>
          <w:bCs/>
          <w:sz w:val="21"/>
          <w:szCs w:val="21"/>
        </w:rPr>
        <w:t>(30)上海陆金所基金销售有限公司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3CD96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60C92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8005581">
            <w:pPr>
              <w:rPr>
                <w:rFonts w:ascii="宋体" w:hAnsi="宋体" w:eastAsia="宋体" w:cs="宋体"/>
                <w:sz w:val="24"/>
                <w:szCs w:val="24"/>
              </w:rPr>
            </w:pPr>
            <w:r>
              <w:rPr>
                <w:rFonts w:hint="eastAsia" w:ascii="宋体" w:hAnsi="宋体" w:eastAsia="宋体"/>
              </w:rPr>
              <w:t xml:space="preserve">上海市浦东新区陆家嘴环路1333号14楼09单元 </w:t>
            </w:r>
          </w:p>
        </w:tc>
      </w:tr>
      <w:tr w14:paraId="5A8AE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B3638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31FE749">
            <w:pPr>
              <w:rPr>
                <w:rFonts w:ascii="宋体" w:hAnsi="宋体" w:eastAsia="宋体" w:cs="宋体"/>
                <w:sz w:val="24"/>
                <w:szCs w:val="24"/>
              </w:rPr>
            </w:pPr>
            <w:r>
              <w:rPr>
                <w:rFonts w:hint="eastAsia" w:ascii="宋体" w:hAnsi="宋体" w:eastAsia="宋体"/>
              </w:rPr>
              <w:t xml:space="preserve">上海市浦东新区陆家嘴环路1333号14楼 </w:t>
            </w:r>
          </w:p>
        </w:tc>
      </w:tr>
      <w:tr w14:paraId="4EECA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1E6BE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14DB356">
            <w:pPr>
              <w:rPr>
                <w:rFonts w:ascii="宋体" w:hAnsi="宋体" w:eastAsia="宋体" w:cs="宋体"/>
                <w:sz w:val="24"/>
                <w:szCs w:val="24"/>
              </w:rPr>
            </w:pPr>
            <w:r>
              <w:rPr>
                <w:rFonts w:hint="eastAsia" w:ascii="宋体" w:hAnsi="宋体" w:eastAsia="宋体"/>
              </w:rPr>
              <w:t xml:space="preserve">郭坚 </w:t>
            </w:r>
          </w:p>
        </w:tc>
      </w:tr>
      <w:tr w14:paraId="03D62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D26643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5F97E2B">
            <w:pPr>
              <w:rPr>
                <w:rFonts w:ascii="宋体" w:hAnsi="宋体" w:eastAsia="宋体" w:cs="宋体"/>
                <w:sz w:val="24"/>
                <w:szCs w:val="24"/>
              </w:rPr>
            </w:pPr>
            <w:r>
              <w:rPr>
                <w:rFonts w:hint="eastAsia" w:ascii="宋体" w:hAnsi="宋体" w:eastAsia="宋体"/>
              </w:rPr>
              <w:t xml:space="preserve">宁博宇 </w:t>
            </w:r>
          </w:p>
        </w:tc>
      </w:tr>
      <w:tr w14:paraId="50EA2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67EA9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C7E1ED5">
            <w:pPr>
              <w:rPr>
                <w:rFonts w:ascii="宋体" w:hAnsi="宋体" w:eastAsia="宋体" w:cs="宋体"/>
                <w:sz w:val="24"/>
                <w:szCs w:val="24"/>
              </w:rPr>
            </w:pPr>
            <w:r>
              <w:rPr>
                <w:rFonts w:hint="eastAsia" w:ascii="宋体" w:hAnsi="宋体" w:eastAsia="宋体"/>
              </w:rPr>
              <w:t xml:space="preserve">021-20665952 </w:t>
            </w:r>
          </w:p>
        </w:tc>
      </w:tr>
      <w:tr w14:paraId="5EC93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588AD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602A5E6">
            <w:pPr>
              <w:rPr>
                <w:rFonts w:ascii="宋体" w:hAnsi="宋体" w:eastAsia="宋体" w:cs="宋体"/>
                <w:sz w:val="24"/>
                <w:szCs w:val="24"/>
              </w:rPr>
            </w:pPr>
            <w:r>
              <w:rPr>
                <w:rFonts w:hint="eastAsia" w:ascii="宋体" w:hAnsi="宋体" w:eastAsia="宋体"/>
              </w:rPr>
              <w:t xml:space="preserve">021-22066653 </w:t>
            </w:r>
          </w:p>
        </w:tc>
      </w:tr>
      <w:tr w14:paraId="15BA5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D0627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493AB09">
            <w:pPr>
              <w:rPr>
                <w:rFonts w:ascii="宋体" w:hAnsi="宋体" w:eastAsia="宋体" w:cs="宋体"/>
                <w:sz w:val="24"/>
                <w:szCs w:val="24"/>
              </w:rPr>
            </w:pPr>
            <w:r>
              <w:rPr>
                <w:rFonts w:hint="eastAsia" w:ascii="宋体" w:hAnsi="宋体" w:eastAsia="宋体"/>
              </w:rPr>
              <w:t xml:space="preserve">400-821-9031 </w:t>
            </w:r>
          </w:p>
        </w:tc>
      </w:tr>
      <w:tr w14:paraId="03837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A18C3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3B20DE2">
            <w:pPr>
              <w:rPr>
                <w:rFonts w:ascii="宋体" w:hAnsi="宋体" w:eastAsia="宋体" w:cs="宋体"/>
                <w:sz w:val="24"/>
                <w:szCs w:val="24"/>
              </w:rPr>
            </w:pPr>
            <w:r>
              <w:rPr>
                <w:rFonts w:hint="eastAsia" w:ascii="宋体" w:hAnsi="宋体" w:eastAsia="宋体"/>
              </w:rPr>
              <w:t xml:space="preserve">www.lufunds.com </w:t>
            </w:r>
          </w:p>
        </w:tc>
      </w:tr>
    </w:tbl>
    <w:p w14:paraId="6C441753">
      <w:pPr>
        <w:pStyle w:val="8"/>
        <w:spacing w:before="0" w:beforeAutospacing="0" w:after="0" w:afterAutospacing="0" w:line="360" w:lineRule="auto"/>
        <w:ind w:firstLine="420"/>
        <w:rPr>
          <w:sz w:val="21"/>
          <w:szCs w:val="21"/>
        </w:rPr>
      </w:pPr>
      <w:r>
        <w:rPr>
          <w:rFonts w:hint="eastAsia"/>
          <w:b/>
          <w:bCs/>
          <w:sz w:val="21"/>
          <w:szCs w:val="21"/>
        </w:rPr>
        <w:t>(31)珠海盈米基金销售有限公司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333CC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CA537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E5E0C3B">
            <w:pPr>
              <w:rPr>
                <w:rFonts w:ascii="宋体" w:hAnsi="宋体" w:eastAsia="宋体" w:cs="宋体"/>
                <w:sz w:val="24"/>
                <w:szCs w:val="24"/>
              </w:rPr>
            </w:pPr>
            <w:r>
              <w:rPr>
                <w:rFonts w:hint="eastAsia" w:ascii="宋体" w:hAnsi="宋体" w:eastAsia="宋体"/>
              </w:rPr>
              <w:t xml:space="preserve">珠海市横琴新区宝华路6号105室-3491 </w:t>
            </w:r>
          </w:p>
        </w:tc>
      </w:tr>
      <w:tr w14:paraId="71D1A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38210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FBAC5D0">
            <w:pPr>
              <w:rPr>
                <w:rFonts w:ascii="宋体" w:hAnsi="宋体" w:eastAsia="宋体" w:cs="宋体"/>
                <w:sz w:val="24"/>
                <w:szCs w:val="24"/>
              </w:rPr>
            </w:pPr>
            <w:r>
              <w:rPr>
                <w:rFonts w:hint="eastAsia" w:ascii="宋体" w:hAnsi="宋体" w:eastAsia="宋体"/>
              </w:rPr>
              <w:t xml:space="preserve">广州市海珠区琶洲大道东1号保利国际广场南塔12楼B1201-1203 </w:t>
            </w:r>
          </w:p>
        </w:tc>
      </w:tr>
      <w:tr w14:paraId="22A12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54C55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2FE4EDC">
            <w:pPr>
              <w:rPr>
                <w:rFonts w:ascii="宋体" w:hAnsi="宋体" w:eastAsia="宋体" w:cs="宋体"/>
                <w:sz w:val="24"/>
                <w:szCs w:val="24"/>
              </w:rPr>
            </w:pPr>
            <w:r>
              <w:rPr>
                <w:rFonts w:hint="eastAsia" w:ascii="宋体" w:hAnsi="宋体" w:eastAsia="宋体"/>
              </w:rPr>
              <w:t xml:space="preserve">肖雯 </w:t>
            </w:r>
          </w:p>
        </w:tc>
      </w:tr>
      <w:tr w14:paraId="134CA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CFFA2E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F2324AA">
            <w:pPr>
              <w:rPr>
                <w:rFonts w:ascii="宋体" w:hAnsi="宋体" w:eastAsia="宋体" w:cs="宋体"/>
                <w:sz w:val="24"/>
                <w:szCs w:val="24"/>
              </w:rPr>
            </w:pPr>
            <w:r>
              <w:rPr>
                <w:rFonts w:hint="eastAsia" w:ascii="宋体" w:hAnsi="宋体" w:eastAsia="宋体"/>
              </w:rPr>
              <w:t xml:space="preserve">吴煜浩 </w:t>
            </w:r>
          </w:p>
        </w:tc>
      </w:tr>
      <w:tr w14:paraId="2A60A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69BB3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A7CF054">
            <w:pPr>
              <w:rPr>
                <w:rFonts w:ascii="宋体" w:hAnsi="宋体" w:eastAsia="宋体" w:cs="宋体"/>
                <w:sz w:val="24"/>
                <w:szCs w:val="24"/>
              </w:rPr>
            </w:pPr>
            <w:r>
              <w:rPr>
                <w:rFonts w:hint="eastAsia" w:ascii="宋体" w:hAnsi="宋体" w:eastAsia="宋体"/>
              </w:rPr>
              <w:t xml:space="preserve">020-89629099 </w:t>
            </w:r>
          </w:p>
        </w:tc>
      </w:tr>
      <w:tr w14:paraId="109D4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B3D37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E799777">
            <w:pPr>
              <w:rPr>
                <w:rFonts w:ascii="宋体" w:hAnsi="宋体" w:eastAsia="宋体" w:cs="宋体"/>
                <w:sz w:val="24"/>
                <w:szCs w:val="24"/>
              </w:rPr>
            </w:pPr>
            <w:r>
              <w:rPr>
                <w:rFonts w:hint="eastAsia" w:ascii="宋体" w:hAnsi="宋体" w:eastAsia="宋体"/>
              </w:rPr>
              <w:t xml:space="preserve">020-89629011 </w:t>
            </w:r>
          </w:p>
        </w:tc>
      </w:tr>
      <w:tr w14:paraId="335FB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4AB2F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5948C47">
            <w:pPr>
              <w:rPr>
                <w:rFonts w:ascii="宋体" w:hAnsi="宋体" w:eastAsia="宋体" w:cs="宋体"/>
                <w:sz w:val="24"/>
                <w:szCs w:val="24"/>
              </w:rPr>
            </w:pPr>
            <w:r>
              <w:rPr>
                <w:rFonts w:hint="eastAsia" w:ascii="宋体" w:hAnsi="宋体" w:eastAsia="宋体"/>
              </w:rPr>
              <w:t xml:space="preserve">020-89629066 </w:t>
            </w:r>
          </w:p>
        </w:tc>
      </w:tr>
      <w:tr w14:paraId="77DFC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DE974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7DED334">
            <w:pPr>
              <w:rPr>
                <w:rFonts w:ascii="宋体" w:hAnsi="宋体" w:eastAsia="宋体" w:cs="宋体"/>
                <w:sz w:val="24"/>
                <w:szCs w:val="24"/>
              </w:rPr>
            </w:pPr>
            <w:r>
              <w:rPr>
                <w:rFonts w:hint="eastAsia" w:ascii="宋体" w:hAnsi="宋体" w:eastAsia="宋体"/>
              </w:rPr>
              <w:t xml:space="preserve">www.yingmi.cn </w:t>
            </w:r>
          </w:p>
        </w:tc>
      </w:tr>
    </w:tbl>
    <w:p w14:paraId="5D41816E">
      <w:pPr>
        <w:pStyle w:val="8"/>
        <w:spacing w:before="0" w:beforeAutospacing="0" w:after="0" w:afterAutospacing="0" w:line="360" w:lineRule="auto"/>
        <w:ind w:firstLine="420"/>
        <w:rPr>
          <w:sz w:val="21"/>
          <w:szCs w:val="21"/>
        </w:rPr>
      </w:pPr>
      <w:r>
        <w:rPr>
          <w:rFonts w:hint="eastAsia"/>
          <w:b/>
          <w:bCs/>
          <w:sz w:val="21"/>
          <w:szCs w:val="21"/>
        </w:rPr>
        <w:t>(32)和耕传承基金销售有限公司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59697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974EC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0C4C374">
            <w:pPr>
              <w:rPr>
                <w:rFonts w:ascii="宋体" w:hAnsi="宋体" w:eastAsia="宋体" w:cs="宋体"/>
                <w:sz w:val="24"/>
                <w:szCs w:val="24"/>
              </w:rPr>
            </w:pPr>
            <w:r>
              <w:rPr>
                <w:rFonts w:hint="eastAsia" w:ascii="宋体" w:hAnsi="宋体" w:eastAsia="宋体"/>
              </w:rPr>
              <w:t xml:space="preserve">河南自贸试验区郑州片区（郑东）东风南路东康宁街北6号楼5楼503 </w:t>
            </w:r>
          </w:p>
        </w:tc>
      </w:tr>
      <w:tr w14:paraId="3D3CA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6136B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7076FE3">
            <w:pPr>
              <w:rPr>
                <w:rFonts w:ascii="宋体" w:hAnsi="宋体" w:eastAsia="宋体" w:cs="宋体"/>
                <w:sz w:val="24"/>
                <w:szCs w:val="24"/>
              </w:rPr>
            </w:pPr>
            <w:r>
              <w:rPr>
                <w:rFonts w:hint="eastAsia" w:ascii="宋体" w:hAnsi="宋体" w:eastAsia="宋体"/>
              </w:rPr>
              <w:t xml:space="preserve">河南自贸试验区郑州片区（郑东）东风南路东康宁街北6号楼5楼503 </w:t>
            </w:r>
          </w:p>
        </w:tc>
      </w:tr>
      <w:tr w14:paraId="750E8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28E63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881DB75">
            <w:pPr>
              <w:rPr>
                <w:rFonts w:ascii="宋体" w:hAnsi="宋体" w:eastAsia="宋体" w:cs="宋体"/>
                <w:sz w:val="24"/>
                <w:szCs w:val="24"/>
              </w:rPr>
            </w:pPr>
            <w:r>
              <w:rPr>
                <w:rFonts w:hint="eastAsia" w:ascii="宋体" w:hAnsi="宋体" w:eastAsia="宋体"/>
              </w:rPr>
              <w:t xml:space="preserve">温丽燕 </w:t>
            </w:r>
          </w:p>
        </w:tc>
      </w:tr>
      <w:tr w14:paraId="614B6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B9603E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55998DF">
            <w:pPr>
              <w:rPr>
                <w:rFonts w:ascii="宋体" w:hAnsi="宋体" w:eastAsia="宋体" w:cs="宋体"/>
                <w:sz w:val="24"/>
                <w:szCs w:val="24"/>
              </w:rPr>
            </w:pPr>
            <w:r>
              <w:rPr>
                <w:rFonts w:hint="eastAsia" w:ascii="宋体" w:hAnsi="宋体" w:eastAsia="宋体"/>
              </w:rPr>
              <w:t xml:space="preserve">董亚芳 </w:t>
            </w:r>
          </w:p>
        </w:tc>
      </w:tr>
      <w:tr w14:paraId="0CAD1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5D31B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446186F">
            <w:pPr>
              <w:rPr>
                <w:rFonts w:ascii="宋体" w:hAnsi="宋体" w:eastAsia="宋体" w:cs="宋体"/>
                <w:sz w:val="24"/>
                <w:szCs w:val="24"/>
              </w:rPr>
            </w:pPr>
            <w:r>
              <w:rPr>
                <w:rFonts w:hint="eastAsia" w:ascii="宋体" w:hAnsi="宋体" w:eastAsia="宋体"/>
              </w:rPr>
              <w:t xml:space="preserve">0371-85518396 </w:t>
            </w:r>
          </w:p>
        </w:tc>
      </w:tr>
      <w:tr w14:paraId="27E57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9BD06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9699EF4">
            <w:pPr>
              <w:rPr>
                <w:rFonts w:ascii="宋体" w:hAnsi="宋体" w:eastAsia="宋体" w:cs="宋体"/>
                <w:sz w:val="24"/>
                <w:szCs w:val="24"/>
              </w:rPr>
            </w:pPr>
            <w:r>
              <w:rPr>
                <w:rFonts w:hint="eastAsia" w:ascii="宋体" w:hAnsi="宋体" w:eastAsia="宋体"/>
              </w:rPr>
              <w:t xml:space="preserve">0371-85518397 </w:t>
            </w:r>
          </w:p>
        </w:tc>
      </w:tr>
      <w:tr w14:paraId="57972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8CDE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4BD814E">
            <w:pPr>
              <w:rPr>
                <w:rFonts w:ascii="宋体" w:hAnsi="宋体" w:eastAsia="宋体" w:cs="宋体"/>
                <w:sz w:val="24"/>
                <w:szCs w:val="24"/>
              </w:rPr>
            </w:pPr>
            <w:r>
              <w:rPr>
                <w:rFonts w:hint="eastAsia" w:ascii="宋体" w:hAnsi="宋体" w:eastAsia="宋体"/>
              </w:rPr>
              <w:t xml:space="preserve">400-0555-671 </w:t>
            </w:r>
          </w:p>
        </w:tc>
      </w:tr>
      <w:tr w14:paraId="4CD71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290B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D3A17DD">
            <w:pPr>
              <w:rPr>
                <w:rFonts w:ascii="宋体" w:hAnsi="宋体" w:eastAsia="宋体" w:cs="宋体"/>
                <w:sz w:val="24"/>
                <w:szCs w:val="24"/>
              </w:rPr>
            </w:pPr>
            <w:r>
              <w:rPr>
                <w:rFonts w:hint="eastAsia" w:ascii="宋体" w:hAnsi="宋体" w:eastAsia="宋体"/>
              </w:rPr>
              <w:t xml:space="preserve">www.hgccpb.com </w:t>
            </w:r>
          </w:p>
        </w:tc>
      </w:tr>
    </w:tbl>
    <w:p w14:paraId="1F9BD131">
      <w:pPr>
        <w:pStyle w:val="8"/>
        <w:spacing w:before="0" w:beforeAutospacing="0" w:after="0" w:afterAutospacing="0" w:line="360" w:lineRule="auto"/>
        <w:ind w:firstLine="420"/>
        <w:rPr>
          <w:sz w:val="21"/>
          <w:szCs w:val="21"/>
        </w:rPr>
      </w:pPr>
      <w:r>
        <w:rPr>
          <w:rFonts w:hint="eastAsia"/>
          <w:b/>
          <w:bCs/>
          <w:sz w:val="21"/>
          <w:szCs w:val="21"/>
        </w:rPr>
        <w:t>(33)北京懒猫基金销售有限公司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654E6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A66F3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D746A30">
            <w:pPr>
              <w:rPr>
                <w:rFonts w:ascii="宋体" w:hAnsi="宋体" w:eastAsia="宋体" w:cs="宋体"/>
                <w:sz w:val="24"/>
                <w:szCs w:val="24"/>
              </w:rPr>
            </w:pPr>
            <w:r>
              <w:rPr>
                <w:rFonts w:hint="eastAsia" w:ascii="宋体" w:hAnsi="宋体" w:eastAsia="宋体"/>
              </w:rPr>
              <w:t xml:space="preserve">北京市石景山区石景山路31号院盛景国际广场3号楼1119 </w:t>
            </w:r>
          </w:p>
        </w:tc>
      </w:tr>
      <w:tr w14:paraId="46F16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F9228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DFDFF29">
            <w:pPr>
              <w:rPr>
                <w:rFonts w:ascii="宋体" w:hAnsi="宋体" w:eastAsia="宋体" w:cs="宋体"/>
                <w:sz w:val="24"/>
                <w:szCs w:val="24"/>
              </w:rPr>
            </w:pPr>
            <w:r>
              <w:rPr>
                <w:rFonts w:hint="eastAsia" w:ascii="宋体" w:hAnsi="宋体" w:eastAsia="宋体"/>
              </w:rPr>
              <w:t xml:space="preserve">北京市朝阳区呼家楼安联大厦715 </w:t>
            </w:r>
          </w:p>
        </w:tc>
      </w:tr>
      <w:tr w14:paraId="2BC64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456B7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6F27D8">
            <w:pPr>
              <w:rPr>
                <w:rFonts w:ascii="宋体" w:hAnsi="宋体" w:eastAsia="宋体" w:cs="宋体"/>
                <w:sz w:val="24"/>
                <w:szCs w:val="24"/>
              </w:rPr>
            </w:pPr>
            <w:r>
              <w:rPr>
                <w:rFonts w:hint="eastAsia" w:ascii="宋体" w:hAnsi="宋体" w:eastAsia="宋体"/>
              </w:rPr>
              <w:t xml:space="preserve">许现良 </w:t>
            </w:r>
          </w:p>
        </w:tc>
      </w:tr>
      <w:tr w14:paraId="48409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3F4859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34F1093">
            <w:pPr>
              <w:rPr>
                <w:rFonts w:ascii="宋体" w:hAnsi="宋体" w:eastAsia="宋体" w:cs="宋体"/>
                <w:sz w:val="24"/>
                <w:szCs w:val="24"/>
              </w:rPr>
            </w:pPr>
            <w:r>
              <w:rPr>
                <w:rFonts w:hint="eastAsia" w:ascii="宋体" w:hAnsi="宋体" w:eastAsia="宋体"/>
              </w:rPr>
              <w:t xml:space="preserve">张苗苗 </w:t>
            </w:r>
          </w:p>
        </w:tc>
      </w:tr>
      <w:tr w14:paraId="3D47A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C64EB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0E23AE7">
            <w:pPr>
              <w:rPr>
                <w:rFonts w:ascii="宋体" w:hAnsi="宋体" w:eastAsia="宋体" w:cs="宋体"/>
                <w:sz w:val="24"/>
                <w:szCs w:val="24"/>
              </w:rPr>
            </w:pPr>
            <w:r>
              <w:rPr>
                <w:rFonts w:hint="eastAsia" w:ascii="宋体" w:hAnsi="宋体" w:eastAsia="宋体"/>
              </w:rPr>
              <w:t xml:space="preserve">15110085067 </w:t>
            </w:r>
          </w:p>
        </w:tc>
      </w:tr>
      <w:tr w14:paraId="5F378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66E4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B4F2578">
            <w:pPr>
              <w:rPr>
                <w:rFonts w:ascii="宋体" w:hAnsi="宋体" w:eastAsia="宋体" w:cs="宋体"/>
                <w:sz w:val="24"/>
                <w:szCs w:val="24"/>
              </w:rPr>
            </w:pPr>
            <w:r>
              <w:rPr>
                <w:rFonts w:hint="eastAsia" w:ascii="宋体" w:hAnsi="宋体" w:eastAsia="宋体"/>
              </w:rPr>
              <w:t xml:space="preserve">010-87723200 </w:t>
            </w:r>
          </w:p>
        </w:tc>
      </w:tr>
      <w:tr w14:paraId="1AC21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F21B4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F5F651C">
            <w:pPr>
              <w:rPr>
                <w:rFonts w:ascii="宋体" w:hAnsi="宋体" w:eastAsia="宋体" w:cs="宋体"/>
                <w:sz w:val="24"/>
                <w:szCs w:val="24"/>
              </w:rPr>
            </w:pPr>
            <w:r>
              <w:rPr>
                <w:rFonts w:hint="eastAsia" w:ascii="宋体" w:hAnsi="宋体" w:eastAsia="宋体"/>
              </w:rPr>
              <w:t xml:space="preserve">400-150-0882 </w:t>
            </w:r>
          </w:p>
        </w:tc>
      </w:tr>
      <w:tr w14:paraId="02161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F234E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4AEA1CE">
            <w:pPr>
              <w:rPr>
                <w:rFonts w:ascii="宋体" w:hAnsi="宋体" w:eastAsia="宋体" w:cs="宋体"/>
                <w:sz w:val="24"/>
                <w:szCs w:val="24"/>
              </w:rPr>
            </w:pPr>
            <w:r>
              <w:rPr>
                <w:rFonts w:hint="eastAsia" w:ascii="宋体" w:hAnsi="宋体" w:eastAsia="宋体"/>
              </w:rPr>
              <w:t xml:space="preserve">www.lanmao.com </w:t>
            </w:r>
          </w:p>
        </w:tc>
      </w:tr>
    </w:tbl>
    <w:p w14:paraId="4CB8A0C6">
      <w:pPr>
        <w:pStyle w:val="8"/>
        <w:spacing w:before="0" w:beforeAutospacing="0" w:after="0" w:afterAutospacing="0" w:line="360" w:lineRule="auto"/>
        <w:ind w:firstLine="420"/>
        <w:rPr>
          <w:sz w:val="21"/>
          <w:szCs w:val="21"/>
        </w:rPr>
      </w:pPr>
      <w:r>
        <w:rPr>
          <w:rFonts w:hint="eastAsia"/>
          <w:b/>
          <w:bCs/>
          <w:sz w:val="21"/>
          <w:szCs w:val="21"/>
        </w:rPr>
        <w:t>(34)大连网金基金销售有限公司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4A5A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D9160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526136C">
            <w:pPr>
              <w:rPr>
                <w:rFonts w:ascii="宋体" w:hAnsi="宋体" w:eastAsia="宋体" w:cs="宋体"/>
                <w:sz w:val="24"/>
                <w:szCs w:val="24"/>
              </w:rPr>
            </w:pPr>
            <w:r>
              <w:rPr>
                <w:rFonts w:hint="eastAsia" w:ascii="宋体" w:hAnsi="宋体" w:eastAsia="宋体"/>
              </w:rPr>
              <w:t xml:space="preserve">辽宁省大连市沙河口区体坛路22号2层202室 </w:t>
            </w:r>
          </w:p>
        </w:tc>
      </w:tr>
      <w:tr w14:paraId="6B9ED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AA770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BF1F90F">
            <w:pPr>
              <w:rPr>
                <w:rFonts w:ascii="宋体" w:hAnsi="宋体" w:eastAsia="宋体" w:cs="宋体"/>
                <w:sz w:val="24"/>
                <w:szCs w:val="24"/>
              </w:rPr>
            </w:pPr>
            <w:r>
              <w:rPr>
                <w:rFonts w:hint="eastAsia" w:ascii="宋体" w:hAnsi="宋体" w:eastAsia="宋体"/>
              </w:rPr>
              <w:t xml:space="preserve">辽宁省大连市沙河口区体坛路22号2层202室 </w:t>
            </w:r>
          </w:p>
        </w:tc>
      </w:tr>
      <w:tr w14:paraId="207C7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692F5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42344AC">
            <w:pPr>
              <w:rPr>
                <w:rFonts w:ascii="宋体" w:hAnsi="宋体" w:eastAsia="宋体" w:cs="宋体"/>
                <w:sz w:val="24"/>
                <w:szCs w:val="24"/>
              </w:rPr>
            </w:pPr>
            <w:r>
              <w:rPr>
                <w:rFonts w:hint="eastAsia" w:ascii="宋体" w:hAnsi="宋体" w:eastAsia="宋体"/>
              </w:rPr>
              <w:t xml:space="preserve">卜勇 </w:t>
            </w:r>
          </w:p>
        </w:tc>
      </w:tr>
      <w:tr w14:paraId="1F507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CAAAD4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7B1C48A">
            <w:pPr>
              <w:rPr>
                <w:rFonts w:ascii="宋体" w:hAnsi="宋体" w:eastAsia="宋体" w:cs="宋体"/>
                <w:sz w:val="24"/>
                <w:szCs w:val="24"/>
              </w:rPr>
            </w:pPr>
            <w:r>
              <w:rPr>
                <w:rFonts w:hint="eastAsia" w:ascii="宋体" w:hAnsi="宋体" w:eastAsia="宋体"/>
              </w:rPr>
              <w:t xml:space="preserve">卜勇 </w:t>
            </w:r>
          </w:p>
        </w:tc>
      </w:tr>
      <w:tr w14:paraId="262ED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04213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4B1B4C4">
            <w:pPr>
              <w:rPr>
                <w:rFonts w:ascii="宋体" w:hAnsi="宋体" w:eastAsia="宋体" w:cs="宋体"/>
                <w:sz w:val="24"/>
                <w:szCs w:val="24"/>
              </w:rPr>
            </w:pPr>
            <w:r>
              <w:rPr>
                <w:rFonts w:hint="eastAsia" w:ascii="宋体" w:hAnsi="宋体" w:eastAsia="宋体"/>
              </w:rPr>
              <w:t xml:space="preserve">0411-39027800 </w:t>
            </w:r>
          </w:p>
        </w:tc>
      </w:tr>
      <w:tr w14:paraId="7BC0D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4BDA4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E242EE5">
            <w:pPr>
              <w:rPr>
                <w:rFonts w:ascii="宋体" w:hAnsi="宋体" w:eastAsia="宋体" w:cs="宋体"/>
                <w:sz w:val="24"/>
                <w:szCs w:val="24"/>
              </w:rPr>
            </w:pPr>
            <w:r>
              <w:rPr>
                <w:rFonts w:hint="eastAsia" w:ascii="宋体" w:hAnsi="宋体" w:eastAsia="宋体"/>
              </w:rPr>
              <w:t xml:space="preserve">0411-39027888 </w:t>
            </w:r>
          </w:p>
        </w:tc>
      </w:tr>
      <w:tr w14:paraId="421C1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E187F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76997C2">
            <w:pPr>
              <w:rPr>
                <w:rFonts w:ascii="宋体" w:hAnsi="宋体" w:eastAsia="宋体" w:cs="宋体"/>
                <w:sz w:val="24"/>
                <w:szCs w:val="24"/>
              </w:rPr>
            </w:pPr>
            <w:r>
              <w:rPr>
                <w:rFonts w:hint="eastAsia" w:ascii="宋体" w:hAnsi="宋体" w:eastAsia="宋体"/>
              </w:rPr>
              <w:t xml:space="preserve">400-089-9100 </w:t>
            </w:r>
          </w:p>
        </w:tc>
      </w:tr>
      <w:tr w14:paraId="0D1B7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A5DE4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6EC320">
            <w:pPr>
              <w:rPr>
                <w:rFonts w:ascii="宋体" w:hAnsi="宋体" w:eastAsia="宋体" w:cs="宋体"/>
                <w:sz w:val="24"/>
                <w:szCs w:val="24"/>
              </w:rPr>
            </w:pPr>
            <w:r>
              <w:rPr>
                <w:rFonts w:hint="eastAsia" w:ascii="宋体" w:hAnsi="宋体" w:eastAsia="宋体"/>
              </w:rPr>
              <w:t xml:space="preserve">http://www.yibaijin.com/ </w:t>
            </w:r>
          </w:p>
        </w:tc>
      </w:tr>
    </w:tbl>
    <w:p w14:paraId="1A9AD0DA">
      <w:pPr>
        <w:pStyle w:val="8"/>
        <w:spacing w:before="0" w:beforeAutospacing="0" w:after="0" w:afterAutospacing="0" w:line="360" w:lineRule="auto"/>
        <w:ind w:firstLine="420"/>
        <w:rPr>
          <w:sz w:val="21"/>
          <w:szCs w:val="21"/>
        </w:rPr>
      </w:pPr>
      <w:r>
        <w:rPr>
          <w:rFonts w:hint="eastAsia"/>
          <w:b/>
          <w:bCs/>
          <w:sz w:val="21"/>
          <w:szCs w:val="21"/>
        </w:rPr>
        <w:t>(35)深圳市金斧子基金销售有限公司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72015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20D8F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D17C2F2">
            <w:pPr>
              <w:rPr>
                <w:rFonts w:ascii="宋体" w:hAnsi="宋体" w:eastAsia="宋体" w:cs="宋体"/>
                <w:sz w:val="24"/>
                <w:szCs w:val="24"/>
              </w:rPr>
            </w:pPr>
            <w:r>
              <w:rPr>
                <w:rFonts w:hint="eastAsia" w:ascii="宋体" w:hAnsi="宋体" w:eastAsia="宋体"/>
              </w:rPr>
              <w:t xml:space="preserve">深圳市南山区粤海街道科技园中区科苑路15号科兴科学园B栋3单元11层1108   </w:t>
            </w:r>
          </w:p>
        </w:tc>
      </w:tr>
      <w:tr w14:paraId="14E19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8D051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7DE0AE1">
            <w:pPr>
              <w:rPr>
                <w:rFonts w:ascii="宋体" w:hAnsi="宋体" w:eastAsia="宋体" w:cs="宋体"/>
                <w:sz w:val="24"/>
                <w:szCs w:val="24"/>
              </w:rPr>
            </w:pPr>
            <w:r>
              <w:rPr>
                <w:rFonts w:hint="eastAsia" w:ascii="宋体" w:hAnsi="宋体" w:eastAsia="宋体"/>
              </w:rPr>
              <w:t xml:space="preserve">深圳市南山区粤海街道科技园中区科苑路15号科兴科学园B栋3单元11层1108   </w:t>
            </w:r>
          </w:p>
        </w:tc>
      </w:tr>
      <w:tr w14:paraId="4AA5D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521D9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8FBE485">
            <w:pPr>
              <w:rPr>
                <w:rFonts w:ascii="宋体" w:hAnsi="宋体" w:eastAsia="宋体" w:cs="宋体"/>
                <w:sz w:val="24"/>
                <w:szCs w:val="24"/>
              </w:rPr>
            </w:pPr>
            <w:r>
              <w:rPr>
                <w:rFonts w:hint="eastAsia" w:ascii="宋体" w:hAnsi="宋体" w:eastAsia="宋体"/>
              </w:rPr>
              <w:t xml:space="preserve">赖任军 </w:t>
            </w:r>
          </w:p>
        </w:tc>
      </w:tr>
      <w:tr w14:paraId="2EDC4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B21BFD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E874908">
            <w:pPr>
              <w:rPr>
                <w:rFonts w:ascii="宋体" w:hAnsi="宋体" w:eastAsia="宋体" w:cs="宋体"/>
                <w:sz w:val="24"/>
                <w:szCs w:val="24"/>
              </w:rPr>
            </w:pPr>
            <w:r>
              <w:rPr>
                <w:rFonts w:hint="eastAsia" w:ascii="宋体" w:hAnsi="宋体" w:eastAsia="宋体"/>
              </w:rPr>
              <w:t xml:space="preserve">刘昕霞 </w:t>
            </w:r>
          </w:p>
        </w:tc>
      </w:tr>
      <w:tr w14:paraId="7C33B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A7386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3065BF0">
            <w:pPr>
              <w:rPr>
                <w:rFonts w:ascii="宋体" w:hAnsi="宋体" w:eastAsia="宋体" w:cs="宋体"/>
                <w:sz w:val="24"/>
                <w:szCs w:val="24"/>
              </w:rPr>
            </w:pPr>
            <w:r>
              <w:rPr>
                <w:rFonts w:hint="eastAsia" w:ascii="宋体" w:hAnsi="宋体" w:eastAsia="宋体"/>
              </w:rPr>
              <w:t xml:space="preserve">0755-29330513 </w:t>
            </w:r>
          </w:p>
        </w:tc>
      </w:tr>
      <w:tr w14:paraId="67AB8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AF54E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98B92C1">
            <w:pPr>
              <w:rPr>
                <w:rFonts w:ascii="宋体" w:hAnsi="宋体" w:eastAsia="宋体" w:cs="宋体"/>
                <w:sz w:val="24"/>
                <w:szCs w:val="24"/>
              </w:rPr>
            </w:pPr>
            <w:r>
              <w:rPr>
                <w:rFonts w:hint="eastAsia" w:ascii="宋体" w:hAnsi="宋体" w:eastAsia="宋体"/>
              </w:rPr>
              <w:t xml:space="preserve">0755-26920530 </w:t>
            </w:r>
          </w:p>
        </w:tc>
      </w:tr>
      <w:tr w14:paraId="3052A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FC886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541699A">
            <w:pPr>
              <w:rPr>
                <w:rFonts w:ascii="宋体" w:hAnsi="宋体" w:eastAsia="宋体" w:cs="宋体"/>
                <w:sz w:val="24"/>
                <w:szCs w:val="24"/>
              </w:rPr>
            </w:pPr>
            <w:r>
              <w:rPr>
                <w:rFonts w:hint="eastAsia" w:ascii="宋体" w:hAnsi="宋体" w:eastAsia="宋体"/>
              </w:rPr>
              <w:t xml:space="preserve">400-822-4888 </w:t>
            </w:r>
          </w:p>
        </w:tc>
      </w:tr>
      <w:tr w14:paraId="61B4A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B1993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2F090E3">
            <w:pPr>
              <w:rPr>
                <w:rFonts w:ascii="宋体" w:hAnsi="宋体" w:eastAsia="宋体" w:cs="宋体"/>
                <w:sz w:val="24"/>
                <w:szCs w:val="24"/>
              </w:rPr>
            </w:pPr>
            <w:r>
              <w:rPr>
                <w:rFonts w:hint="eastAsia" w:ascii="宋体" w:hAnsi="宋体" w:eastAsia="宋体"/>
              </w:rPr>
              <w:t xml:space="preserve">www.jfzinv.com </w:t>
            </w:r>
          </w:p>
        </w:tc>
      </w:tr>
    </w:tbl>
    <w:p w14:paraId="284C125C">
      <w:pPr>
        <w:pStyle w:val="8"/>
        <w:spacing w:before="0" w:beforeAutospacing="0" w:after="0" w:afterAutospacing="0" w:line="360" w:lineRule="auto"/>
        <w:ind w:firstLine="420"/>
        <w:rPr>
          <w:sz w:val="21"/>
          <w:szCs w:val="21"/>
        </w:rPr>
      </w:pPr>
      <w:r>
        <w:rPr>
          <w:rFonts w:hint="eastAsia"/>
          <w:b/>
          <w:bCs/>
          <w:sz w:val="21"/>
          <w:szCs w:val="21"/>
        </w:rPr>
        <w:t>(36)北京雪球基金销售有限公司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4C979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1EF7E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26F8CD7">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310AA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D4C4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EBAD3D0">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356D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F1483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E81130B">
            <w:pPr>
              <w:rPr>
                <w:rFonts w:ascii="宋体" w:hAnsi="宋体" w:eastAsia="宋体" w:cs="宋体"/>
                <w:sz w:val="24"/>
                <w:szCs w:val="24"/>
              </w:rPr>
            </w:pPr>
            <w:r>
              <w:rPr>
                <w:rFonts w:hint="eastAsia" w:ascii="宋体" w:hAnsi="宋体" w:eastAsia="宋体"/>
              </w:rPr>
              <w:t xml:space="preserve">李楠 </w:t>
            </w:r>
          </w:p>
        </w:tc>
      </w:tr>
      <w:tr w14:paraId="6609B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5B6E56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FC580FF">
            <w:pPr>
              <w:rPr>
                <w:rFonts w:ascii="宋体" w:hAnsi="宋体" w:eastAsia="宋体" w:cs="宋体"/>
                <w:sz w:val="24"/>
                <w:szCs w:val="24"/>
              </w:rPr>
            </w:pPr>
            <w:r>
              <w:rPr>
                <w:rFonts w:hint="eastAsia" w:ascii="宋体" w:hAnsi="宋体" w:eastAsia="宋体"/>
              </w:rPr>
              <w:t xml:space="preserve">戚晓强 </w:t>
            </w:r>
          </w:p>
        </w:tc>
      </w:tr>
      <w:tr w14:paraId="3E489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E309D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2D84548">
            <w:pPr>
              <w:rPr>
                <w:rFonts w:ascii="宋体" w:hAnsi="宋体" w:eastAsia="宋体" w:cs="宋体"/>
                <w:sz w:val="24"/>
                <w:szCs w:val="24"/>
              </w:rPr>
            </w:pPr>
            <w:r>
              <w:rPr>
                <w:rFonts w:hint="eastAsia" w:ascii="宋体" w:hAnsi="宋体" w:eastAsia="宋体"/>
              </w:rPr>
              <w:t xml:space="preserve">15810005516 </w:t>
            </w:r>
          </w:p>
        </w:tc>
      </w:tr>
      <w:tr w14:paraId="03889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A1B3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56E57D9">
            <w:pPr>
              <w:rPr>
                <w:rFonts w:ascii="宋体" w:hAnsi="宋体" w:eastAsia="宋体" w:cs="宋体"/>
                <w:sz w:val="24"/>
                <w:szCs w:val="24"/>
              </w:rPr>
            </w:pPr>
            <w:r>
              <w:rPr>
                <w:rFonts w:hint="eastAsia" w:ascii="宋体" w:hAnsi="宋体" w:eastAsia="宋体"/>
              </w:rPr>
              <w:t xml:space="preserve">010-85659484 </w:t>
            </w:r>
          </w:p>
        </w:tc>
      </w:tr>
      <w:tr w14:paraId="32731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FBC47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F1BF74A">
            <w:pPr>
              <w:rPr>
                <w:rFonts w:ascii="宋体" w:hAnsi="宋体" w:eastAsia="宋体" w:cs="宋体"/>
                <w:sz w:val="24"/>
                <w:szCs w:val="24"/>
              </w:rPr>
            </w:pPr>
            <w:r>
              <w:rPr>
                <w:rFonts w:hint="eastAsia" w:ascii="宋体" w:hAnsi="宋体" w:eastAsia="宋体"/>
              </w:rPr>
              <w:t xml:space="preserve">400-061-8518 </w:t>
            </w:r>
          </w:p>
        </w:tc>
      </w:tr>
      <w:tr w14:paraId="44CFC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6B79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82F830F">
            <w:pPr>
              <w:rPr>
                <w:rFonts w:ascii="宋体" w:hAnsi="宋体" w:eastAsia="宋体" w:cs="宋体"/>
                <w:sz w:val="24"/>
                <w:szCs w:val="24"/>
              </w:rPr>
            </w:pPr>
            <w:r>
              <w:rPr>
                <w:rFonts w:hint="eastAsia" w:ascii="宋体" w:hAnsi="宋体" w:eastAsia="宋体"/>
              </w:rPr>
              <w:t xml:space="preserve">danjuanapp.com </w:t>
            </w:r>
          </w:p>
        </w:tc>
      </w:tr>
    </w:tbl>
    <w:p w14:paraId="065209C7">
      <w:pPr>
        <w:pStyle w:val="8"/>
        <w:spacing w:before="0" w:beforeAutospacing="0" w:after="0" w:afterAutospacing="0" w:line="360" w:lineRule="auto"/>
        <w:ind w:firstLine="420"/>
        <w:rPr>
          <w:sz w:val="21"/>
          <w:szCs w:val="21"/>
        </w:rPr>
      </w:pPr>
      <w:r>
        <w:rPr>
          <w:rFonts w:hint="eastAsia"/>
          <w:b/>
          <w:bCs/>
          <w:sz w:val="21"/>
          <w:szCs w:val="21"/>
        </w:rPr>
        <w:t>(37)中信建投证券股份有限公司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433B0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01992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F18CFD9">
            <w:pPr>
              <w:rPr>
                <w:rFonts w:ascii="宋体" w:hAnsi="宋体" w:eastAsia="宋体" w:cs="宋体"/>
                <w:sz w:val="24"/>
                <w:szCs w:val="24"/>
              </w:rPr>
            </w:pPr>
            <w:r>
              <w:rPr>
                <w:rFonts w:hint="eastAsia" w:ascii="宋体" w:hAnsi="宋体" w:eastAsia="宋体"/>
              </w:rPr>
              <w:t xml:space="preserve">北京市朝阳区安立路66号4号楼 </w:t>
            </w:r>
          </w:p>
        </w:tc>
      </w:tr>
      <w:tr w14:paraId="2C89E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4DABB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CD3EC3E">
            <w:pPr>
              <w:rPr>
                <w:rFonts w:ascii="宋体" w:hAnsi="宋体" w:eastAsia="宋体" w:cs="宋体"/>
                <w:sz w:val="24"/>
                <w:szCs w:val="24"/>
              </w:rPr>
            </w:pPr>
            <w:r>
              <w:rPr>
                <w:rFonts w:hint="eastAsia" w:ascii="宋体" w:hAnsi="宋体" w:eastAsia="宋体"/>
              </w:rPr>
              <w:t xml:space="preserve">北京市朝阳区光华路10号 </w:t>
            </w:r>
          </w:p>
        </w:tc>
      </w:tr>
      <w:tr w14:paraId="17511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36E69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C69D64D">
            <w:pPr>
              <w:rPr>
                <w:rFonts w:ascii="宋体" w:hAnsi="宋体" w:eastAsia="宋体" w:cs="宋体"/>
                <w:sz w:val="24"/>
                <w:szCs w:val="24"/>
              </w:rPr>
            </w:pPr>
            <w:r>
              <w:rPr>
                <w:rFonts w:hint="eastAsia" w:ascii="宋体" w:hAnsi="宋体" w:eastAsia="宋体"/>
              </w:rPr>
              <w:t xml:space="preserve">刘成 </w:t>
            </w:r>
          </w:p>
        </w:tc>
      </w:tr>
      <w:tr w14:paraId="062F0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320F7F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C35C699">
            <w:pPr>
              <w:rPr>
                <w:rFonts w:ascii="宋体" w:hAnsi="宋体" w:eastAsia="宋体" w:cs="宋体"/>
                <w:sz w:val="24"/>
                <w:szCs w:val="24"/>
              </w:rPr>
            </w:pPr>
            <w:r>
              <w:rPr>
                <w:rFonts w:hint="eastAsia" w:ascii="宋体" w:hAnsi="宋体" w:eastAsia="宋体"/>
              </w:rPr>
              <w:t xml:space="preserve">4008888108/95587 </w:t>
            </w:r>
          </w:p>
        </w:tc>
      </w:tr>
      <w:tr w14:paraId="269F8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1322F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E7153C1">
            <w:pPr>
              <w:rPr>
                <w:rFonts w:ascii="宋体" w:hAnsi="宋体" w:eastAsia="宋体" w:cs="宋体"/>
                <w:sz w:val="24"/>
                <w:szCs w:val="24"/>
              </w:rPr>
            </w:pPr>
            <w:r>
              <w:rPr>
                <w:rFonts w:hint="eastAsia" w:ascii="宋体" w:hAnsi="宋体" w:eastAsia="宋体"/>
              </w:rPr>
              <w:t xml:space="preserve">http://www.csc108.com/ </w:t>
            </w:r>
          </w:p>
        </w:tc>
      </w:tr>
    </w:tbl>
    <w:p w14:paraId="0DB54E35">
      <w:pPr>
        <w:pStyle w:val="8"/>
        <w:spacing w:before="0" w:beforeAutospacing="0" w:after="0" w:afterAutospacing="0" w:line="360" w:lineRule="auto"/>
        <w:ind w:firstLine="420"/>
        <w:rPr>
          <w:sz w:val="21"/>
          <w:szCs w:val="21"/>
        </w:rPr>
      </w:pPr>
      <w:r>
        <w:rPr>
          <w:rFonts w:hint="eastAsia"/>
          <w:b/>
          <w:bCs/>
          <w:sz w:val="21"/>
          <w:szCs w:val="21"/>
        </w:rPr>
        <w:t>(38)长江证券股份有限公司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37755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C4930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2A93DEB">
            <w:pPr>
              <w:rPr>
                <w:rFonts w:ascii="宋体" w:hAnsi="宋体" w:eastAsia="宋体" w:cs="宋体"/>
                <w:sz w:val="24"/>
                <w:szCs w:val="24"/>
              </w:rPr>
            </w:pPr>
            <w:r>
              <w:rPr>
                <w:rFonts w:hint="eastAsia" w:ascii="宋体" w:hAnsi="宋体" w:eastAsia="宋体"/>
              </w:rPr>
              <w:t xml:space="preserve">湖北省武汉市江汉区淮海路88号 </w:t>
            </w:r>
          </w:p>
        </w:tc>
      </w:tr>
      <w:tr w14:paraId="65FA3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2F886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B72752D">
            <w:pPr>
              <w:rPr>
                <w:rFonts w:ascii="宋体" w:hAnsi="宋体" w:eastAsia="宋体" w:cs="宋体"/>
                <w:sz w:val="24"/>
                <w:szCs w:val="24"/>
              </w:rPr>
            </w:pPr>
            <w:r>
              <w:rPr>
                <w:rFonts w:hint="eastAsia" w:ascii="宋体" w:hAnsi="宋体" w:eastAsia="宋体"/>
              </w:rPr>
              <w:t xml:space="preserve">湖北省武汉市江汉区淮海路88号 </w:t>
            </w:r>
          </w:p>
        </w:tc>
      </w:tr>
      <w:tr w14:paraId="04614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41E82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14DD4DD">
            <w:pPr>
              <w:rPr>
                <w:rFonts w:ascii="宋体" w:hAnsi="宋体" w:eastAsia="宋体" w:cs="宋体"/>
                <w:sz w:val="24"/>
                <w:szCs w:val="24"/>
              </w:rPr>
            </w:pPr>
            <w:r>
              <w:rPr>
                <w:rFonts w:hint="eastAsia" w:ascii="宋体" w:hAnsi="宋体" w:eastAsia="宋体"/>
              </w:rPr>
              <w:t xml:space="preserve">刘正斌 </w:t>
            </w:r>
          </w:p>
        </w:tc>
      </w:tr>
      <w:tr w14:paraId="1AD64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893C15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AD3C4E1">
            <w:pPr>
              <w:rPr>
                <w:rFonts w:ascii="宋体" w:hAnsi="宋体" w:eastAsia="宋体" w:cs="宋体"/>
                <w:sz w:val="24"/>
                <w:szCs w:val="24"/>
              </w:rPr>
            </w:pPr>
            <w:r>
              <w:rPr>
                <w:rFonts w:hint="eastAsia" w:ascii="宋体" w:hAnsi="宋体" w:eastAsia="宋体"/>
              </w:rPr>
              <w:t xml:space="preserve">奚博宇 </w:t>
            </w:r>
          </w:p>
        </w:tc>
      </w:tr>
      <w:tr w14:paraId="749F7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F8D0B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01EA5AE">
            <w:pPr>
              <w:rPr>
                <w:rFonts w:ascii="宋体" w:hAnsi="宋体" w:eastAsia="宋体" w:cs="宋体"/>
                <w:sz w:val="24"/>
                <w:szCs w:val="24"/>
              </w:rPr>
            </w:pPr>
            <w:r>
              <w:rPr>
                <w:rFonts w:hint="eastAsia" w:ascii="宋体" w:hAnsi="宋体" w:eastAsia="宋体"/>
              </w:rPr>
              <w:t xml:space="preserve">027-65799999 </w:t>
            </w:r>
          </w:p>
        </w:tc>
      </w:tr>
      <w:tr w14:paraId="04FC6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90A2B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ED21AA7">
            <w:pPr>
              <w:rPr>
                <w:rFonts w:ascii="宋体" w:hAnsi="宋体" w:eastAsia="宋体" w:cs="宋体"/>
                <w:sz w:val="24"/>
                <w:szCs w:val="24"/>
              </w:rPr>
            </w:pPr>
            <w:r>
              <w:rPr>
                <w:rFonts w:hint="eastAsia" w:ascii="宋体" w:hAnsi="宋体" w:eastAsia="宋体"/>
              </w:rPr>
              <w:t xml:space="preserve">027-85481900 </w:t>
            </w:r>
          </w:p>
        </w:tc>
      </w:tr>
      <w:tr w14:paraId="5A24E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CFBD7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5EEE48D">
            <w:pPr>
              <w:rPr>
                <w:rFonts w:ascii="宋体" w:hAnsi="宋体" w:eastAsia="宋体" w:cs="宋体"/>
                <w:sz w:val="24"/>
                <w:szCs w:val="24"/>
              </w:rPr>
            </w:pPr>
            <w:r>
              <w:rPr>
                <w:rFonts w:hint="eastAsia" w:ascii="宋体" w:hAnsi="宋体" w:eastAsia="宋体"/>
              </w:rPr>
              <w:t xml:space="preserve">95579 </w:t>
            </w:r>
          </w:p>
        </w:tc>
      </w:tr>
      <w:tr w14:paraId="18C6C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2F84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6366A86">
            <w:pPr>
              <w:rPr>
                <w:rFonts w:ascii="宋体" w:hAnsi="宋体" w:eastAsia="宋体" w:cs="宋体"/>
                <w:sz w:val="24"/>
                <w:szCs w:val="24"/>
              </w:rPr>
            </w:pPr>
            <w:r>
              <w:rPr>
                <w:rFonts w:hint="eastAsia" w:ascii="宋体" w:hAnsi="宋体" w:eastAsia="宋体"/>
              </w:rPr>
              <w:t xml:space="preserve">http://www.95579.com/ </w:t>
            </w:r>
          </w:p>
        </w:tc>
      </w:tr>
    </w:tbl>
    <w:p w14:paraId="0F8B21D3">
      <w:pPr>
        <w:pStyle w:val="8"/>
        <w:spacing w:before="0" w:beforeAutospacing="0" w:after="0" w:afterAutospacing="0" w:line="360" w:lineRule="auto"/>
        <w:ind w:firstLine="420"/>
        <w:rPr>
          <w:sz w:val="21"/>
          <w:szCs w:val="21"/>
        </w:rPr>
      </w:pPr>
      <w:r>
        <w:rPr>
          <w:rFonts w:hint="eastAsia"/>
          <w:b/>
          <w:bCs/>
          <w:sz w:val="21"/>
          <w:szCs w:val="21"/>
        </w:rPr>
        <w:t>(39)万联证券股份有限公司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6793A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FD7FD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E57DCC6">
            <w:pPr>
              <w:rPr>
                <w:rFonts w:ascii="宋体" w:hAnsi="宋体" w:eastAsia="宋体" w:cs="宋体"/>
                <w:sz w:val="24"/>
                <w:szCs w:val="24"/>
              </w:rPr>
            </w:pPr>
            <w:r>
              <w:rPr>
                <w:rFonts w:hint="eastAsia" w:ascii="宋体" w:hAnsi="宋体" w:eastAsia="宋体"/>
              </w:rPr>
              <w:t xml:space="preserve">广州市天河区珠江东路11号18、19楼全层 </w:t>
            </w:r>
          </w:p>
        </w:tc>
      </w:tr>
      <w:tr w14:paraId="7D58F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F603E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F206192">
            <w:pPr>
              <w:rPr>
                <w:rFonts w:ascii="宋体" w:hAnsi="宋体" w:eastAsia="宋体" w:cs="宋体"/>
                <w:sz w:val="24"/>
                <w:szCs w:val="24"/>
              </w:rPr>
            </w:pPr>
            <w:r>
              <w:rPr>
                <w:rFonts w:hint="eastAsia" w:ascii="宋体" w:hAnsi="宋体" w:eastAsia="宋体"/>
              </w:rPr>
              <w:t xml:space="preserve">广东省广州市天河区珠江东路13号高德置地广场E座12层 </w:t>
            </w:r>
          </w:p>
        </w:tc>
      </w:tr>
      <w:tr w14:paraId="5B50B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D045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144FD7E">
            <w:pPr>
              <w:rPr>
                <w:rFonts w:ascii="宋体" w:hAnsi="宋体" w:eastAsia="宋体" w:cs="宋体"/>
                <w:sz w:val="24"/>
                <w:szCs w:val="24"/>
              </w:rPr>
            </w:pPr>
            <w:r>
              <w:rPr>
                <w:rFonts w:hint="eastAsia" w:ascii="宋体" w:hAnsi="宋体" w:eastAsia="宋体"/>
              </w:rPr>
              <w:t xml:space="preserve">王达 </w:t>
            </w:r>
          </w:p>
        </w:tc>
      </w:tr>
      <w:tr w14:paraId="34067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8D516D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188591A">
            <w:pPr>
              <w:rPr>
                <w:rFonts w:ascii="宋体" w:hAnsi="宋体" w:eastAsia="宋体" w:cs="宋体"/>
                <w:sz w:val="24"/>
                <w:szCs w:val="24"/>
              </w:rPr>
            </w:pPr>
            <w:r>
              <w:rPr>
                <w:rFonts w:hint="eastAsia" w:ascii="宋体" w:hAnsi="宋体" w:eastAsia="宋体"/>
              </w:rPr>
              <w:t xml:space="preserve">丁思 </w:t>
            </w:r>
          </w:p>
        </w:tc>
      </w:tr>
      <w:tr w14:paraId="7D91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6FD55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1784794">
            <w:pPr>
              <w:rPr>
                <w:rFonts w:ascii="宋体" w:hAnsi="宋体" w:eastAsia="宋体" w:cs="宋体"/>
                <w:sz w:val="24"/>
                <w:szCs w:val="24"/>
              </w:rPr>
            </w:pPr>
            <w:r>
              <w:rPr>
                <w:rFonts w:hint="eastAsia" w:ascii="宋体" w:hAnsi="宋体" w:eastAsia="宋体"/>
              </w:rPr>
              <w:t xml:space="preserve">020-83988334  </w:t>
            </w:r>
          </w:p>
        </w:tc>
      </w:tr>
      <w:tr w14:paraId="7FD1B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AFBC8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C8A7BCE">
            <w:pPr>
              <w:rPr>
                <w:rFonts w:ascii="宋体" w:hAnsi="宋体" w:eastAsia="宋体" w:cs="宋体"/>
                <w:sz w:val="24"/>
                <w:szCs w:val="24"/>
              </w:rPr>
            </w:pPr>
            <w:r>
              <w:rPr>
                <w:rFonts w:hint="eastAsia" w:ascii="宋体" w:hAnsi="宋体" w:eastAsia="宋体"/>
              </w:rPr>
              <w:t xml:space="preserve">95322 </w:t>
            </w:r>
          </w:p>
        </w:tc>
      </w:tr>
      <w:tr w14:paraId="1B4BF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026F1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1BA4DF3">
            <w:pPr>
              <w:rPr>
                <w:rFonts w:ascii="宋体" w:hAnsi="宋体" w:eastAsia="宋体" w:cs="宋体"/>
                <w:sz w:val="24"/>
                <w:szCs w:val="24"/>
              </w:rPr>
            </w:pPr>
            <w:r>
              <w:rPr>
                <w:rFonts w:hint="eastAsia" w:ascii="宋体" w:hAnsi="宋体" w:eastAsia="宋体"/>
              </w:rPr>
              <w:t xml:space="preserve">http://www.wlzq.cn </w:t>
            </w:r>
          </w:p>
        </w:tc>
      </w:tr>
    </w:tbl>
    <w:p w14:paraId="0F735E5A">
      <w:pPr>
        <w:pStyle w:val="8"/>
        <w:spacing w:before="0" w:beforeAutospacing="0" w:after="0" w:afterAutospacing="0" w:line="360" w:lineRule="auto"/>
        <w:ind w:firstLine="420"/>
        <w:rPr>
          <w:sz w:val="21"/>
          <w:szCs w:val="21"/>
        </w:rPr>
      </w:pPr>
      <w:r>
        <w:rPr>
          <w:rFonts w:hint="eastAsia"/>
          <w:b/>
          <w:bCs/>
          <w:sz w:val="21"/>
          <w:szCs w:val="21"/>
        </w:rPr>
        <w:t>(40)华泰证券股份有限公司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67FEF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CC0B4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084096C">
            <w:pPr>
              <w:rPr>
                <w:rFonts w:ascii="宋体" w:hAnsi="宋体" w:eastAsia="宋体" w:cs="宋体"/>
                <w:sz w:val="24"/>
                <w:szCs w:val="24"/>
              </w:rPr>
            </w:pPr>
            <w:r>
              <w:rPr>
                <w:rFonts w:hint="eastAsia" w:ascii="宋体" w:hAnsi="宋体" w:eastAsia="宋体"/>
              </w:rPr>
              <w:t xml:space="preserve">南京市江东中路228号 </w:t>
            </w:r>
          </w:p>
        </w:tc>
      </w:tr>
      <w:tr w14:paraId="424DD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45533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8193125">
            <w:pPr>
              <w:rPr>
                <w:rFonts w:ascii="宋体" w:hAnsi="宋体" w:eastAsia="宋体" w:cs="宋体"/>
                <w:sz w:val="24"/>
                <w:szCs w:val="24"/>
              </w:rPr>
            </w:pPr>
            <w:r>
              <w:rPr>
                <w:rFonts w:hint="eastAsia" w:ascii="宋体" w:hAnsi="宋体" w:eastAsia="宋体"/>
              </w:rPr>
              <w:t xml:space="preserve">南京市建邺区江东中路228号华泰证券广场、深圳市福田区益田路5999号基金大厦 </w:t>
            </w:r>
          </w:p>
        </w:tc>
      </w:tr>
      <w:tr w14:paraId="334CB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5D52E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84AF71A">
            <w:pPr>
              <w:rPr>
                <w:rFonts w:ascii="宋体" w:hAnsi="宋体" w:eastAsia="宋体" w:cs="宋体"/>
                <w:sz w:val="24"/>
                <w:szCs w:val="24"/>
              </w:rPr>
            </w:pPr>
            <w:r>
              <w:rPr>
                <w:rFonts w:hint="eastAsia" w:ascii="宋体" w:hAnsi="宋体" w:eastAsia="宋体"/>
              </w:rPr>
              <w:t xml:space="preserve">张伟 </w:t>
            </w:r>
          </w:p>
        </w:tc>
      </w:tr>
      <w:tr w14:paraId="49B20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5FF359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6B3C9ED">
            <w:pPr>
              <w:rPr>
                <w:rFonts w:ascii="宋体" w:hAnsi="宋体" w:eastAsia="宋体" w:cs="宋体"/>
                <w:sz w:val="24"/>
                <w:szCs w:val="24"/>
              </w:rPr>
            </w:pPr>
            <w:r>
              <w:rPr>
                <w:rFonts w:hint="eastAsia" w:ascii="宋体" w:hAnsi="宋体" w:eastAsia="宋体"/>
              </w:rPr>
              <w:t xml:space="preserve">0755-22660831 </w:t>
            </w:r>
          </w:p>
        </w:tc>
      </w:tr>
      <w:tr w14:paraId="48427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C6EFF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55B7A9D">
            <w:pPr>
              <w:rPr>
                <w:rFonts w:ascii="宋体" w:hAnsi="宋体" w:eastAsia="宋体" w:cs="宋体"/>
                <w:sz w:val="24"/>
                <w:szCs w:val="24"/>
              </w:rPr>
            </w:pPr>
            <w:r>
              <w:rPr>
                <w:rFonts w:hint="eastAsia" w:ascii="宋体" w:hAnsi="宋体" w:eastAsia="宋体"/>
              </w:rPr>
              <w:t xml:space="preserve">95597 </w:t>
            </w:r>
          </w:p>
        </w:tc>
      </w:tr>
      <w:tr w14:paraId="1630E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8306A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2DC7563">
            <w:pPr>
              <w:rPr>
                <w:rFonts w:ascii="宋体" w:hAnsi="宋体" w:eastAsia="宋体" w:cs="宋体"/>
                <w:sz w:val="24"/>
                <w:szCs w:val="24"/>
              </w:rPr>
            </w:pPr>
            <w:r>
              <w:rPr>
                <w:rFonts w:hint="eastAsia" w:ascii="宋体" w:hAnsi="宋体" w:eastAsia="宋体"/>
              </w:rPr>
              <w:t xml:space="preserve">http://www.htsc.com.cn/ </w:t>
            </w:r>
          </w:p>
        </w:tc>
      </w:tr>
    </w:tbl>
    <w:p w14:paraId="56DC4E3E">
      <w:pPr>
        <w:pStyle w:val="8"/>
        <w:spacing w:before="0" w:beforeAutospacing="0" w:after="0" w:afterAutospacing="0" w:line="360" w:lineRule="auto"/>
        <w:ind w:firstLine="420"/>
        <w:rPr>
          <w:sz w:val="21"/>
          <w:szCs w:val="21"/>
        </w:rPr>
      </w:pPr>
      <w:r>
        <w:rPr>
          <w:rFonts w:hint="eastAsia"/>
          <w:b/>
          <w:bCs/>
          <w:sz w:val="21"/>
          <w:szCs w:val="21"/>
        </w:rPr>
        <w:t>(41)华创证券有限责任公司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318F5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FF996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2DD15D9">
            <w:pPr>
              <w:rPr>
                <w:rFonts w:ascii="宋体" w:hAnsi="宋体" w:eastAsia="宋体" w:cs="宋体"/>
                <w:sz w:val="24"/>
                <w:szCs w:val="24"/>
              </w:rPr>
            </w:pPr>
            <w:r>
              <w:rPr>
                <w:rFonts w:hint="eastAsia" w:ascii="宋体" w:hAnsi="宋体" w:eastAsia="宋体"/>
              </w:rPr>
              <w:t xml:space="preserve">贵州省贵阳市 </w:t>
            </w:r>
          </w:p>
        </w:tc>
      </w:tr>
      <w:tr w14:paraId="2F087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E54E3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7F3FD5B">
            <w:pPr>
              <w:rPr>
                <w:rFonts w:ascii="宋体" w:hAnsi="宋体" w:eastAsia="宋体" w:cs="宋体"/>
                <w:sz w:val="24"/>
                <w:szCs w:val="24"/>
              </w:rPr>
            </w:pPr>
            <w:r>
              <w:rPr>
                <w:rFonts w:hint="eastAsia" w:ascii="宋体" w:hAnsi="宋体" w:eastAsia="宋体"/>
              </w:rPr>
              <w:t xml:space="preserve">贵州省贵阳市中华北路216号华创大厦 </w:t>
            </w:r>
          </w:p>
        </w:tc>
      </w:tr>
      <w:tr w14:paraId="17DD9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ED6CA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77BED77">
            <w:pPr>
              <w:rPr>
                <w:rFonts w:ascii="宋体" w:hAnsi="宋体" w:eastAsia="宋体" w:cs="宋体"/>
                <w:sz w:val="24"/>
                <w:szCs w:val="24"/>
              </w:rPr>
            </w:pPr>
            <w:r>
              <w:rPr>
                <w:rFonts w:hint="eastAsia" w:ascii="宋体" w:hAnsi="宋体" w:eastAsia="宋体"/>
              </w:rPr>
              <w:t xml:space="preserve">陶永泽 </w:t>
            </w:r>
          </w:p>
        </w:tc>
      </w:tr>
      <w:tr w14:paraId="249A2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D00A7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DD1EDBF">
            <w:pPr>
              <w:rPr>
                <w:rFonts w:ascii="宋体" w:hAnsi="宋体" w:eastAsia="宋体" w:cs="宋体"/>
                <w:sz w:val="24"/>
                <w:szCs w:val="24"/>
              </w:rPr>
            </w:pPr>
            <w:r>
              <w:rPr>
                <w:rFonts w:hint="eastAsia" w:ascii="宋体" w:hAnsi="宋体" w:eastAsia="宋体"/>
              </w:rPr>
              <w:t xml:space="preserve">郭佳来 </w:t>
            </w:r>
          </w:p>
        </w:tc>
      </w:tr>
      <w:tr w14:paraId="07349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3EACB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33E40CB">
            <w:pPr>
              <w:rPr>
                <w:rFonts w:ascii="宋体" w:hAnsi="宋体" w:eastAsia="宋体" w:cs="宋体"/>
                <w:sz w:val="24"/>
                <w:szCs w:val="24"/>
              </w:rPr>
            </w:pPr>
            <w:r>
              <w:rPr>
                <w:rFonts w:hint="eastAsia" w:ascii="宋体" w:hAnsi="宋体" w:eastAsia="宋体"/>
              </w:rPr>
              <w:t xml:space="preserve">021-60762618 </w:t>
            </w:r>
          </w:p>
        </w:tc>
      </w:tr>
      <w:tr w14:paraId="36173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B5281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7639705">
            <w:pPr>
              <w:rPr>
                <w:rFonts w:ascii="宋体" w:hAnsi="宋体" w:eastAsia="宋体" w:cs="宋体"/>
                <w:sz w:val="24"/>
                <w:szCs w:val="24"/>
              </w:rPr>
            </w:pPr>
            <w:r>
              <w:rPr>
                <w:rFonts w:hint="eastAsia" w:ascii="宋体" w:hAnsi="宋体" w:eastAsia="宋体"/>
              </w:rPr>
              <w:t xml:space="preserve">021-60762700 </w:t>
            </w:r>
          </w:p>
        </w:tc>
      </w:tr>
      <w:tr w14:paraId="112D0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25A75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0D53356">
            <w:pPr>
              <w:rPr>
                <w:rFonts w:ascii="宋体" w:hAnsi="宋体" w:eastAsia="宋体" w:cs="宋体"/>
                <w:sz w:val="24"/>
                <w:szCs w:val="24"/>
              </w:rPr>
            </w:pPr>
            <w:r>
              <w:rPr>
                <w:rFonts w:hint="eastAsia" w:ascii="宋体" w:hAnsi="宋体" w:eastAsia="宋体"/>
              </w:rPr>
              <w:t xml:space="preserve">4008666689 </w:t>
            </w:r>
          </w:p>
        </w:tc>
      </w:tr>
      <w:tr w14:paraId="09BB8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4DFA3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E89D728">
            <w:pPr>
              <w:rPr>
                <w:rFonts w:ascii="宋体" w:hAnsi="宋体" w:eastAsia="宋体" w:cs="宋体"/>
                <w:sz w:val="24"/>
                <w:szCs w:val="24"/>
              </w:rPr>
            </w:pPr>
            <w:r>
              <w:rPr>
                <w:rFonts w:hint="eastAsia" w:ascii="宋体" w:hAnsi="宋体" w:eastAsia="宋体"/>
              </w:rPr>
              <w:t xml:space="preserve">http://www.hczq.com/ </w:t>
            </w:r>
          </w:p>
        </w:tc>
      </w:tr>
    </w:tbl>
    <w:p w14:paraId="5A04403A">
      <w:pPr>
        <w:pStyle w:val="8"/>
        <w:spacing w:before="0" w:beforeAutospacing="0" w:after="0" w:afterAutospacing="0" w:line="360" w:lineRule="auto"/>
        <w:ind w:firstLine="420"/>
        <w:rPr>
          <w:sz w:val="21"/>
          <w:szCs w:val="21"/>
        </w:rPr>
      </w:pPr>
      <w:r>
        <w:rPr>
          <w:rFonts w:hint="eastAsia"/>
          <w:b/>
          <w:bCs/>
          <w:sz w:val="21"/>
          <w:szCs w:val="21"/>
        </w:rPr>
        <w:t>(42)开源证券股份有限公司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14695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63819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E9E7105">
            <w:pPr>
              <w:rPr>
                <w:rFonts w:ascii="宋体" w:hAnsi="宋体" w:eastAsia="宋体" w:cs="宋体"/>
                <w:sz w:val="24"/>
                <w:szCs w:val="24"/>
              </w:rPr>
            </w:pPr>
            <w:r>
              <w:rPr>
                <w:rFonts w:hint="eastAsia" w:ascii="宋体" w:hAnsi="宋体" w:eastAsia="宋体"/>
              </w:rPr>
              <w:t xml:space="preserve">陕西省西安市高新区锦业路1号都市之门B座5层 </w:t>
            </w:r>
          </w:p>
        </w:tc>
      </w:tr>
      <w:tr w14:paraId="472A6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1F13A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EABEB54">
            <w:pPr>
              <w:rPr>
                <w:rFonts w:ascii="宋体" w:hAnsi="宋体" w:eastAsia="宋体" w:cs="宋体"/>
                <w:sz w:val="24"/>
                <w:szCs w:val="24"/>
              </w:rPr>
            </w:pPr>
            <w:r>
              <w:rPr>
                <w:rFonts w:hint="eastAsia" w:ascii="宋体" w:hAnsi="宋体" w:eastAsia="宋体"/>
              </w:rPr>
              <w:t xml:space="preserve">陕西省西安市高新区锦业路1号都市之门B座5层 </w:t>
            </w:r>
          </w:p>
        </w:tc>
      </w:tr>
      <w:tr w14:paraId="2502F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51A0F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84F9ECC">
            <w:pPr>
              <w:rPr>
                <w:rFonts w:ascii="宋体" w:hAnsi="宋体" w:eastAsia="宋体" w:cs="宋体"/>
                <w:sz w:val="24"/>
                <w:szCs w:val="24"/>
              </w:rPr>
            </w:pPr>
            <w:r>
              <w:rPr>
                <w:rFonts w:hint="eastAsia" w:ascii="宋体" w:hAnsi="宋体" w:eastAsia="宋体"/>
              </w:rPr>
              <w:t xml:space="preserve">李刚 </w:t>
            </w:r>
          </w:p>
        </w:tc>
      </w:tr>
      <w:tr w14:paraId="3C33F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6D71D0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BC2610B">
            <w:pPr>
              <w:rPr>
                <w:rFonts w:ascii="宋体" w:hAnsi="宋体" w:eastAsia="宋体" w:cs="宋体"/>
                <w:sz w:val="24"/>
                <w:szCs w:val="24"/>
              </w:rPr>
            </w:pPr>
            <w:r>
              <w:rPr>
                <w:rFonts w:hint="eastAsia" w:ascii="宋体" w:hAnsi="宋体" w:eastAsia="宋体"/>
              </w:rPr>
              <w:t xml:space="preserve">张蕊 </w:t>
            </w:r>
          </w:p>
        </w:tc>
      </w:tr>
      <w:tr w14:paraId="4DC07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ECC31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DF117DF">
            <w:pPr>
              <w:rPr>
                <w:rFonts w:ascii="宋体" w:hAnsi="宋体" w:eastAsia="宋体" w:cs="宋体"/>
                <w:sz w:val="24"/>
                <w:szCs w:val="24"/>
              </w:rPr>
            </w:pPr>
            <w:r>
              <w:rPr>
                <w:rFonts w:hint="eastAsia" w:ascii="宋体" w:hAnsi="宋体" w:eastAsia="宋体"/>
              </w:rPr>
              <w:t xml:space="preserve">029-88365809  </w:t>
            </w:r>
          </w:p>
        </w:tc>
      </w:tr>
      <w:tr w14:paraId="097A0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3D947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6704EA5">
            <w:pPr>
              <w:rPr>
                <w:rFonts w:ascii="宋体" w:hAnsi="宋体" w:eastAsia="宋体" w:cs="宋体"/>
                <w:sz w:val="24"/>
                <w:szCs w:val="24"/>
              </w:rPr>
            </w:pPr>
            <w:r>
              <w:rPr>
                <w:rFonts w:hint="eastAsia" w:ascii="宋体" w:hAnsi="宋体" w:eastAsia="宋体"/>
              </w:rPr>
              <w:t xml:space="preserve">86-29-88365835 </w:t>
            </w:r>
          </w:p>
        </w:tc>
      </w:tr>
      <w:tr w14:paraId="4591D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3946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8A046D1">
            <w:pPr>
              <w:rPr>
                <w:rFonts w:ascii="宋体" w:hAnsi="宋体" w:eastAsia="宋体" w:cs="宋体"/>
                <w:sz w:val="24"/>
                <w:szCs w:val="24"/>
              </w:rPr>
            </w:pPr>
            <w:r>
              <w:rPr>
                <w:rFonts w:hint="eastAsia" w:ascii="宋体" w:hAnsi="宋体" w:eastAsia="宋体"/>
              </w:rPr>
              <w:t xml:space="preserve">95325 /400-860-8866 </w:t>
            </w:r>
          </w:p>
        </w:tc>
      </w:tr>
      <w:tr w14:paraId="055B4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047E6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38F01D3">
            <w:pPr>
              <w:rPr>
                <w:rFonts w:ascii="宋体" w:hAnsi="宋体" w:eastAsia="宋体" w:cs="宋体"/>
                <w:sz w:val="24"/>
                <w:szCs w:val="24"/>
              </w:rPr>
            </w:pPr>
            <w:r>
              <w:rPr>
                <w:rFonts w:hint="eastAsia" w:ascii="宋体" w:hAnsi="宋体" w:eastAsia="宋体"/>
              </w:rPr>
              <w:t xml:space="preserve">http://www.kysec.cn/ </w:t>
            </w:r>
          </w:p>
        </w:tc>
      </w:tr>
    </w:tbl>
    <w:p w14:paraId="4ECE15E6">
      <w:pPr>
        <w:pStyle w:val="8"/>
        <w:spacing w:before="0" w:beforeAutospacing="0" w:after="0" w:afterAutospacing="0" w:line="360" w:lineRule="auto"/>
        <w:ind w:firstLine="420"/>
        <w:rPr>
          <w:sz w:val="21"/>
          <w:szCs w:val="21"/>
        </w:rPr>
      </w:pPr>
      <w:bookmarkStart w:id="65" w:name="field_0_allproxysaletables_1_end"/>
      <w:bookmarkEnd w:id="65"/>
      <w:r>
        <w:rPr>
          <w:rFonts w:ascii="宋体" w:hAnsi="宋体" w:eastAsia="宋体"/>
        </w:rPr>
        <w:t xml:space="preserve">  </w:t>
      </w:r>
      <w:bookmarkStart w:id="66" w:name="chapter_level1_7_56_section_3"/>
      <w:bookmarkEnd w:id="66"/>
      <w:r>
        <w:rPr>
          <w:rStyle w:val="12"/>
          <w:rFonts w:hint="eastAsia"/>
          <w:sz w:val="21"/>
          <w:szCs w:val="21"/>
        </w:rPr>
        <w:t>二、登记机构</w:t>
      </w:r>
    </w:p>
    <w:p w14:paraId="3C4C100F">
      <w:pPr>
        <w:pStyle w:val="8"/>
        <w:spacing w:before="0" w:beforeAutospacing="0" w:after="0" w:afterAutospacing="0" w:line="360" w:lineRule="auto"/>
        <w:ind w:firstLine="420"/>
        <w:rPr>
          <w:sz w:val="21"/>
          <w:szCs w:val="21"/>
        </w:rPr>
      </w:pPr>
      <w:bookmarkStart w:id="67" w:name="field_0_registercompanyinfo_1_start"/>
      <w:bookmarkEnd w:id="67"/>
      <w:r>
        <w:rPr>
          <w:rFonts w:hint="eastAsia"/>
          <w:sz w:val="21"/>
          <w:szCs w:val="21"/>
        </w:rPr>
        <w:t xml:space="preserve">名称：博时基金管理有限公司 </w:t>
      </w:r>
    </w:p>
    <w:p w14:paraId="2C680250">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36FBF7E8">
      <w:pPr>
        <w:pStyle w:val="8"/>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0469D84F">
      <w:pPr>
        <w:pStyle w:val="8"/>
        <w:spacing w:before="0" w:beforeAutospacing="0" w:after="0" w:afterAutospacing="0" w:line="360" w:lineRule="auto"/>
        <w:ind w:firstLine="420"/>
        <w:rPr>
          <w:sz w:val="21"/>
          <w:szCs w:val="21"/>
        </w:rPr>
      </w:pPr>
      <w:r>
        <w:rPr>
          <w:rFonts w:hint="eastAsia"/>
          <w:sz w:val="21"/>
          <w:szCs w:val="21"/>
        </w:rPr>
        <w:t xml:space="preserve">法定代表人：张东 </w:t>
      </w:r>
    </w:p>
    <w:p w14:paraId="3503B298">
      <w:pPr>
        <w:pStyle w:val="8"/>
        <w:spacing w:before="0" w:beforeAutospacing="0" w:after="0" w:afterAutospacing="0" w:line="360" w:lineRule="auto"/>
        <w:ind w:firstLine="420"/>
        <w:rPr>
          <w:sz w:val="21"/>
          <w:szCs w:val="21"/>
        </w:rPr>
      </w:pPr>
      <w:r>
        <w:rPr>
          <w:rFonts w:hint="eastAsia"/>
          <w:sz w:val="21"/>
          <w:szCs w:val="21"/>
        </w:rPr>
        <w:t xml:space="preserve">电话： 010-65171166 </w:t>
      </w:r>
    </w:p>
    <w:p w14:paraId="18F74CC4">
      <w:pPr>
        <w:pStyle w:val="8"/>
        <w:spacing w:before="0" w:beforeAutospacing="0" w:after="0" w:afterAutospacing="0" w:line="360" w:lineRule="auto"/>
        <w:ind w:firstLine="420"/>
        <w:rPr>
          <w:sz w:val="21"/>
          <w:szCs w:val="21"/>
        </w:rPr>
      </w:pPr>
      <w:r>
        <w:rPr>
          <w:rFonts w:hint="eastAsia"/>
          <w:sz w:val="21"/>
          <w:szCs w:val="21"/>
        </w:rPr>
        <w:t xml:space="preserve">传真： 010-65187068 </w:t>
      </w:r>
    </w:p>
    <w:p w14:paraId="02ABA346">
      <w:pPr>
        <w:pStyle w:val="8"/>
        <w:spacing w:before="0" w:beforeAutospacing="0" w:after="0" w:afterAutospacing="0" w:line="360" w:lineRule="auto"/>
        <w:ind w:firstLine="420"/>
        <w:rPr>
          <w:sz w:val="21"/>
          <w:szCs w:val="21"/>
        </w:rPr>
      </w:pPr>
      <w:r>
        <w:rPr>
          <w:rFonts w:hint="eastAsia"/>
          <w:sz w:val="21"/>
          <w:szCs w:val="21"/>
        </w:rPr>
        <w:t xml:space="preserve">联系人：佀方方 </w:t>
      </w:r>
      <w:bookmarkStart w:id="68" w:name="field_0_registercompanyinfo_1_end"/>
      <w:bookmarkEnd w:id="68"/>
      <w:r>
        <w:rPr>
          <w:rFonts w:hint="eastAsia"/>
          <w:sz w:val="21"/>
          <w:szCs w:val="21"/>
        </w:rPr>
        <w:t xml:space="preserve">  </w:t>
      </w:r>
    </w:p>
    <w:p w14:paraId="73996935">
      <w:pPr>
        <w:pStyle w:val="8"/>
        <w:spacing w:before="0" w:beforeAutospacing="0" w:after="0" w:afterAutospacing="0" w:line="360" w:lineRule="auto"/>
        <w:ind w:firstLine="420"/>
        <w:rPr>
          <w:sz w:val="21"/>
          <w:szCs w:val="21"/>
        </w:rPr>
      </w:pPr>
      <w:r>
        <w:rPr>
          <w:rStyle w:val="12"/>
          <w:rFonts w:hint="eastAsia"/>
          <w:sz w:val="21"/>
          <w:szCs w:val="21"/>
        </w:rPr>
        <w:t>三、出具法律意见书的律师事务所</w:t>
      </w:r>
    </w:p>
    <w:p w14:paraId="4973C7E8">
      <w:pPr>
        <w:pStyle w:val="8"/>
        <w:spacing w:before="0" w:beforeAutospacing="0" w:after="0" w:afterAutospacing="0" w:line="360" w:lineRule="auto"/>
        <w:ind w:firstLine="420"/>
        <w:rPr>
          <w:sz w:val="21"/>
          <w:szCs w:val="21"/>
        </w:rPr>
      </w:pPr>
      <w:r>
        <w:rPr>
          <w:rFonts w:hint="eastAsia"/>
          <w:sz w:val="21"/>
          <w:szCs w:val="21"/>
        </w:rPr>
        <w:t xml:space="preserve">名称：上海源泰律师事务所 </w:t>
      </w:r>
    </w:p>
    <w:p w14:paraId="3BBDCC54">
      <w:pPr>
        <w:pStyle w:val="8"/>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14:paraId="1179BA04">
      <w:pPr>
        <w:pStyle w:val="8"/>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14:paraId="245FEB2F">
      <w:pPr>
        <w:pStyle w:val="8"/>
        <w:spacing w:before="0" w:beforeAutospacing="0" w:after="0" w:afterAutospacing="0" w:line="360" w:lineRule="auto"/>
        <w:ind w:firstLine="420"/>
        <w:rPr>
          <w:sz w:val="21"/>
          <w:szCs w:val="21"/>
        </w:rPr>
      </w:pPr>
      <w:r>
        <w:rPr>
          <w:rFonts w:hint="eastAsia"/>
          <w:sz w:val="21"/>
          <w:szCs w:val="21"/>
        </w:rPr>
        <w:t xml:space="preserve">负责人：廖海 </w:t>
      </w:r>
    </w:p>
    <w:p w14:paraId="429C1BC2">
      <w:pPr>
        <w:pStyle w:val="8"/>
        <w:spacing w:before="0" w:beforeAutospacing="0" w:after="0" w:afterAutospacing="0" w:line="360" w:lineRule="auto"/>
        <w:ind w:firstLine="420"/>
        <w:rPr>
          <w:sz w:val="21"/>
          <w:szCs w:val="21"/>
        </w:rPr>
      </w:pPr>
      <w:r>
        <w:rPr>
          <w:rFonts w:hint="eastAsia"/>
          <w:sz w:val="21"/>
          <w:szCs w:val="21"/>
        </w:rPr>
        <w:t xml:space="preserve">电话：021- 51150298 </w:t>
      </w:r>
    </w:p>
    <w:p w14:paraId="3CEAC4AC">
      <w:pPr>
        <w:pStyle w:val="8"/>
        <w:spacing w:before="0" w:beforeAutospacing="0" w:after="0" w:afterAutospacing="0" w:line="360" w:lineRule="auto"/>
        <w:ind w:firstLine="420"/>
        <w:rPr>
          <w:sz w:val="21"/>
          <w:szCs w:val="21"/>
        </w:rPr>
      </w:pPr>
      <w:r>
        <w:rPr>
          <w:rFonts w:hint="eastAsia"/>
          <w:sz w:val="21"/>
          <w:szCs w:val="21"/>
        </w:rPr>
        <w:t xml:space="preserve">传真：021- 51150398 </w:t>
      </w:r>
    </w:p>
    <w:p w14:paraId="336AB5D0">
      <w:pPr>
        <w:pStyle w:val="8"/>
        <w:spacing w:before="0" w:beforeAutospacing="0" w:after="0" w:afterAutospacing="0" w:line="360" w:lineRule="auto"/>
        <w:ind w:firstLine="420"/>
        <w:rPr>
          <w:sz w:val="21"/>
          <w:szCs w:val="21"/>
        </w:rPr>
      </w:pPr>
      <w:r>
        <w:rPr>
          <w:rFonts w:hint="eastAsia"/>
          <w:sz w:val="21"/>
          <w:szCs w:val="21"/>
        </w:rPr>
        <w:t xml:space="preserve">联系人：刘佳 </w:t>
      </w:r>
    </w:p>
    <w:p w14:paraId="21718C34">
      <w:pPr>
        <w:pStyle w:val="8"/>
        <w:spacing w:before="0" w:beforeAutospacing="0" w:after="0" w:afterAutospacing="0" w:line="360" w:lineRule="auto"/>
        <w:ind w:firstLine="420"/>
        <w:rPr>
          <w:sz w:val="21"/>
          <w:szCs w:val="21"/>
        </w:rPr>
      </w:pPr>
      <w:r>
        <w:rPr>
          <w:rFonts w:hint="eastAsia"/>
          <w:sz w:val="21"/>
          <w:szCs w:val="21"/>
        </w:rPr>
        <w:t>经办律师：廖海、刘佳</w:t>
      </w:r>
    </w:p>
    <w:p w14:paraId="7FA16798">
      <w:pPr>
        <w:pStyle w:val="8"/>
        <w:spacing w:before="0" w:beforeAutospacing="0" w:after="0" w:afterAutospacing="0" w:line="360" w:lineRule="auto"/>
        <w:ind w:firstLine="420"/>
        <w:rPr>
          <w:sz w:val="21"/>
          <w:szCs w:val="21"/>
        </w:rPr>
      </w:pPr>
      <w:r>
        <w:rPr>
          <w:rStyle w:val="12"/>
          <w:rFonts w:hint="eastAsia"/>
          <w:sz w:val="21"/>
          <w:szCs w:val="21"/>
        </w:rPr>
        <w:t>四、审计基金财产的会计师事务所</w:t>
      </w:r>
    </w:p>
    <w:p w14:paraId="77F73936">
      <w:pPr>
        <w:pStyle w:val="8"/>
        <w:spacing w:before="0" w:beforeAutospacing="0" w:after="0" w:afterAutospacing="0" w:line="360" w:lineRule="auto"/>
        <w:ind w:firstLine="420"/>
        <w:rPr>
          <w:sz w:val="21"/>
          <w:szCs w:val="21"/>
        </w:rPr>
      </w:pPr>
      <w:bookmarkStart w:id="69" w:name="field_0_accountingcompanyinfo_1_start"/>
      <w:bookmarkEnd w:id="69"/>
      <w:r>
        <w:rPr>
          <w:rFonts w:hint="eastAsia"/>
          <w:sz w:val="21"/>
          <w:szCs w:val="21"/>
        </w:rPr>
        <w:t xml:space="preserve">名称：容诚会计师事务所（特殊普通合伙） </w:t>
      </w:r>
    </w:p>
    <w:p w14:paraId="018642B0">
      <w:pPr>
        <w:pStyle w:val="8"/>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0E7D82E4">
      <w:pPr>
        <w:pStyle w:val="8"/>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5889B743">
      <w:pPr>
        <w:pStyle w:val="8"/>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5694C2E7">
      <w:pPr>
        <w:pStyle w:val="8"/>
        <w:spacing w:before="0" w:beforeAutospacing="0" w:after="0" w:afterAutospacing="0" w:line="360" w:lineRule="auto"/>
        <w:ind w:firstLine="420"/>
        <w:rPr>
          <w:sz w:val="21"/>
          <w:szCs w:val="21"/>
        </w:rPr>
      </w:pPr>
      <w:r>
        <w:rPr>
          <w:rFonts w:hint="eastAsia"/>
          <w:sz w:val="21"/>
          <w:szCs w:val="21"/>
        </w:rPr>
        <w:t xml:space="preserve">联系电话：010-66001391 </w:t>
      </w:r>
    </w:p>
    <w:p w14:paraId="1104B16E">
      <w:pPr>
        <w:pStyle w:val="8"/>
        <w:spacing w:before="0" w:beforeAutospacing="0" w:after="0" w:afterAutospacing="0" w:line="360" w:lineRule="auto"/>
        <w:ind w:firstLine="420"/>
        <w:rPr>
          <w:sz w:val="21"/>
          <w:szCs w:val="21"/>
        </w:rPr>
      </w:pPr>
      <w:r>
        <w:rPr>
          <w:rFonts w:hint="eastAsia"/>
          <w:sz w:val="21"/>
          <w:szCs w:val="21"/>
        </w:rPr>
        <w:t xml:space="preserve">传真：010-66001392 </w:t>
      </w:r>
    </w:p>
    <w:p w14:paraId="4EECD2FF">
      <w:pPr>
        <w:pStyle w:val="8"/>
        <w:spacing w:before="0" w:beforeAutospacing="0" w:after="0" w:afterAutospacing="0" w:line="360" w:lineRule="auto"/>
        <w:ind w:firstLine="420"/>
        <w:rPr>
          <w:sz w:val="21"/>
          <w:szCs w:val="21"/>
        </w:rPr>
      </w:pPr>
      <w:r>
        <w:rPr>
          <w:rFonts w:hint="eastAsia"/>
          <w:sz w:val="21"/>
          <w:szCs w:val="21"/>
        </w:rPr>
        <w:t xml:space="preserve">联系人：吴琳杰 </w:t>
      </w:r>
    </w:p>
    <w:p w14:paraId="568E0AE3">
      <w:pPr>
        <w:pStyle w:val="8"/>
        <w:spacing w:before="0" w:beforeAutospacing="0" w:after="0" w:afterAutospacing="0" w:line="360" w:lineRule="auto"/>
        <w:ind w:firstLine="420"/>
        <w:rPr>
          <w:sz w:val="21"/>
          <w:szCs w:val="21"/>
        </w:rPr>
      </w:pPr>
      <w:bookmarkStart w:id="70" w:name="chapter_level1_7_56_section_3_end"/>
      <w:bookmarkEnd w:id="70"/>
      <w:r>
        <w:rPr>
          <w:rFonts w:hint="eastAsia"/>
          <w:sz w:val="21"/>
          <w:szCs w:val="21"/>
        </w:rPr>
        <w:t xml:space="preserve">经办注册会计师：薛竞 吴琳杰 </w:t>
      </w:r>
      <w:bookmarkStart w:id="71" w:name="field_0_accountingcompanyinfo_1_end"/>
      <w:bookmarkEnd w:id="71"/>
      <w:r>
        <w:rPr>
          <w:rFonts w:hint="eastAsia"/>
          <w:sz w:val="21"/>
          <w:szCs w:val="21"/>
        </w:rPr>
        <w:t xml:space="preserve">  </w:t>
      </w:r>
    </w:p>
    <w:p w14:paraId="7E423334">
      <w:pPr>
        <w:widowControl/>
        <w:jc w:val="left"/>
        <w:rPr>
          <w:rFonts w:ascii="宋体" w:hAnsi="宋体" w:eastAsia="宋体"/>
        </w:rPr>
      </w:pPr>
      <w:r>
        <w:rPr>
          <w:rFonts w:ascii="宋体" w:hAnsi="宋体" w:eastAsia="宋体"/>
        </w:rPr>
        <w:br w:type="page"/>
      </w:r>
    </w:p>
    <w:p w14:paraId="29C016A1">
      <w:pPr>
        <w:pStyle w:val="2"/>
        <w:jc w:val="center"/>
        <w:rPr>
          <w:rFonts w:ascii="宋体" w:hAnsi="宋体" w:eastAsia="宋体"/>
          <w:sz w:val="30"/>
        </w:rPr>
      </w:pPr>
      <w:bookmarkStart w:id="72" w:name="_Toc239208842"/>
      <w:bookmarkStart w:id="73" w:name="chapter_level1_9_58"/>
      <w:r>
        <w:rPr>
          <w:rFonts w:hint="eastAsia" w:ascii="宋体" w:hAnsi="宋体" w:eastAsia="宋体"/>
          <w:sz w:val="30"/>
        </w:rPr>
        <w:t>第六部分 基金的募集与基金合同的生效</w:t>
      </w:r>
      <w:bookmarkEnd w:id="72"/>
      <w:bookmarkEnd w:id="73"/>
    </w:p>
    <w:p w14:paraId="788C32BE">
      <w:pPr>
        <w:pStyle w:val="8"/>
        <w:spacing w:before="0" w:beforeAutospacing="0" w:after="0" w:afterAutospacing="0" w:line="360" w:lineRule="auto"/>
        <w:ind w:firstLine="420"/>
        <w:rPr>
          <w:sz w:val="21"/>
          <w:szCs w:val="21"/>
        </w:rPr>
      </w:pPr>
      <w:bookmarkStart w:id="74" w:name="chapter_level1_9_58_section_1"/>
      <w:bookmarkEnd w:id="74"/>
      <w:r>
        <w:rPr>
          <w:rStyle w:val="12"/>
          <w:rFonts w:hint="eastAsia"/>
          <w:sz w:val="21"/>
          <w:szCs w:val="21"/>
        </w:rPr>
        <w:t>一、基金的募集</w:t>
      </w:r>
    </w:p>
    <w:p w14:paraId="54D8B875">
      <w:pPr>
        <w:pStyle w:val="8"/>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基金管理人按照《基金法》、《运作办法》、《销售办法》、基金合同及其他有关规定募集本基金，并于</w:t>
      </w:r>
      <w:bookmarkStart w:id="75" w:name="field_2343_approveddate_2"/>
      <w:r>
        <w:rPr>
          <w:sz w:val="21"/>
          <w:szCs w:val="21"/>
        </w:rPr>
        <w:t>2016年4月11日</w:t>
      </w:r>
      <w:bookmarkEnd w:id="75"/>
      <w:r>
        <w:rPr>
          <w:rFonts w:hint="eastAsia"/>
          <w:sz w:val="21"/>
          <w:szCs w:val="21"/>
        </w:rPr>
        <w:t>经中国证监会证监许可 </w:t>
      </w:r>
      <w:bookmarkStart w:id="76" w:name="field_2343_lotnumber_2"/>
      <w:r>
        <w:rPr>
          <w:sz w:val="21"/>
          <w:szCs w:val="21"/>
        </w:rPr>
        <w:t>[2016]725</w:t>
      </w:r>
      <w:bookmarkEnd w:id="76"/>
      <w:r>
        <w:rPr>
          <w:rFonts w:hint="eastAsia"/>
          <w:sz w:val="21"/>
          <w:szCs w:val="21"/>
        </w:rPr>
        <w:t xml:space="preserve">号文准予募集注册。 </w:t>
      </w:r>
    </w:p>
    <w:p w14:paraId="345EE8A1">
      <w:pPr>
        <w:pStyle w:val="8"/>
        <w:spacing w:before="0" w:beforeAutospacing="0" w:after="0" w:afterAutospacing="0" w:line="360" w:lineRule="auto"/>
        <w:ind w:firstLine="420"/>
        <w:rPr>
          <w:sz w:val="21"/>
          <w:szCs w:val="21"/>
        </w:rPr>
      </w:pPr>
      <w:r>
        <w:rPr>
          <w:rFonts w:hint="eastAsia"/>
          <w:sz w:val="21"/>
          <w:szCs w:val="21"/>
        </w:rPr>
        <w:t>本基金募集期间为自</w:t>
      </w:r>
      <w:bookmarkStart w:id="77" w:name="field_58_raisebegindate_1"/>
      <w:r>
        <w:rPr>
          <w:sz w:val="21"/>
          <w:szCs w:val="21"/>
        </w:rPr>
        <w:t>2016年4月25日</w:t>
      </w:r>
      <w:bookmarkEnd w:id="77"/>
      <w:r>
        <w:rPr>
          <w:rFonts w:hint="eastAsia"/>
          <w:sz w:val="21"/>
          <w:szCs w:val="21"/>
        </w:rPr>
        <w:t>至</w:t>
      </w:r>
      <w:bookmarkStart w:id="78" w:name="field_58_raiseenddate_1"/>
      <w:r>
        <w:rPr>
          <w:sz w:val="21"/>
          <w:szCs w:val="21"/>
        </w:rPr>
        <w:t>2016年5月4日</w:t>
      </w:r>
      <w:bookmarkEnd w:id="78"/>
      <w:r>
        <w:rPr>
          <w:rFonts w:hint="eastAsia"/>
          <w:sz w:val="21"/>
          <w:szCs w:val="21"/>
        </w:rPr>
        <w:t>，基金份额共募集</w:t>
      </w:r>
      <w:bookmarkStart w:id="79" w:name="field_58_raisetotal_1"/>
      <w:r>
        <w:rPr>
          <w:sz w:val="21"/>
          <w:szCs w:val="21"/>
        </w:rPr>
        <w:t>210,472,943.82</w:t>
      </w:r>
      <w:bookmarkEnd w:id="79"/>
      <w:r>
        <w:rPr>
          <w:rFonts w:hint="eastAsia"/>
          <w:sz w:val="21"/>
          <w:szCs w:val="21"/>
        </w:rPr>
        <w:t>份（含利息结转的份额），有效认购户数为</w:t>
      </w:r>
      <w:bookmarkStart w:id="80" w:name="field_58_effectivetotal_1"/>
      <w:r>
        <w:rPr>
          <w:sz w:val="21"/>
          <w:szCs w:val="21"/>
        </w:rPr>
        <w:t>278</w:t>
      </w:r>
      <w:bookmarkEnd w:id="80"/>
      <w:r>
        <w:rPr>
          <w:rFonts w:hint="eastAsia"/>
          <w:sz w:val="21"/>
          <w:szCs w:val="21"/>
        </w:rPr>
        <w:t xml:space="preserve">户。 </w:t>
      </w:r>
    </w:p>
    <w:p w14:paraId="428CEF88">
      <w:pPr>
        <w:pStyle w:val="8"/>
        <w:spacing w:before="0" w:beforeAutospacing="0" w:after="0" w:afterAutospacing="0" w:line="360" w:lineRule="auto"/>
        <w:ind w:firstLine="420"/>
        <w:rPr>
          <w:sz w:val="21"/>
          <w:szCs w:val="21"/>
        </w:rPr>
      </w:pPr>
      <w:r>
        <w:rPr>
          <w:rFonts w:hint="eastAsia"/>
          <w:sz w:val="21"/>
          <w:szCs w:val="21"/>
        </w:rPr>
        <w:t>本基金运作方式为</w:t>
      </w:r>
      <w:bookmarkStart w:id="81" w:name="field_58_operation_1"/>
      <w:r>
        <w:rPr>
          <w:rFonts w:hint="eastAsia"/>
          <w:sz w:val="21"/>
          <w:szCs w:val="21"/>
        </w:rPr>
        <w:t>契约型开放式</w:t>
      </w:r>
      <w:bookmarkEnd w:id="81"/>
      <w:r>
        <w:rPr>
          <w:rFonts w:hint="eastAsia"/>
          <w:sz w:val="21"/>
          <w:szCs w:val="21"/>
        </w:rPr>
        <w:t>，存续期间为</w:t>
      </w:r>
      <w:bookmarkStart w:id="82" w:name="field_58_duration_1"/>
      <w:r>
        <w:rPr>
          <w:rFonts w:hint="eastAsia"/>
          <w:sz w:val="21"/>
          <w:szCs w:val="21"/>
        </w:rPr>
        <w:t>不定期</w:t>
      </w:r>
      <w:bookmarkEnd w:id="82"/>
      <w:r>
        <w:rPr>
          <w:rFonts w:hint="eastAsia"/>
          <w:sz w:val="21"/>
          <w:szCs w:val="21"/>
        </w:rPr>
        <w:t xml:space="preserve">。 </w:t>
      </w:r>
    </w:p>
    <w:p w14:paraId="140DA7C2">
      <w:pPr>
        <w:pStyle w:val="8"/>
        <w:spacing w:before="0" w:beforeAutospacing="0" w:after="0" w:afterAutospacing="0" w:line="360" w:lineRule="auto"/>
        <w:ind w:firstLine="420"/>
        <w:rPr>
          <w:sz w:val="21"/>
          <w:szCs w:val="21"/>
        </w:rPr>
      </w:pPr>
      <w:r>
        <w:rPr>
          <w:rStyle w:val="12"/>
          <w:rFonts w:hint="eastAsia"/>
          <w:sz w:val="21"/>
          <w:szCs w:val="21"/>
        </w:rPr>
        <w:t>二、基金合同的生效</w:t>
      </w:r>
    </w:p>
    <w:p w14:paraId="1FA26F57">
      <w:pPr>
        <w:pStyle w:val="8"/>
        <w:spacing w:before="0" w:beforeAutospacing="0" w:after="0" w:afterAutospacing="0" w:line="360" w:lineRule="auto"/>
        <w:ind w:firstLine="420"/>
        <w:rPr>
          <w:sz w:val="21"/>
          <w:szCs w:val="21"/>
        </w:rPr>
      </w:pPr>
      <w:bookmarkStart w:id="83" w:name="chapter_level1_9_58_section_1_end"/>
      <w:bookmarkEnd w:id="83"/>
      <w:r>
        <w:rPr>
          <w:rFonts w:hint="eastAsia"/>
          <w:sz w:val="21"/>
          <w:szCs w:val="21"/>
        </w:rPr>
        <w:t>本基金的基金合同已于</w:t>
      </w:r>
      <w:bookmarkStart w:id="84" w:name="field_0_foundday_1"/>
      <w:r>
        <w:rPr>
          <w:sz w:val="21"/>
          <w:szCs w:val="21"/>
        </w:rPr>
        <w:t>2016年5月9日</w:t>
      </w:r>
      <w:bookmarkEnd w:id="84"/>
      <w:r>
        <w:rPr>
          <w:rFonts w:hint="eastAsia"/>
          <w:sz w:val="21"/>
          <w:szCs w:val="21"/>
        </w:rPr>
        <w:t xml:space="preserve">正式生效。 </w:t>
      </w:r>
    </w:p>
    <w:p w14:paraId="635883F9">
      <w:pPr>
        <w:pStyle w:val="8"/>
        <w:spacing w:before="0" w:beforeAutospacing="0" w:after="0" w:afterAutospacing="0" w:line="360" w:lineRule="auto"/>
        <w:ind w:firstLine="420"/>
        <w:rPr>
          <w:sz w:val="21"/>
          <w:szCs w:val="21"/>
        </w:rPr>
      </w:pPr>
      <w:bookmarkStart w:id="85" w:name="chapter_level1_9_58_section_2"/>
      <w:bookmarkEnd w:id="85"/>
      <w:r>
        <w:rPr>
          <w:rStyle w:val="12"/>
          <w:rFonts w:hint="eastAsia"/>
          <w:sz w:val="21"/>
          <w:szCs w:val="21"/>
        </w:rPr>
        <w:t>三、基金存续期内的基金份额持有人数量和资产规模</w:t>
      </w:r>
    </w:p>
    <w:p w14:paraId="72F9B426">
      <w:pPr>
        <w:pStyle w:val="8"/>
        <w:spacing w:before="0" w:beforeAutospacing="0" w:after="0" w:afterAutospacing="0" w:line="360" w:lineRule="auto"/>
        <w:ind w:firstLine="420"/>
        <w:rPr>
          <w:sz w:val="21"/>
          <w:szCs w:val="21"/>
        </w:rPr>
      </w:pPr>
      <w:r>
        <w:rPr>
          <w:rFonts w:hint="eastAsia"/>
          <w:sz w:val="21"/>
          <w:szCs w:val="21"/>
        </w:rPr>
        <w:t>基金合同生效后，连续二十个工作日出现基金份额持有人数量不满</w:t>
      </w:r>
      <w:bookmarkStart w:id="86" w:name="field_58_minsubnumber_1"/>
      <w:r>
        <w:rPr>
          <w:rFonts w:hint="eastAsia"/>
          <w:sz w:val="21"/>
          <w:szCs w:val="21"/>
        </w:rPr>
        <w:t>二百</w:t>
      </w:r>
      <w:bookmarkEnd w:id="86"/>
      <w:r>
        <w:rPr>
          <w:rFonts w:hint="eastAsia"/>
          <w:sz w:val="21"/>
          <w:szCs w:val="21"/>
        </w:rPr>
        <w:t xml:space="preserve">人或者基金资产净值低于五千万元情形的，基金管理人应当在定期报告中予以披露；连续六十个工作日出现前述情形的，基金合同将终止并进行基金财产清算，且无需召开持有人大会，同时基金管理人应履行相关的监管报告和信息披露程序。 </w:t>
      </w:r>
    </w:p>
    <w:p w14:paraId="76F729E0">
      <w:pPr>
        <w:pStyle w:val="8"/>
        <w:spacing w:before="0" w:beforeAutospacing="0" w:after="0" w:afterAutospacing="0" w:line="360" w:lineRule="auto"/>
        <w:ind w:firstLine="420"/>
        <w:rPr>
          <w:sz w:val="21"/>
          <w:szCs w:val="21"/>
        </w:rPr>
      </w:pPr>
      <w:bookmarkStart w:id="87" w:name="chapter_level1_9_58_section_2_end"/>
      <w:bookmarkEnd w:id="87"/>
      <w:r>
        <w:rPr>
          <w:rFonts w:hint="eastAsia"/>
          <w:sz w:val="21"/>
          <w:szCs w:val="21"/>
        </w:rPr>
        <w:t xml:space="preserve">法律法规或监管机构另有规定时，从其规定。 </w:t>
      </w:r>
    </w:p>
    <w:p w14:paraId="3BAF4EFF">
      <w:pPr>
        <w:widowControl/>
        <w:jc w:val="left"/>
        <w:rPr>
          <w:rFonts w:ascii="宋体" w:hAnsi="宋体" w:eastAsia="宋体"/>
        </w:rPr>
      </w:pPr>
      <w:r>
        <w:rPr>
          <w:rFonts w:ascii="宋体" w:hAnsi="宋体" w:eastAsia="宋体"/>
        </w:rPr>
        <w:br w:type="page"/>
      </w:r>
    </w:p>
    <w:p w14:paraId="6ADFE14F">
      <w:pPr>
        <w:pStyle w:val="2"/>
        <w:jc w:val="center"/>
        <w:rPr>
          <w:rFonts w:ascii="宋体" w:hAnsi="宋体" w:eastAsia="宋体"/>
          <w:sz w:val="30"/>
        </w:rPr>
      </w:pPr>
      <w:bookmarkStart w:id="88" w:name="_Toc239208843"/>
      <w:bookmarkStart w:id="89" w:name="chapter_level1_10_59"/>
      <w:r>
        <w:rPr>
          <w:rFonts w:hint="eastAsia" w:ascii="宋体" w:hAnsi="宋体" w:eastAsia="宋体"/>
          <w:sz w:val="30"/>
        </w:rPr>
        <w:t>第七部分  基金份额的申购与赎回</w:t>
      </w:r>
      <w:bookmarkEnd w:id="88"/>
      <w:bookmarkEnd w:id="89"/>
    </w:p>
    <w:p w14:paraId="7E90EED0">
      <w:pPr>
        <w:pStyle w:val="8"/>
        <w:spacing w:before="0" w:beforeAutospacing="0" w:after="0" w:afterAutospacing="0" w:line="360" w:lineRule="auto"/>
        <w:ind w:firstLine="420"/>
        <w:rPr>
          <w:sz w:val="21"/>
          <w:szCs w:val="21"/>
        </w:rPr>
      </w:pPr>
      <w:bookmarkStart w:id="90" w:name="chapter_level1_10_59_section_1"/>
      <w:bookmarkEnd w:id="90"/>
      <w:r>
        <w:rPr>
          <w:rStyle w:val="12"/>
          <w:rFonts w:hint="eastAsia"/>
          <w:sz w:val="21"/>
          <w:szCs w:val="21"/>
        </w:rPr>
        <w:t>一、申购与赎回的场所</w:t>
      </w:r>
    </w:p>
    <w:p w14:paraId="4121F4E1">
      <w:pPr>
        <w:pStyle w:val="8"/>
        <w:spacing w:before="0" w:beforeAutospacing="0" w:after="0" w:afterAutospacing="0" w:line="360" w:lineRule="auto"/>
        <w:ind w:firstLine="420"/>
        <w:rPr>
          <w:sz w:val="21"/>
          <w:szCs w:val="21"/>
        </w:rPr>
      </w:pPr>
      <w:r>
        <w:rPr>
          <w:rFonts w:hint="eastAsia"/>
          <w:sz w:val="21"/>
          <w:szCs w:val="21"/>
        </w:rPr>
        <w:t>本基金的申购与赎回将通过销售机构进行。具体的销售网点将由基金管理人在招募说明书或其他相关公告中列明。基金管理人可根据情况变更或增减销售机构，并在基金管理人网站公示。基金投资者应当在销售机构办理基金销售业务的营业场所或按销售机构提供的其他</w:t>
      </w:r>
      <w:bookmarkStart w:id="91" w:name="chapter_level1_10_59_section_1_end"/>
      <w:bookmarkEnd w:id="91"/>
      <w:r>
        <w:rPr>
          <w:rFonts w:hint="eastAsia"/>
          <w:sz w:val="21"/>
          <w:szCs w:val="21"/>
        </w:rPr>
        <w:t xml:space="preserve">方式办理基金份额的申购与赎回。 </w:t>
      </w:r>
    </w:p>
    <w:p w14:paraId="23A93123">
      <w:pPr>
        <w:pStyle w:val="8"/>
        <w:spacing w:before="0" w:beforeAutospacing="0" w:after="0" w:afterAutospacing="0" w:line="360" w:lineRule="auto"/>
        <w:ind w:firstLine="420"/>
        <w:rPr>
          <w:sz w:val="21"/>
          <w:szCs w:val="21"/>
        </w:rPr>
      </w:pPr>
      <w:bookmarkStart w:id="92" w:name="chapter_level1_10_59_section_2"/>
      <w:bookmarkEnd w:id="92"/>
      <w:r>
        <w:rPr>
          <w:rStyle w:val="12"/>
          <w:rFonts w:hint="eastAsia"/>
          <w:sz w:val="21"/>
          <w:szCs w:val="21"/>
        </w:rPr>
        <w:t>二、申购与赎回办理的开放日及时间</w:t>
      </w:r>
    </w:p>
    <w:p w14:paraId="15974A3E">
      <w:pPr>
        <w:pStyle w:val="8"/>
        <w:spacing w:before="0" w:beforeAutospacing="0" w:after="0" w:afterAutospacing="0" w:line="360" w:lineRule="auto"/>
        <w:ind w:firstLine="420"/>
        <w:rPr>
          <w:sz w:val="21"/>
          <w:szCs w:val="21"/>
        </w:rPr>
      </w:pPr>
      <w:bookmarkStart w:id="93" w:name="chapter_level1_10_59_section_2_end"/>
      <w:bookmarkEnd w:id="93"/>
      <w:r>
        <w:rPr>
          <w:rFonts w:hint="eastAsia"/>
          <w:sz w:val="21"/>
          <w:szCs w:val="21"/>
        </w:rPr>
        <w:t xml:space="preserve">本基金已于2016年6月6日开通日常申购、赎回业务。 </w:t>
      </w:r>
    </w:p>
    <w:p w14:paraId="64AF3B02">
      <w:pPr>
        <w:pStyle w:val="8"/>
        <w:spacing w:before="0" w:beforeAutospacing="0" w:after="0" w:afterAutospacing="0" w:line="360" w:lineRule="auto"/>
        <w:ind w:firstLine="420"/>
        <w:rPr>
          <w:sz w:val="21"/>
          <w:szCs w:val="21"/>
        </w:rPr>
      </w:pPr>
      <w:bookmarkStart w:id="94" w:name="chapter_level1_10_59_section_3"/>
      <w:bookmarkEnd w:id="94"/>
      <w:r>
        <w:rPr>
          <w:rFonts w:hint="eastAsia"/>
          <w:b/>
          <w:bCs/>
          <w:sz w:val="21"/>
          <w:szCs w:val="21"/>
        </w:rPr>
        <w:t>三、申购与赎回的原则</w:t>
      </w:r>
    </w:p>
    <w:p w14:paraId="7086CF7C">
      <w:pPr>
        <w:pStyle w:val="8"/>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1、“未知价”原则，即申购、赎回价格以申请当日收市后计算的该类基金份额净值为基准进行计算；  </w:t>
      </w:r>
    </w:p>
    <w:p w14:paraId="24CE2EAE">
      <w:pPr>
        <w:pStyle w:val="8"/>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5D3CA8F1">
      <w:pPr>
        <w:pStyle w:val="8"/>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044389A7">
      <w:pPr>
        <w:pStyle w:val="8"/>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3DDB0567">
      <w:pPr>
        <w:pStyle w:val="8"/>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基金管理人可在法律法规允许的情况下，对上述原则进行调整。基金管理人必须在新规则开始实施前依照《信息披露办法》的有关规定进行公告。  </w:t>
      </w:r>
    </w:p>
    <w:p w14:paraId="3A1F6899">
      <w:pPr>
        <w:pStyle w:val="8"/>
        <w:spacing w:before="0" w:beforeAutospacing="0" w:after="0" w:afterAutospacing="0" w:line="360" w:lineRule="auto"/>
        <w:ind w:firstLine="420"/>
        <w:rPr>
          <w:sz w:val="21"/>
          <w:szCs w:val="21"/>
        </w:rPr>
      </w:pPr>
      <w:r>
        <w:rPr>
          <w:rFonts w:hint="eastAsia"/>
          <w:b/>
          <w:bCs/>
          <w:sz w:val="21"/>
          <w:szCs w:val="21"/>
        </w:rPr>
        <w:t>四、申购与赎回的数额限制</w:t>
      </w:r>
    </w:p>
    <w:p w14:paraId="368E4F2D">
      <w:pPr>
        <w:pStyle w:val="8"/>
        <w:spacing w:before="0" w:beforeAutospacing="0" w:after="0" w:afterAutospacing="0" w:line="360" w:lineRule="auto"/>
        <w:ind w:firstLine="420"/>
        <w:rPr>
          <w:sz w:val="21"/>
          <w:szCs w:val="21"/>
        </w:rPr>
      </w:pPr>
      <w:r>
        <w:rPr>
          <w:rFonts w:hint="eastAsia"/>
          <w:sz w:val="21"/>
          <w:szCs w:val="21"/>
        </w:rPr>
        <w:t xml:space="preserve">1、首次购买 </w:t>
      </w:r>
    </w:p>
    <w:p w14:paraId="2A6FB5E3">
      <w:pPr>
        <w:pStyle w:val="8"/>
        <w:spacing w:before="0" w:beforeAutospacing="0" w:after="0" w:afterAutospacing="0" w:line="360" w:lineRule="auto"/>
        <w:ind w:firstLine="420"/>
        <w:rPr>
          <w:sz w:val="21"/>
          <w:szCs w:val="21"/>
        </w:rPr>
      </w:pPr>
      <w:r>
        <w:rPr>
          <w:rFonts w:hint="eastAsia"/>
          <w:sz w:val="21"/>
          <w:szCs w:val="21"/>
        </w:rPr>
        <w:t>本基金A类基金份额或C类基金份额的最低金额为</w:t>
      </w:r>
      <w:bookmarkStart w:id="95" w:name="field_0_dealerfirstpurminamount_1"/>
      <w:r>
        <w:rPr>
          <w:sz w:val="21"/>
          <w:szCs w:val="21"/>
        </w:rPr>
        <w:t>1.00</w:t>
      </w:r>
      <w:bookmarkEnd w:id="95"/>
      <w:r>
        <w:rPr>
          <w:rFonts w:hint="eastAsia"/>
          <w:sz w:val="21"/>
          <w:szCs w:val="21"/>
        </w:rPr>
        <w:t>元，追加购买最低金额为</w:t>
      </w:r>
      <w:bookmarkStart w:id="96" w:name="field_0_dealerlaterpurminamount_1"/>
      <w:r>
        <w:rPr>
          <w:sz w:val="21"/>
          <w:szCs w:val="21"/>
        </w:rPr>
        <w:t>1.00</w:t>
      </w:r>
      <w:bookmarkEnd w:id="96"/>
      <w:r>
        <w:rPr>
          <w:rFonts w:hint="eastAsia"/>
          <w:sz w:val="21"/>
          <w:szCs w:val="21"/>
        </w:rPr>
        <w:t xml:space="preserve">元；详情请见当地销售机构公告；  </w:t>
      </w:r>
    </w:p>
    <w:p w14:paraId="1980B9E0">
      <w:pPr>
        <w:pStyle w:val="8"/>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97" w:name="field_0_minholdshare_1"/>
      <w:r>
        <w:rPr>
          <w:sz w:val="21"/>
          <w:szCs w:val="21"/>
        </w:rPr>
        <w:t>1</w:t>
      </w:r>
      <w:bookmarkEnd w:id="97"/>
      <w:r>
        <w:rPr>
          <w:rFonts w:hint="eastAsia"/>
          <w:sz w:val="21"/>
          <w:szCs w:val="21"/>
        </w:rPr>
        <w:t>份，若某笔赎回导致单个交易账户的某一类别基金份额余额少于</w:t>
      </w:r>
      <w:bookmarkStart w:id="98" w:name="field_0_minholdshare_2"/>
      <w:r>
        <w:rPr>
          <w:sz w:val="21"/>
          <w:szCs w:val="21"/>
        </w:rPr>
        <w:t>1</w:t>
      </w:r>
      <w:bookmarkEnd w:id="98"/>
      <w:r>
        <w:rPr>
          <w:rFonts w:hint="eastAsia"/>
          <w:sz w:val="21"/>
          <w:szCs w:val="21"/>
        </w:rPr>
        <w:t xml:space="preserve">份时，该类基金份额余额部分基金份额必须一同赎回；   </w:t>
      </w:r>
    </w:p>
    <w:p w14:paraId="0269F739">
      <w:pPr>
        <w:pStyle w:val="8"/>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基金管理人可以规定单个投资者累计持有的基金份额数量限制，具体规定见更新的招募说明书或相关公告，但需符合法律法规、监管机构的规定或基金合同的约定；  </w:t>
      </w:r>
    </w:p>
    <w:p w14:paraId="2122FE92">
      <w:pPr>
        <w:pStyle w:val="8"/>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14:paraId="5B56482F">
      <w:pPr>
        <w:pStyle w:val="8"/>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5、基金管理人可在法律法规允许的情况下，调整上述规定申购金额和赎回份额等数量限制。基金管理人必须在调整实施前依照《信息披露办法》的有关规定进行公告。  </w:t>
      </w:r>
    </w:p>
    <w:p w14:paraId="4CDE34BC">
      <w:pPr>
        <w:pStyle w:val="8"/>
        <w:spacing w:before="0" w:beforeAutospacing="0" w:after="0" w:afterAutospacing="0" w:line="360" w:lineRule="auto"/>
        <w:ind w:firstLine="420"/>
        <w:rPr>
          <w:sz w:val="21"/>
          <w:szCs w:val="21"/>
        </w:rPr>
      </w:pPr>
      <w:r>
        <w:rPr>
          <w:rFonts w:hint="eastAsia"/>
          <w:b/>
          <w:bCs/>
          <w:sz w:val="21"/>
          <w:szCs w:val="21"/>
        </w:rPr>
        <w:t>五、申购与赎回的程序</w:t>
      </w:r>
    </w:p>
    <w:p w14:paraId="5E569C5F">
      <w:pPr>
        <w:pStyle w:val="8"/>
        <w:spacing w:before="0" w:beforeAutospacing="0" w:after="0" w:afterAutospacing="0" w:line="360" w:lineRule="auto"/>
        <w:ind w:firstLine="420"/>
        <w:rPr>
          <w:sz w:val="21"/>
          <w:szCs w:val="21"/>
        </w:rPr>
      </w:pPr>
      <w:r>
        <w:rPr>
          <w:rFonts w:hint="eastAsia"/>
          <w:sz w:val="21"/>
          <w:szCs w:val="21"/>
        </w:rPr>
        <w:t xml:space="preserve">1、申购和赎回的申请方式  </w:t>
      </w:r>
    </w:p>
    <w:p w14:paraId="1A5DF9A8">
      <w:pPr>
        <w:pStyle w:val="8"/>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453A7B86">
      <w:pPr>
        <w:pStyle w:val="8"/>
        <w:spacing w:before="0" w:beforeAutospacing="0" w:after="0" w:afterAutospacing="0" w:line="360" w:lineRule="auto"/>
        <w:ind w:firstLine="420"/>
        <w:rPr>
          <w:sz w:val="21"/>
          <w:szCs w:val="21"/>
        </w:rPr>
      </w:pPr>
      <w:r>
        <w:rPr>
          <w:rFonts w:hint="eastAsia"/>
          <w:sz w:val="21"/>
          <w:szCs w:val="21"/>
        </w:rPr>
        <w:t xml:space="preserve">2、申购和赎回的款项支付  </w:t>
      </w:r>
    </w:p>
    <w:p w14:paraId="5C5D4BC4">
      <w:pPr>
        <w:pStyle w:val="8"/>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投资人申购基金份额时，必须全额交付申购款项，投资人全额交付申购款项，申购申请成立；登记机构确认基金份额时，申购生效。  </w:t>
      </w:r>
    </w:p>
    <w:p w14:paraId="5F9D848D">
      <w:pPr>
        <w:pStyle w:val="8"/>
        <w:spacing w:before="0" w:beforeAutospacing="0" w:after="0" w:afterAutospacing="0" w:line="360" w:lineRule="auto"/>
        <w:ind w:firstLine="420"/>
        <w:rPr>
          <w:sz w:val="21"/>
          <w:szCs w:val="21"/>
        </w:rPr>
      </w:pPr>
      <w:r>
        <w:rPr>
          <w:rFonts w:hint="eastAsia"/>
          <w:sz w:val="21"/>
          <w:szCs w:val="21"/>
        </w:rPr>
        <w:t xml:space="preserve">基金份额持有人递交赎回申请，赎回成立；登记机构确认赎回时，赎回生效。投资人赎回申请生效后，基金管理人将在T＋7日(包括该日)内支付赎回款项。在发生巨额赎回或基金合同约定的其他暂停赎回或延缓支付赎回款项的情形时，款项的支付办法参照基金合同有关条款处理。  </w:t>
      </w:r>
    </w:p>
    <w:p w14:paraId="09598EBD">
      <w:pPr>
        <w:pStyle w:val="8"/>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遇交易所或交易市场数据传输延迟、通讯系统故障、银行数据交换系统故障或其他非基金管理人及基金托管人所能控制的因素影响业务处理流程，则赎回款项划付时间相应顺延。  </w:t>
      </w:r>
    </w:p>
    <w:p w14:paraId="019E1B9F">
      <w:pPr>
        <w:pStyle w:val="8"/>
        <w:spacing w:before="0" w:beforeAutospacing="0" w:after="0" w:afterAutospacing="0" w:line="360" w:lineRule="auto"/>
        <w:ind w:firstLine="420"/>
        <w:rPr>
          <w:sz w:val="21"/>
          <w:szCs w:val="21"/>
        </w:rPr>
      </w:pPr>
      <w:r>
        <w:rPr>
          <w:rFonts w:hint="eastAsia"/>
          <w:sz w:val="21"/>
          <w:szCs w:val="21"/>
        </w:rPr>
        <w:t xml:space="preserve">3、申购和赎回申请的确认  </w:t>
      </w:r>
    </w:p>
    <w:p w14:paraId="263E8B71">
      <w:pPr>
        <w:pStyle w:val="8"/>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或无效，则申购款项本金退还给投资人。  </w:t>
      </w:r>
    </w:p>
    <w:p w14:paraId="0EE9FD05">
      <w:pPr>
        <w:pStyle w:val="8"/>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0666B586">
      <w:pPr>
        <w:pStyle w:val="8"/>
        <w:spacing w:before="0" w:beforeAutospacing="0" w:after="0" w:afterAutospacing="0" w:line="360" w:lineRule="auto"/>
        <w:ind w:firstLine="420"/>
        <w:rPr>
          <w:sz w:val="21"/>
          <w:szCs w:val="21"/>
        </w:rPr>
      </w:pPr>
      <w:r>
        <w:rPr>
          <w:rFonts w:hint="eastAsia"/>
          <w:b/>
          <w:bCs/>
          <w:sz w:val="21"/>
          <w:szCs w:val="21"/>
        </w:rPr>
        <w:t>六、申购费率、赎回费率</w:t>
      </w:r>
    </w:p>
    <w:p w14:paraId="020B1FDA">
      <w:pPr>
        <w:pStyle w:val="8"/>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14:paraId="32FADD76">
      <w:pPr>
        <w:pStyle w:val="8"/>
        <w:spacing w:before="0" w:beforeAutospacing="0" w:after="0" w:afterAutospacing="0" w:line="360" w:lineRule="auto"/>
        <w:ind w:firstLine="420"/>
        <w:rPr>
          <w:sz w:val="21"/>
          <w:szCs w:val="21"/>
        </w:rPr>
      </w:pPr>
      <w:r>
        <w:rPr>
          <w:rFonts w:hint="eastAsia"/>
          <w:sz w:val="21"/>
          <w:szCs w:val="21"/>
        </w:rPr>
        <w:t xml:space="preserve">本基金采用前端收费模式收取基金申购费用。投资者的申购费用如下：  </w:t>
      </w:r>
    </w:p>
    <w:p w14:paraId="5EA7DABC">
      <w:pPr>
        <w:pStyle w:val="8"/>
        <w:spacing w:before="0" w:beforeAutospacing="0" w:after="0" w:afterAutospacing="0" w:line="360" w:lineRule="auto"/>
        <w:ind w:firstLine="420"/>
        <w:jc w:val="both"/>
        <w:rPr>
          <w:sz w:val="21"/>
          <w:szCs w:val="21"/>
        </w:rPr>
      </w:pPr>
      <w:r>
        <w:rPr>
          <w:rFonts w:hint="eastAsia"/>
          <w:sz w:val="21"/>
          <w:szCs w:val="21"/>
        </w:rPr>
        <w:t xml:space="preserve">表1：本基金的申购费率    </w:t>
      </w:r>
    </w:p>
    <w:tbl>
      <w:tblPr>
        <w:tblStyle w:val="10"/>
        <w:tblW w:w="84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43"/>
        <w:gridCol w:w="2944"/>
        <w:gridCol w:w="2728"/>
      </w:tblGrid>
      <w:tr w14:paraId="6FF95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5" w:type="dxa"/>
            <w:shd w:val="clear" w:color="auto" w:fill="auto"/>
          </w:tcPr>
          <w:p w14:paraId="21BF87BA">
            <w:pPr>
              <w:rPr>
                <w:rFonts w:ascii="宋体" w:hAnsi="宋体" w:eastAsia="宋体" w:cs="宋体"/>
                <w:sz w:val="24"/>
                <w:szCs w:val="24"/>
              </w:rPr>
            </w:pPr>
            <w:r>
              <w:rPr>
                <w:rFonts w:hint="eastAsia" w:ascii="宋体" w:hAnsi="宋体" w:eastAsia="宋体"/>
              </w:rPr>
              <w:t xml:space="preserve">金额（M）    </w:t>
            </w:r>
          </w:p>
        </w:tc>
        <w:tc>
          <w:tcPr>
            <w:tcW w:w="3600" w:type="dxa"/>
            <w:shd w:val="clear" w:color="auto" w:fill="auto"/>
          </w:tcPr>
          <w:p w14:paraId="4537DBE8">
            <w:pPr>
              <w:rPr>
                <w:rFonts w:ascii="宋体" w:hAnsi="宋体" w:eastAsia="宋体" w:cs="宋体"/>
                <w:sz w:val="24"/>
                <w:szCs w:val="24"/>
              </w:rPr>
            </w:pPr>
            <w:r>
              <w:rPr>
                <w:rFonts w:hint="eastAsia" w:ascii="宋体" w:hAnsi="宋体" w:eastAsia="宋体"/>
              </w:rPr>
              <w:t xml:space="preserve">A类基金份额申购费率    </w:t>
            </w:r>
          </w:p>
        </w:tc>
        <w:tc>
          <w:tcPr>
            <w:tcW w:w="3600" w:type="dxa"/>
            <w:shd w:val="clear" w:color="auto" w:fill="auto"/>
          </w:tcPr>
          <w:p w14:paraId="7E4DD9DC">
            <w:pPr>
              <w:rPr>
                <w:rFonts w:ascii="宋体" w:hAnsi="宋体" w:eastAsia="宋体" w:cs="宋体"/>
                <w:sz w:val="24"/>
                <w:szCs w:val="24"/>
              </w:rPr>
            </w:pPr>
            <w:r>
              <w:rPr>
                <w:rFonts w:hint="eastAsia" w:ascii="宋体" w:hAnsi="宋体" w:eastAsia="宋体"/>
              </w:rPr>
              <w:t xml:space="preserve">C类基金份额申购费率  </w:t>
            </w:r>
          </w:p>
        </w:tc>
      </w:tr>
      <w:tr w14:paraId="43BAF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5" w:type="dxa"/>
            <w:shd w:val="clear" w:color="auto" w:fill="auto"/>
          </w:tcPr>
          <w:p w14:paraId="153E9C19">
            <w:pPr>
              <w:rPr>
                <w:rFonts w:ascii="宋体" w:hAnsi="宋体" w:eastAsia="宋体" w:cs="宋体"/>
                <w:sz w:val="24"/>
                <w:szCs w:val="24"/>
              </w:rPr>
            </w:pPr>
            <w:r>
              <w:rPr>
                <w:rFonts w:hint="eastAsia" w:ascii="宋体" w:hAnsi="宋体" w:eastAsia="宋体"/>
              </w:rPr>
              <w:t xml:space="preserve">M＜100万    </w:t>
            </w:r>
          </w:p>
        </w:tc>
        <w:tc>
          <w:tcPr>
            <w:tcW w:w="3600" w:type="dxa"/>
            <w:shd w:val="clear" w:color="auto" w:fill="auto"/>
          </w:tcPr>
          <w:p w14:paraId="28AB9B47">
            <w:pPr>
              <w:rPr>
                <w:rFonts w:ascii="宋体" w:hAnsi="宋体" w:eastAsia="宋体" w:cs="宋体"/>
                <w:sz w:val="24"/>
                <w:szCs w:val="24"/>
              </w:rPr>
            </w:pPr>
            <w:r>
              <w:rPr>
                <w:rFonts w:hint="eastAsia" w:ascii="宋体" w:hAnsi="宋体" w:eastAsia="宋体"/>
              </w:rPr>
              <w:t xml:space="preserve">0.80%    </w:t>
            </w:r>
          </w:p>
        </w:tc>
        <w:tc>
          <w:tcPr>
            <w:tcW w:w="3600" w:type="dxa"/>
            <w:vMerge w:val="restart"/>
            <w:shd w:val="clear" w:color="auto" w:fill="auto"/>
          </w:tcPr>
          <w:p w14:paraId="57A6FA3E">
            <w:pPr>
              <w:rPr>
                <w:rFonts w:ascii="宋体" w:hAnsi="宋体" w:eastAsia="宋体" w:cs="宋体"/>
                <w:sz w:val="24"/>
                <w:szCs w:val="24"/>
              </w:rPr>
            </w:pPr>
            <w:r>
              <w:rPr>
                <w:rFonts w:hint="eastAsia" w:ascii="宋体" w:hAnsi="宋体" w:eastAsia="宋体"/>
              </w:rPr>
              <w:t xml:space="preserve">0  </w:t>
            </w:r>
          </w:p>
        </w:tc>
      </w:tr>
      <w:tr w14:paraId="36C6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5" w:type="dxa"/>
            <w:shd w:val="clear" w:color="auto" w:fill="auto"/>
          </w:tcPr>
          <w:p w14:paraId="713880A6">
            <w:pPr>
              <w:rPr>
                <w:rFonts w:ascii="宋体" w:hAnsi="宋体" w:eastAsia="宋体" w:cs="宋体"/>
                <w:sz w:val="24"/>
                <w:szCs w:val="24"/>
              </w:rPr>
            </w:pPr>
            <w:r>
              <w:rPr>
                <w:rFonts w:hint="eastAsia" w:ascii="宋体" w:hAnsi="宋体" w:eastAsia="宋体"/>
              </w:rPr>
              <w:t xml:space="preserve">100万≤M＜300万    </w:t>
            </w:r>
          </w:p>
        </w:tc>
        <w:tc>
          <w:tcPr>
            <w:tcW w:w="3600" w:type="dxa"/>
            <w:shd w:val="clear" w:color="auto" w:fill="auto"/>
          </w:tcPr>
          <w:p w14:paraId="5B16EC6D">
            <w:pPr>
              <w:rPr>
                <w:rFonts w:ascii="宋体" w:hAnsi="宋体" w:eastAsia="宋体" w:cs="宋体"/>
                <w:sz w:val="24"/>
                <w:szCs w:val="24"/>
              </w:rPr>
            </w:pPr>
            <w:r>
              <w:rPr>
                <w:rFonts w:hint="eastAsia" w:ascii="宋体" w:hAnsi="宋体" w:eastAsia="宋体"/>
              </w:rPr>
              <w:t xml:space="preserve">0.50%    </w:t>
            </w:r>
          </w:p>
        </w:tc>
        <w:tc>
          <w:tcPr>
            <w:tcW w:w="0" w:type="auto"/>
            <w:vMerge w:val="continue"/>
            <w:shd w:val="clear" w:color="auto" w:fill="auto"/>
          </w:tcPr>
          <w:p w14:paraId="6C57DD81">
            <w:pPr>
              <w:rPr>
                <w:rFonts w:ascii="宋体" w:hAnsi="宋体" w:eastAsia="宋体" w:cs="宋体"/>
                <w:sz w:val="24"/>
                <w:szCs w:val="24"/>
              </w:rPr>
            </w:pPr>
          </w:p>
        </w:tc>
      </w:tr>
      <w:tr w14:paraId="1C38B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5" w:type="dxa"/>
            <w:shd w:val="clear" w:color="auto" w:fill="auto"/>
          </w:tcPr>
          <w:p w14:paraId="7FBD7208">
            <w:pPr>
              <w:rPr>
                <w:rFonts w:ascii="宋体" w:hAnsi="宋体" w:eastAsia="宋体" w:cs="宋体"/>
                <w:sz w:val="24"/>
                <w:szCs w:val="24"/>
              </w:rPr>
            </w:pPr>
            <w:r>
              <w:rPr>
                <w:rFonts w:hint="eastAsia" w:ascii="宋体" w:hAnsi="宋体" w:eastAsia="宋体"/>
              </w:rPr>
              <w:t xml:space="preserve">300万≤M＜500万    </w:t>
            </w:r>
          </w:p>
        </w:tc>
        <w:tc>
          <w:tcPr>
            <w:tcW w:w="3600" w:type="dxa"/>
            <w:shd w:val="clear" w:color="auto" w:fill="auto"/>
          </w:tcPr>
          <w:p w14:paraId="5EAAAA02">
            <w:pPr>
              <w:rPr>
                <w:rFonts w:ascii="宋体" w:hAnsi="宋体" w:eastAsia="宋体" w:cs="宋体"/>
                <w:sz w:val="24"/>
                <w:szCs w:val="24"/>
              </w:rPr>
            </w:pPr>
            <w:r>
              <w:rPr>
                <w:rFonts w:hint="eastAsia" w:ascii="宋体" w:hAnsi="宋体" w:eastAsia="宋体"/>
              </w:rPr>
              <w:t xml:space="preserve">0.30%    </w:t>
            </w:r>
          </w:p>
        </w:tc>
        <w:tc>
          <w:tcPr>
            <w:tcW w:w="0" w:type="auto"/>
            <w:vMerge w:val="continue"/>
            <w:shd w:val="clear" w:color="auto" w:fill="auto"/>
          </w:tcPr>
          <w:p w14:paraId="2960F271">
            <w:pPr>
              <w:rPr>
                <w:rFonts w:ascii="宋体" w:hAnsi="宋体" w:eastAsia="宋体" w:cs="宋体"/>
                <w:sz w:val="24"/>
                <w:szCs w:val="24"/>
              </w:rPr>
            </w:pPr>
          </w:p>
        </w:tc>
      </w:tr>
      <w:tr w14:paraId="21B29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5" w:type="dxa"/>
            <w:shd w:val="clear" w:color="auto" w:fill="auto"/>
          </w:tcPr>
          <w:p w14:paraId="5A9A07B1">
            <w:pPr>
              <w:rPr>
                <w:rFonts w:ascii="宋体" w:hAnsi="宋体" w:eastAsia="宋体" w:cs="宋体"/>
                <w:sz w:val="24"/>
                <w:szCs w:val="24"/>
              </w:rPr>
            </w:pPr>
            <w:r>
              <w:rPr>
                <w:rFonts w:hint="eastAsia" w:ascii="宋体" w:hAnsi="宋体" w:eastAsia="宋体"/>
              </w:rPr>
              <w:t xml:space="preserve">M≥500万    </w:t>
            </w:r>
          </w:p>
        </w:tc>
        <w:tc>
          <w:tcPr>
            <w:tcW w:w="3600" w:type="dxa"/>
            <w:shd w:val="clear" w:color="auto" w:fill="auto"/>
          </w:tcPr>
          <w:p w14:paraId="41FE4939">
            <w:pPr>
              <w:rPr>
                <w:rFonts w:ascii="宋体" w:hAnsi="宋体" w:eastAsia="宋体" w:cs="宋体"/>
                <w:sz w:val="24"/>
                <w:szCs w:val="24"/>
              </w:rPr>
            </w:pPr>
            <w:r>
              <w:rPr>
                <w:rFonts w:hint="eastAsia" w:ascii="宋体" w:hAnsi="宋体" w:eastAsia="宋体"/>
              </w:rPr>
              <w:t xml:space="preserve">每笔1000元    </w:t>
            </w:r>
          </w:p>
        </w:tc>
        <w:tc>
          <w:tcPr>
            <w:tcW w:w="0" w:type="auto"/>
            <w:vMerge w:val="continue"/>
            <w:shd w:val="clear" w:color="auto" w:fill="auto"/>
          </w:tcPr>
          <w:p w14:paraId="20571CE3">
            <w:pPr>
              <w:rPr>
                <w:rFonts w:ascii="宋体" w:hAnsi="宋体" w:eastAsia="宋体" w:cs="宋体"/>
                <w:sz w:val="24"/>
                <w:szCs w:val="24"/>
              </w:rPr>
            </w:pPr>
          </w:p>
        </w:tc>
      </w:tr>
    </w:tbl>
    <w:p w14:paraId="6AC2B1A8">
      <w:pPr>
        <w:pStyle w:val="8"/>
        <w:spacing w:before="0" w:beforeAutospacing="0" w:after="0" w:afterAutospacing="0" w:line="360" w:lineRule="auto"/>
        <w:ind w:firstLine="420"/>
        <w:jc w:val="both"/>
        <w:rPr>
          <w:sz w:val="21"/>
          <w:szCs w:val="21"/>
        </w:rPr>
      </w:pPr>
      <w:r>
        <w:rPr>
          <w:rFonts w:hint="eastAsia"/>
          <w:sz w:val="21"/>
          <w:szCs w:val="21"/>
        </w:rPr>
        <w:t xml:space="preserve">本基金A类基金份额的申购费用由申购本基金A类基金份额的投资人承担，主要用于本基金的市场推广、销售、登记等各项费用，不列入基金财产。C类基金份额不收取申购费用。  </w:t>
      </w:r>
    </w:p>
    <w:p w14:paraId="2E426BCC">
      <w:pPr>
        <w:pStyle w:val="8"/>
        <w:spacing w:before="0" w:beforeAutospacing="0" w:after="0" w:afterAutospacing="0" w:line="360" w:lineRule="auto"/>
        <w:ind w:firstLine="420"/>
        <w:rPr>
          <w:sz w:val="21"/>
          <w:szCs w:val="21"/>
        </w:rPr>
      </w:pPr>
      <w:r>
        <w:rPr>
          <w:rFonts w:hint="eastAsia"/>
          <w:sz w:val="21"/>
          <w:szCs w:val="21"/>
        </w:rPr>
        <w:t xml:space="preserve">2、赎回费率见下表：  </w:t>
      </w:r>
    </w:p>
    <w:p w14:paraId="4752127D">
      <w:pPr>
        <w:pStyle w:val="8"/>
        <w:spacing w:before="0" w:beforeAutospacing="0" w:after="0" w:afterAutospacing="0" w:line="360" w:lineRule="auto"/>
        <w:ind w:firstLine="420"/>
        <w:jc w:val="both"/>
        <w:rPr>
          <w:sz w:val="21"/>
          <w:szCs w:val="21"/>
        </w:rPr>
      </w:pPr>
      <w:r>
        <w:rPr>
          <w:rFonts w:hint="eastAsia"/>
          <w:sz w:val="21"/>
          <w:szCs w:val="21"/>
        </w:rPr>
        <w:t xml:space="preserve">表2：本基金的赎回费率    </w:t>
      </w:r>
    </w:p>
    <w:tbl>
      <w:tblPr>
        <w:tblStyle w:val="10"/>
        <w:tblW w:w="80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12"/>
        <w:gridCol w:w="2879"/>
        <w:gridCol w:w="2542"/>
      </w:tblGrid>
      <w:tr w14:paraId="40278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0" w:type="dxa"/>
            <w:shd w:val="clear" w:color="auto" w:fill="auto"/>
          </w:tcPr>
          <w:p w14:paraId="46138483">
            <w:pPr>
              <w:rPr>
                <w:rFonts w:ascii="宋体" w:hAnsi="宋体" w:eastAsia="宋体" w:cs="宋体"/>
                <w:sz w:val="24"/>
                <w:szCs w:val="24"/>
              </w:rPr>
            </w:pPr>
            <w:r>
              <w:rPr>
                <w:rFonts w:hint="eastAsia" w:ascii="宋体" w:hAnsi="宋体" w:eastAsia="宋体"/>
              </w:rPr>
              <w:t xml:space="preserve">持有期间（Y）    </w:t>
            </w:r>
          </w:p>
        </w:tc>
        <w:tc>
          <w:tcPr>
            <w:tcW w:w="3570" w:type="dxa"/>
            <w:shd w:val="clear" w:color="auto" w:fill="auto"/>
          </w:tcPr>
          <w:p w14:paraId="20CF5366">
            <w:pPr>
              <w:rPr>
                <w:rFonts w:ascii="宋体" w:hAnsi="宋体" w:eastAsia="宋体" w:cs="宋体"/>
                <w:sz w:val="24"/>
                <w:szCs w:val="24"/>
              </w:rPr>
            </w:pPr>
            <w:r>
              <w:rPr>
                <w:rFonts w:hint="eastAsia" w:ascii="宋体" w:hAnsi="宋体" w:eastAsia="宋体"/>
              </w:rPr>
              <w:t xml:space="preserve">A类基金份额赎回费率    </w:t>
            </w:r>
          </w:p>
        </w:tc>
        <w:tc>
          <w:tcPr>
            <w:tcW w:w="3270" w:type="dxa"/>
            <w:shd w:val="clear" w:color="auto" w:fill="auto"/>
          </w:tcPr>
          <w:p w14:paraId="0F66AEA8">
            <w:pPr>
              <w:rPr>
                <w:rFonts w:ascii="宋体" w:hAnsi="宋体" w:eastAsia="宋体" w:cs="宋体"/>
                <w:sz w:val="24"/>
                <w:szCs w:val="24"/>
              </w:rPr>
            </w:pPr>
            <w:r>
              <w:rPr>
                <w:rFonts w:hint="eastAsia" w:ascii="宋体" w:hAnsi="宋体" w:eastAsia="宋体"/>
              </w:rPr>
              <w:t xml:space="preserve">C类基金份额赎回费率  </w:t>
            </w:r>
          </w:p>
        </w:tc>
      </w:tr>
      <w:tr w14:paraId="5D142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0" w:type="dxa"/>
            <w:shd w:val="clear" w:color="auto" w:fill="auto"/>
          </w:tcPr>
          <w:p w14:paraId="54D4EF69">
            <w:pPr>
              <w:rPr>
                <w:rFonts w:ascii="宋体" w:hAnsi="宋体" w:eastAsia="宋体" w:cs="宋体"/>
                <w:sz w:val="24"/>
                <w:szCs w:val="24"/>
              </w:rPr>
            </w:pPr>
            <w:r>
              <w:rPr>
                <w:rFonts w:hint="eastAsia" w:ascii="宋体" w:hAnsi="宋体" w:eastAsia="宋体"/>
              </w:rPr>
              <w:t xml:space="preserve">0≤Y＜7日    </w:t>
            </w:r>
          </w:p>
        </w:tc>
        <w:tc>
          <w:tcPr>
            <w:tcW w:w="3570" w:type="dxa"/>
            <w:shd w:val="clear" w:color="auto" w:fill="auto"/>
          </w:tcPr>
          <w:p w14:paraId="4B65BDA7">
            <w:pPr>
              <w:rPr>
                <w:rFonts w:ascii="宋体" w:hAnsi="宋体" w:eastAsia="宋体" w:cs="宋体"/>
                <w:sz w:val="24"/>
                <w:szCs w:val="24"/>
              </w:rPr>
            </w:pPr>
            <w:r>
              <w:rPr>
                <w:rFonts w:hint="eastAsia" w:ascii="宋体" w:hAnsi="宋体" w:eastAsia="宋体"/>
              </w:rPr>
              <w:t xml:space="preserve">1.50%    </w:t>
            </w:r>
          </w:p>
        </w:tc>
        <w:tc>
          <w:tcPr>
            <w:tcW w:w="3270" w:type="dxa"/>
            <w:shd w:val="clear" w:color="auto" w:fill="auto"/>
          </w:tcPr>
          <w:p w14:paraId="38EC90A5">
            <w:pPr>
              <w:rPr>
                <w:rFonts w:ascii="宋体" w:hAnsi="宋体" w:eastAsia="宋体" w:cs="宋体"/>
                <w:sz w:val="24"/>
                <w:szCs w:val="24"/>
              </w:rPr>
            </w:pPr>
            <w:r>
              <w:rPr>
                <w:rFonts w:hint="eastAsia" w:ascii="宋体" w:hAnsi="宋体" w:eastAsia="宋体"/>
              </w:rPr>
              <w:t xml:space="preserve">1.50%  </w:t>
            </w:r>
          </w:p>
        </w:tc>
      </w:tr>
      <w:tr w14:paraId="7C7C6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0" w:type="dxa"/>
            <w:shd w:val="clear" w:color="auto" w:fill="auto"/>
          </w:tcPr>
          <w:p w14:paraId="3CE89567">
            <w:pPr>
              <w:rPr>
                <w:rFonts w:ascii="宋体" w:hAnsi="宋体" w:eastAsia="宋体" w:cs="宋体"/>
                <w:sz w:val="24"/>
                <w:szCs w:val="24"/>
              </w:rPr>
            </w:pPr>
            <w:r>
              <w:rPr>
                <w:rFonts w:hint="eastAsia" w:ascii="宋体" w:hAnsi="宋体" w:eastAsia="宋体"/>
              </w:rPr>
              <w:t xml:space="preserve">7日≤Y＜6个月    </w:t>
            </w:r>
          </w:p>
        </w:tc>
        <w:tc>
          <w:tcPr>
            <w:tcW w:w="3570" w:type="dxa"/>
            <w:shd w:val="clear" w:color="auto" w:fill="auto"/>
          </w:tcPr>
          <w:p w14:paraId="08E26327">
            <w:pPr>
              <w:rPr>
                <w:rFonts w:ascii="宋体" w:hAnsi="宋体" w:eastAsia="宋体" w:cs="宋体"/>
                <w:sz w:val="24"/>
                <w:szCs w:val="24"/>
              </w:rPr>
            </w:pPr>
            <w:r>
              <w:rPr>
                <w:rFonts w:hint="eastAsia" w:ascii="宋体" w:hAnsi="宋体" w:eastAsia="宋体"/>
              </w:rPr>
              <w:t xml:space="preserve">0.10%    </w:t>
            </w:r>
          </w:p>
        </w:tc>
        <w:tc>
          <w:tcPr>
            <w:tcW w:w="3270" w:type="dxa"/>
            <w:vMerge w:val="restart"/>
            <w:shd w:val="clear" w:color="auto" w:fill="auto"/>
          </w:tcPr>
          <w:p w14:paraId="308BF3E9">
            <w:pPr>
              <w:rPr>
                <w:rFonts w:ascii="宋体" w:hAnsi="宋体" w:eastAsia="宋体" w:cs="宋体"/>
                <w:sz w:val="24"/>
                <w:szCs w:val="24"/>
              </w:rPr>
            </w:pPr>
            <w:r>
              <w:rPr>
                <w:rFonts w:hint="eastAsia" w:ascii="宋体" w:hAnsi="宋体" w:eastAsia="宋体"/>
              </w:rPr>
              <w:t xml:space="preserve">0  </w:t>
            </w:r>
          </w:p>
        </w:tc>
      </w:tr>
      <w:tr w14:paraId="682D6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0" w:type="dxa"/>
            <w:shd w:val="clear" w:color="auto" w:fill="auto"/>
          </w:tcPr>
          <w:p w14:paraId="18F045D0">
            <w:pPr>
              <w:rPr>
                <w:rFonts w:ascii="宋体" w:hAnsi="宋体" w:eastAsia="宋体" w:cs="宋体"/>
                <w:sz w:val="24"/>
                <w:szCs w:val="24"/>
              </w:rPr>
            </w:pPr>
            <w:r>
              <w:rPr>
                <w:rFonts w:hint="eastAsia" w:ascii="宋体" w:hAnsi="宋体" w:eastAsia="宋体"/>
              </w:rPr>
              <w:t xml:space="preserve">Y≥6个月    </w:t>
            </w:r>
          </w:p>
        </w:tc>
        <w:tc>
          <w:tcPr>
            <w:tcW w:w="3570" w:type="dxa"/>
            <w:shd w:val="clear" w:color="auto" w:fill="auto"/>
          </w:tcPr>
          <w:p w14:paraId="23B6F5D1">
            <w:pPr>
              <w:rPr>
                <w:rFonts w:ascii="宋体" w:hAnsi="宋体" w:eastAsia="宋体" w:cs="宋体"/>
                <w:sz w:val="24"/>
                <w:szCs w:val="24"/>
              </w:rPr>
            </w:pPr>
            <w:r>
              <w:rPr>
                <w:rFonts w:hint="eastAsia" w:ascii="宋体" w:hAnsi="宋体" w:eastAsia="宋体"/>
              </w:rPr>
              <w:t xml:space="preserve">0%    </w:t>
            </w:r>
          </w:p>
        </w:tc>
        <w:tc>
          <w:tcPr>
            <w:tcW w:w="0" w:type="auto"/>
            <w:vMerge w:val="continue"/>
            <w:shd w:val="clear" w:color="auto" w:fill="auto"/>
          </w:tcPr>
          <w:p w14:paraId="6B05E6C0">
            <w:pPr>
              <w:rPr>
                <w:rFonts w:ascii="宋体" w:hAnsi="宋体" w:eastAsia="宋体" w:cs="宋体"/>
                <w:sz w:val="24"/>
                <w:szCs w:val="24"/>
              </w:rPr>
            </w:pPr>
          </w:p>
        </w:tc>
      </w:tr>
    </w:tbl>
    <w:p w14:paraId="4436A7DC">
      <w:pPr>
        <w:pStyle w:val="8"/>
        <w:spacing w:before="0" w:beforeAutospacing="0" w:after="0" w:afterAutospacing="0" w:line="360" w:lineRule="auto"/>
        <w:ind w:firstLine="420"/>
        <w:rPr>
          <w:sz w:val="21"/>
          <w:szCs w:val="21"/>
        </w:rPr>
      </w:pPr>
      <w:r>
        <w:rPr>
          <w:rFonts w:hint="eastAsia"/>
          <w:sz w:val="21"/>
          <w:szCs w:val="21"/>
        </w:rPr>
        <w:t xml:space="preserve">注：1月指30日   </w:t>
      </w:r>
    </w:p>
    <w:p w14:paraId="0135FB86">
      <w:pPr>
        <w:pStyle w:val="8"/>
        <w:spacing w:before="0" w:beforeAutospacing="0" w:after="0" w:afterAutospacing="0" w:line="360" w:lineRule="auto"/>
        <w:ind w:firstLine="420"/>
        <w:jc w:val="both"/>
        <w:rPr>
          <w:sz w:val="21"/>
          <w:szCs w:val="21"/>
        </w:rPr>
      </w:pPr>
      <w:r>
        <w:rPr>
          <w:rFonts w:hint="eastAsia"/>
          <w:sz w:val="21"/>
          <w:szCs w:val="21"/>
        </w:rPr>
        <w:t xml:space="preserve">本基金的赎回费用由赎回基金份额的基金份额持有人承担，在基金份额持有人赎回基金份额时收取。对于A类基金份额，本基金对持续持有期少于7日的投资者收取的赎回费全额计入基金财产；对持续持有期大于等于7日但少于6个月的投资者收取的赎回费中，不低于赎回费总额的25%计入基金财产，其余用于支付登记费和其他必要的手续费。对于C类基金份额，对持续持有期少于7日的投资者收取的赎回费，全额计入基金财产。  </w:t>
      </w:r>
    </w:p>
    <w:p w14:paraId="37458621">
      <w:pPr>
        <w:pStyle w:val="8"/>
        <w:spacing w:before="0" w:beforeAutospacing="0" w:after="0" w:afterAutospacing="0" w:line="360" w:lineRule="auto"/>
        <w:ind w:firstLine="420"/>
        <w:jc w:val="both"/>
        <w:rPr>
          <w:sz w:val="21"/>
          <w:szCs w:val="21"/>
        </w:rPr>
      </w:pPr>
      <w:r>
        <w:rPr>
          <w:rFonts w:hint="eastAsia"/>
          <w:sz w:val="21"/>
          <w:szCs w:val="21"/>
        </w:rPr>
        <w:t>对于每份申购份额，持有期指自该基金份额申购确认日至赎回确认日（不含该日）。</w:t>
      </w:r>
    </w:p>
    <w:p w14:paraId="75FB7B7C">
      <w:pPr>
        <w:pStyle w:val="8"/>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3、基金管理人可以在基金合同约定的范围内调整费率或收费方式，并依照《信息披露办法》的有关规定进行公告。 </w:t>
      </w:r>
    </w:p>
    <w:p w14:paraId="45E3EB13">
      <w:pPr>
        <w:pStyle w:val="8"/>
        <w:spacing w:before="0" w:beforeAutospacing="0" w:after="0" w:afterAutospacing="0" w:line="360" w:lineRule="auto"/>
        <w:ind w:firstLine="420"/>
        <w:rPr>
          <w:sz w:val="21"/>
          <w:szCs w:val="21"/>
        </w:rPr>
      </w:pPr>
      <w:r>
        <w:rPr>
          <w:rFonts w:hint="eastAsia"/>
          <w:b/>
          <w:bCs/>
          <w:sz w:val="21"/>
          <w:szCs w:val="21"/>
        </w:rPr>
        <w:t>七、申购份额与赎回金额的计算方式</w:t>
      </w:r>
    </w:p>
    <w:p w14:paraId="0AE7C345">
      <w:pPr>
        <w:pStyle w:val="8"/>
        <w:spacing w:before="0" w:beforeAutospacing="0" w:after="0" w:afterAutospacing="0" w:line="360" w:lineRule="auto"/>
        <w:ind w:firstLine="420"/>
        <w:rPr>
          <w:sz w:val="21"/>
          <w:szCs w:val="21"/>
        </w:rPr>
      </w:pPr>
      <w:r>
        <w:rPr>
          <w:rFonts w:hint="eastAsia"/>
          <w:sz w:val="21"/>
          <w:szCs w:val="21"/>
        </w:rPr>
        <w:t xml:space="preserve">1、申购金额的计算方式：  </w:t>
      </w:r>
    </w:p>
    <w:p w14:paraId="0E047EF9">
      <w:pPr>
        <w:pStyle w:val="8"/>
        <w:spacing w:before="0" w:beforeAutospacing="0" w:after="0" w:afterAutospacing="0" w:line="360" w:lineRule="auto"/>
        <w:ind w:firstLine="420"/>
        <w:rPr>
          <w:sz w:val="21"/>
          <w:szCs w:val="21"/>
        </w:rPr>
      </w:pPr>
      <w:r>
        <w:rPr>
          <w:rFonts w:hint="eastAsia"/>
          <w:sz w:val="21"/>
          <w:szCs w:val="21"/>
        </w:rPr>
        <w:t xml:space="preserve">（1）A类基金份额  </w:t>
      </w:r>
    </w:p>
    <w:p w14:paraId="037F13E4">
      <w:pPr>
        <w:pStyle w:val="8"/>
        <w:spacing w:before="0" w:beforeAutospacing="0" w:after="0" w:afterAutospacing="0" w:line="360" w:lineRule="auto"/>
        <w:ind w:firstLine="420"/>
        <w:rPr>
          <w:sz w:val="21"/>
          <w:szCs w:val="21"/>
        </w:rPr>
      </w:pPr>
      <w:r>
        <w:rPr>
          <w:rFonts w:hint="eastAsia"/>
          <w:sz w:val="21"/>
          <w:szCs w:val="21"/>
        </w:rPr>
        <w:t xml:space="preserve">1）申购费用适用比例费率的情形下：  </w:t>
      </w:r>
    </w:p>
    <w:p w14:paraId="1F4D2601">
      <w:pPr>
        <w:pStyle w:val="8"/>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47E782E0">
      <w:pPr>
        <w:pStyle w:val="8"/>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5347AEFB">
      <w:pPr>
        <w:pStyle w:val="8"/>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64DA660F">
      <w:pPr>
        <w:pStyle w:val="8"/>
        <w:spacing w:before="0" w:beforeAutospacing="0" w:after="0" w:afterAutospacing="0" w:line="360" w:lineRule="auto"/>
        <w:ind w:firstLine="420"/>
        <w:rPr>
          <w:sz w:val="21"/>
          <w:szCs w:val="21"/>
        </w:rPr>
      </w:pPr>
      <w:r>
        <w:rPr>
          <w:rFonts w:hint="eastAsia"/>
          <w:sz w:val="21"/>
          <w:szCs w:val="21"/>
        </w:rPr>
        <w:t xml:space="preserve">2）申购费用适用固定金额的情形下：  </w:t>
      </w:r>
    </w:p>
    <w:p w14:paraId="685B04B8">
      <w:pPr>
        <w:pStyle w:val="8"/>
        <w:spacing w:before="0" w:beforeAutospacing="0" w:after="0" w:afterAutospacing="0" w:line="360" w:lineRule="auto"/>
        <w:ind w:firstLine="420"/>
        <w:rPr>
          <w:sz w:val="21"/>
          <w:szCs w:val="21"/>
        </w:rPr>
      </w:pPr>
      <w:r>
        <w:rPr>
          <w:rFonts w:hint="eastAsia"/>
          <w:sz w:val="21"/>
          <w:szCs w:val="21"/>
        </w:rPr>
        <w:t xml:space="preserve">申购费用=固定金额    </w:t>
      </w:r>
    </w:p>
    <w:p w14:paraId="4B876ECD">
      <w:pPr>
        <w:pStyle w:val="8"/>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24C2312F">
      <w:pPr>
        <w:pStyle w:val="8"/>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66E7CD36">
      <w:pPr>
        <w:pStyle w:val="8"/>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624B0D6E">
      <w:pPr>
        <w:pStyle w:val="8"/>
        <w:spacing w:before="0" w:beforeAutospacing="0" w:after="0" w:afterAutospacing="0" w:line="360" w:lineRule="auto"/>
        <w:ind w:firstLine="420"/>
        <w:rPr>
          <w:sz w:val="21"/>
          <w:szCs w:val="21"/>
        </w:rPr>
      </w:pPr>
      <w:r>
        <w:rPr>
          <w:rFonts w:hint="eastAsia"/>
          <w:sz w:val="21"/>
          <w:szCs w:val="21"/>
        </w:rPr>
        <w:t xml:space="preserve"> 例1：假定T日A类基金份额净值为1.0560元，某投资人本次申购本基金A类基金份额40万元，对应的本次申购费率为0.80%，该投资人可得到的A类基金份额为：  </w:t>
      </w:r>
    </w:p>
    <w:p w14:paraId="2270C28F">
      <w:pPr>
        <w:pStyle w:val="8"/>
        <w:spacing w:before="0" w:beforeAutospacing="0" w:after="0" w:afterAutospacing="0" w:line="360" w:lineRule="auto"/>
        <w:ind w:firstLine="420"/>
        <w:rPr>
          <w:sz w:val="21"/>
          <w:szCs w:val="21"/>
        </w:rPr>
      </w:pPr>
      <w:r>
        <w:rPr>
          <w:rFonts w:hint="eastAsia"/>
          <w:sz w:val="21"/>
          <w:szCs w:val="21"/>
        </w:rPr>
        <w:t xml:space="preserve">净申购金额=400,000/（1+0.80%）＝396,825.40元    </w:t>
      </w:r>
    </w:p>
    <w:p w14:paraId="48E2EC4D">
      <w:pPr>
        <w:pStyle w:val="8"/>
        <w:spacing w:before="0" w:beforeAutospacing="0" w:after="0" w:afterAutospacing="0" w:line="360" w:lineRule="auto"/>
        <w:ind w:firstLine="420"/>
        <w:rPr>
          <w:sz w:val="21"/>
          <w:szCs w:val="21"/>
        </w:rPr>
      </w:pPr>
      <w:r>
        <w:rPr>
          <w:rFonts w:hint="eastAsia"/>
          <w:sz w:val="21"/>
          <w:szCs w:val="21"/>
        </w:rPr>
        <w:t xml:space="preserve">申购费用=400,000-396,825.40＝3,174.60元    </w:t>
      </w:r>
    </w:p>
    <w:p w14:paraId="1F2019E1">
      <w:pPr>
        <w:pStyle w:val="8"/>
        <w:spacing w:before="0" w:beforeAutospacing="0" w:after="0" w:afterAutospacing="0" w:line="360" w:lineRule="auto"/>
        <w:ind w:firstLine="420"/>
        <w:rPr>
          <w:sz w:val="21"/>
          <w:szCs w:val="21"/>
        </w:rPr>
      </w:pPr>
      <w:r>
        <w:rPr>
          <w:rFonts w:hint="eastAsia"/>
          <w:sz w:val="21"/>
          <w:szCs w:val="21"/>
        </w:rPr>
        <w:t xml:space="preserve">申购份额=396,825.40/1.0560＝375,781.63份    </w:t>
      </w:r>
    </w:p>
    <w:p w14:paraId="74C08C7A">
      <w:pPr>
        <w:pStyle w:val="8"/>
        <w:spacing w:before="0" w:beforeAutospacing="0" w:after="0" w:afterAutospacing="0" w:line="360" w:lineRule="auto"/>
        <w:ind w:firstLine="420"/>
        <w:rPr>
          <w:sz w:val="21"/>
          <w:szCs w:val="21"/>
        </w:rPr>
      </w:pPr>
      <w:r>
        <w:rPr>
          <w:rFonts w:hint="eastAsia"/>
          <w:sz w:val="21"/>
          <w:szCs w:val="21"/>
        </w:rPr>
        <w:t xml:space="preserve">即：投资人投资40万元申购本基金A类基金份额，假定申购当日A类基金份额净值为1.0560元，可得到375,781.63份A类基金份额。    </w:t>
      </w:r>
    </w:p>
    <w:p w14:paraId="427C22E0">
      <w:pPr>
        <w:pStyle w:val="8"/>
        <w:spacing w:before="0" w:beforeAutospacing="0" w:after="0" w:afterAutospacing="0" w:line="360" w:lineRule="auto"/>
        <w:ind w:firstLine="420"/>
        <w:rPr>
          <w:sz w:val="21"/>
          <w:szCs w:val="21"/>
        </w:rPr>
      </w:pPr>
      <w:r>
        <w:rPr>
          <w:rFonts w:hint="eastAsia"/>
          <w:sz w:val="21"/>
          <w:szCs w:val="21"/>
        </w:rPr>
        <w:t xml:space="preserve">例2：假定T日A类基金份额净值为1.0560元，某投资人投资600万元申购本基金A类基金份额，其对应的申购费用为1000元，则其可得到的申购份额为：    </w:t>
      </w:r>
    </w:p>
    <w:p w14:paraId="19DC4FC5">
      <w:pPr>
        <w:pStyle w:val="8"/>
        <w:spacing w:before="0" w:beforeAutospacing="0" w:after="0" w:afterAutospacing="0" w:line="360" w:lineRule="auto"/>
        <w:ind w:firstLine="420"/>
        <w:rPr>
          <w:sz w:val="21"/>
          <w:szCs w:val="21"/>
        </w:rPr>
      </w:pPr>
      <w:r>
        <w:rPr>
          <w:rFonts w:hint="eastAsia"/>
          <w:sz w:val="21"/>
          <w:szCs w:val="21"/>
        </w:rPr>
        <w:t xml:space="preserve">申购费用＝1000.00元    </w:t>
      </w:r>
    </w:p>
    <w:p w14:paraId="3D0DAC3D">
      <w:pPr>
        <w:pStyle w:val="8"/>
        <w:spacing w:before="0" w:beforeAutospacing="0" w:after="0" w:afterAutospacing="0" w:line="360" w:lineRule="auto"/>
        <w:ind w:firstLine="420"/>
        <w:rPr>
          <w:sz w:val="21"/>
          <w:szCs w:val="21"/>
        </w:rPr>
      </w:pPr>
      <w:r>
        <w:rPr>
          <w:rFonts w:hint="eastAsia"/>
          <w:sz w:val="21"/>
          <w:szCs w:val="21"/>
        </w:rPr>
        <w:t xml:space="preserve">净申购金额＝6,000,000－1000＝5,999,000.00元    </w:t>
      </w:r>
    </w:p>
    <w:p w14:paraId="4B3BFE79">
      <w:pPr>
        <w:pStyle w:val="8"/>
        <w:spacing w:before="0" w:beforeAutospacing="0" w:after="0" w:afterAutospacing="0" w:line="360" w:lineRule="auto"/>
        <w:ind w:firstLine="420"/>
        <w:rPr>
          <w:sz w:val="21"/>
          <w:szCs w:val="21"/>
        </w:rPr>
      </w:pPr>
      <w:r>
        <w:rPr>
          <w:rFonts w:hint="eastAsia"/>
          <w:sz w:val="21"/>
          <w:szCs w:val="21"/>
        </w:rPr>
        <w:t xml:space="preserve">申购份额＝5,999,000.00/1.0560＝5,680,871.21份  </w:t>
      </w:r>
    </w:p>
    <w:p w14:paraId="71BD8F7D">
      <w:pPr>
        <w:pStyle w:val="8"/>
        <w:spacing w:before="0" w:beforeAutospacing="0" w:after="0" w:afterAutospacing="0" w:line="360" w:lineRule="auto"/>
        <w:ind w:firstLine="420"/>
        <w:rPr>
          <w:sz w:val="21"/>
          <w:szCs w:val="21"/>
        </w:rPr>
      </w:pPr>
      <w:r>
        <w:rPr>
          <w:rFonts w:hint="eastAsia"/>
          <w:sz w:val="21"/>
          <w:szCs w:val="21"/>
        </w:rPr>
        <w:t xml:space="preserve">即，投资人投资600万元申购本基金A类基金份额，假定申购当日A类基金份额净值为1.0560元，可得到5,680,871.21份A类基金份额。  </w:t>
      </w:r>
    </w:p>
    <w:p w14:paraId="2AEA870E">
      <w:pPr>
        <w:pStyle w:val="8"/>
        <w:spacing w:before="0" w:beforeAutospacing="0" w:after="0" w:afterAutospacing="0" w:line="360" w:lineRule="auto"/>
        <w:ind w:firstLine="420"/>
        <w:rPr>
          <w:sz w:val="21"/>
          <w:szCs w:val="21"/>
        </w:rPr>
      </w:pPr>
      <w:r>
        <w:rPr>
          <w:rFonts w:hint="eastAsia"/>
          <w:sz w:val="21"/>
          <w:szCs w:val="21"/>
        </w:rPr>
        <w:t xml:space="preserve">（2）C类基金份额  </w:t>
      </w:r>
    </w:p>
    <w:p w14:paraId="2765FCAE">
      <w:pPr>
        <w:pStyle w:val="8"/>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47E256DA">
      <w:pPr>
        <w:pStyle w:val="8"/>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67195465">
      <w:pPr>
        <w:pStyle w:val="8"/>
        <w:spacing w:before="0" w:beforeAutospacing="0" w:after="0" w:afterAutospacing="0" w:line="360" w:lineRule="auto"/>
        <w:ind w:firstLine="420"/>
        <w:rPr>
          <w:sz w:val="21"/>
          <w:szCs w:val="21"/>
        </w:rPr>
      </w:pPr>
      <w:r>
        <w:rPr>
          <w:rFonts w:hint="eastAsia"/>
          <w:sz w:val="21"/>
          <w:szCs w:val="21"/>
        </w:rPr>
        <w:t xml:space="preserve">例3：假设某投资者投资10万元申购本基金C类基金份额，申购当日本基金C类基金份额净值为1.0600元，则可得到的申购份额为： </w:t>
      </w:r>
    </w:p>
    <w:p w14:paraId="5391D331">
      <w:pPr>
        <w:pStyle w:val="8"/>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09791F71">
      <w:pPr>
        <w:pStyle w:val="8"/>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35BC7AB6">
      <w:pPr>
        <w:pStyle w:val="8"/>
        <w:spacing w:before="0" w:beforeAutospacing="0" w:after="0" w:afterAutospacing="0" w:line="360" w:lineRule="auto"/>
        <w:ind w:firstLine="420"/>
        <w:rPr>
          <w:sz w:val="21"/>
          <w:szCs w:val="21"/>
        </w:rPr>
      </w:pPr>
      <w:r>
        <w:rPr>
          <w:rFonts w:hint="eastAsia"/>
          <w:sz w:val="21"/>
          <w:szCs w:val="21"/>
        </w:rPr>
        <w:t xml:space="preserve">2、赎回金额的计算方式：  </w:t>
      </w:r>
    </w:p>
    <w:p w14:paraId="084A7AFB">
      <w:pPr>
        <w:pStyle w:val="8"/>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14:paraId="429C5F8B">
      <w:pPr>
        <w:pStyle w:val="8"/>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124B6B2B">
      <w:pPr>
        <w:pStyle w:val="8"/>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60807769">
      <w:pPr>
        <w:pStyle w:val="8"/>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731E2C75">
      <w:pPr>
        <w:pStyle w:val="8"/>
        <w:spacing w:before="0" w:beforeAutospacing="0" w:after="0" w:afterAutospacing="0" w:line="360" w:lineRule="auto"/>
        <w:ind w:firstLine="420"/>
        <w:rPr>
          <w:sz w:val="21"/>
          <w:szCs w:val="21"/>
        </w:rPr>
      </w:pPr>
      <w:r>
        <w:rPr>
          <w:rFonts w:hint="eastAsia"/>
          <w:sz w:val="21"/>
          <w:szCs w:val="21"/>
        </w:rPr>
        <w:t xml:space="preserve">例4：某投资者赎回本基金1万份A类基金份额，持有时间为三年，对应的赎回费率为0%，假设赎回当日A类基金份额净值是1.2500元，则其可得到的赎回金额为：    </w:t>
      </w:r>
    </w:p>
    <w:p w14:paraId="079D0845">
      <w:pPr>
        <w:pStyle w:val="8"/>
        <w:spacing w:before="0" w:beforeAutospacing="0" w:after="0" w:afterAutospacing="0" w:line="360" w:lineRule="auto"/>
        <w:ind w:firstLine="420"/>
        <w:rPr>
          <w:sz w:val="21"/>
          <w:szCs w:val="21"/>
        </w:rPr>
      </w:pPr>
      <w:r>
        <w:rPr>
          <w:rFonts w:hint="eastAsia"/>
          <w:sz w:val="21"/>
          <w:szCs w:val="21"/>
        </w:rPr>
        <w:t xml:space="preserve">赎回总金额=10,000×1.2500=12,500.00 元    </w:t>
      </w:r>
    </w:p>
    <w:p w14:paraId="1A011B71">
      <w:pPr>
        <w:pStyle w:val="8"/>
        <w:spacing w:before="0" w:beforeAutospacing="0" w:after="0" w:afterAutospacing="0" w:line="360" w:lineRule="auto"/>
        <w:ind w:firstLine="420"/>
        <w:rPr>
          <w:sz w:val="21"/>
          <w:szCs w:val="21"/>
        </w:rPr>
      </w:pPr>
      <w:r>
        <w:rPr>
          <w:rFonts w:hint="eastAsia"/>
          <w:sz w:val="21"/>
          <w:szCs w:val="21"/>
        </w:rPr>
        <w:t xml:space="preserve">赎回费用=12,500.00×0%=0.00 元    </w:t>
      </w:r>
    </w:p>
    <w:p w14:paraId="1A0D4E40">
      <w:pPr>
        <w:pStyle w:val="8"/>
        <w:spacing w:before="0" w:beforeAutospacing="0" w:after="0" w:afterAutospacing="0" w:line="360" w:lineRule="auto"/>
        <w:ind w:firstLine="420"/>
        <w:rPr>
          <w:sz w:val="21"/>
          <w:szCs w:val="21"/>
        </w:rPr>
      </w:pPr>
      <w:r>
        <w:rPr>
          <w:rFonts w:hint="eastAsia"/>
          <w:sz w:val="21"/>
          <w:szCs w:val="21"/>
        </w:rPr>
        <w:t xml:space="preserve">净赎回金额=12,500.00-0=12,500.00 元    </w:t>
      </w:r>
    </w:p>
    <w:p w14:paraId="09A8B470">
      <w:pPr>
        <w:pStyle w:val="8"/>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即：投资者赎回本基金1万份A类基金份额，持有时间为三年，假设赎回当日A类基金份额净值是1.2500元，则其可得到的赎回金额为12,500.00元。    </w:t>
      </w:r>
    </w:p>
    <w:p w14:paraId="44D3D98B">
      <w:pPr>
        <w:pStyle w:val="8"/>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按照基金合同约定公告。遇特殊情况，经中国证监会同意，可以适当延迟计算或公告。  </w:t>
      </w:r>
    </w:p>
    <w:p w14:paraId="714BBA5B">
      <w:pPr>
        <w:pStyle w:val="8"/>
        <w:spacing w:before="0" w:beforeAutospacing="0" w:after="0" w:afterAutospacing="0" w:line="360" w:lineRule="auto"/>
        <w:ind w:firstLine="420"/>
        <w:rPr>
          <w:sz w:val="21"/>
          <w:szCs w:val="21"/>
        </w:rPr>
      </w:pPr>
      <w:r>
        <w:rPr>
          <w:rFonts w:hint="eastAsia"/>
          <w:sz w:val="21"/>
          <w:szCs w:val="21"/>
        </w:rPr>
        <w:t xml:space="preserve">4、基金管理人可以在不违背法律法规规定及《基金合同》约定的情形下根据市场情况制定基金促销计划，定期或不定期地开展基金促销活动。在基金促销活动期间，按相关监管部门要求履行必要手续后，基金管理人可以适当调低基金申购费率、基金赎回费率和销售服务费率，并进行公告。  </w:t>
      </w:r>
    </w:p>
    <w:p w14:paraId="156FEAC5">
      <w:pPr>
        <w:pStyle w:val="8"/>
        <w:spacing w:before="0" w:beforeAutospacing="0" w:after="0" w:afterAutospacing="0" w:line="360" w:lineRule="auto"/>
        <w:ind w:firstLine="420"/>
        <w:rPr>
          <w:sz w:val="21"/>
          <w:szCs w:val="21"/>
        </w:rPr>
      </w:pPr>
      <w:r>
        <w:rPr>
          <w:rFonts w:hint="eastAsia"/>
          <w:b/>
          <w:bCs/>
          <w:sz w:val="21"/>
          <w:szCs w:val="21"/>
        </w:rPr>
        <w:t>八、申购与赎回的登记</w:t>
      </w:r>
    </w:p>
    <w:p w14:paraId="68BD8C08">
      <w:pPr>
        <w:pStyle w:val="8"/>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55E450FC">
      <w:pPr>
        <w:pStyle w:val="8"/>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14:paraId="14676609">
      <w:pPr>
        <w:pStyle w:val="8"/>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14:paraId="4CFCCB32">
      <w:pPr>
        <w:pStyle w:val="8"/>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146D3F09">
      <w:pPr>
        <w:pStyle w:val="8"/>
        <w:spacing w:before="0" w:beforeAutospacing="0" w:after="0" w:afterAutospacing="0" w:line="360" w:lineRule="auto"/>
        <w:ind w:firstLine="420"/>
        <w:rPr>
          <w:sz w:val="21"/>
          <w:szCs w:val="21"/>
        </w:rPr>
      </w:pPr>
      <w:r>
        <w:rPr>
          <w:rFonts w:hint="eastAsia"/>
          <w:b/>
          <w:bCs/>
          <w:sz w:val="21"/>
          <w:szCs w:val="21"/>
        </w:rPr>
        <w:t>九、拒绝或暂停申购的情形及处理</w:t>
      </w:r>
    </w:p>
    <w:p w14:paraId="0D7FC35D">
      <w:pPr>
        <w:pStyle w:val="8"/>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17C369CA">
      <w:pPr>
        <w:pStyle w:val="8"/>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612CCCA6">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582226A7">
      <w:pPr>
        <w:pStyle w:val="8"/>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14:paraId="7AF72A08">
      <w:pPr>
        <w:pStyle w:val="8"/>
        <w:spacing w:before="0" w:beforeAutospacing="0" w:after="0" w:afterAutospacing="0" w:line="360" w:lineRule="auto"/>
        <w:ind w:firstLine="420"/>
        <w:rPr>
          <w:sz w:val="21"/>
          <w:szCs w:val="21"/>
        </w:rPr>
      </w:pPr>
      <w:r>
        <w:rPr>
          <w:rFonts w:hint="eastAsia"/>
          <w:sz w:val="21"/>
          <w:szCs w:val="21"/>
        </w:rPr>
        <w:t xml:space="preserve">4、基金管理人认为接受某笔或某些申购申请可能会影响或损害现有基金份额持有人利益或对存量基金份额持有人利益构成潜在重大不利影响时。  </w:t>
      </w:r>
    </w:p>
    <w:p w14:paraId="0C81073C">
      <w:pPr>
        <w:pStyle w:val="8"/>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1D406398">
      <w:pPr>
        <w:pStyle w:val="8"/>
        <w:spacing w:before="0" w:beforeAutospacing="0" w:after="0" w:afterAutospacing="0" w:line="360" w:lineRule="auto"/>
        <w:ind w:firstLine="420"/>
        <w:rPr>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14:paraId="79BC49F5">
      <w:pPr>
        <w:pStyle w:val="8"/>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14:paraId="1D1C76B9">
      <w:pPr>
        <w:pStyle w:val="8"/>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8、基金管理人接受某笔或者某些申购申请有可能导致单一投资者持有基金份额的比例达到或者超过50%，或者变相规避50%集中度的情形时。  </w:t>
      </w:r>
    </w:p>
    <w:p w14:paraId="3B3A5C44">
      <w:pPr>
        <w:pStyle w:val="8"/>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496092C7">
      <w:pPr>
        <w:pStyle w:val="8"/>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拒绝或暂停申购申请时，基金管理人应当根据有关规定进行公告。如果投资人的申购申请被拒绝，被拒绝的申购款项本金将退还给投资人。在暂停申购的情况消除时，基金管理人应及时恢复申购业务的办理。 </w:t>
      </w:r>
    </w:p>
    <w:p w14:paraId="001545B8">
      <w:pPr>
        <w:pStyle w:val="8"/>
        <w:spacing w:before="0" w:beforeAutospacing="0" w:after="0" w:afterAutospacing="0" w:line="360" w:lineRule="auto"/>
        <w:ind w:firstLine="420"/>
        <w:rPr>
          <w:sz w:val="21"/>
          <w:szCs w:val="21"/>
        </w:rPr>
      </w:pPr>
      <w:r>
        <w:rPr>
          <w:rFonts w:hint="eastAsia"/>
          <w:b/>
          <w:bCs/>
          <w:sz w:val="21"/>
          <w:szCs w:val="21"/>
        </w:rPr>
        <w:t>十、暂停赎回或延缓支付赎回款项的情形  </w:t>
      </w:r>
    </w:p>
    <w:p w14:paraId="62844928">
      <w:pPr>
        <w:pStyle w:val="8"/>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6C9DD8E4">
      <w:pPr>
        <w:pStyle w:val="8"/>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53AA349E">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74A0B53D">
      <w:pPr>
        <w:pStyle w:val="8"/>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14:paraId="6B0D6450">
      <w:pPr>
        <w:pStyle w:val="8"/>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3D87EB00">
      <w:pPr>
        <w:pStyle w:val="8"/>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14:paraId="0F456AB6">
      <w:pPr>
        <w:pStyle w:val="8"/>
        <w:spacing w:before="0" w:beforeAutospacing="0" w:after="0" w:afterAutospacing="0" w:line="360" w:lineRule="auto"/>
        <w:ind w:firstLine="420"/>
        <w:rPr>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14:paraId="4CB840E9">
      <w:pPr>
        <w:pStyle w:val="8"/>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586014D0">
      <w:pPr>
        <w:pStyle w:val="8"/>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拒绝接受或暂停接受基金份额持有人的赎回申请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6B1B6225">
      <w:pPr>
        <w:pStyle w:val="8"/>
        <w:spacing w:before="0" w:beforeAutospacing="0" w:after="0" w:afterAutospacing="0" w:line="360" w:lineRule="auto"/>
        <w:ind w:firstLine="420"/>
        <w:rPr>
          <w:sz w:val="21"/>
          <w:szCs w:val="21"/>
        </w:rPr>
      </w:pPr>
      <w:r>
        <w:rPr>
          <w:rFonts w:hint="eastAsia"/>
          <w:b/>
          <w:bCs/>
          <w:sz w:val="21"/>
          <w:szCs w:val="21"/>
        </w:rPr>
        <w:t>十一、巨额赎回的情形及处理方式</w:t>
      </w:r>
    </w:p>
    <w:p w14:paraId="79FDE45B">
      <w:pPr>
        <w:pStyle w:val="8"/>
        <w:spacing w:before="0" w:beforeAutospacing="0" w:after="0" w:afterAutospacing="0" w:line="360" w:lineRule="auto"/>
        <w:ind w:firstLine="420"/>
        <w:rPr>
          <w:sz w:val="21"/>
          <w:szCs w:val="21"/>
        </w:rPr>
      </w:pPr>
      <w:r>
        <w:rPr>
          <w:rFonts w:hint="eastAsia"/>
          <w:sz w:val="21"/>
          <w:szCs w:val="21"/>
        </w:rPr>
        <w:t xml:space="preserve">1、巨额赎回的认定  </w:t>
      </w:r>
    </w:p>
    <w:p w14:paraId="435FEB00">
      <w:pPr>
        <w:pStyle w:val="8"/>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99" w:name="field_49_mintredeemscale_2"/>
      <w:r>
        <w:rPr>
          <w:sz w:val="21"/>
          <w:szCs w:val="21"/>
        </w:rPr>
        <w:t>10</w:t>
      </w:r>
      <w:bookmarkEnd w:id="99"/>
      <w:r>
        <w:rPr>
          <w:rFonts w:hint="eastAsia"/>
          <w:sz w:val="21"/>
          <w:szCs w:val="21"/>
        </w:rPr>
        <w:t xml:space="preserve">%，即认为是发生了巨额赎回。  </w:t>
      </w:r>
    </w:p>
    <w:p w14:paraId="5CB782E0">
      <w:pPr>
        <w:pStyle w:val="8"/>
        <w:spacing w:before="0" w:beforeAutospacing="0" w:after="0" w:afterAutospacing="0" w:line="360" w:lineRule="auto"/>
        <w:ind w:firstLine="420"/>
        <w:rPr>
          <w:sz w:val="21"/>
          <w:szCs w:val="21"/>
        </w:rPr>
      </w:pPr>
      <w:r>
        <w:rPr>
          <w:rFonts w:hint="eastAsia"/>
          <w:sz w:val="21"/>
          <w:szCs w:val="21"/>
        </w:rPr>
        <w:t xml:space="preserve">2、巨额赎回的处理方式  </w:t>
      </w:r>
    </w:p>
    <w:p w14:paraId="78C6484C">
      <w:pPr>
        <w:pStyle w:val="8"/>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1EDB269A">
      <w:pPr>
        <w:pStyle w:val="8"/>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42590346">
      <w:pPr>
        <w:pStyle w:val="8"/>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bookmarkStart w:id="100" w:name="field_49_mintredeemscale_3"/>
      <w:r>
        <w:rPr>
          <w:sz w:val="21"/>
          <w:szCs w:val="21"/>
        </w:rPr>
        <w:t>10</w:t>
      </w:r>
      <w:bookmarkEnd w:id="100"/>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  </w:t>
      </w:r>
    </w:p>
    <w:p w14:paraId="45D8F89F">
      <w:pPr>
        <w:pStyle w:val="8"/>
        <w:spacing w:before="0" w:beforeAutospacing="0" w:after="0" w:afterAutospacing="0" w:line="360" w:lineRule="auto"/>
        <w:ind w:firstLine="420"/>
        <w:rPr>
          <w:sz w:val="21"/>
          <w:szCs w:val="21"/>
        </w:rPr>
      </w:pPr>
      <w:r>
        <w:rPr>
          <w:rFonts w:hint="eastAsia"/>
          <w:sz w:val="21"/>
          <w:szCs w:val="21"/>
        </w:rPr>
        <w:t xml:space="preserve">（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071A1D33">
      <w:pPr>
        <w:pStyle w:val="8"/>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依据相关规定进行公告。  </w:t>
      </w:r>
    </w:p>
    <w:p w14:paraId="5DD5D9BA">
      <w:pPr>
        <w:pStyle w:val="8"/>
        <w:spacing w:before="0" w:beforeAutospacing="0" w:after="0" w:afterAutospacing="0" w:line="360" w:lineRule="auto"/>
        <w:ind w:firstLine="420"/>
        <w:rPr>
          <w:sz w:val="21"/>
          <w:szCs w:val="21"/>
        </w:rPr>
      </w:pPr>
      <w:r>
        <w:rPr>
          <w:rFonts w:hint="eastAsia"/>
          <w:sz w:val="21"/>
          <w:szCs w:val="21"/>
        </w:rPr>
        <w:t xml:space="preserve">3、巨额赎回的公告  </w:t>
      </w:r>
    </w:p>
    <w:p w14:paraId="007F0F07">
      <w:pPr>
        <w:pStyle w:val="8"/>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14:paraId="6EBC6F01">
      <w:pPr>
        <w:pStyle w:val="8"/>
        <w:spacing w:before="0" w:beforeAutospacing="0" w:after="0" w:afterAutospacing="0" w:line="360" w:lineRule="auto"/>
        <w:ind w:firstLine="420"/>
        <w:rPr>
          <w:sz w:val="21"/>
          <w:szCs w:val="21"/>
        </w:rPr>
      </w:pPr>
      <w:r>
        <w:rPr>
          <w:rFonts w:hint="eastAsia"/>
          <w:b/>
          <w:bCs/>
          <w:sz w:val="21"/>
          <w:szCs w:val="21"/>
        </w:rPr>
        <w:t>十二、暂停申购或赎回的公告和重新开放申购或赎回的公告</w:t>
      </w:r>
    </w:p>
    <w:p w14:paraId="76D9E082">
      <w:pPr>
        <w:pStyle w:val="8"/>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14:paraId="60238536">
      <w:pPr>
        <w:pStyle w:val="8"/>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2、如发生暂停的时间为1日，基金管理人应于重新开放日，在指定媒介上刊登基金重新开放申购或赎回公告，并公布最近1个开放日的各类基金份额净值。  </w:t>
      </w:r>
    </w:p>
    <w:p w14:paraId="0BB25FD4">
      <w:pPr>
        <w:pStyle w:val="8"/>
        <w:spacing w:before="0" w:beforeAutospacing="0" w:after="0" w:afterAutospacing="0" w:line="360" w:lineRule="auto"/>
        <w:ind w:firstLine="420"/>
        <w:rPr>
          <w:sz w:val="21"/>
          <w:szCs w:val="21"/>
        </w:rPr>
      </w:pPr>
      <w:r>
        <w:rPr>
          <w:rFonts w:hint="eastAsia"/>
          <w:sz w:val="21"/>
          <w:szCs w:val="21"/>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w:t>
      </w:r>
      <w:bookmarkStart w:id="101" w:name="chapter_level1_10_59_section_3_end"/>
      <w:bookmarkEnd w:id="101"/>
      <w:r>
        <w:rPr>
          <w:rFonts w:hint="eastAsia"/>
          <w:sz w:val="21"/>
          <w:szCs w:val="21"/>
        </w:rPr>
        <w:t xml:space="preserve">开放的公告。 </w:t>
      </w:r>
    </w:p>
    <w:p w14:paraId="3B23E998">
      <w:pPr>
        <w:pStyle w:val="8"/>
        <w:spacing w:before="0" w:beforeAutospacing="0" w:after="0" w:afterAutospacing="0" w:line="360" w:lineRule="auto"/>
        <w:ind w:firstLine="420"/>
        <w:rPr>
          <w:sz w:val="21"/>
          <w:szCs w:val="21"/>
        </w:rPr>
      </w:pPr>
      <w:bookmarkStart w:id="102" w:name="chapter_level1_10_59_section_4"/>
      <w:bookmarkEnd w:id="102"/>
      <w:r>
        <w:rPr>
          <w:rStyle w:val="12"/>
          <w:rFonts w:hint="eastAsia"/>
          <w:sz w:val="21"/>
          <w:szCs w:val="21"/>
        </w:rPr>
        <w:t>十三、基金转换</w:t>
      </w:r>
    </w:p>
    <w:p w14:paraId="497A0975">
      <w:pPr>
        <w:pStyle w:val="8"/>
        <w:spacing w:before="0" w:beforeAutospacing="0" w:after="0" w:afterAutospacing="0" w:line="360" w:lineRule="auto"/>
        <w:ind w:firstLine="420"/>
        <w:rPr>
          <w:sz w:val="21"/>
          <w:szCs w:val="21"/>
        </w:rPr>
      </w:pPr>
      <w:r>
        <w:rPr>
          <w:rFonts w:hint="eastAsia"/>
          <w:sz w:val="21"/>
          <w:szCs w:val="21"/>
        </w:rPr>
        <w:t>基金管理人可以根据相关法律法规以及基金合同的规定决定开办本基金与基金管理人管理的其他基金之间的转换业务，基金转换可以收取一定的转换费，相关规则由基金管理人</w:t>
      </w:r>
      <w:bookmarkStart w:id="103" w:name="chapter_level1_10_59_section_4_end"/>
      <w:bookmarkEnd w:id="103"/>
      <w:r>
        <w:rPr>
          <w:rFonts w:hint="eastAsia"/>
          <w:sz w:val="21"/>
          <w:szCs w:val="21"/>
        </w:rPr>
        <w:t xml:space="preserve">届时根据相关法律法规及基金合同的规定制定并公告，并提前告知基金托管人与相关机构。 </w:t>
      </w:r>
    </w:p>
    <w:p w14:paraId="5197DC1F">
      <w:pPr>
        <w:pStyle w:val="8"/>
        <w:spacing w:before="0" w:beforeAutospacing="0" w:after="0" w:afterAutospacing="0" w:line="360" w:lineRule="auto"/>
        <w:ind w:firstLine="420"/>
        <w:rPr>
          <w:sz w:val="21"/>
          <w:szCs w:val="21"/>
        </w:rPr>
      </w:pPr>
      <w:bookmarkStart w:id="104" w:name="chapter_level1_10_59_section_5"/>
      <w:bookmarkEnd w:id="104"/>
      <w:r>
        <w:rPr>
          <w:rStyle w:val="12"/>
          <w:rFonts w:hint="eastAsia"/>
          <w:sz w:val="21"/>
          <w:szCs w:val="21"/>
        </w:rPr>
        <w:t>十四、基金份额的转让</w:t>
      </w:r>
    </w:p>
    <w:p w14:paraId="0AF6CA9C">
      <w:pPr>
        <w:pStyle w:val="8"/>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01A3A110">
      <w:pPr>
        <w:pStyle w:val="8"/>
        <w:spacing w:before="0" w:beforeAutospacing="0" w:after="0" w:afterAutospacing="0" w:line="360" w:lineRule="auto"/>
        <w:ind w:firstLine="420"/>
        <w:rPr>
          <w:sz w:val="21"/>
          <w:szCs w:val="21"/>
        </w:rPr>
      </w:pPr>
      <w:r>
        <w:rPr>
          <w:rStyle w:val="12"/>
          <w:rFonts w:hint="eastAsia"/>
          <w:sz w:val="21"/>
          <w:szCs w:val="21"/>
        </w:rPr>
        <w:t>十五、基金的非交易过户</w:t>
      </w:r>
    </w:p>
    <w:p w14:paraId="709A1C4F">
      <w:pPr>
        <w:pStyle w:val="8"/>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07D4F7F2">
      <w:pPr>
        <w:pStyle w:val="8"/>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4AC9ED24">
      <w:pPr>
        <w:pStyle w:val="8"/>
        <w:spacing w:before="0" w:beforeAutospacing="0" w:after="0" w:afterAutospacing="0" w:line="360" w:lineRule="auto"/>
        <w:ind w:firstLine="420"/>
        <w:rPr>
          <w:sz w:val="21"/>
          <w:szCs w:val="21"/>
        </w:rPr>
      </w:pPr>
      <w:r>
        <w:rPr>
          <w:rStyle w:val="12"/>
          <w:rFonts w:hint="eastAsia"/>
          <w:sz w:val="21"/>
          <w:szCs w:val="21"/>
        </w:rPr>
        <w:t>十六、基金的转托管</w:t>
      </w:r>
    </w:p>
    <w:p w14:paraId="1EA10D2B">
      <w:pPr>
        <w:pStyle w:val="8"/>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5" w:name="chapter_level1_10_59_section_5_end"/>
      <w:bookmarkEnd w:id="105"/>
      <w:r>
        <w:rPr>
          <w:rFonts w:hint="eastAsia"/>
          <w:sz w:val="21"/>
          <w:szCs w:val="21"/>
        </w:rPr>
        <w:t xml:space="preserve">以按照规定的标准收取转托管费。 </w:t>
      </w:r>
    </w:p>
    <w:p w14:paraId="635841B2">
      <w:pPr>
        <w:pStyle w:val="8"/>
        <w:spacing w:before="0" w:beforeAutospacing="0" w:after="0" w:afterAutospacing="0" w:line="360" w:lineRule="auto"/>
        <w:ind w:firstLine="420"/>
        <w:rPr>
          <w:sz w:val="21"/>
          <w:szCs w:val="21"/>
        </w:rPr>
      </w:pPr>
      <w:bookmarkStart w:id="106" w:name="chapter_level1_10_59_section_6"/>
      <w:bookmarkEnd w:id="106"/>
      <w:r>
        <w:rPr>
          <w:rStyle w:val="12"/>
          <w:rFonts w:hint="eastAsia"/>
          <w:sz w:val="21"/>
          <w:szCs w:val="21"/>
        </w:rPr>
        <w:t>十七、定期定额投资计划</w:t>
      </w:r>
    </w:p>
    <w:p w14:paraId="7562C8CE">
      <w:pPr>
        <w:pStyle w:val="8"/>
        <w:spacing w:before="0" w:beforeAutospacing="0" w:after="0" w:afterAutospacing="0" w:line="360" w:lineRule="auto"/>
        <w:ind w:firstLine="420"/>
        <w:rPr>
          <w:sz w:val="21"/>
          <w:szCs w:val="21"/>
        </w:rPr>
      </w:pPr>
      <w:r>
        <w:rPr>
          <w:rFonts w:hint="eastAsia"/>
          <w:sz w:val="21"/>
          <w:szCs w:val="21"/>
        </w:rPr>
        <w:t>基金管理人可以为投资人办理定期定额投资计划，具体规则由基金管理人另行规定。投资人在办理定期定额投资计划时可自行约定每期申购金额，每期申购金额必须不低于基金管</w:t>
      </w:r>
      <w:bookmarkStart w:id="107" w:name="chapter_level1_10_59_section_6_end"/>
      <w:bookmarkEnd w:id="107"/>
      <w:r>
        <w:rPr>
          <w:rFonts w:hint="eastAsia"/>
          <w:sz w:val="21"/>
          <w:szCs w:val="21"/>
        </w:rPr>
        <w:t xml:space="preserve">理人在相关公告或更新的招募说明书中所规定的定期定额投资计划最低申购金额。 </w:t>
      </w:r>
    </w:p>
    <w:p w14:paraId="7EBDBEEB">
      <w:pPr>
        <w:pStyle w:val="8"/>
        <w:spacing w:before="0" w:beforeAutospacing="0" w:after="0" w:afterAutospacing="0" w:line="360" w:lineRule="auto"/>
        <w:ind w:firstLine="420"/>
        <w:rPr>
          <w:sz w:val="21"/>
          <w:szCs w:val="21"/>
        </w:rPr>
      </w:pPr>
      <w:bookmarkStart w:id="108" w:name="chapter_level1_10_59_section_7"/>
      <w:bookmarkEnd w:id="108"/>
      <w:r>
        <w:rPr>
          <w:rStyle w:val="12"/>
          <w:rFonts w:hint="eastAsia"/>
          <w:sz w:val="21"/>
          <w:szCs w:val="21"/>
        </w:rPr>
        <w:t>十八、基金份额的冻结和解冻</w:t>
      </w:r>
    </w:p>
    <w:p w14:paraId="44DD8F84">
      <w:pPr>
        <w:pStyle w:val="8"/>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 </w:t>
      </w:r>
    </w:p>
    <w:p w14:paraId="16468F6D">
      <w:pPr>
        <w:pStyle w:val="8"/>
        <w:spacing w:before="0" w:beforeAutospacing="0" w:after="0" w:afterAutospacing="0" w:line="360" w:lineRule="auto"/>
        <w:ind w:firstLine="420"/>
        <w:rPr>
          <w:sz w:val="21"/>
          <w:szCs w:val="21"/>
        </w:rPr>
      </w:pPr>
      <w:r>
        <w:rPr>
          <w:rFonts w:hint="eastAsia"/>
          <w:sz w:val="21"/>
          <w:szCs w:val="21"/>
        </w:rPr>
        <w:t xml:space="preserve">基金份额被冻结的，被冻结部分产生的权益一并冻结，被冻结部分份额仍然参与收益分配。法律法规或监管机构另有规定的除外。 </w:t>
      </w:r>
    </w:p>
    <w:p w14:paraId="546F7100">
      <w:pPr>
        <w:pStyle w:val="8"/>
        <w:spacing w:before="0" w:beforeAutospacing="0" w:after="0" w:afterAutospacing="0" w:line="360" w:lineRule="auto"/>
        <w:ind w:firstLine="420"/>
        <w:rPr>
          <w:sz w:val="21"/>
          <w:szCs w:val="21"/>
        </w:rPr>
      </w:pPr>
      <w:r>
        <w:rPr>
          <w:rStyle w:val="12"/>
          <w:rFonts w:hint="eastAsia"/>
          <w:sz w:val="21"/>
          <w:szCs w:val="21"/>
        </w:rPr>
        <w:t>十九、实施侧袋机制期间本基金的申购与赎回</w:t>
      </w:r>
    </w:p>
    <w:p w14:paraId="01F8178B">
      <w:pPr>
        <w:pStyle w:val="8"/>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09" w:name="chapter_level1_10_59_section_7_end"/>
      <w:bookmarkEnd w:id="109"/>
      <w:r>
        <w:rPr>
          <w:rFonts w:hint="eastAsia"/>
          <w:sz w:val="21"/>
          <w:szCs w:val="21"/>
        </w:rPr>
        <w:t xml:space="preserve">或届时发布的相关公告。 </w:t>
      </w:r>
    </w:p>
    <w:p w14:paraId="13DE387D">
      <w:pPr>
        <w:widowControl/>
        <w:jc w:val="left"/>
        <w:rPr>
          <w:rFonts w:ascii="宋体" w:hAnsi="宋体" w:eastAsia="宋体"/>
        </w:rPr>
      </w:pPr>
      <w:r>
        <w:rPr>
          <w:rFonts w:ascii="宋体" w:hAnsi="宋体" w:eastAsia="宋体"/>
        </w:rPr>
        <w:br w:type="page"/>
      </w:r>
    </w:p>
    <w:p w14:paraId="20AD94C4">
      <w:pPr>
        <w:pStyle w:val="2"/>
        <w:jc w:val="center"/>
        <w:rPr>
          <w:rFonts w:ascii="宋体" w:hAnsi="宋体" w:eastAsia="宋体"/>
          <w:sz w:val="30"/>
        </w:rPr>
      </w:pPr>
      <w:bookmarkStart w:id="110" w:name="chapter_level1_11_60"/>
      <w:bookmarkStart w:id="111" w:name="_Toc239208844"/>
      <w:r>
        <w:rPr>
          <w:rFonts w:hint="eastAsia" w:ascii="宋体" w:hAnsi="宋体" w:eastAsia="宋体"/>
          <w:sz w:val="30"/>
        </w:rPr>
        <w:t>第八部分  基金的投资</w:t>
      </w:r>
      <w:bookmarkEnd w:id="110"/>
      <w:bookmarkEnd w:id="111"/>
    </w:p>
    <w:p w14:paraId="07C274A7">
      <w:pPr>
        <w:pStyle w:val="8"/>
        <w:spacing w:before="0" w:beforeAutospacing="0" w:after="0" w:afterAutospacing="0" w:line="360" w:lineRule="auto"/>
        <w:ind w:firstLine="420"/>
        <w:rPr>
          <w:sz w:val="21"/>
          <w:szCs w:val="21"/>
        </w:rPr>
      </w:pPr>
      <w:bookmarkStart w:id="112" w:name="chapter_level1_11_60_section_1"/>
      <w:bookmarkEnd w:id="112"/>
      <w:r>
        <w:rPr>
          <w:rStyle w:val="12"/>
          <w:rFonts w:hint="eastAsia"/>
          <w:sz w:val="21"/>
          <w:szCs w:val="21"/>
        </w:rPr>
        <w:t>一、投资目标</w:t>
      </w:r>
    </w:p>
    <w:p w14:paraId="3F52CDF9">
      <w:pPr>
        <w:pStyle w:val="8"/>
        <w:spacing w:before="0" w:beforeAutospacing="0" w:after="0" w:afterAutospacing="0" w:line="360" w:lineRule="auto"/>
        <w:ind w:firstLine="420"/>
        <w:rPr>
          <w:sz w:val="21"/>
          <w:szCs w:val="21"/>
        </w:rPr>
      </w:pPr>
      <w:bookmarkStart w:id="113" w:name="field_60_investmenttarget_1_start"/>
      <w:bookmarkEnd w:id="113"/>
      <w:r>
        <w:rPr>
          <w:rFonts w:hint="eastAsia"/>
          <w:sz w:val="21"/>
          <w:szCs w:val="21"/>
        </w:rPr>
        <w:t>在有效控制投资组合风险的前提下，力争长期内实现超越业绩比较基准的投资回报。</w:t>
      </w:r>
      <w:bookmarkStart w:id="114" w:name="field_60_investmenttarget_1_end"/>
      <w:bookmarkEnd w:id="114"/>
      <w:r>
        <w:rPr>
          <w:rFonts w:hint="eastAsia"/>
          <w:sz w:val="21"/>
          <w:szCs w:val="21"/>
        </w:rPr>
        <w:t xml:space="preserve">  </w:t>
      </w:r>
    </w:p>
    <w:p w14:paraId="01652701">
      <w:pPr>
        <w:pStyle w:val="8"/>
        <w:spacing w:before="0" w:beforeAutospacing="0" w:after="0" w:afterAutospacing="0" w:line="360" w:lineRule="auto"/>
        <w:ind w:firstLine="420"/>
        <w:rPr>
          <w:sz w:val="21"/>
          <w:szCs w:val="21"/>
        </w:rPr>
      </w:pPr>
      <w:r>
        <w:rPr>
          <w:rStyle w:val="12"/>
          <w:rFonts w:hint="eastAsia"/>
          <w:sz w:val="21"/>
          <w:szCs w:val="21"/>
        </w:rPr>
        <w:t>二、投资范围</w:t>
      </w:r>
    </w:p>
    <w:p w14:paraId="2E41651B">
      <w:pPr>
        <w:pStyle w:val="8"/>
        <w:spacing w:before="0" w:beforeAutospacing="0" w:after="0" w:afterAutospacing="0" w:line="360" w:lineRule="auto"/>
        <w:ind w:firstLine="420"/>
        <w:rPr>
          <w:sz w:val="21"/>
          <w:szCs w:val="21"/>
        </w:rPr>
      </w:pPr>
      <w:bookmarkStart w:id="115" w:name="field_60_investmentrange_1_start"/>
      <w:bookmarkEnd w:id="115"/>
      <w:r>
        <w:rPr>
          <w:rFonts w:hint="eastAsia"/>
          <w:sz w:val="21"/>
          <w:szCs w:val="21"/>
        </w:rPr>
        <w:t xml:space="preserve">本基金的投资范围主要为具有良好流动性的固定收益类品种，包括国债、金融债、企业债、公司债、央行票据、中期票据、短期融资券、中小企业私募债券、资产支持证券、次级债、可分离交易可转债的纯债部分、债券回购、银行存款等法律法规或中国证监会允许基金投资的其他固定收益类金融工具（但须符合中国证监会的相关规定）。 </w:t>
      </w:r>
    </w:p>
    <w:p w14:paraId="63259D94">
      <w:pPr>
        <w:pStyle w:val="8"/>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14:paraId="67AAAF0E">
      <w:pPr>
        <w:pStyle w:val="8"/>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14:paraId="60D8EFAB">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如法律法规或监管机构以后允许基金投资的其他品种，基金管理人在履行适当程序后，可以将其纳入投资范围。 </w:t>
      </w:r>
      <w:bookmarkStart w:id="116" w:name="field_60_investmentrange_1_end"/>
      <w:bookmarkEnd w:id="116"/>
      <w:r>
        <w:rPr>
          <w:rFonts w:hint="eastAsia"/>
          <w:sz w:val="21"/>
          <w:szCs w:val="21"/>
        </w:rPr>
        <w:t xml:space="preserve">  </w:t>
      </w:r>
    </w:p>
    <w:p w14:paraId="50FE7936">
      <w:pPr>
        <w:pStyle w:val="8"/>
        <w:spacing w:before="0" w:beforeAutospacing="0" w:after="0" w:afterAutospacing="0" w:line="360" w:lineRule="auto"/>
        <w:ind w:firstLine="420"/>
        <w:rPr>
          <w:sz w:val="21"/>
          <w:szCs w:val="21"/>
        </w:rPr>
      </w:pPr>
      <w:r>
        <w:rPr>
          <w:rStyle w:val="12"/>
          <w:rFonts w:hint="eastAsia"/>
          <w:sz w:val="21"/>
          <w:szCs w:val="21"/>
        </w:rPr>
        <w:t>三、投资策略</w:t>
      </w:r>
    </w:p>
    <w:p w14:paraId="632B084F">
      <w:pPr>
        <w:pStyle w:val="8"/>
        <w:spacing w:before="0" w:beforeAutospacing="0" w:after="0" w:afterAutospacing="0" w:line="360" w:lineRule="auto"/>
        <w:ind w:firstLine="420"/>
        <w:rPr>
          <w:sz w:val="21"/>
          <w:szCs w:val="21"/>
        </w:rPr>
      </w:pPr>
      <w:bookmarkStart w:id="117" w:name="field_60_investmentstrategy_1_start"/>
      <w:bookmarkEnd w:id="117"/>
      <w:r>
        <w:rPr>
          <w:rFonts w:hint="eastAsia"/>
          <w:sz w:val="21"/>
          <w:szCs w:val="21"/>
        </w:rPr>
        <w:t xml:space="preserve">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个券挖掘策略等。 </w:t>
      </w:r>
    </w:p>
    <w:p w14:paraId="6EBEF0A2">
      <w:pPr>
        <w:pStyle w:val="8"/>
        <w:spacing w:before="0" w:beforeAutospacing="0" w:after="0" w:afterAutospacing="0" w:line="360" w:lineRule="auto"/>
        <w:ind w:firstLine="420"/>
        <w:rPr>
          <w:sz w:val="21"/>
          <w:szCs w:val="21"/>
        </w:rPr>
      </w:pPr>
      <w:r>
        <w:rPr>
          <w:rFonts w:hint="eastAsia"/>
          <w:sz w:val="21"/>
          <w:szCs w:val="21"/>
        </w:rPr>
        <w:t xml:space="preserve">首先，本组合宏观周期研究的基础上，决定整体组合的久期、杠杆率策略。 </w:t>
      </w:r>
    </w:p>
    <w:p w14:paraId="6BE0EFE3">
      <w:pPr>
        <w:pStyle w:val="8"/>
        <w:spacing w:before="0" w:beforeAutospacing="0" w:after="0" w:afterAutospacing="0" w:line="360" w:lineRule="auto"/>
        <w:ind w:firstLine="420"/>
        <w:rPr>
          <w:sz w:val="21"/>
          <w:szCs w:val="21"/>
        </w:rPr>
      </w:pPr>
      <w:r>
        <w:rPr>
          <w:rFonts w:hint="eastAsia"/>
          <w:sz w:val="21"/>
          <w:szCs w:val="21"/>
        </w:rPr>
        <w:t xml:space="preserve">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整体组合的久期范围以及杠杆率水平。 </w:t>
      </w:r>
    </w:p>
    <w:p w14:paraId="6B50132F">
      <w:pPr>
        <w:pStyle w:val="8"/>
        <w:spacing w:before="0" w:beforeAutospacing="0" w:after="0" w:afterAutospacing="0" w:line="360" w:lineRule="auto"/>
        <w:ind w:firstLine="420"/>
        <w:rPr>
          <w:sz w:val="21"/>
          <w:szCs w:val="21"/>
        </w:rPr>
      </w:pPr>
      <w:r>
        <w:rPr>
          <w:rFonts w:hint="eastAsia"/>
          <w:sz w:val="21"/>
          <w:szCs w:val="21"/>
        </w:rPr>
        <w:t xml:space="preserve">其次，本组合将在期限结构策略、行业轮动策略的基础上获得债券市场整体回报率，通过息差策略、个券挖掘策略获得超额收益。 </w:t>
      </w:r>
    </w:p>
    <w:p w14:paraId="7C5CF094">
      <w:pPr>
        <w:pStyle w:val="8"/>
        <w:spacing w:before="0" w:beforeAutospacing="0" w:after="0" w:afterAutospacing="0" w:line="360" w:lineRule="auto"/>
        <w:ind w:firstLine="420"/>
        <w:rPr>
          <w:sz w:val="21"/>
          <w:szCs w:val="21"/>
        </w:rPr>
      </w:pPr>
      <w:r>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14:paraId="5934C9C4">
      <w:pPr>
        <w:pStyle w:val="8"/>
        <w:spacing w:before="0" w:beforeAutospacing="0" w:after="0" w:afterAutospacing="0" w:line="360" w:lineRule="auto"/>
        <w:ind w:firstLine="420"/>
        <w:rPr>
          <w:sz w:val="21"/>
          <w:szCs w:val="21"/>
        </w:rPr>
      </w:pPr>
      <w:r>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14:paraId="4820E1D9">
      <w:pPr>
        <w:pStyle w:val="8"/>
        <w:spacing w:before="0" w:beforeAutospacing="0" w:after="0" w:afterAutospacing="0" w:line="360" w:lineRule="auto"/>
        <w:ind w:firstLine="420"/>
        <w:rPr>
          <w:sz w:val="21"/>
          <w:szCs w:val="21"/>
        </w:rPr>
      </w:pPr>
      <w:r>
        <w:rPr>
          <w:rFonts w:hint="eastAsia"/>
          <w:sz w:val="21"/>
          <w:szCs w:val="21"/>
        </w:rPr>
        <w:t xml:space="preserve">（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 </w:t>
      </w:r>
    </w:p>
    <w:p w14:paraId="29AF29D7">
      <w:pPr>
        <w:pStyle w:val="8"/>
        <w:spacing w:before="0" w:beforeAutospacing="0" w:after="0" w:afterAutospacing="0" w:line="360" w:lineRule="auto"/>
        <w:ind w:firstLine="420"/>
        <w:rPr>
          <w:sz w:val="21"/>
          <w:szCs w:val="21"/>
        </w:rPr>
      </w:pPr>
      <w:r>
        <w:rPr>
          <w:rFonts w:hint="eastAsia"/>
          <w:sz w:val="21"/>
          <w:szCs w:val="21"/>
        </w:rPr>
        <w:t xml:space="preserve">2、行业配置策略。债券市场所涉及行业众多，同样宏观周期背景下不同行业的景气度的发生，本基金分别采用以下的分析策略： </w:t>
      </w:r>
    </w:p>
    <w:p w14:paraId="3EE296FC">
      <w:pPr>
        <w:pStyle w:val="8"/>
        <w:spacing w:before="0" w:beforeAutospacing="0" w:after="0" w:afterAutospacing="0" w:line="360" w:lineRule="auto"/>
        <w:ind w:firstLine="420"/>
        <w:rPr>
          <w:sz w:val="21"/>
          <w:szCs w:val="21"/>
        </w:rPr>
      </w:pPr>
      <w:r>
        <w:rPr>
          <w:rFonts w:hint="eastAsia"/>
          <w:sz w:val="21"/>
          <w:szCs w:val="21"/>
        </w:rPr>
        <w:t xml:space="preserve">（1）分散化投资：发行人涉及众多行业，本组合将保持在各行业配置比例上的分散化结构，避免过度集中配置在产业链高度相关的上中下游行业。 </w:t>
      </w:r>
    </w:p>
    <w:p w14:paraId="15DEFC03">
      <w:pPr>
        <w:pStyle w:val="8"/>
        <w:spacing w:before="0" w:beforeAutospacing="0" w:after="0" w:afterAutospacing="0" w:line="360" w:lineRule="auto"/>
        <w:ind w:firstLine="420"/>
        <w:rPr>
          <w:sz w:val="21"/>
          <w:szCs w:val="21"/>
        </w:rPr>
      </w:pPr>
      <w:r>
        <w:rPr>
          <w:rFonts w:hint="eastAsia"/>
          <w:sz w:val="21"/>
          <w:szCs w:val="21"/>
        </w:rPr>
        <w:t xml:space="preserve">（2）行业投资：本组合将依据对下一阶段各行业景气度特征的研判，确定在下一阶段在各行业的配置比例，卖出景气度降低行业的债券，提前布局景气度提升行业的债券。 </w:t>
      </w:r>
    </w:p>
    <w:p w14:paraId="1402BF85">
      <w:pPr>
        <w:pStyle w:val="8"/>
        <w:spacing w:before="0" w:beforeAutospacing="0" w:after="0" w:afterAutospacing="0" w:line="360" w:lineRule="auto"/>
        <w:ind w:firstLine="420"/>
        <w:rPr>
          <w:sz w:val="21"/>
          <w:szCs w:val="21"/>
        </w:rPr>
      </w:pPr>
      <w:r>
        <w:rPr>
          <w:rFonts w:hint="eastAsia"/>
          <w:sz w:val="21"/>
          <w:szCs w:val="21"/>
        </w:rPr>
        <w:t xml:space="preserve">3、息差策略。通过正回购，融资买入收益率高于回购成本的债券，从而获得杠杆放大收益。 </w:t>
      </w:r>
    </w:p>
    <w:p w14:paraId="30568AE2">
      <w:pPr>
        <w:pStyle w:val="8"/>
        <w:spacing w:before="0" w:beforeAutospacing="0" w:after="0" w:afterAutospacing="0" w:line="360" w:lineRule="auto"/>
        <w:ind w:firstLine="420"/>
        <w:rPr>
          <w:sz w:val="21"/>
          <w:szCs w:val="21"/>
        </w:rPr>
      </w:pPr>
      <w:r>
        <w:rPr>
          <w:rFonts w:hint="eastAsia"/>
          <w:sz w:val="21"/>
          <w:szCs w:val="21"/>
        </w:rPr>
        <w:t xml:space="preserve">本组合将采取低杠杆、高流动性策略，适当运用杠杆息差方式来获取主动管理回报，选取具有较好流动性的债券作为杠杆买入品种，灵活控制杠杆组合仓位，降低组合波动率。 </w:t>
      </w:r>
    </w:p>
    <w:p w14:paraId="5862B1E2">
      <w:pPr>
        <w:pStyle w:val="8"/>
        <w:spacing w:before="0" w:beforeAutospacing="0" w:after="0" w:afterAutospacing="0" w:line="360" w:lineRule="auto"/>
        <w:ind w:firstLine="420"/>
        <w:rPr>
          <w:sz w:val="21"/>
          <w:szCs w:val="21"/>
        </w:rPr>
      </w:pPr>
      <w:r>
        <w:rPr>
          <w:rFonts w:hint="eastAsia"/>
          <w:sz w:val="21"/>
          <w:szCs w:val="21"/>
        </w:rPr>
        <w:t xml:space="preserve">针对中小企业私募债券，本基金以持有到期，获得本金和票息收入为主要投资策略，同时，密切关注债券的信用风险变化，力争在控制风险的前提下，获得较高收益。本基金投资中小企业私募债券，基金管理人将根据审慎原则，制定严格的投资决策流程、风险控制制度和信用风险、流动性风险处置预案，并经董事会批准，以防范信用风险、流动性风险等各种风险。 </w:t>
      </w:r>
    </w:p>
    <w:p w14:paraId="31B09872">
      <w:pPr>
        <w:pStyle w:val="8"/>
        <w:spacing w:before="0" w:beforeAutospacing="0" w:after="0" w:afterAutospacing="0" w:line="360" w:lineRule="auto"/>
        <w:ind w:firstLine="420"/>
        <w:rPr>
          <w:sz w:val="21"/>
          <w:szCs w:val="21"/>
        </w:rPr>
      </w:pPr>
      <w:r>
        <w:rPr>
          <w:rFonts w:hint="eastAsia"/>
          <w:sz w:val="21"/>
          <w:szCs w:val="21"/>
        </w:rPr>
        <w:t xml:space="preserve">4、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 </w:t>
      </w:r>
      <w:bookmarkStart w:id="118" w:name="field_60_investmentstrategy_1_end"/>
      <w:bookmarkEnd w:id="118"/>
      <w:r>
        <w:rPr>
          <w:rFonts w:hint="eastAsia"/>
          <w:sz w:val="21"/>
          <w:szCs w:val="21"/>
        </w:rPr>
        <w:t xml:space="preserve">  </w:t>
      </w:r>
    </w:p>
    <w:p w14:paraId="0C87EE4B">
      <w:pPr>
        <w:pStyle w:val="8"/>
        <w:spacing w:before="0" w:beforeAutospacing="0" w:after="0" w:afterAutospacing="0" w:line="360" w:lineRule="auto"/>
        <w:ind w:firstLine="420"/>
        <w:rPr>
          <w:sz w:val="21"/>
          <w:szCs w:val="21"/>
        </w:rPr>
      </w:pPr>
      <w:bookmarkStart w:id="119" w:name="chapter_level1_11_60_section_2"/>
      <w:bookmarkEnd w:id="119"/>
      <w:bookmarkStart w:id="120" w:name="chapter_level1_11_60_section_1_end"/>
      <w:bookmarkEnd w:id="120"/>
      <w:r>
        <w:rPr>
          <w:rStyle w:val="12"/>
          <w:rFonts w:hint="eastAsia"/>
          <w:sz w:val="21"/>
          <w:szCs w:val="21"/>
        </w:rPr>
        <w:t>四、投资决策流程</w:t>
      </w:r>
    </w:p>
    <w:p w14:paraId="69F36698">
      <w:pPr>
        <w:pStyle w:val="8"/>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14:paraId="1B9789F8">
      <w:pPr>
        <w:pStyle w:val="8"/>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14:paraId="067AD03F">
      <w:pPr>
        <w:pStyle w:val="8"/>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（2）宏观策略部基于自上而下的研究为本基金提供建议；固定收益总部数量及信用分析员为固定收益类投资决策提供依据； </w:t>
      </w:r>
    </w:p>
    <w:p w14:paraId="2B15C2CC">
      <w:pPr>
        <w:pStyle w:val="8"/>
        <w:spacing w:before="0" w:beforeAutospacing="0" w:after="0" w:afterAutospacing="0" w:line="360" w:lineRule="auto"/>
        <w:ind w:firstLine="420"/>
        <w:rPr>
          <w:sz w:val="21"/>
          <w:szCs w:val="21"/>
        </w:rPr>
      </w:pPr>
      <w:r>
        <w:rPr>
          <w:rFonts w:hint="eastAsia"/>
          <w:sz w:val="21"/>
          <w:szCs w:val="21"/>
        </w:rPr>
        <w:t xml:space="preserve">（3）固定收益总部定期召开投资例会，根据投资决策委员会的决定，结合市场和个券的变化，制定具体的投资策略； </w:t>
      </w:r>
    </w:p>
    <w:p w14:paraId="6C61E8E3">
      <w:pPr>
        <w:pStyle w:val="8"/>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14:paraId="30CCF8F9">
      <w:pPr>
        <w:pStyle w:val="8"/>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14:paraId="050DC86C">
      <w:pPr>
        <w:pStyle w:val="8"/>
        <w:spacing w:before="0" w:beforeAutospacing="0" w:after="0" w:afterAutospacing="0" w:line="360" w:lineRule="auto"/>
        <w:ind w:firstLine="420"/>
        <w:rPr>
          <w:sz w:val="21"/>
          <w:szCs w:val="21"/>
        </w:rPr>
      </w:pPr>
      <w:r>
        <w:rPr>
          <w:rFonts w:hint="eastAsia"/>
          <w:sz w:val="21"/>
          <w:szCs w:val="21"/>
        </w:rPr>
        <w:t>（6）</w:t>
      </w:r>
      <w:r>
        <w:rPr>
          <w:rFonts w:hint="eastAsia"/>
          <w:sz w:val="21"/>
          <w:szCs w:val="21"/>
          <w:lang w:eastAsia="zh-CN"/>
        </w:rPr>
        <w:t>法律合规部</w:t>
      </w:r>
      <w:r>
        <w:rPr>
          <w:rFonts w:hint="eastAsia"/>
          <w:sz w:val="21"/>
          <w:szCs w:val="21"/>
        </w:rPr>
        <w:t xml:space="preserve">对投资的全过程进行合规风险监控； </w:t>
      </w:r>
    </w:p>
    <w:p w14:paraId="50BB50B2">
      <w:pPr>
        <w:pStyle w:val="8"/>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14:paraId="27FAFAFA">
      <w:pPr>
        <w:pStyle w:val="8"/>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14:paraId="486B871F">
      <w:pPr>
        <w:pStyle w:val="8"/>
        <w:spacing w:before="0" w:beforeAutospacing="0" w:after="0" w:afterAutospacing="0" w:line="360" w:lineRule="auto"/>
        <w:ind w:firstLine="420"/>
        <w:rPr>
          <w:sz w:val="21"/>
          <w:szCs w:val="21"/>
        </w:rPr>
      </w:pPr>
      <w:r>
        <w:rPr>
          <w:rStyle w:val="12"/>
          <w:rFonts w:hint="eastAsia"/>
          <w:sz w:val="21"/>
          <w:szCs w:val="21"/>
        </w:rPr>
        <w:t>五、投资限制</w:t>
      </w:r>
    </w:p>
    <w:p w14:paraId="0197F4D3">
      <w:pPr>
        <w:pStyle w:val="8"/>
        <w:spacing w:before="0" w:beforeAutospacing="0" w:after="0" w:afterAutospacing="0" w:line="360" w:lineRule="auto"/>
        <w:ind w:firstLine="420"/>
        <w:rPr>
          <w:sz w:val="21"/>
          <w:szCs w:val="21"/>
        </w:rPr>
      </w:pPr>
      <w:r>
        <w:rPr>
          <w:rFonts w:hint="eastAsia"/>
          <w:sz w:val="21"/>
          <w:szCs w:val="21"/>
        </w:rPr>
        <w:t xml:space="preserve">1、组合限制 </w:t>
      </w:r>
    </w:p>
    <w:p w14:paraId="636224C1">
      <w:pPr>
        <w:pStyle w:val="8"/>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245DC41B">
      <w:pPr>
        <w:pStyle w:val="8"/>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14:paraId="56A1FD70">
      <w:pPr>
        <w:pStyle w:val="8"/>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14:paraId="486A3A15">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3B883436">
      <w:pPr>
        <w:pStyle w:val="8"/>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68BB737D">
      <w:pPr>
        <w:pStyle w:val="8"/>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3A17FD96">
      <w:pPr>
        <w:pStyle w:val="8"/>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677F5113">
      <w:pPr>
        <w:pStyle w:val="8"/>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2FE06327">
      <w:pPr>
        <w:pStyle w:val="8"/>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0ABC2DAB">
      <w:pPr>
        <w:pStyle w:val="8"/>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0E7CFCC0">
      <w:pPr>
        <w:pStyle w:val="8"/>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2FAE90E2">
      <w:pPr>
        <w:pStyle w:val="8"/>
        <w:spacing w:before="0" w:beforeAutospacing="0" w:after="0" w:afterAutospacing="0" w:line="360" w:lineRule="auto"/>
        <w:ind w:firstLine="420"/>
        <w:rPr>
          <w:sz w:val="21"/>
          <w:szCs w:val="21"/>
        </w:rPr>
      </w:pPr>
      <w:r>
        <w:rPr>
          <w:rFonts w:hint="eastAsia"/>
          <w:sz w:val="21"/>
          <w:szCs w:val="21"/>
        </w:rPr>
        <w:t xml:space="preserve">（11）本基金应投资于信用级别评级为AA以上（含AA）债券主体发行的债券； </w:t>
      </w:r>
    </w:p>
    <w:p w14:paraId="644E9F07">
      <w:pPr>
        <w:pStyle w:val="8"/>
        <w:spacing w:before="0" w:beforeAutospacing="0" w:after="0" w:afterAutospacing="0" w:line="360" w:lineRule="auto"/>
        <w:ind w:firstLine="420"/>
        <w:rPr>
          <w:sz w:val="21"/>
          <w:szCs w:val="21"/>
        </w:rPr>
      </w:pPr>
      <w:r>
        <w:rPr>
          <w:rFonts w:hint="eastAsia"/>
          <w:sz w:val="21"/>
          <w:szCs w:val="21"/>
        </w:rPr>
        <w:t xml:space="preserve">（12）本基金投资于中小企业私募债券比例合计不高于基金资产的10%； </w:t>
      </w:r>
    </w:p>
    <w:p w14:paraId="1BDA0AA0">
      <w:pPr>
        <w:pStyle w:val="8"/>
        <w:spacing w:before="0" w:beforeAutospacing="0" w:after="0" w:afterAutospacing="0" w:line="360" w:lineRule="auto"/>
        <w:ind w:firstLine="420"/>
        <w:rPr>
          <w:sz w:val="21"/>
          <w:szCs w:val="21"/>
        </w:rPr>
      </w:pPr>
      <w:r>
        <w:rPr>
          <w:rFonts w:hint="eastAsia"/>
          <w:sz w:val="21"/>
          <w:szCs w:val="21"/>
        </w:rPr>
        <w:t xml:space="preserve">（13）基金资产总值不得超过基金资产净值的140%； </w:t>
      </w:r>
    </w:p>
    <w:p w14:paraId="31879242">
      <w:pPr>
        <w:pStyle w:val="8"/>
        <w:spacing w:before="0" w:beforeAutospacing="0" w:after="0" w:afterAutospacing="0" w:line="360" w:lineRule="auto"/>
        <w:ind w:firstLine="420"/>
        <w:rPr>
          <w:sz w:val="21"/>
          <w:szCs w:val="21"/>
        </w:rPr>
      </w:pPr>
      <w:r>
        <w:rPr>
          <w:rFonts w:hint="eastAsia"/>
          <w:sz w:val="21"/>
          <w:szCs w:val="21"/>
        </w:rPr>
        <w:t xml:space="preserve">（14）本基金主动投资于流动性受限资产的市值合计不得超过本基金资产净值的15%； </w:t>
      </w:r>
    </w:p>
    <w:p w14:paraId="2C382F3F">
      <w:pPr>
        <w:pStyle w:val="8"/>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705D552E">
      <w:pPr>
        <w:pStyle w:val="8"/>
        <w:spacing w:before="0" w:beforeAutospacing="0" w:after="0" w:afterAutospacing="0" w:line="360" w:lineRule="auto"/>
        <w:ind w:firstLine="420"/>
        <w:rPr>
          <w:sz w:val="21"/>
          <w:szCs w:val="21"/>
        </w:rPr>
      </w:pPr>
      <w:r>
        <w:rPr>
          <w:rFonts w:hint="eastAsia"/>
          <w:sz w:val="21"/>
          <w:szCs w:val="21"/>
        </w:rPr>
        <w:t xml:space="preserve">（15）本基金与私募类证券资管产品及中国证监会认定的其他主体为交易对手开展逆回购交易的，可接受质押品的资质要求应当与基金合同约定的投资范围保持一致； </w:t>
      </w:r>
    </w:p>
    <w:p w14:paraId="22D4B2FE">
      <w:pPr>
        <w:pStyle w:val="8"/>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（16）法律法规及中国证监会规定的和《基金合同》约定的其他投资限制。 </w:t>
      </w:r>
    </w:p>
    <w:p w14:paraId="40CB9DB0">
      <w:pPr>
        <w:pStyle w:val="8"/>
        <w:spacing w:before="0" w:beforeAutospacing="0" w:after="0" w:afterAutospacing="0" w:line="360" w:lineRule="auto"/>
        <w:ind w:firstLine="420"/>
        <w:rPr>
          <w:sz w:val="21"/>
          <w:szCs w:val="21"/>
        </w:rPr>
      </w:pPr>
      <w:r>
        <w:rPr>
          <w:rFonts w:hint="eastAsia"/>
          <w:sz w:val="21"/>
          <w:szCs w:val="21"/>
        </w:rPr>
        <w:t xml:space="preserve">除上述第（2）、（10）、（11）、（14）、（15）项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14:paraId="5256253B">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 </w:t>
      </w:r>
    </w:p>
    <w:p w14:paraId="6EC34A6F">
      <w:pPr>
        <w:pStyle w:val="8"/>
        <w:spacing w:before="0" w:beforeAutospacing="0" w:after="0" w:afterAutospacing="0" w:line="360" w:lineRule="auto"/>
        <w:ind w:firstLine="420"/>
        <w:rPr>
          <w:sz w:val="21"/>
          <w:szCs w:val="21"/>
        </w:rPr>
      </w:pPr>
      <w:r>
        <w:rPr>
          <w:rFonts w:hint="eastAsia"/>
          <w:sz w:val="21"/>
          <w:szCs w:val="21"/>
        </w:rPr>
        <w:t xml:space="preserve">基金托管人对基金的投资的监督与检查自基金合同生效之日起开始。 </w:t>
      </w:r>
    </w:p>
    <w:p w14:paraId="1359E298">
      <w:pPr>
        <w:pStyle w:val="8"/>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法律法规或监管部门取消或调整上述限制，如适用于本基金，基金管理人在履行适当程序后，则本基金投资不再受相关限制或按调整后的规定执行，但须提前公告，不需要经基金份额持有人大会审议。 </w:t>
      </w:r>
    </w:p>
    <w:p w14:paraId="44F24654">
      <w:pPr>
        <w:pStyle w:val="8"/>
        <w:spacing w:before="0" w:beforeAutospacing="0" w:after="0" w:afterAutospacing="0" w:line="360" w:lineRule="auto"/>
        <w:ind w:firstLine="420"/>
        <w:rPr>
          <w:sz w:val="21"/>
          <w:szCs w:val="21"/>
        </w:rPr>
      </w:pPr>
      <w:r>
        <w:rPr>
          <w:rFonts w:hint="eastAsia"/>
          <w:sz w:val="21"/>
          <w:szCs w:val="21"/>
        </w:rPr>
        <w:t xml:space="preserve">2、禁止行为 </w:t>
      </w:r>
    </w:p>
    <w:p w14:paraId="2A3D4EC7">
      <w:pPr>
        <w:pStyle w:val="8"/>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47491A89">
      <w:pPr>
        <w:pStyle w:val="8"/>
        <w:spacing w:before="0" w:beforeAutospacing="0" w:after="0" w:afterAutospacing="0" w:line="360" w:lineRule="auto"/>
        <w:ind w:firstLine="420"/>
        <w:rPr>
          <w:sz w:val="21"/>
          <w:szCs w:val="21"/>
        </w:rPr>
      </w:pPr>
      <w:r>
        <w:rPr>
          <w:rFonts w:hint="eastAsia"/>
          <w:sz w:val="21"/>
          <w:szCs w:val="21"/>
        </w:rPr>
        <w:t xml:space="preserve">（1）承销证券； </w:t>
      </w:r>
    </w:p>
    <w:p w14:paraId="3918F31D">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0F508CA8">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0C321537">
      <w:pPr>
        <w:pStyle w:val="8"/>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4ACA208C">
      <w:pPr>
        <w:pStyle w:val="8"/>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3F7599A3">
      <w:pPr>
        <w:pStyle w:val="8"/>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27C78FE6">
      <w:pPr>
        <w:pStyle w:val="8"/>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27045E71">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40054951">
      <w:pPr>
        <w:pStyle w:val="8"/>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5299D765">
      <w:pPr>
        <w:pStyle w:val="8"/>
        <w:spacing w:before="0" w:beforeAutospacing="0" w:after="0" w:afterAutospacing="0" w:line="360" w:lineRule="auto"/>
        <w:ind w:firstLine="420"/>
        <w:rPr>
          <w:sz w:val="21"/>
          <w:szCs w:val="21"/>
        </w:rPr>
      </w:pPr>
      <w:bookmarkStart w:id="121" w:name="chapter_level1_11_60_section_2_end"/>
      <w:bookmarkEnd w:id="121"/>
      <w:r>
        <w:rPr>
          <w:rStyle w:val="12"/>
          <w:rFonts w:hint="eastAsia"/>
          <w:sz w:val="21"/>
          <w:szCs w:val="21"/>
        </w:rPr>
        <w:t>六、业绩比较基准</w:t>
      </w:r>
    </w:p>
    <w:p w14:paraId="49A15C12">
      <w:pPr>
        <w:pStyle w:val="8"/>
        <w:spacing w:before="0" w:beforeAutospacing="0" w:after="0" w:afterAutospacing="0" w:line="360" w:lineRule="auto"/>
        <w:ind w:firstLine="420"/>
        <w:rPr>
          <w:sz w:val="21"/>
          <w:szCs w:val="21"/>
        </w:rPr>
      </w:pPr>
      <w:bookmarkStart w:id="122" w:name="field_60_benchmark_1_start"/>
      <w:bookmarkEnd w:id="122"/>
      <w:bookmarkStart w:id="123" w:name="chapter_level1_11_60_section_3"/>
      <w:bookmarkEnd w:id="123"/>
      <w:r>
        <w:rPr>
          <w:rFonts w:hint="eastAsia"/>
          <w:sz w:val="21"/>
          <w:szCs w:val="21"/>
          <w:lang w:eastAsia="zh-CN"/>
        </w:rPr>
        <w:t>本基金的业绩比较基准为：</w:t>
      </w:r>
      <w:r>
        <w:rPr>
          <w:rFonts w:hint="eastAsia"/>
          <w:sz w:val="21"/>
          <w:szCs w:val="21"/>
        </w:rPr>
        <w:t>中债-0-5年债券综合财富(总值)指数收益率*95%+活期存款基准利率*5%</w:t>
      </w:r>
      <w:bookmarkStart w:id="124" w:name="field_60_benchmark_1_end"/>
      <w:bookmarkEnd w:id="124"/>
      <w:r>
        <w:rPr>
          <w:rFonts w:hint="eastAsia"/>
          <w:sz w:val="21"/>
          <w:szCs w:val="21"/>
          <w:lang w:eastAsia="zh-CN"/>
        </w:rPr>
        <w:t>。</w:t>
      </w:r>
      <w:r>
        <w:rPr>
          <w:rFonts w:hint="eastAsia"/>
          <w:sz w:val="21"/>
          <w:szCs w:val="21"/>
        </w:rPr>
        <w:t xml:space="preserve">  </w:t>
      </w:r>
    </w:p>
    <w:p w14:paraId="598D9A3A">
      <w:pPr>
        <w:pStyle w:val="8"/>
        <w:spacing w:before="0" w:beforeAutospacing="0" w:after="0" w:afterAutospacing="0" w:line="360" w:lineRule="auto"/>
        <w:ind w:firstLine="420"/>
        <w:rPr>
          <w:sz w:val="21"/>
          <w:szCs w:val="21"/>
        </w:rPr>
      </w:pPr>
      <w:r>
        <w:rPr>
          <w:rFonts w:hint="eastAsia"/>
          <w:sz w:val="21"/>
          <w:szCs w:val="21"/>
        </w:rPr>
        <w:t xml:space="preserve">1、业绩比较基准的设定原因  </w:t>
      </w:r>
    </w:p>
    <w:p w14:paraId="2C6E62E5">
      <w:pPr>
        <w:pStyle w:val="8"/>
        <w:spacing w:before="0" w:beforeAutospacing="0" w:after="0" w:afterAutospacing="0" w:line="360" w:lineRule="auto"/>
        <w:ind w:firstLine="420"/>
        <w:rPr>
          <w:sz w:val="21"/>
          <w:szCs w:val="21"/>
        </w:rPr>
      </w:pPr>
      <w:r>
        <w:rPr>
          <w:rFonts w:hint="eastAsia"/>
          <w:sz w:val="21"/>
          <w:szCs w:val="21"/>
        </w:rPr>
        <w:t xml:space="preserve">（1）基于基金投资范围以及预期投资的主要资产类别，本基金主要投资于债券资产，相应选取与之匹配的债券指数作为基准要素。同时，基于基金对债券的投资比例不低于基金资产的80%等投资比例限制，以及预期的中长期资产配置比例中枢，本基金将债券资产的基准要素权重设置为95%。此外，为应对基金日常流动性需求，本基金可能保持一定比例的现金或其他高流动性资产，将高流动性资产所对应的基准要素权重设置为5%。  </w:t>
      </w:r>
    </w:p>
    <w:p w14:paraId="21693B29">
      <w:pPr>
        <w:pStyle w:val="8"/>
        <w:spacing w:before="0" w:beforeAutospacing="0" w:after="0" w:afterAutospacing="0" w:line="360" w:lineRule="auto"/>
        <w:ind w:firstLine="420"/>
        <w:rPr>
          <w:sz w:val="21"/>
          <w:szCs w:val="21"/>
        </w:rPr>
      </w:pPr>
      <w:r>
        <w:rPr>
          <w:rFonts w:hint="eastAsia"/>
          <w:sz w:val="21"/>
          <w:szCs w:val="21"/>
        </w:rPr>
        <w:t xml:space="preserve">（2）基于本基金的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选取中债-0-5年债券综合财富（总值）指数作为债券部分的业绩比较基准要素。  </w:t>
      </w:r>
    </w:p>
    <w:p w14:paraId="2DB2757B">
      <w:pPr>
        <w:pStyle w:val="8"/>
        <w:spacing w:before="0" w:beforeAutospacing="0" w:after="0" w:afterAutospacing="0" w:line="360" w:lineRule="auto"/>
        <w:ind w:firstLine="420"/>
        <w:rPr>
          <w:sz w:val="21"/>
          <w:szCs w:val="21"/>
        </w:rPr>
      </w:pPr>
      <w:r>
        <w:rPr>
          <w:rFonts w:hint="eastAsia"/>
          <w:sz w:val="21"/>
          <w:szCs w:val="21"/>
        </w:rPr>
        <w:t xml:space="preserve">中债-0-5年债券综合财富（总值）指数隶属于中债总指数族系，该指数成份券包括在境内公开发行且上市流通、剩余期限在5年以下的国债、地方政府债、政策性银行债券、信用债等，适合作为本基金债券部分的业绩比较基准要素。  </w:t>
      </w:r>
    </w:p>
    <w:p w14:paraId="52D02930">
      <w:pPr>
        <w:pStyle w:val="8"/>
        <w:spacing w:before="0" w:beforeAutospacing="0" w:after="0" w:afterAutospacing="0" w:line="360" w:lineRule="auto"/>
        <w:ind w:firstLine="420"/>
        <w:rPr>
          <w:sz w:val="21"/>
          <w:szCs w:val="21"/>
        </w:rPr>
      </w:pPr>
      <w:r>
        <w:rPr>
          <w:rFonts w:hint="eastAsia"/>
          <w:sz w:val="21"/>
          <w:szCs w:val="21"/>
        </w:rPr>
        <w:t xml:space="preserve">（3）本基金将活期存款基准利率纳入业绩比较基准，对应基金投资的现金类资产，该业绩比较基准要素能准确反映现金类资产的无风险收益水平，与基金现金类资产的投资收益特征高度匹配。  </w:t>
      </w:r>
    </w:p>
    <w:p w14:paraId="71320B33">
      <w:pPr>
        <w:pStyle w:val="8"/>
        <w:spacing w:before="0" w:beforeAutospacing="0" w:after="0" w:afterAutospacing="0" w:line="360" w:lineRule="auto"/>
        <w:ind w:firstLine="420"/>
        <w:rPr>
          <w:sz w:val="21"/>
          <w:szCs w:val="21"/>
        </w:rPr>
      </w:pPr>
      <w:r>
        <w:rPr>
          <w:rFonts w:hint="eastAsia"/>
          <w:sz w:val="21"/>
          <w:szCs w:val="21"/>
        </w:rPr>
        <w:t xml:space="preserve">综上，本基金选取的业绩比较基准与基金投资目标、投资范围、投资策略、投资比例限制相匹配。  </w:t>
      </w:r>
    </w:p>
    <w:p w14:paraId="00336CFC">
      <w:pPr>
        <w:pStyle w:val="8"/>
        <w:spacing w:before="0" w:beforeAutospacing="0" w:after="0" w:afterAutospacing="0" w:line="360" w:lineRule="auto"/>
        <w:ind w:firstLine="420"/>
        <w:rPr>
          <w:sz w:val="21"/>
          <w:szCs w:val="21"/>
        </w:rPr>
      </w:pPr>
      <w:r>
        <w:rPr>
          <w:rFonts w:hint="eastAsia"/>
          <w:sz w:val="21"/>
          <w:szCs w:val="21"/>
        </w:rPr>
        <w:t xml:space="preserve">2、业绩比较基准要素的基本信息  </w:t>
      </w:r>
    </w:p>
    <w:p w14:paraId="539B805C">
      <w:pPr>
        <w:pStyle w:val="8"/>
        <w:spacing w:before="0" w:beforeAutospacing="0" w:after="0" w:afterAutospacing="0" w:line="360" w:lineRule="auto"/>
        <w:ind w:firstLine="420"/>
        <w:rPr>
          <w:sz w:val="21"/>
          <w:szCs w:val="21"/>
        </w:rPr>
      </w:pPr>
      <w:r>
        <w:rPr>
          <w:rFonts w:hint="eastAsia"/>
          <w:sz w:val="21"/>
          <w:szCs w:val="21"/>
        </w:rPr>
        <w:t xml:space="preserve">中债-0-5年债券综合财富（总值）指数由中债金融估值中心有限公司编制发布，指数代码为CBA37101,指数具体信息详见中国债券信息网，网址：www.chinabond.com.cn。  </w:t>
      </w:r>
    </w:p>
    <w:p w14:paraId="771DA558">
      <w:pPr>
        <w:pStyle w:val="8"/>
        <w:spacing w:before="0" w:beforeAutospacing="0" w:after="0" w:afterAutospacing="0" w:line="360" w:lineRule="auto"/>
        <w:ind w:firstLine="420"/>
        <w:rPr>
          <w:sz w:val="21"/>
          <w:szCs w:val="21"/>
        </w:rPr>
      </w:pPr>
      <w:r>
        <w:rPr>
          <w:rFonts w:hint="eastAsia"/>
          <w:sz w:val="21"/>
          <w:szCs w:val="21"/>
        </w:rPr>
        <w:t xml:space="preserve">活期存款基准利率由中国人民银行发布，具体信息详见中国人民银行网站，网址：www.pbc.gov.cn。  </w:t>
      </w:r>
    </w:p>
    <w:p w14:paraId="00276AF7">
      <w:pPr>
        <w:pStyle w:val="8"/>
        <w:spacing w:before="0" w:beforeAutospacing="0" w:after="0" w:afterAutospacing="0" w:line="360" w:lineRule="auto"/>
        <w:ind w:firstLine="420"/>
        <w:rPr>
          <w:sz w:val="21"/>
          <w:szCs w:val="21"/>
        </w:rPr>
      </w:pPr>
      <w:r>
        <w:rPr>
          <w:rFonts w:hint="eastAsia"/>
          <w:sz w:val="21"/>
          <w:szCs w:val="21"/>
        </w:rPr>
        <w:t xml:space="preserve">3、业绩比较基准的计算方法  </w:t>
      </w:r>
    </w:p>
    <w:p w14:paraId="7FA07FD0">
      <w:pPr>
        <w:pStyle w:val="8"/>
        <w:spacing w:before="0" w:beforeAutospacing="0" w:after="0" w:afterAutospacing="0" w:line="360" w:lineRule="auto"/>
        <w:ind w:firstLine="420"/>
        <w:rPr>
          <w:sz w:val="21"/>
          <w:szCs w:val="21"/>
        </w:rPr>
      </w:pPr>
      <w:r>
        <w:rPr>
          <w:rFonts w:hint="eastAsia"/>
          <w:sz w:val="21"/>
          <w:szCs w:val="21"/>
        </w:rPr>
        <w:t xml:space="preserve">本基金业绩比较基准收益率的计算方法以每日收益率为基础，以时间加权为计算原则。本基金先分别计算业绩比较基准中中债-0-5年债券综合财富（总值）指数和活期存款基准利率的每日收益率，再按照预设权重比例计算当日组合要素基准的日收益率，并连乘每日收益率。  </w:t>
      </w:r>
    </w:p>
    <w:p w14:paraId="19C74B4C">
      <w:pPr>
        <w:pStyle w:val="8"/>
        <w:spacing w:before="0" w:beforeAutospacing="0" w:after="0" w:afterAutospacing="0" w:line="360" w:lineRule="auto"/>
        <w:ind w:firstLine="420"/>
        <w:rPr>
          <w:sz w:val="21"/>
          <w:szCs w:val="21"/>
        </w:rPr>
      </w:pPr>
      <w:r>
        <w:rPr>
          <w:rFonts w:hint="eastAsia"/>
          <w:sz w:val="21"/>
          <w:szCs w:val="21"/>
        </w:rPr>
        <w:t xml:space="preserve">4、管理投资偏离业绩比较基准的定性或定量方法  </w:t>
      </w:r>
    </w:p>
    <w:p w14:paraId="3BFA7AFC">
      <w:pPr>
        <w:pStyle w:val="8"/>
        <w:spacing w:before="0" w:beforeAutospacing="0" w:after="0" w:afterAutospacing="0" w:line="360" w:lineRule="auto"/>
        <w:ind w:firstLine="420"/>
        <w:rPr>
          <w:sz w:val="21"/>
          <w:szCs w:val="21"/>
        </w:rPr>
      </w:pPr>
      <w:r>
        <w:rPr>
          <w:rFonts w:hint="eastAsia"/>
          <w:sz w:val="21"/>
          <w:szCs w:val="21"/>
        </w:rPr>
        <w:t xml:space="preserve">本基金管理人对基金实际投资与业绩比较基准的偏离情况进行动态跟踪与监测评估，监测指标主要包括超额收益、组合久期等指标，以更好管理基金实际投资与业绩比较基准的偏离情况，从而在控制风险的基础上追求超越业绩比较基准的投资回报。  </w:t>
      </w:r>
    </w:p>
    <w:p w14:paraId="28A1FBF1">
      <w:pPr>
        <w:pStyle w:val="8"/>
        <w:spacing w:before="0" w:beforeAutospacing="0" w:after="0" w:afterAutospacing="0" w:line="360" w:lineRule="auto"/>
        <w:ind w:firstLine="420"/>
        <w:rPr>
          <w:sz w:val="21"/>
          <w:szCs w:val="21"/>
        </w:rPr>
      </w:pPr>
      <w:r>
        <w:rPr>
          <w:rFonts w:hint="eastAsia"/>
          <w:sz w:val="21"/>
          <w:szCs w:val="21"/>
        </w:rPr>
        <w:t xml:space="preserve">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  </w:t>
      </w:r>
    </w:p>
    <w:p w14:paraId="1C849677">
      <w:pPr>
        <w:pStyle w:val="8"/>
        <w:spacing w:before="0" w:beforeAutospacing="0" w:after="0" w:afterAutospacing="0" w:line="360" w:lineRule="auto"/>
        <w:ind w:firstLine="420"/>
        <w:rPr>
          <w:sz w:val="21"/>
          <w:szCs w:val="21"/>
        </w:rPr>
      </w:pPr>
      <w:r>
        <w:rPr>
          <w:rFonts w:hint="eastAsia"/>
          <w:sz w:val="21"/>
          <w:szCs w:val="21"/>
        </w:rPr>
        <w:t xml:space="preserve">5、未来可能变更业绩比较基准的情况和程序  </w:t>
      </w:r>
    </w:p>
    <w:p w14:paraId="29BBB1F5">
      <w:pPr>
        <w:pStyle w:val="8"/>
        <w:spacing w:before="0" w:beforeAutospacing="0" w:after="0" w:afterAutospacing="0" w:line="360" w:lineRule="auto"/>
        <w:ind w:firstLine="420"/>
        <w:rPr>
          <w:sz w:val="21"/>
          <w:szCs w:val="21"/>
        </w:rPr>
      </w:pPr>
      <w:r>
        <w:rPr>
          <w:rFonts w:hint="eastAsia"/>
          <w:sz w:val="21"/>
          <w:szCs w:val="21"/>
        </w:rPr>
        <w:t xml:space="preserve">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  </w:t>
      </w:r>
    </w:p>
    <w:p w14:paraId="10B09FF2">
      <w:pPr>
        <w:pStyle w:val="8"/>
        <w:spacing w:before="0" w:beforeAutospacing="0" w:after="0" w:afterAutospacing="0" w:line="360" w:lineRule="auto"/>
        <w:ind w:firstLine="420"/>
        <w:rPr>
          <w:sz w:val="21"/>
          <w:szCs w:val="21"/>
        </w:rPr>
      </w:pPr>
      <w:r>
        <w:rPr>
          <w:rFonts w:hint="eastAsia"/>
          <w:sz w:val="21"/>
          <w:szCs w:val="21"/>
        </w:rPr>
        <w:t xml:space="preserve">（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  </w:t>
      </w:r>
    </w:p>
    <w:p w14:paraId="34CC71FC">
      <w:pPr>
        <w:pStyle w:val="8"/>
        <w:spacing w:before="0" w:beforeAutospacing="0" w:after="0" w:afterAutospacing="0" w:line="360" w:lineRule="auto"/>
        <w:ind w:firstLine="420"/>
        <w:rPr>
          <w:sz w:val="21"/>
          <w:szCs w:val="21"/>
        </w:rPr>
      </w:pPr>
      <w:r>
        <w:rPr>
          <w:rFonts w:hint="eastAsia"/>
          <w:sz w:val="21"/>
          <w:szCs w:val="21"/>
        </w:rPr>
        <w:t xml:space="preserve">（2）调整业绩比较基准的要素权重、更换相同或相近特征的要素等，使新业绩比较基准代表性更强，且符合相关法律法规规定的；  </w:t>
      </w:r>
    </w:p>
    <w:p w14:paraId="2C577CCD">
      <w:pPr>
        <w:pStyle w:val="8"/>
        <w:spacing w:before="0" w:beforeAutospacing="0" w:after="0" w:afterAutospacing="0" w:line="360" w:lineRule="auto"/>
        <w:ind w:firstLine="420"/>
        <w:rPr>
          <w:sz w:val="21"/>
          <w:szCs w:val="21"/>
        </w:rPr>
      </w:pPr>
      <w:r>
        <w:rPr>
          <w:rFonts w:hint="eastAsia"/>
          <w:sz w:val="21"/>
          <w:szCs w:val="21"/>
        </w:rPr>
        <w:t xml:space="preserve">（3）中国证监会认可的其他情形。  </w:t>
      </w:r>
    </w:p>
    <w:p w14:paraId="044F5A1D">
      <w:pPr>
        <w:pStyle w:val="8"/>
        <w:spacing w:before="0" w:beforeAutospacing="0" w:after="0" w:afterAutospacing="0" w:line="360" w:lineRule="auto"/>
        <w:ind w:firstLine="420"/>
        <w:rPr>
          <w:sz w:val="21"/>
          <w:szCs w:val="21"/>
        </w:rPr>
      </w:pPr>
      <w:r>
        <w:rPr>
          <w:rFonts w:hint="eastAsia"/>
          <w:sz w:val="21"/>
          <w:szCs w:val="21"/>
        </w:rPr>
        <w:t xml:space="preserve">业绩比较基准变更涉及以下情形的，基金管理人应当按照规定履行变更注册、召开基金份额持有人大会等程序，法律法规、中国证监会另有规定的除外：  </w:t>
      </w:r>
    </w:p>
    <w:p w14:paraId="40640DF5">
      <w:pPr>
        <w:pStyle w:val="8"/>
        <w:spacing w:before="0" w:beforeAutospacing="0" w:after="0" w:afterAutospacing="0" w:line="360" w:lineRule="auto"/>
        <w:ind w:firstLine="420"/>
        <w:rPr>
          <w:sz w:val="21"/>
          <w:szCs w:val="21"/>
        </w:rPr>
      </w:pPr>
      <w:r>
        <w:rPr>
          <w:rFonts w:hint="eastAsia"/>
          <w:sz w:val="21"/>
          <w:szCs w:val="21"/>
        </w:rPr>
        <w:t xml:space="preserve">（1）基金投资目标、投资范围、投资策略、投资比例等拟进行重大调整，并变更业绩比较基准的；  </w:t>
      </w:r>
    </w:p>
    <w:p w14:paraId="323E8B53">
      <w:pPr>
        <w:pStyle w:val="8"/>
        <w:spacing w:before="0" w:beforeAutospacing="0" w:after="0" w:afterAutospacing="0" w:line="360" w:lineRule="auto"/>
        <w:ind w:firstLine="420"/>
        <w:rPr>
          <w:sz w:val="21"/>
          <w:szCs w:val="21"/>
        </w:rPr>
      </w:pPr>
      <w:bookmarkStart w:id="125" w:name="chapter_level1_11_60_section_3_end"/>
      <w:bookmarkEnd w:id="125"/>
      <w:r>
        <w:rPr>
          <w:rFonts w:hint="eastAsia"/>
          <w:sz w:val="21"/>
          <w:szCs w:val="21"/>
        </w:rPr>
        <w:t xml:space="preserve">（2）其他对基金份额持有人利益产生重大实质性影响的情形。  </w:t>
      </w:r>
    </w:p>
    <w:p w14:paraId="2724422B">
      <w:pPr>
        <w:pStyle w:val="8"/>
        <w:spacing w:before="0" w:beforeAutospacing="0" w:after="0" w:afterAutospacing="0" w:line="360" w:lineRule="auto"/>
        <w:ind w:firstLine="420"/>
        <w:rPr>
          <w:sz w:val="21"/>
          <w:szCs w:val="21"/>
        </w:rPr>
      </w:pPr>
      <w:bookmarkStart w:id="126" w:name="chapter_level1_11_60_section_4"/>
      <w:bookmarkEnd w:id="126"/>
      <w:r>
        <w:rPr>
          <w:rStyle w:val="12"/>
          <w:rFonts w:hint="eastAsia"/>
          <w:sz w:val="21"/>
          <w:szCs w:val="21"/>
        </w:rPr>
        <w:t>七、风险收益特征</w:t>
      </w:r>
    </w:p>
    <w:p w14:paraId="29C1C204">
      <w:pPr>
        <w:pStyle w:val="8"/>
        <w:spacing w:before="0" w:beforeAutospacing="0" w:after="0" w:afterAutospacing="0" w:line="360" w:lineRule="auto"/>
        <w:ind w:firstLine="420"/>
        <w:rPr>
          <w:sz w:val="21"/>
          <w:szCs w:val="21"/>
        </w:rPr>
      </w:pPr>
      <w:bookmarkStart w:id="127" w:name="field_60_riskyield_1_start"/>
      <w:bookmarkEnd w:id="127"/>
      <w:r>
        <w:rPr>
          <w:rFonts w:hint="eastAsia"/>
          <w:sz w:val="21"/>
          <w:szCs w:val="21"/>
        </w:rPr>
        <w:t xml:space="preserve">本基金为债券型基金，预期收益和预期风险高于货币市场基金，但低于混合型基金、股票型基金，属于中等风险/收益的产品。  </w:t>
      </w:r>
      <w:bookmarkStart w:id="128" w:name="field_60_riskyield_1_end"/>
      <w:bookmarkEnd w:id="128"/>
      <w:r>
        <w:rPr>
          <w:rFonts w:hint="eastAsia"/>
          <w:sz w:val="21"/>
          <w:szCs w:val="21"/>
        </w:rPr>
        <w:t xml:space="preserve">  </w:t>
      </w:r>
    </w:p>
    <w:p w14:paraId="2974C31E">
      <w:pPr>
        <w:pStyle w:val="8"/>
        <w:spacing w:before="0" w:beforeAutospacing="0" w:after="0" w:afterAutospacing="0" w:line="360" w:lineRule="auto"/>
        <w:ind w:firstLine="420"/>
        <w:rPr>
          <w:sz w:val="21"/>
          <w:szCs w:val="21"/>
        </w:rPr>
      </w:pPr>
      <w:r>
        <w:rPr>
          <w:rStyle w:val="12"/>
          <w:rFonts w:hint="eastAsia"/>
          <w:sz w:val="21"/>
          <w:szCs w:val="21"/>
        </w:rPr>
        <w:t>八、基金管理人代表基金行使债权人权利的处理原则及方法</w:t>
      </w:r>
    </w:p>
    <w:p w14:paraId="7E901F0E">
      <w:pPr>
        <w:pStyle w:val="8"/>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1、基金管理人按照国家有关规定代表基金独立行使债权人权利，保护基金份额持有人的利益； </w:t>
      </w:r>
    </w:p>
    <w:p w14:paraId="532DE9BE">
      <w:pPr>
        <w:pStyle w:val="8"/>
        <w:spacing w:before="0" w:beforeAutospacing="0" w:after="0" w:afterAutospacing="0" w:line="360" w:lineRule="auto"/>
        <w:ind w:firstLine="420"/>
        <w:rPr>
          <w:sz w:val="21"/>
          <w:szCs w:val="21"/>
        </w:rPr>
      </w:pPr>
      <w:r>
        <w:rPr>
          <w:rFonts w:hint="eastAsia"/>
          <w:sz w:val="21"/>
          <w:szCs w:val="21"/>
        </w:rPr>
        <w:t xml:space="preserve">2、有利于基金资产的安全与增值； </w:t>
      </w:r>
    </w:p>
    <w:p w14:paraId="6A652BA6">
      <w:pPr>
        <w:pStyle w:val="8"/>
        <w:spacing w:before="0" w:beforeAutospacing="0" w:after="0" w:afterAutospacing="0" w:line="360" w:lineRule="auto"/>
        <w:ind w:firstLine="420"/>
        <w:rPr>
          <w:sz w:val="21"/>
          <w:szCs w:val="21"/>
        </w:rPr>
      </w:pPr>
      <w:r>
        <w:rPr>
          <w:rFonts w:hint="eastAsia"/>
          <w:sz w:val="21"/>
          <w:szCs w:val="21"/>
        </w:rPr>
        <w:t xml:space="preserve">3、不通过关联交易为自身、雇员、授权代理人或任何存在利害关系的第三人牟取任何不当利益；   </w:t>
      </w:r>
    </w:p>
    <w:p w14:paraId="4A73B0FA">
      <w:pPr>
        <w:pStyle w:val="8"/>
        <w:spacing w:before="0" w:beforeAutospacing="0" w:after="0" w:afterAutospacing="0" w:line="360" w:lineRule="auto"/>
        <w:ind w:firstLine="420"/>
        <w:rPr>
          <w:sz w:val="21"/>
          <w:szCs w:val="21"/>
        </w:rPr>
      </w:pPr>
      <w:r>
        <w:rPr>
          <w:rStyle w:val="12"/>
          <w:rFonts w:hint="eastAsia"/>
          <w:sz w:val="21"/>
          <w:szCs w:val="21"/>
        </w:rPr>
        <w:t>九、侧袋机制的实施和投资运作安排</w:t>
      </w:r>
    </w:p>
    <w:p w14:paraId="6D8F394F">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0C37FE58">
      <w:pPr>
        <w:pStyle w:val="8"/>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30ACF3F7">
      <w:pPr>
        <w:pStyle w:val="8"/>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29" w:name="chapter_level1_11_60_section_4_end"/>
      <w:bookmarkEnd w:id="129"/>
      <w:r>
        <w:rPr>
          <w:rFonts w:hint="eastAsia"/>
          <w:sz w:val="21"/>
          <w:szCs w:val="21"/>
        </w:rPr>
        <w:t xml:space="preserve">对投资者权益有重大影响的事项详见本招募说明书“侧袋机制”章节的规定。 </w:t>
      </w:r>
    </w:p>
    <w:p w14:paraId="0A7F2D34">
      <w:pPr>
        <w:pStyle w:val="8"/>
        <w:spacing w:before="0" w:beforeAutospacing="0" w:after="0" w:afterAutospacing="0" w:line="360" w:lineRule="auto"/>
        <w:ind w:firstLine="420"/>
        <w:rPr>
          <w:sz w:val="21"/>
          <w:szCs w:val="21"/>
        </w:rPr>
      </w:pPr>
      <w:bookmarkStart w:id="130" w:name="chapter_level1_11_60_section_5"/>
      <w:bookmarkEnd w:id="130"/>
      <w:bookmarkStart w:id="131" w:name="chapter_level1_11_60_section_5_end"/>
      <w:bookmarkEnd w:id="131"/>
      <w:r>
        <w:rPr>
          <w:rStyle w:val="12"/>
          <w:rFonts w:hint="eastAsia"/>
          <w:sz w:val="21"/>
          <w:szCs w:val="21"/>
        </w:rPr>
        <w:t>十、基金投资组合报告</w:t>
      </w:r>
    </w:p>
    <w:p w14:paraId="3BE11CF7">
      <w:pPr>
        <w:pStyle w:val="8"/>
        <w:spacing w:before="0" w:beforeAutospacing="0" w:after="0" w:afterAutospacing="0" w:line="360" w:lineRule="auto"/>
        <w:ind w:firstLine="420"/>
        <w:rPr>
          <w:sz w:val="21"/>
          <w:szCs w:val="21"/>
        </w:rPr>
      </w:pPr>
      <w:bookmarkStart w:id="132" w:name="chapter_level1_11_60_section_6"/>
      <w:bookmarkEnd w:id="132"/>
      <w:r>
        <w:rPr>
          <w:rFonts w:hint="eastAsia"/>
          <w:sz w:val="21"/>
          <w:szCs w:val="21"/>
        </w:rPr>
        <w:t xml:space="preserve">博时基金管理公司的董事会及董事保证本报告所载资料不存在虚假记载、误导性陈述或重大遗漏，并对其内容的真实性、准确性和完整性承担个别及连带责任。 </w:t>
      </w:r>
    </w:p>
    <w:p w14:paraId="786723EF">
      <w:pPr>
        <w:pStyle w:val="8"/>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14:paraId="561FCAD7">
      <w:pPr>
        <w:pStyle w:val="8"/>
        <w:spacing w:before="0" w:beforeAutospacing="0" w:after="0" w:afterAutospacing="0" w:line="360" w:lineRule="auto"/>
        <w:ind w:firstLine="420"/>
        <w:rPr>
          <w:sz w:val="21"/>
          <w:szCs w:val="21"/>
        </w:rPr>
      </w:pPr>
      <w:r>
        <w:rPr>
          <w:rFonts w:hint="eastAsia"/>
          <w:sz w:val="21"/>
          <w:szCs w:val="21"/>
        </w:rPr>
        <w:t>本投资组合报告所载数据截至</w:t>
      </w:r>
      <w:bookmarkStart w:id="133" w:name="field_2343_financeendday_2"/>
      <w:r>
        <w:rPr>
          <w:sz w:val="21"/>
          <w:szCs w:val="21"/>
        </w:rPr>
        <w:t>2026年6月30日</w:t>
      </w:r>
      <w:bookmarkEnd w:id="133"/>
      <w:r>
        <w:rPr>
          <w:rFonts w:hint="eastAsia"/>
          <w:sz w:val="21"/>
          <w:szCs w:val="21"/>
        </w:rPr>
        <w:t xml:space="preserve">，本报告中所列财务数据未经审计。 </w:t>
      </w:r>
    </w:p>
    <w:p w14:paraId="102FF36E">
      <w:pPr>
        <w:pStyle w:val="8"/>
        <w:spacing w:before="0" w:beforeAutospacing="0" w:after="0" w:afterAutospacing="0" w:line="360" w:lineRule="auto"/>
        <w:ind w:firstLine="420"/>
        <w:rPr>
          <w:sz w:val="21"/>
          <w:szCs w:val="21"/>
        </w:rPr>
      </w:pPr>
      <w:bookmarkStart w:id="134" w:name="field_0_fundportfolio_1_start"/>
      <w:bookmarkEnd w:id="134"/>
      <w:r>
        <w:rPr>
          <w:rStyle w:val="12"/>
          <w:rFonts w:hint="eastAsia"/>
          <w:sz w:val="21"/>
          <w:szCs w:val="21"/>
        </w:rPr>
        <w:t>1报告期末基金资产组合情况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14:paraId="205D8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014053">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B4D05B8">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5FE58480">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128AC6A5">
            <w:pPr>
              <w:jc w:val="center"/>
              <w:rPr>
                <w:rFonts w:ascii="宋体" w:hAnsi="宋体" w:eastAsia="宋体" w:cs="宋体"/>
                <w:sz w:val="24"/>
                <w:szCs w:val="24"/>
              </w:rPr>
            </w:pPr>
            <w:r>
              <w:rPr>
                <w:rFonts w:hint="eastAsia" w:ascii="宋体" w:hAnsi="宋体" w:eastAsia="宋体"/>
              </w:rPr>
              <w:t>占基金总资产的比例(%)</w:t>
            </w:r>
          </w:p>
        </w:tc>
      </w:tr>
      <w:tr w14:paraId="0C4B6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FDEBD8">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65610AB7">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28FDE85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7E6F5B4">
            <w:pPr>
              <w:jc w:val="right"/>
              <w:rPr>
                <w:rFonts w:ascii="宋体" w:hAnsi="宋体" w:eastAsia="宋体" w:cs="宋体"/>
                <w:sz w:val="24"/>
                <w:szCs w:val="24"/>
              </w:rPr>
            </w:pPr>
            <w:r>
              <w:rPr>
                <w:rFonts w:hint="eastAsia" w:ascii="宋体" w:hAnsi="宋体" w:eastAsia="宋体"/>
              </w:rPr>
              <w:t>-</w:t>
            </w:r>
          </w:p>
        </w:tc>
      </w:tr>
      <w:tr w14:paraId="7D0D0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FCF25C">
            <w:pPr>
              <w:jc w:val="center"/>
              <w:rPr>
                <w:rFonts w:ascii="宋体" w:hAnsi="宋体" w:eastAsia="宋体" w:cs="宋体"/>
                <w:sz w:val="24"/>
                <w:szCs w:val="24"/>
              </w:rPr>
            </w:pPr>
          </w:p>
        </w:tc>
        <w:tc>
          <w:tcPr>
            <w:tcW w:w="0" w:type="auto"/>
            <w:shd w:val="clear" w:color="auto" w:fill="auto"/>
          </w:tcPr>
          <w:p w14:paraId="3FC7EDDC">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4F0FBA4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1D3D00B">
            <w:pPr>
              <w:jc w:val="right"/>
              <w:rPr>
                <w:rFonts w:ascii="宋体" w:hAnsi="宋体" w:eastAsia="宋体" w:cs="宋体"/>
                <w:sz w:val="24"/>
                <w:szCs w:val="24"/>
              </w:rPr>
            </w:pPr>
            <w:r>
              <w:rPr>
                <w:rFonts w:hint="eastAsia" w:ascii="宋体" w:hAnsi="宋体" w:eastAsia="宋体"/>
              </w:rPr>
              <w:t>-</w:t>
            </w:r>
          </w:p>
        </w:tc>
      </w:tr>
      <w:tr w14:paraId="7E394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1D2CDE">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D13AAFF">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700A1D9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021377F">
            <w:pPr>
              <w:jc w:val="right"/>
              <w:rPr>
                <w:rFonts w:ascii="宋体" w:hAnsi="宋体" w:eastAsia="宋体" w:cs="宋体"/>
                <w:sz w:val="24"/>
                <w:szCs w:val="24"/>
              </w:rPr>
            </w:pPr>
            <w:r>
              <w:rPr>
                <w:rFonts w:hint="eastAsia" w:ascii="宋体" w:hAnsi="宋体" w:eastAsia="宋体"/>
              </w:rPr>
              <w:t>-</w:t>
            </w:r>
          </w:p>
        </w:tc>
      </w:tr>
      <w:tr w14:paraId="4CC7F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46CE0D">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0C19F3B7">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61860B75">
            <w:pPr>
              <w:jc w:val="right"/>
              <w:rPr>
                <w:rFonts w:ascii="宋体" w:hAnsi="宋体" w:eastAsia="宋体" w:cs="宋体"/>
                <w:sz w:val="24"/>
                <w:szCs w:val="24"/>
              </w:rPr>
            </w:pPr>
            <w:r>
              <w:rPr>
                <w:rFonts w:hint="eastAsia" w:ascii="宋体" w:hAnsi="宋体" w:eastAsia="宋体"/>
              </w:rPr>
              <w:t>1,817,319,869.00</w:t>
            </w:r>
          </w:p>
        </w:tc>
        <w:tc>
          <w:tcPr>
            <w:tcW w:w="0" w:type="auto"/>
            <w:shd w:val="clear" w:color="auto" w:fill="auto"/>
          </w:tcPr>
          <w:p w14:paraId="377DF1F1">
            <w:pPr>
              <w:jc w:val="right"/>
              <w:rPr>
                <w:rFonts w:ascii="宋体" w:hAnsi="宋体" w:eastAsia="宋体" w:cs="宋体"/>
                <w:sz w:val="24"/>
                <w:szCs w:val="24"/>
              </w:rPr>
            </w:pPr>
            <w:r>
              <w:rPr>
                <w:rFonts w:hint="eastAsia" w:ascii="宋体" w:hAnsi="宋体" w:eastAsia="宋体"/>
              </w:rPr>
              <w:t>99.17</w:t>
            </w:r>
          </w:p>
        </w:tc>
      </w:tr>
      <w:tr w14:paraId="16173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D3C5B4">
            <w:pPr>
              <w:jc w:val="center"/>
              <w:rPr>
                <w:rFonts w:ascii="宋体" w:hAnsi="宋体" w:eastAsia="宋体" w:cs="宋体"/>
                <w:sz w:val="24"/>
                <w:szCs w:val="24"/>
              </w:rPr>
            </w:pPr>
          </w:p>
        </w:tc>
        <w:tc>
          <w:tcPr>
            <w:tcW w:w="0" w:type="auto"/>
            <w:shd w:val="clear" w:color="auto" w:fill="auto"/>
          </w:tcPr>
          <w:p w14:paraId="3BC64DEA">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7B57FD32">
            <w:pPr>
              <w:jc w:val="right"/>
              <w:rPr>
                <w:rFonts w:ascii="宋体" w:hAnsi="宋体" w:eastAsia="宋体" w:cs="宋体"/>
                <w:sz w:val="24"/>
                <w:szCs w:val="24"/>
              </w:rPr>
            </w:pPr>
            <w:r>
              <w:rPr>
                <w:rFonts w:hint="eastAsia" w:ascii="宋体" w:hAnsi="宋体" w:eastAsia="宋体"/>
              </w:rPr>
              <w:t>1,817,319,869.00</w:t>
            </w:r>
          </w:p>
        </w:tc>
        <w:tc>
          <w:tcPr>
            <w:tcW w:w="0" w:type="auto"/>
            <w:shd w:val="clear" w:color="auto" w:fill="auto"/>
          </w:tcPr>
          <w:p w14:paraId="2E9B2348">
            <w:pPr>
              <w:jc w:val="right"/>
              <w:rPr>
                <w:rFonts w:ascii="宋体" w:hAnsi="宋体" w:eastAsia="宋体" w:cs="宋体"/>
                <w:sz w:val="24"/>
                <w:szCs w:val="24"/>
              </w:rPr>
            </w:pPr>
            <w:r>
              <w:rPr>
                <w:rFonts w:hint="eastAsia" w:ascii="宋体" w:hAnsi="宋体" w:eastAsia="宋体"/>
              </w:rPr>
              <w:t>99.17</w:t>
            </w:r>
          </w:p>
        </w:tc>
      </w:tr>
      <w:tr w14:paraId="7D0D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3E8BB1">
            <w:pPr>
              <w:jc w:val="center"/>
              <w:rPr>
                <w:rFonts w:ascii="宋体" w:hAnsi="宋体" w:eastAsia="宋体" w:cs="宋体"/>
                <w:sz w:val="24"/>
                <w:szCs w:val="24"/>
              </w:rPr>
            </w:pPr>
          </w:p>
        </w:tc>
        <w:tc>
          <w:tcPr>
            <w:tcW w:w="0" w:type="auto"/>
            <w:shd w:val="clear" w:color="auto" w:fill="auto"/>
          </w:tcPr>
          <w:p w14:paraId="1A9F761F">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27E731E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67FD8FB">
            <w:pPr>
              <w:jc w:val="right"/>
              <w:rPr>
                <w:rFonts w:ascii="宋体" w:hAnsi="宋体" w:eastAsia="宋体" w:cs="宋体"/>
                <w:sz w:val="24"/>
                <w:szCs w:val="24"/>
              </w:rPr>
            </w:pPr>
            <w:r>
              <w:rPr>
                <w:rFonts w:hint="eastAsia" w:ascii="宋体" w:hAnsi="宋体" w:eastAsia="宋体"/>
              </w:rPr>
              <w:t>-</w:t>
            </w:r>
          </w:p>
        </w:tc>
      </w:tr>
      <w:tr w14:paraId="3190F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F21DD8">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56B3FB92">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00B9025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7A5F334">
            <w:pPr>
              <w:jc w:val="right"/>
              <w:rPr>
                <w:rFonts w:ascii="宋体" w:hAnsi="宋体" w:eastAsia="宋体" w:cs="宋体"/>
                <w:sz w:val="24"/>
                <w:szCs w:val="24"/>
              </w:rPr>
            </w:pPr>
            <w:r>
              <w:rPr>
                <w:rFonts w:hint="eastAsia" w:ascii="宋体" w:hAnsi="宋体" w:eastAsia="宋体"/>
              </w:rPr>
              <w:t>-</w:t>
            </w:r>
          </w:p>
        </w:tc>
      </w:tr>
      <w:tr w14:paraId="46E58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585EB9">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7EEEB50C">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1B314BE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73F1DFB">
            <w:pPr>
              <w:jc w:val="right"/>
              <w:rPr>
                <w:rFonts w:ascii="宋体" w:hAnsi="宋体" w:eastAsia="宋体" w:cs="宋体"/>
                <w:sz w:val="24"/>
                <w:szCs w:val="24"/>
              </w:rPr>
            </w:pPr>
            <w:r>
              <w:rPr>
                <w:rFonts w:hint="eastAsia" w:ascii="宋体" w:hAnsi="宋体" w:eastAsia="宋体"/>
              </w:rPr>
              <w:t>-</w:t>
            </w:r>
          </w:p>
        </w:tc>
      </w:tr>
      <w:tr w14:paraId="5C972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BBCE55">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090F0C3D">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3C28B7E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7E0D688">
            <w:pPr>
              <w:jc w:val="right"/>
              <w:rPr>
                <w:rFonts w:ascii="宋体" w:hAnsi="宋体" w:eastAsia="宋体" w:cs="宋体"/>
                <w:sz w:val="24"/>
                <w:szCs w:val="24"/>
              </w:rPr>
            </w:pPr>
            <w:r>
              <w:rPr>
                <w:rFonts w:hint="eastAsia" w:ascii="宋体" w:hAnsi="宋体" w:eastAsia="宋体"/>
              </w:rPr>
              <w:t>-</w:t>
            </w:r>
          </w:p>
        </w:tc>
      </w:tr>
      <w:tr w14:paraId="23EAE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0F2FDE85">
            <w:pPr>
              <w:jc w:val="center"/>
              <w:rPr>
                <w:rFonts w:ascii="宋体" w:hAnsi="宋体" w:eastAsia="宋体" w:cs="宋体"/>
                <w:sz w:val="24"/>
                <w:szCs w:val="24"/>
              </w:rPr>
            </w:pPr>
          </w:p>
        </w:tc>
        <w:tc>
          <w:tcPr>
            <w:tcW w:w="0" w:type="auto"/>
            <w:shd w:val="clear" w:color="auto" w:fill="auto"/>
          </w:tcPr>
          <w:p w14:paraId="638173CE">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04AE295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8A9BBDB">
            <w:pPr>
              <w:jc w:val="right"/>
              <w:rPr>
                <w:rFonts w:ascii="宋体" w:hAnsi="宋体" w:eastAsia="宋体" w:cs="宋体"/>
                <w:sz w:val="24"/>
                <w:szCs w:val="24"/>
              </w:rPr>
            </w:pPr>
            <w:r>
              <w:rPr>
                <w:rFonts w:hint="eastAsia" w:ascii="宋体" w:hAnsi="宋体" w:eastAsia="宋体"/>
              </w:rPr>
              <w:t>-</w:t>
            </w:r>
          </w:p>
        </w:tc>
      </w:tr>
      <w:tr w14:paraId="57FE8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74B59F">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67631BB">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14107833">
            <w:pPr>
              <w:jc w:val="right"/>
              <w:rPr>
                <w:rFonts w:ascii="宋体" w:hAnsi="宋体" w:eastAsia="宋体" w:cs="宋体"/>
                <w:sz w:val="24"/>
                <w:szCs w:val="24"/>
              </w:rPr>
            </w:pPr>
            <w:r>
              <w:rPr>
                <w:rFonts w:hint="eastAsia" w:ascii="宋体" w:hAnsi="宋体" w:eastAsia="宋体"/>
              </w:rPr>
              <w:t>15,279,240.85</w:t>
            </w:r>
          </w:p>
        </w:tc>
        <w:tc>
          <w:tcPr>
            <w:tcW w:w="0" w:type="auto"/>
            <w:shd w:val="clear" w:color="auto" w:fill="auto"/>
          </w:tcPr>
          <w:p w14:paraId="078950AE">
            <w:pPr>
              <w:jc w:val="right"/>
              <w:rPr>
                <w:rFonts w:ascii="宋体" w:hAnsi="宋体" w:eastAsia="宋体" w:cs="宋体"/>
                <w:sz w:val="24"/>
                <w:szCs w:val="24"/>
              </w:rPr>
            </w:pPr>
            <w:r>
              <w:rPr>
                <w:rFonts w:hint="eastAsia" w:ascii="宋体" w:hAnsi="宋体" w:eastAsia="宋体"/>
              </w:rPr>
              <w:t>0.83</w:t>
            </w:r>
          </w:p>
        </w:tc>
      </w:tr>
      <w:tr w14:paraId="4C276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621B18">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5B375AE7">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7F0C7642">
            <w:pPr>
              <w:jc w:val="right"/>
              <w:rPr>
                <w:rFonts w:ascii="宋体" w:hAnsi="宋体" w:eastAsia="宋体" w:cs="宋体"/>
                <w:sz w:val="24"/>
                <w:szCs w:val="24"/>
              </w:rPr>
            </w:pPr>
            <w:r>
              <w:rPr>
                <w:rFonts w:hint="eastAsia" w:ascii="宋体" w:hAnsi="宋体" w:eastAsia="宋体"/>
              </w:rPr>
              <w:t>13,251.11</w:t>
            </w:r>
          </w:p>
        </w:tc>
        <w:tc>
          <w:tcPr>
            <w:tcW w:w="0" w:type="auto"/>
            <w:shd w:val="clear" w:color="auto" w:fill="auto"/>
          </w:tcPr>
          <w:p w14:paraId="4C1F9B3F">
            <w:pPr>
              <w:jc w:val="right"/>
              <w:rPr>
                <w:rFonts w:ascii="宋体" w:hAnsi="宋体" w:eastAsia="宋体" w:cs="宋体"/>
                <w:sz w:val="24"/>
                <w:szCs w:val="24"/>
              </w:rPr>
            </w:pPr>
            <w:r>
              <w:rPr>
                <w:rFonts w:hint="eastAsia" w:ascii="宋体" w:hAnsi="宋体" w:eastAsia="宋体"/>
              </w:rPr>
              <w:t>0.00</w:t>
            </w:r>
          </w:p>
        </w:tc>
      </w:tr>
      <w:tr w14:paraId="5DDC9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F544FE9">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1C28BA83">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55BF1922">
            <w:pPr>
              <w:jc w:val="right"/>
              <w:rPr>
                <w:rFonts w:ascii="宋体" w:hAnsi="宋体" w:eastAsia="宋体" w:cs="宋体"/>
                <w:sz w:val="24"/>
                <w:szCs w:val="24"/>
              </w:rPr>
            </w:pPr>
            <w:r>
              <w:rPr>
                <w:rFonts w:hint="eastAsia" w:ascii="宋体" w:hAnsi="宋体" w:eastAsia="宋体"/>
              </w:rPr>
              <w:t>1,832,612,360.96</w:t>
            </w:r>
          </w:p>
        </w:tc>
        <w:tc>
          <w:tcPr>
            <w:tcW w:w="0" w:type="auto"/>
            <w:shd w:val="clear" w:color="auto" w:fill="auto"/>
          </w:tcPr>
          <w:p w14:paraId="4CA95D47">
            <w:pPr>
              <w:jc w:val="right"/>
              <w:rPr>
                <w:rFonts w:ascii="宋体" w:hAnsi="宋体" w:eastAsia="宋体" w:cs="宋体"/>
                <w:sz w:val="24"/>
                <w:szCs w:val="24"/>
              </w:rPr>
            </w:pPr>
            <w:r>
              <w:rPr>
                <w:rFonts w:hint="eastAsia" w:ascii="宋体" w:hAnsi="宋体" w:eastAsia="宋体"/>
              </w:rPr>
              <w:t>100.00</w:t>
            </w:r>
          </w:p>
        </w:tc>
      </w:tr>
    </w:tbl>
    <w:p w14:paraId="6D9C1059">
      <w:pPr>
        <w:pStyle w:val="8"/>
        <w:spacing w:before="0" w:beforeAutospacing="0" w:after="0" w:afterAutospacing="0" w:line="360" w:lineRule="auto"/>
        <w:ind w:firstLine="420"/>
        <w:rPr>
          <w:sz w:val="21"/>
          <w:szCs w:val="21"/>
        </w:rPr>
      </w:pPr>
      <w:r>
        <w:rPr>
          <w:rStyle w:val="12"/>
          <w:rFonts w:hint="eastAsia"/>
          <w:sz w:val="21"/>
          <w:szCs w:val="21"/>
        </w:rPr>
        <w:t>2报告期末按行业分类的股票投资组合</w:t>
      </w:r>
    </w:p>
    <w:p w14:paraId="42854AD0">
      <w:pPr>
        <w:pStyle w:val="8"/>
        <w:spacing w:before="0" w:beforeAutospacing="0" w:after="0" w:afterAutospacing="0" w:line="360" w:lineRule="auto"/>
        <w:ind w:firstLine="420"/>
        <w:rPr>
          <w:sz w:val="21"/>
          <w:szCs w:val="21"/>
        </w:rPr>
      </w:pPr>
      <w:r>
        <w:rPr>
          <w:rStyle w:val="12"/>
          <w:rFonts w:hint="eastAsia"/>
          <w:sz w:val="21"/>
          <w:szCs w:val="21"/>
        </w:rPr>
        <w:t>2.1报告期末按行业分类的境内股票投资组合</w:t>
      </w:r>
    </w:p>
    <w:p w14:paraId="7258E6E3">
      <w:pPr>
        <w:pStyle w:val="8"/>
        <w:spacing w:before="0" w:beforeAutospacing="0" w:after="0" w:afterAutospacing="0" w:line="360" w:lineRule="auto"/>
        <w:ind w:firstLine="420"/>
        <w:rPr>
          <w:sz w:val="21"/>
          <w:szCs w:val="21"/>
        </w:rPr>
      </w:pPr>
      <w:r>
        <w:rPr>
          <w:rFonts w:hint="eastAsia"/>
          <w:sz w:val="21"/>
          <w:szCs w:val="21"/>
        </w:rPr>
        <w:t>本基金本报告期末未持有境内股票。</w:t>
      </w:r>
    </w:p>
    <w:p w14:paraId="23B7D616">
      <w:pPr>
        <w:pStyle w:val="8"/>
        <w:spacing w:before="0" w:beforeAutospacing="0" w:after="0" w:afterAutospacing="0" w:line="360" w:lineRule="auto"/>
        <w:ind w:firstLine="420"/>
        <w:rPr>
          <w:sz w:val="21"/>
          <w:szCs w:val="21"/>
        </w:rPr>
      </w:pPr>
      <w:r>
        <w:rPr>
          <w:rStyle w:val="12"/>
          <w:rFonts w:hint="eastAsia"/>
          <w:sz w:val="21"/>
          <w:szCs w:val="21"/>
        </w:rPr>
        <w:t>2.2报告期末按行业分类的港股通投资股票投资组合</w:t>
      </w:r>
    </w:p>
    <w:p w14:paraId="0572424A">
      <w:pPr>
        <w:pStyle w:val="8"/>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36275425">
      <w:pPr>
        <w:pStyle w:val="8"/>
        <w:spacing w:before="0" w:beforeAutospacing="0" w:after="0" w:afterAutospacing="0" w:line="360" w:lineRule="auto"/>
        <w:ind w:firstLine="420"/>
        <w:rPr>
          <w:sz w:val="21"/>
          <w:szCs w:val="21"/>
        </w:rPr>
      </w:pPr>
      <w:r>
        <w:rPr>
          <w:rStyle w:val="12"/>
          <w:rFonts w:hint="eastAsia"/>
          <w:sz w:val="21"/>
          <w:szCs w:val="21"/>
        </w:rPr>
        <w:t>3报告期末按公允价值占基金资产净值比例大小排序的前十名股票投资明细</w:t>
      </w:r>
    </w:p>
    <w:p w14:paraId="05FFB91F">
      <w:pPr>
        <w:pStyle w:val="8"/>
        <w:spacing w:before="0" w:beforeAutospacing="0" w:after="0" w:afterAutospacing="0" w:line="360" w:lineRule="auto"/>
        <w:ind w:firstLine="420"/>
        <w:rPr>
          <w:sz w:val="21"/>
          <w:szCs w:val="21"/>
        </w:rPr>
      </w:pPr>
      <w:r>
        <w:rPr>
          <w:rFonts w:hint="eastAsia"/>
          <w:sz w:val="21"/>
          <w:szCs w:val="21"/>
        </w:rPr>
        <w:t>本基金本报告期末未持有股票。</w:t>
      </w:r>
    </w:p>
    <w:p w14:paraId="3A94F220">
      <w:pPr>
        <w:pStyle w:val="8"/>
        <w:spacing w:before="0" w:beforeAutospacing="0" w:after="0" w:afterAutospacing="0" w:line="360" w:lineRule="auto"/>
        <w:ind w:firstLine="420"/>
        <w:rPr>
          <w:sz w:val="21"/>
          <w:szCs w:val="21"/>
        </w:rPr>
      </w:pPr>
      <w:r>
        <w:rPr>
          <w:rStyle w:val="12"/>
          <w:rFonts w:hint="eastAsia"/>
          <w:sz w:val="21"/>
          <w:szCs w:val="21"/>
        </w:rPr>
        <w:t>4报告期末按债券品种分类的债券投资组合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2503"/>
        <w:gridCol w:w="2254"/>
        <w:gridCol w:w="3003"/>
      </w:tblGrid>
      <w:tr w14:paraId="37100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CA7F0C">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8405521">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566C01D8">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0120B3F8">
            <w:pPr>
              <w:jc w:val="center"/>
              <w:rPr>
                <w:rFonts w:ascii="宋体" w:hAnsi="宋体" w:eastAsia="宋体" w:cs="宋体"/>
                <w:sz w:val="24"/>
                <w:szCs w:val="24"/>
              </w:rPr>
            </w:pPr>
            <w:r>
              <w:rPr>
                <w:rFonts w:hint="eastAsia" w:ascii="宋体" w:hAnsi="宋体" w:eastAsia="宋体"/>
              </w:rPr>
              <w:t>占基金资产净值比例(％)</w:t>
            </w:r>
          </w:p>
        </w:tc>
      </w:tr>
      <w:tr w14:paraId="050FA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C5CD67">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2600ECA">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568BD667">
            <w:pPr>
              <w:jc w:val="right"/>
              <w:rPr>
                <w:rFonts w:ascii="宋体" w:hAnsi="宋体" w:eastAsia="宋体" w:cs="宋体"/>
                <w:sz w:val="24"/>
                <w:szCs w:val="24"/>
              </w:rPr>
            </w:pPr>
            <w:r>
              <w:rPr>
                <w:rFonts w:hint="eastAsia" w:ascii="宋体" w:hAnsi="宋体" w:eastAsia="宋体"/>
              </w:rPr>
              <w:t>41,185,617.51</w:t>
            </w:r>
          </w:p>
        </w:tc>
        <w:tc>
          <w:tcPr>
            <w:tcW w:w="0" w:type="auto"/>
            <w:shd w:val="clear" w:color="auto" w:fill="auto"/>
          </w:tcPr>
          <w:p w14:paraId="2499D2DE">
            <w:pPr>
              <w:jc w:val="right"/>
              <w:rPr>
                <w:rFonts w:ascii="宋体" w:hAnsi="宋体" w:eastAsia="宋体" w:cs="宋体"/>
                <w:sz w:val="24"/>
                <w:szCs w:val="24"/>
              </w:rPr>
            </w:pPr>
            <w:r>
              <w:rPr>
                <w:rFonts w:hint="eastAsia" w:ascii="宋体" w:hAnsi="宋体" w:eastAsia="宋体"/>
              </w:rPr>
              <w:t>2.69</w:t>
            </w:r>
          </w:p>
        </w:tc>
      </w:tr>
      <w:tr w14:paraId="7387D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5A594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4062D553">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2181ADE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2D83C09">
            <w:pPr>
              <w:jc w:val="right"/>
              <w:rPr>
                <w:rFonts w:ascii="宋体" w:hAnsi="宋体" w:eastAsia="宋体" w:cs="宋体"/>
                <w:sz w:val="24"/>
                <w:szCs w:val="24"/>
              </w:rPr>
            </w:pPr>
            <w:r>
              <w:rPr>
                <w:rFonts w:hint="eastAsia" w:ascii="宋体" w:hAnsi="宋体" w:eastAsia="宋体"/>
              </w:rPr>
              <w:t>-</w:t>
            </w:r>
          </w:p>
        </w:tc>
      </w:tr>
      <w:tr w14:paraId="0730B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EE98D1">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A9CEEC7">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12582DE7">
            <w:pPr>
              <w:jc w:val="right"/>
              <w:rPr>
                <w:rFonts w:ascii="宋体" w:hAnsi="宋体" w:eastAsia="宋体" w:cs="宋体"/>
                <w:sz w:val="24"/>
                <w:szCs w:val="24"/>
              </w:rPr>
            </w:pPr>
            <w:r>
              <w:rPr>
                <w:rFonts w:hint="eastAsia" w:ascii="宋体" w:hAnsi="宋体" w:eastAsia="宋体"/>
              </w:rPr>
              <w:t>1,268,633,806.03</w:t>
            </w:r>
          </w:p>
        </w:tc>
        <w:tc>
          <w:tcPr>
            <w:tcW w:w="0" w:type="auto"/>
            <w:shd w:val="clear" w:color="auto" w:fill="auto"/>
          </w:tcPr>
          <w:p w14:paraId="44D8C74E">
            <w:pPr>
              <w:jc w:val="right"/>
              <w:rPr>
                <w:rFonts w:ascii="宋体" w:hAnsi="宋体" w:eastAsia="宋体" w:cs="宋体"/>
                <w:sz w:val="24"/>
                <w:szCs w:val="24"/>
              </w:rPr>
            </w:pPr>
            <w:r>
              <w:rPr>
                <w:rFonts w:hint="eastAsia" w:ascii="宋体" w:hAnsi="宋体" w:eastAsia="宋体"/>
              </w:rPr>
              <w:t>82.82</w:t>
            </w:r>
          </w:p>
        </w:tc>
      </w:tr>
      <w:tr w14:paraId="24066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BDFEA7">
            <w:pPr>
              <w:jc w:val="center"/>
              <w:rPr>
                <w:rFonts w:ascii="宋体" w:hAnsi="宋体" w:eastAsia="宋体" w:cs="宋体"/>
                <w:sz w:val="24"/>
                <w:szCs w:val="24"/>
              </w:rPr>
            </w:pPr>
          </w:p>
        </w:tc>
        <w:tc>
          <w:tcPr>
            <w:tcW w:w="0" w:type="auto"/>
            <w:shd w:val="clear" w:color="auto" w:fill="auto"/>
          </w:tcPr>
          <w:p w14:paraId="67008017">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576C1D45">
            <w:pPr>
              <w:jc w:val="right"/>
              <w:rPr>
                <w:rFonts w:ascii="宋体" w:hAnsi="宋体" w:eastAsia="宋体" w:cs="宋体"/>
                <w:sz w:val="24"/>
                <w:szCs w:val="24"/>
              </w:rPr>
            </w:pPr>
            <w:r>
              <w:rPr>
                <w:rFonts w:hint="eastAsia" w:ascii="宋体" w:hAnsi="宋体" w:eastAsia="宋体"/>
              </w:rPr>
              <w:t>121,794,098.63</w:t>
            </w:r>
          </w:p>
        </w:tc>
        <w:tc>
          <w:tcPr>
            <w:tcW w:w="0" w:type="auto"/>
            <w:shd w:val="clear" w:color="auto" w:fill="auto"/>
          </w:tcPr>
          <w:p w14:paraId="3825AB18">
            <w:pPr>
              <w:jc w:val="right"/>
              <w:rPr>
                <w:rFonts w:ascii="宋体" w:hAnsi="宋体" w:eastAsia="宋体" w:cs="宋体"/>
                <w:sz w:val="24"/>
                <w:szCs w:val="24"/>
              </w:rPr>
            </w:pPr>
            <w:r>
              <w:rPr>
                <w:rFonts w:hint="eastAsia" w:ascii="宋体" w:hAnsi="宋体" w:eastAsia="宋体"/>
              </w:rPr>
              <w:t>7.95</w:t>
            </w:r>
          </w:p>
        </w:tc>
      </w:tr>
      <w:tr w14:paraId="517DE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99934E">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A4CB5E6">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669CD78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CAECBF4">
            <w:pPr>
              <w:jc w:val="right"/>
              <w:rPr>
                <w:rFonts w:ascii="宋体" w:hAnsi="宋体" w:eastAsia="宋体" w:cs="宋体"/>
                <w:sz w:val="24"/>
                <w:szCs w:val="24"/>
              </w:rPr>
            </w:pPr>
            <w:r>
              <w:rPr>
                <w:rFonts w:hint="eastAsia" w:ascii="宋体" w:hAnsi="宋体" w:eastAsia="宋体"/>
              </w:rPr>
              <w:t>-</w:t>
            </w:r>
          </w:p>
        </w:tc>
      </w:tr>
      <w:tr w14:paraId="405F4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FCC6E91">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272060B">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74B1D6B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3A16F98">
            <w:pPr>
              <w:jc w:val="right"/>
              <w:rPr>
                <w:rFonts w:ascii="宋体" w:hAnsi="宋体" w:eastAsia="宋体" w:cs="宋体"/>
                <w:sz w:val="24"/>
                <w:szCs w:val="24"/>
              </w:rPr>
            </w:pPr>
            <w:r>
              <w:rPr>
                <w:rFonts w:hint="eastAsia" w:ascii="宋体" w:hAnsi="宋体" w:eastAsia="宋体"/>
              </w:rPr>
              <w:t>-</w:t>
            </w:r>
          </w:p>
        </w:tc>
      </w:tr>
      <w:tr w14:paraId="6C1C9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063463">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8A995C0">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6C14C8E5">
            <w:pPr>
              <w:jc w:val="right"/>
              <w:rPr>
                <w:rFonts w:ascii="宋体" w:hAnsi="宋体" w:eastAsia="宋体" w:cs="宋体"/>
                <w:sz w:val="24"/>
                <w:szCs w:val="24"/>
              </w:rPr>
            </w:pPr>
            <w:r>
              <w:rPr>
                <w:rFonts w:hint="eastAsia" w:ascii="宋体" w:hAnsi="宋体" w:eastAsia="宋体"/>
              </w:rPr>
              <w:t>507,500,445.46</w:t>
            </w:r>
          </w:p>
        </w:tc>
        <w:tc>
          <w:tcPr>
            <w:tcW w:w="0" w:type="auto"/>
            <w:shd w:val="clear" w:color="auto" w:fill="auto"/>
          </w:tcPr>
          <w:p w14:paraId="07BF07A5">
            <w:pPr>
              <w:jc w:val="right"/>
              <w:rPr>
                <w:rFonts w:ascii="宋体" w:hAnsi="宋体" w:eastAsia="宋体" w:cs="宋体"/>
                <w:sz w:val="24"/>
                <w:szCs w:val="24"/>
              </w:rPr>
            </w:pPr>
            <w:r>
              <w:rPr>
                <w:rFonts w:hint="eastAsia" w:ascii="宋体" w:hAnsi="宋体" w:eastAsia="宋体"/>
              </w:rPr>
              <w:t>33.13</w:t>
            </w:r>
          </w:p>
        </w:tc>
      </w:tr>
      <w:tr w14:paraId="17306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97BCA7">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2D5A72A0">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1E7AECD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45C02C1">
            <w:pPr>
              <w:jc w:val="right"/>
              <w:rPr>
                <w:rFonts w:ascii="宋体" w:hAnsi="宋体" w:eastAsia="宋体" w:cs="宋体"/>
                <w:sz w:val="24"/>
                <w:szCs w:val="24"/>
              </w:rPr>
            </w:pPr>
            <w:r>
              <w:rPr>
                <w:rFonts w:hint="eastAsia" w:ascii="宋体" w:hAnsi="宋体" w:eastAsia="宋体"/>
              </w:rPr>
              <w:t>-</w:t>
            </w:r>
          </w:p>
        </w:tc>
      </w:tr>
      <w:tr w14:paraId="1ABC6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5A7663">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5BE58B2F">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1CCB2B1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4F1BAC8">
            <w:pPr>
              <w:jc w:val="right"/>
              <w:rPr>
                <w:rFonts w:ascii="宋体" w:hAnsi="宋体" w:eastAsia="宋体" w:cs="宋体"/>
                <w:sz w:val="24"/>
                <w:szCs w:val="24"/>
              </w:rPr>
            </w:pPr>
            <w:r>
              <w:rPr>
                <w:rFonts w:hint="eastAsia" w:ascii="宋体" w:hAnsi="宋体" w:eastAsia="宋体"/>
              </w:rPr>
              <w:t>-</w:t>
            </w:r>
          </w:p>
        </w:tc>
      </w:tr>
      <w:tr w14:paraId="377AA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D8FEE9">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35D29C48">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3AFDE55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FC418F2">
            <w:pPr>
              <w:jc w:val="right"/>
              <w:rPr>
                <w:rFonts w:ascii="宋体" w:hAnsi="宋体" w:eastAsia="宋体" w:cs="宋体"/>
                <w:sz w:val="24"/>
                <w:szCs w:val="24"/>
              </w:rPr>
            </w:pPr>
            <w:r>
              <w:rPr>
                <w:rFonts w:hint="eastAsia" w:ascii="宋体" w:hAnsi="宋体" w:eastAsia="宋体"/>
              </w:rPr>
              <w:t>-</w:t>
            </w:r>
          </w:p>
        </w:tc>
      </w:tr>
      <w:tr w14:paraId="7926F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3E1C04">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0197C7E9">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6047A9C5">
            <w:pPr>
              <w:jc w:val="right"/>
              <w:rPr>
                <w:rFonts w:ascii="宋体" w:hAnsi="宋体" w:eastAsia="宋体" w:cs="宋体"/>
                <w:sz w:val="24"/>
                <w:szCs w:val="24"/>
              </w:rPr>
            </w:pPr>
            <w:r>
              <w:rPr>
                <w:rFonts w:hint="eastAsia" w:ascii="宋体" w:hAnsi="宋体" w:eastAsia="宋体"/>
              </w:rPr>
              <w:t>1,817,319,869.00</w:t>
            </w:r>
          </w:p>
        </w:tc>
        <w:tc>
          <w:tcPr>
            <w:tcW w:w="0" w:type="auto"/>
            <w:shd w:val="clear" w:color="auto" w:fill="auto"/>
          </w:tcPr>
          <w:p w14:paraId="07C4832B">
            <w:pPr>
              <w:jc w:val="right"/>
              <w:rPr>
                <w:rFonts w:ascii="宋体" w:hAnsi="宋体" w:eastAsia="宋体" w:cs="宋体"/>
                <w:sz w:val="24"/>
                <w:szCs w:val="24"/>
              </w:rPr>
            </w:pPr>
            <w:r>
              <w:rPr>
                <w:rFonts w:hint="eastAsia" w:ascii="宋体" w:hAnsi="宋体" w:eastAsia="宋体"/>
              </w:rPr>
              <w:t>118.65</w:t>
            </w:r>
          </w:p>
        </w:tc>
      </w:tr>
    </w:tbl>
    <w:p w14:paraId="3D79671D">
      <w:pPr>
        <w:pStyle w:val="8"/>
        <w:spacing w:before="0" w:beforeAutospacing="0" w:after="0" w:afterAutospacing="0" w:line="360" w:lineRule="auto"/>
        <w:ind w:firstLine="420"/>
        <w:rPr>
          <w:sz w:val="21"/>
          <w:szCs w:val="21"/>
        </w:rPr>
      </w:pPr>
      <w:r>
        <w:rPr>
          <w:rStyle w:val="12"/>
          <w:rFonts w:hint="eastAsia"/>
          <w:sz w:val="21"/>
          <w:szCs w:val="21"/>
        </w:rPr>
        <w:t>5报告期末按公允价值占基金资产净值比例大小排序的前五名债券投资明细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5"/>
        <w:gridCol w:w="1161"/>
        <w:gridCol w:w="1668"/>
        <w:gridCol w:w="1236"/>
        <w:gridCol w:w="1686"/>
        <w:gridCol w:w="2190"/>
      </w:tblGrid>
      <w:tr w14:paraId="00354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9459A4">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18B68C55">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5B304DD9">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52753D30">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03BFA2E4">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7574082F">
            <w:pPr>
              <w:jc w:val="center"/>
              <w:rPr>
                <w:rFonts w:ascii="宋体" w:hAnsi="宋体" w:eastAsia="宋体" w:cs="宋体"/>
                <w:sz w:val="24"/>
                <w:szCs w:val="24"/>
              </w:rPr>
            </w:pPr>
            <w:r>
              <w:rPr>
                <w:rFonts w:hint="eastAsia" w:ascii="宋体" w:hAnsi="宋体" w:eastAsia="宋体"/>
              </w:rPr>
              <w:t>占基金资产净值比例（％）</w:t>
            </w:r>
          </w:p>
        </w:tc>
      </w:tr>
      <w:tr w14:paraId="114C0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6A262B">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08CD708">
            <w:pPr>
              <w:jc w:val="center"/>
              <w:rPr>
                <w:rFonts w:ascii="宋体" w:hAnsi="宋体" w:eastAsia="宋体" w:cs="宋体"/>
                <w:sz w:val="24"/>
                <w:szCs w:val="24"/>
              </w:rPr>
            </w:pPr>
            <w:r>
              <w:rPr>
                <w:rFonts w:hint="eastAsia" w:ascii="宋体" w:hAnsi="宋体" w:eastAsia="宋体"/>
              </w:rPr>
              <w:t>212580017</w:t>
            </w:r>
          </w:p>
        </w:tc>
        <w:tc>
          <w:tcPr>
            <w:tcW w:w="0" w:type="auto"/>
            <w:shd w:val="clear" w:color="auto" w:fill="auto"/>
          </w:tcPr>
          <w:p w14:paraId="25844CA7">
            <w:pPr>
              <w:jc w:val="center"/>
              <w:rPr>
                <w:rFonts w:ascii="宋体" w:hAnsi="宋体" w:eastAsia="宋体" w:cs="宋体"/>
                <w:sz w:val="24"/>
                <w:szCs w:val="24"/>
              </w:rPr>
            </w:pPr>
            <w:r>
              <w:rPr>
                <w:rFonts w:hint="eastAsia" w:ascii="宋体" w:hAnsi="宋体" w:eastAsia="宋体"/>
              </w:rPr>
              <w:t>25江苏银行债02BC</w:t>
            </w:r>
          </w:p>
        </w:tc>
        <w:tc>
          <w:tcPr>
            <w:tcW w:w="0" w:type="auto"/>
            <w:shd w:val="clear" w:color="auto" w:fill="auto"/>
          </w:tcPr>
          <w:p w14:paraId="7E64C2C5">
            <w:pPr>
              <w:jc w:val="right"/>
              <w:rPr>
                <w:rFonts w:ascii="宋体" w:hAnsi="宋体" w:eastAsia="宋体" w:cs="宋体"/>
                <w:sz w:val="24"/>
                <w:szCs w:val="24"/>
              </w:rPr>
            </w:pPr>
            <w:r>
              <w:rPr>
                <w:rFonts w:hint="eastAsia" w:ascii="宋体" w:hAnsi="宋体" w:eastAsia="宋体"/>
              </w:rPr>
              <w:t>1,500,000</w:t>
            </w:r>
          </w:p>
        </w:tc>
        <w:tc>
          <w:tcPr>
            <w:tcW w:w="0" w:type="auto"/>
            <w:shd w:val="clear" w:color="auto" w:fill="auto"/>
          </w:tcPr>
          <w:p w14:paraId="55FD9F26">
            <w:pPr>
              <w:jc w:val="right"/>
              <w:rPr>
                <w:rFonts w:ascii="宋体" w:hAnsi="宋体" w:eastAsia="宋体" w:cs="宋体"/>
                <w:sz w:val="24"/>
                <w:szCs w:val="24"/>
              </w:rPr>
            </w:pPr>
            <w:r>
              <w:rPr>
                <w:rFonts w:hint="eastAsia" w:ascii="宋体" w:hAnsi="宋体" w:eastAsia="宋体"/>
              </w:rPr>
              <w:t>150,740,786.30</w:t>
            </w:r>
          </w:p>
        </w:tc>
        <w:tc>
          <w:tcPr>
            <w:tcW w:w="0" w:type="auto"/>
            <w:shd w:val="clear" w:color="auto" w:fill="auto"/>
          </w:tcPr>
          <w:p w14:paraId="71E69732">
            <w:pPr>
              <w:jc w:val="right"/>
              <w:rPr>
                <w:rFonts w:ascii="宋体" w:hAnsi="宋体" w:eastAsia="宋体" w:cs="宋体"/>
                <w:sz w:val="24"/>
                <w:szCs w:val="24"/>
              </w:rPr>
            </w:pPr>
            <w:r>
              <w:rPr>
                <w:rFonts w:hint="eastAsia" w:ascii="宋体" w:hAnsi="宋体" w:eastAsia="宋体"/>
              </w:rPr>
              <w:t>9.84</w:t>
            </w:r>
          </w:p>
        </w:tc>
      </w:tr>
      <w:tr w14:paraId="43E66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3EE1C9">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CE9D93C">
            <w:pPr>
              <w:jc w:val="center"/>
              <w:rPr>
                <w:rFonts w:ascii="宋体" w:hAnsi="宋体" w:eastAsia="宋体" w:cs="宋体"/>
                <w:sz w:val="24"/>
                <w:szCs w:val="24"/>
              </w:rPr>
            </w:pPr>
            <w:r>
              <w:rPr>
                <w:rFonts w:hint="eastAsia" w:ascii="宋体" w:hAnsi="宋体" w:eastAsia="宋体"/>
              </w:rPr>
              <w:t>2520052</w:t>
            </w:r>
          </w:p>
        </w:tc>
        <w:tc>
          <w:tcPr>
            <w:tcW w:w="0" w:type="auto"/>
            <w:shd w:val="clear" w:color="auto" w:fill="auto"/>
          </w:tcPr>
          <w:p w14:paraId="7AAF4164">
            <w:pPr>
              <w:jc w:val="center"/>
              <w:rPr>
                <w:rFonts w:ascii="宋体" w:hAnsi="宋体" w:eastAsia="宋体" w:cs="宋体"/>
                <w:sz w:val="24"/>
                <w:szCs w:val="24"/>
              </w:rPr>
            </w:pPr>
            <w:r>
              <w:rPr>
                <w:rFonts w:hint="eastAsia" w:ascii="宋体" w:hAnsi="宋体" w:eastAsia="宋体"/>
              </w:rPr>
              <w:t>25齐鲁银行小微债</w:t>
            </w:r>
          </w:p>
        </w:tc>
        <w:tc>
          <w:tcPr>
            <w:tcW w:w="0" w:type="auto"/>
            <w:shd w:val="clear" w:color="auto" w:fill="auto"/>
          </w:tcPr>
          <w:p w14:paraId="7F603B45">
            <w:pPr>
              <w:jc w:val="right"/>
              <w:rPr>
                <w:rFonts w:ascii="宋体" w:hAnsi="宋体" w:eastAsia="宋体" w:cs="宋体"/>
                <w:sz w:val="24"/>
                <w:szCs w:val="24"/>
              </w:rPr>
            </w:pPr>
            <w:r>
              <w:rPr>
                <w:rFonts w:hint="eastAsia" w:ascii="宋体" w:hAnsi="宋体" w:eastAsia="宋体"/>
              </w:rPr>
              <w:t>1,300,000</w:t>
            </w:r>
          </w:p>
        </w:tc>
        <w:tc>
          <w:tcPr>
            <w:tcW w:w="0" w:type="auto"/>
            <w:shd w:val="clear" w:color="auto" w:fill="auto"/>
          </w:tcPr>
          <w:p w14:paraId="494D3EC9">
            <w:pPr>
              <w:jc w:val="right"/>
              <w:rPr>
                <w:rFonts w:ascii="宋体" w:hAnsi="宋体" w:eastAsia="宋体" w:cs="宋体"/>
                <w:sz w:val="24"/>
                <w:szCs w:val="24"/>
              </w:rPr>
            </w:pPr>
            <w:r>
              <w:rPr>
                <w:rFonts w:hint="eastAsia" w:ascii="宋体" w:hAnsi="宋体" w:eastAsia="宋体"/>
              </w:rPr>
              <w:t>132,343,276.71</w:t>
            </w:r>
          </w:p>
        </w:tc>
        <w:tc>
          <w:tcPr>
            <w:tcW w:w="0" w:type="auto"/>
            <w:shd w:val="clear" w:color="auto" w:fill="auto"/>
          </w:tcPr>
          <w:p w14:paraId="47A40550">
            <w:pPr>
              <w:jc w:val="right"/>
              <w:rPr>
                <w:rFonts w:ascii="宋体" w:hAnsi="宋体" w:eastAsia="宋体" w:cs="宋体"/>
                <w:sz w:val="24"/>
                <w:szCs w:val="24"/>
              </w:rPr>
            </w:pPr>
            <w:r>
              <w:rPr>
                <w:rFonts w:hint="eastAsia" w:ascii="宋体" w:hAnsi="宋体" w:eastAsia="宋体"/>
              </w:rPr>
              <w:t>8.64</w:t>
            </w:r>
          </w:p>
        </w:tc>
      </w:tr>
      <w:tr w14:paraId="0141B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408F3A">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79E00BC3">
            <w:pPr>
              <w:jc w:val="center"/>
              <w:rPr>
                <w:rFonts w:ascii="宋体" w:hAnsi="宋体" w:eastAsia="宋体" w:cs="宋体"/>
                <w:sz w:val="24"/>
                <w:szCs w:val="24"/>
              </w:rPr>
            </w:pPr>
            <w:r>
              <w:rPr>
                <w:rFonts w:hint="eastAsia" w:ascii="宋体" w:hAnsi="宋体" w:eastAsia="宋体"/>
              </w:rPr>
              <w:t>212580001</w:t>
            </w:r>
          </w:p>
        </w:tc>
        <w:tc>
          <w:tcPr>
            <w:tcW w:w="0" w:type="auto"/>
            <w:shd w:val="clear" w:color="auto" w:fill="auto"/>
          </w:tcPr>
          <w:p w14:paraId="795E2317">
            <w:pPr>
              <w:jc w:val="center"/>
              <w:rPr>
                <w:rFonts w:ascii="宋体" w:hAnsi="宋体" w:eastAsia="宋体" w:cs="宋体"/>
                <w:sz w:val="24"/>
                <w:szCs w:val="24"/>
              </w:rPr>
            </w:pPr>
            <w:r>
              <w:rPr>
                <w:rFonts w:hint="eastAsia" w:ascii="宋体" w:hAnsi="宋体" w:eastAsia="宋体"/>
              </w:rPr>
              <w:t>25浙商银行债01A</w:t>
            </w:r>
          </w:p>
        </w:tc>
        <w:tc>
          <w:tcPr>
            <w:tcW w:w="0" w:type="auto"/>
            <w:shd w:val="clear" w:color="auto" w:fill="auto"/>
          </w:tcPr>
          <w:p w14:paraId="1D2A0751">
            <w:pPr>
              <w:jc w:val="right"/>
              <w:rPr>
                <w:rFonts w:ascii="宋体" w:hAnsi="宋体" w:eastAsia="宋体" w:cs="宋体"/>
                <w:sz w:val="24"/>
                <w:szCs w:val="24"/>
              </w:rPr>
            </w:pPr>
            <w:r>
              <w:rPr>
                <w:rFonts w:hint="eastAsia" w:ascii="宋体" w:hAnsi="宋体" w:eastAsia="宋体"/>
              </w:rPr>
              <w:t>1,300,000</w:t>
            </w:r>
          </w:p>
        </w:tc>
        <w:tc>
          <w:tcPr>
            <w:tcW w:w="0" w:type="auto"/>
            <w:shd w:val="clear" w:color="auto" w:fill="auto"/>
          </w:tcPr>
          <w:p w14:paraId="7E572433">
            <w:pPr>
              <w:jc w:val="right"/>
              <w:rPr>
                <w:rFonts w:ascii="宋体" w:hAnsi="宋体" w:eastAsia="宋体" w:cs="宋体"/>
                <w:sz w:val="24"/>
                <w:szCs w:val="24"/>
              </w:rPr>
            </w:pPr>
            <w:r>
              <w:rPr>
                <w:rFonts w:hint="eastAsia" w:ascii="宋体" w:hAnsi="宋体" w:eastAsia="宋体"/>
              </w:rPr>
              <w:t>131,344,164.38</w:t>
            </w:r>
          </w:p>
        </w:tc>
        <w:tc>
          <w:tcPr>
            <w:tcW w:w="0" w:type="auto"/>
            <w:shd w:val="clear" w:color="auto" w:fill="auto"/>
          </w:tcPr>
          <w:p w14:paraId="166E17DA">
            <w:pPr>
              <w:jc w:val="right"/>
              <w:rPr>
                <w:rFonts w:ascii="宋体" w:hAnsi="宋体" w:eastAsia="宋体" w:cs="宋体"/>
                <w:sz w:val="24"/>
                <w:szCs w:val="24"/>
              </w:rPr>
            </w:pPr>
            <w:r>
              <w:rPr>
                <w:rFonts w:hint="eastAsia" w:ascii="宋体" w:hAnsi="宋体" w:eastAsia="宋体"/>
              </w:rPr>
              <w:t>8.57</w:t>
            </w:r>
          </w:p>
        </w:tc>
      </w:tr>
      <w:tr w14:paraId="631F2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5E80C5">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7BFD8D39">
            <w:pPr>
              <w:jc w:val="center"/>
              <w:rPr>
                <w:rFonts w:ascii="宋体" w:hAnsi="宋体" w:eastAsia="宋体" w:cs="宋体"/>
                <w:sz w:val="24"/>
                <w:szCs w:val="24"/>
              </w:rPr>
            </w:pPr>
            <w:r>
              <w:rPr>
                <w:rFonts w:hint="eastAsia" w:ascii="宋体" w:hAnsi="宋体" w:eastAsia="宋体"/>
              </w:rPr>
              <w:t>212580050</w:t>
            </w:r>
          </w:p>
        </w:tc>
        <w:tc>
          <w:tcPr>
            <w:tcW w:w="0" w:type="auto"/>
            <w:shd w:val="clear" w:color="auto" w:fill="auto"/>
          </w:tcPr>
          <w:p w14:paraId="0B8F98A9">
            <w:pPr>
              <w:jc w:val="center"/>
              <w:rPr>
                <w:rFonts w:ascii="宋体" w:hAnsi="宋体" w:eastAsia="宋体" w:cs="宋体"/>
                <w:sz w:val="24"/>
                <w:szCs w:val="24"/>
              </w:rPr>
            </w:pPr>
            <w:r>
              <w:rPr>
                <w:rFonts w:hint="eastAsia" w:ascii="宋体" w:hAnsi="宋体" w:eastAsia="宋体"/>
              </w:rPr>
              <w:t>25兴业银行债01</w:t>
            </w:r>
          </w:p>
        </w:tc>
        <w:tc>
          <w:tcPr>
            <w:tcW w:w="0" w:type="auto"/>
            <w:shd w:val="clear" w:color="auto" w:fill="auto"/>
          </w:tcPr>
          <w:p w14:paraId="556E3500">
            <w:pPr>
              <w:jc w:val="right"/>
              <w:rPr>
                <w:rFonts w:ascii="宋体" w:hAnsi="宋体" w:eastAsia="宋体" w:cs="宋体"/>
                <w:sz w:val="24"/>
                <w:szCs w:val="24"/>
              </w:rPr>
            </w:pPr>
            <w:r>
              <w:rPr>
                <w:rFonts w:hint="eastAsia" w:ascii="宋体" w:hAnsi="宋体" w:eastAsia="宋体"/>
              </w:rPr>
              <w:t>1,100,000</w:t>
            </w:r>
          </w:p>
        </w:tc>
        <w:tc>
          <w:tcPr>
            <w:tcW w:w="0" w:type="auto"/>
            <w:shd w:val="clear" w:color="auto" w:fill="auto"/>
          </w:tcPr>
          <w:p w14:paraId="3287FB72">
            <w:pPr>
              <w:jc w:val="right"/>
              <w:rPr>
                <w:rFonts w:ascii="宋体" w:hAnsi="宋体" w:eastAsia="宋体" w:cs="宋体"/>
                <w:sz w:val="24"/>
                <w:szCs w:val="24"/>
              </w:rPr>
            </w:pPr>
            <w:r>
              <w:rPr>
                <w:rFonts w:hint="eastAsia" w:ascii="宋体" w:hAnsi="宋体" w:eastAsia="宋体"/>
              </w:rPr>
              <w:t>112,029,466.85</w:t>
            </w:r>
          </w:p>
        </w:tc>
        <w:tc>
          <w:tcPr>
            <w:tcW w:w="0" w:type="auto"/>
            <w:shd w:val="clear" w:color="auto" w:fill="auto"/>
          </w:tcPr>
          <w:p w14:paraId="20226548">
            <w:pPr>
              <w:jc w:val="right"/>
              <w:rPr>
                <w:rFonts w:ascii="宋体" w:hAnsi="宋体" w:eastAsia="宋体" w:cs="宋体"/>
                <w:sz w:val="24"/>
                <w:szCs w:val="24"/>
              </w:rPr>
            </w:pPr>
            <w:r>
              <w:rPr>
                <w:rFonts w:hint="eastAsia" w:ascii="宋体" w:hAnsi="宋体" w:eastAsia="宋体"/>
              </w:rPr>
              <w:t>7.31</w:t>
            </w:r>
          </w:p>
        </w:tc>
      </w:tr>
      <w:tr w14:paraId="28166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0FA835">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3BE5D043">
            <w:pPr>
              <w:jc w:val="center"/>
              <w:rPr>
                <w:rFonts w:ascii="宋体" w:hAnsi="宋体" w:eastAsia="宋体" w:cs="宋体"/>
                <w:sz w:val="24"/>
                <w:szCs w:val="24"/>
              </w:rPr>
            </w:pPr>
            <w:r>
              <w:rPr>
                <w:rFonts w:hint="eastAsia" w:ascii="宋体" w:hAnsi="宋体" w:eastAsia="宋体"/>
              </w:rPr>
              <w:t>102583374</w:t>
            </w:r>
          </w:p>
        </w:tc>
        <w:tc>
          <w:tcPr>
            <w:tcW w:w="0" w:type="auto"/>
            <w:shd w:val="clear" w:color="auto" w:fill="auto"/>
          </w:tcPr>
          <w:p w14:paraId="2A3363F5">
            <w:pPr>
              <w:jc w:val="center"/>
              <w:rPr>
                <w:rFonts w:ascii="宋体" w:hAnsi="宋体" w:eastAsia="宋体" w:cs="宋体"/>
                <w:sz w:val="24"/>
                <w:szCs w:val="24"/>
              </w:rPr>
            </w:pPr>
            <w:r>
              <w:rPr>
                <w:rFonts w:hint="eastAsia" w:ascii="宋体" w:hAnsi="宋体" w:eastAsia="宋体"/>
              </w:rPr>
              <w:t>25京国资MTN010</w:t>
            </w:r>
          </w:p>
        </w:tc>
        <w:tc>
          <w:tcPr>
            <w:tcW w:w="0" w:type="auto"/>
            <w:shd w:val="clear" w:color="auto" w:fill="auto"/>
          </w:tcPr>
          <w:p w14:paraId="640EE949">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14:paraId="6C3E129C">
            <w:pPr>
              <w:jc w:val="right"/>
              <w:rPr>
                <w:rFonts w:ascii="宋体" w:hAnsi="宋体" w:eastAsia="宋体" w:cs="宋体"/>
                <w:sz w:val="24"/>
                <w:szCs w:val="24"/>
              </w:rPr>
            </w:pPr>
            <w:r>
              <w:rPr>
                <w:rFonts w:hint="eastAsia" w:ascii="宋体" w:hAnsi="宋体" w:eastAsia="宋体"/>
              </w:rPr>
              <w:t>101,791,435.62</w:t>
            </w:r>
          </w:p>
        </w:tc>
        <w:tc>
          <w:tcPr>
            <w:tcW w:w="0" w:type="auto"/>
            <w:shd w:val="clear" w:color="auto" w:fill="auto"/>
          </w:tcPr>
          <w:p w14:paraId="11E4D6DE">
            <w:pPr>
              <w:jc w:val="right"/>
              <w:rPr>
                <w:rFonts w:ascii="宋体" w:hAnsi="宋体" w:eastAsia="宋体" w:cs="宋体"/>
                <w:sz w:val="24"/>
                <w:szCs w:val="24"/>
              </w:rPr>
            </w:pPr>
            <w:r>
              <w:rPr>
                <w:rFonts w:hint="eastAsia" w:ascii="宋体" w:hAnsi="宋体" w:eastAsia="宋体"/>
              </w:rPr>
              <w:t>6.65</w:t>
            </w:r>
          </w:p>
        </w:tc>
      </w:tr>
    </w:tbl>
    <w:p w14:paraId="10317F49">
      <w:pPr>
        <w:pStyle w:val="8"/>
        <w:spacing w:before="0" w:beforeAutospacing="0" w:after="0" w:afterAutospacing="0" w:line="360" w:lineRule="auto"/>
        <w:ind w:firstLine="420"/>
        <w:rPr>
          <w:sz w:val="21"/>
          <w:szCs w:val="21"/>
        </w:rPr>
      </w:pPr>
      <w:r>
        <w:rPr>
          <w:rStyle w:val="12"/>
          <w:rFonts w:hint="eastAsia"/>
          <w:sz w:val="21"/>
          <w:szCs w:val="21"/>
        </w:rPr>
        <w:t>6报告期末按公允价值占基金资产净值比例大小排序的前十名资产支持证券投资明细</w:t>
      </w:r>
    </w:p>
    <w:p w14:paraId="403524CC">
      <w:pPr>
        <w:pStyle w:val="8"/>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2076BBF1">
      <w:pPr>
        <w:pStyle w:val="8"/>
        <w:spacing w:before="0" w:beforeAutospacing="0" w:after="0" w:afterAutospacing="0" w:line="360" w:lineRule="auto"/>
        <w:ind w:firstLine="420"/>
        <w:rPr>
          <w:sz w:val="21"/>
          <w:szCs w:val="21"/>
        </w:rPr>
      </w:pPr>
      <w:r>
        <w:rPr>
          <w:rStyle w:val="12"/>
          <w:rFonts w:hint="eastAsia"/>
          <w:sz w:val="21"/>
          <w:szCs w:val="21"/>
        </w:rPr>
        <w:t>7报告期末按公允价值占基金资产净值比例大小排序的前五名贵金属投资明细</w:t>
      </w:r>
    </w:p>
    <w:p w14:paraId="56206503">
      <w:pPr>
        <w:pStyle w:val="8"/>
        <w:spacing w:before="0" w:beforeAutospacing="0" w:after="0" w:afterAutospacing="0" w:line="360" w:lineRule="auto"/>
        <w:ind w:firstLine="420"/>
        <w:rPr>
          <w:sz w:val="21"/>
          <w:szCs w:val="21"/>
        </w:rPr>
      </w:pPr>
      <w:r>
        <w:rPr>
          <w:rFonts w:hint="eastAsia"/>
          <w:sz w:val="21"/>
          <w:szCs w:val="21"/>
        </w:rPr>
        <w:t>本基金本报告期末未持有贵金属。</w:t>
      </w:r>
    </w:p>
    <w:p w14:paraId="2A54CB92">
      <w:pPr>
        <w:pStyle w:val="8"/>
        <w:spacing w:before="0" w:beforeAutospacing="0" w:after="0" w:afterAutospacing="0" w:line="360" w:lineRule="auto"/>
        <w:ind w:firstLine="420"/>
        <w:rPr>
          <w:sz w:val="21"/>
          <w:szCs w:val="21"/>
        </w:rPr>
      </w:pPr>
      <w:r>
        <w:rPr>
          <w:rStyle w:val="12"/>
          <w:rFonts w:hint="eastAsia"/>
          <w:sz w:val="21"/>
          <w:szCs w:val="21"/>
        </w:rPr>
        <w:t>8报告期末按公允价值占基金资产净值比例大小排序的前五名权证投资明细</w:t>
      </w:r>
    </w:p>
    <w:p w14:paraId="3C2F51B9">
      <w:pPr>
        <w:pStyle w:val="8"/>
        <w:spacing w:before="0" w:beforeAutospacing="0" w:after="0" w:afterAutospacing="0" w:line="360" w:lineRule="auto"/>
        <w:ind w:firstLine="420"/>
        <w:rPr>
          <w:sz w:val="21"/>
          <w:szCs w:val="21"/>
        </w:rPr>
      </w:pPr>
      <w:r>
        <w:rPr>
          <w:rFonts w:hint="eastAsia"/>
          <w:sz w:val="21"/>
          <w:szCs w:val="21"/>
        </w:rPr>
        <w:t>本基金本报告期末未持有权证。</w:t>
      </w:r>
    </w:p>
    <w:p w14:paraId="3775C167">
      <w:pPr>
        <w:pStyle w:val="8"/>
        <w:spacing w:before="0" w:beforeAutospacing="0" w:after="0" w:afterAutospacing="0" w:line="360" w:lineRule="auto"/>
        <w:ind w:firstLine="420"/>
        <w:rPr>
          <w:sz w:val="21"/>
          <w:szCs w:val="21"/>
        </w:rPr>
      </w:pPr>
      <w:r>
        <w:rPr>
          <w:rStyle w:val="12"/>
          <w:rFonts w:hint="eastAsia"/>
          <w:sz w:val="21"/>
          <w:szCs w:val="21"/>
        </w:rPr>
        <w:t>9报告期末本基金投资的股指期货交易情况说明</w:t>
      </w:r>
    </w:p>
    <w:p w14:paraId="19B68236">
      <w:pPr>
        <w:pStyle w:val="8"/>
        <w:spacing w:before="0" w:beforeAutospacing="0" w:after="0" w:afterAutospacing="0" w:line="360" w:lineRule="auto"/>
        <w:ind w:firstLine="420"/>
        <w:rPr>
          <w:sz w:val="21"/>
          <w:szCs w:val="21"/>
        </w:rPr>
      </w:pPr>
      <w:r>
        <w:rPr>
          <w:rStyle w:val="12"/>
          <w:rFonts w:hint="eastAsia"/>
          <w:sz w:val="21"/>
          <w:szCs w:val="21"/>
        </w:rPr>
        <w:t>9.1报告期末本基金投资的股指期货持仓和损益明细</w:t>
      </w:r>
    </w:p>
    <w:p w14:paraId="02A5D933">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4DBFBC20">
      <w:pPr>
        <w:pStyle w:val="8"/>
        <w:spacing w:before="0" w:beforeAutospacing="0" w:after="0" w:afterAutospacing="0" w:line="360" w:lineRule="auto"/>
        <w:ind w:firstLine="420"/>
        <w:rPr>
          <w:sz w:val="21"/>
          <w:szCs w:val="21"/>
        </w:rPr>
      </w:pPr>
      <w:r>
        <w:rPr>
          <w:rStyle w:val="12"/>
          <w:rFonts w:hint="eastAsia"/>
          <w:sz w:val="21"/>
          <w:szCs w:val="21"/>
        </w:rPr>
        <w:t>9.2本基金投资股指期货的投资政策</w:t>
      </w:r>
    </w:p>
    <w:p w14:paraId="399C8B5A">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4DCBE5F7">
      <w:pPr>
        <w:pStyle w:val="8"/>
        <w:spacing w:before="0" w:beforeAutospacing="0" w:after="0" w:afterAutospacing="0" w:line="360" w:lineRule="auto"/>
        <w:ind w:firstLine="420"/>
        <w:rPr>
          <w:sz w:val="21"/>
          <w:szCs w:val="21"/>
        </w:rPr>
      </w:pPr>
      <w:r>
        <w:rPr>
          <w:rStyle w:val="12"/>
          <w:rFonts w:hint="eastAsia"/>
          <w:sz w:val="21"/>
          <w:szCs w:val="21"/>
        </w:rPr>
        <w:t>10报告期末本基金投资的国债期货交易情况说明</w:t>
      </w:r>
    </w:p>
    <w:p w14:paraId="0D5E9ECE">
      <w:pPr>
        <w:pStyle w:val="8"/>
        <w:spacing w:before="0" w:beforeAutospacing="0" w:after="0" w:afterAutospacing="0" w:line="360" w:lineRule="auto"/>
        <w:ind w:firstLine="420"/>
        <w:rPr>
          <w:sz w:val="21"/>
          <w:szCs w:val="21"/>
        </w:rPr>
      </w:pPr>
      <w:r>
        <w:rPr>
          <w:rStyle w:val="12"/>
          <w:rFonts w:hint="eastAsia"/>
          <w:sz w:val="21"/>
          <w:szCs w:val="21"/>
        </w:rPr>
        <w:t>10.1本期国债期货投资政策</w:t>
      </w:r>
    </w:p>
    <w:p w14:paraId="1C0690E8">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3220DD8F">
      <w:pPr>
        <w:pStyle w:val="8"/>
        <w:spacing w:before="0" w:beforeAutospacing="0" w:after="0" w:afterAutospacing="0" w:line="360" w:lineRule="auto"/>
        <w:ind w:firstLine="420"/>
        <w:rPr>
          <w:sz w:val="21"/>
          <w:szCs w:val="21"/>
        </w:rPr>
      </w:pPr>
      <w:r>
        <w:rPr>
          <w:rStyle w:val="12"/>
          <w:rFonts w:hint="eastAsia"/>
          <w:sz w:val="21"/>
          <w:szCs w:val="21"/>
        </w:rPr>
        <w:t>10.2报告期末本基金投资的国债期货持仓和损益明细</w:t>
      </w:r>
    </w:p>
    <w:p w14:paraId="1FC3BCEC">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7A06E493">
      <w:pPr>
        <w:pStyle w:val="8"/>
        <w:spacing w:before="0" w:beforeAutospacing="0" w:after="0" w:afterAutospacing="0" w:line="360" w:lineRule="auto"/>
        <w:ind w:firstLine="420"/>
        <w:rPr>
          <w:sz w:val="21"/>
          <w:szCs w:val="21"/>
        </w:rPr>
      </w:pPr>
      <w:r>
        <w:rPr>
          <w:rStyle w:val="12"/>
          <w:rFonts w:hint="eastAsia"/>
          <w:sz w:val="21"/>
          <w:szCs w:val="21"/>
        </w:rPr>
        <w:t>11投资组合报告附注</w:t>
      </w:r>
    </w:p>
    <w:p w14:paraId="4A51DC99">
      <w:pPr>
        <w:pStyle w:val="8"/>
        <w:spacing w:before="0" w:beforeAutospacing="0" w:after="0" w:afterAutospacing="0" w:line="360" w:lineRule="auto"/>
        <w:ind w:firstLine="420"/>
        <w:rPr>
          <w:sz w:val="21"/>
          <w:szCs w:val="21"/>
        </w:rPr>
      </w:pPr>
      <w:r>
        <w:rPr>
          <w:rStyle w:val="12"/>
          <w:rFonts w:hint="eastAsia"/>
          <w:sz w:val="21"/>
          <w:szCs w:val="21"/>
        </w:rPr>
        <w:t>11.1基金投资前十名证券的发行主体被监管部门立案调查或编制日前一年内受到公开谴责、处罚的投资决策程序说明</w:t>
      </w:r>
    </w:p>
    <w:p w14:paraId="68E4A442">
      <w:pPr>
        <w:pStyle w:val="8"/>
        <w:spacing w:before="0" w:beforeAutospacing="0" w:after="0" w:afterAutospacing="0" w:line="360" w:lineRule="auto"/>
        <w:ind w:firstLine="420"/>
        <w:rPr>
          <w:sz w:val="21"/>
          <w:szCs w:val="21"/>
        </w:rPr>
      </w:pPr>
      <w:r>
        <w:rPr>
          <w:rFonts w:hint="eastAsia"/>
          <w:sz w:val="21"/>
          <w:szCs w:val="21"/>
        </w:rPr>
        <w:t>本基金投资的前十名证券的发行主体中，上海银行股份有限公司在报告编制前一年受到中国人民银行、国家金融监督管理总局上海监管局的处罚。中国农业发展银行在报告编制前一年受到中国人民银行云南省分行、中国人民银行新疆维吾尔自治区分行、中国人民银行江西省分行、中国人民银行贵州省分行、国家外汇管理局河南省分局、金融监管总局的处罚。交通银行股份有限公司在报告编制前一年受到中国人民银行、国家外汇管理局湖北省分局、国家金融监督管理总局上海监管局、金融监管总局的处罚，在报告编制前一年受到中国人民银行威海市分行、中国人民银行山东省分行的通报批评。兴业银行股份有限公司在报告编制前一年受到中国人民银行广东省分行、国家外汇管理局北京市分局、宁德市市场监督管理局、金融监管总局的处罚。南京银行股份有限公司在报告编制前一年受到江苏金融监管局、浙江金融监管局的处罚。杭州联合农村商业银行股份有限公司在报告编制前一年受到中国人民银行浙江省分行、浙江金融监管局的处罚。江苏银行股份有限公司在报告编制前一年受到中国人民银行北京市分行、常州市市场监督管理局、无锡金融监管分局的处罚。浙商银行股份有限公司在报告编制前一年受到中国人民银行、国家外汇管理局天津市分局、金融监管总局的处罚。齐鲁银行股份有限公司在报告编制前一年受到国家外汇管理局泰安市分局、威海金融监管分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68EE617C">
      <w:pPr>
        <w:pStyle w:val="8"/>
        <w:spacing w:before="0" w:beforeAutospacing="0" w:after="0" w:afterAutospacing="0" w:line="360" w:lineRule="auto"/>
        <w:ind w:firstLine="420"/>
        <w:rPr>
          <w:sz w:val="21"/>
          <w:szCs w:val="21"/>
        </w:rPr>
      </w:pPr>
      <w:r>
        <w:rPr>
          <w:rStyle w:val="12"/>
          <w:rFonts w:hint="eastAsia"/>
          <w:sz w:val="21"/>
          <w:szCs w:val="21"/>
        </w:rPr>
        <w:t>11.2其他资产构成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4122"/>
        <w:gridCol w:w="2839"/>
      </w:tblGrid>
      <w:tr w14:paraId="1D0A1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BBF0C1">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431762E">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2842E19D">
            <w:pPr>
              <w:jc w:val="center"/>
              <w:rPr>
                <w:rFonts w:ascii="宋体" w:hAnsi="宋体" w:eastAsia="宋体" w:cs="宋体"/>
                <w:sz w:val="24"/>
                <w:szCs w:val="24"/>
              </w:rPr>
            </w:pPr>
            <w:r>
              <w:rPr>
                <w:rFonts w:hint="eastAsia" w:ascii="宋体" w:hAnsi="宋体" w:eastAsia="宋体"/>
              </w:rPr>
              <w:t>金额(元)</w:t>
            </w:r>
          </w:p>
        </w:tc>
      </w:tr>
      <w:tr w14:paraId="26857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24F7F2">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18EB968C">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00CEF564">
            <w:pPr>
              <w:jc w:val="right"/>
              <w:rPr>
                <w:rFonts w:ascii="宋体" w:hAnsi="宋体" w:eastAsia="宋体" w:cs="宋体"/>
                <w:sz w:val="24"/>
                <w:szCs w:val="24"/>
              </w:rPr>
            </w:pPr>
            <w:r>
              <w:rPr>
                <w:rFonts w:hint="eastAsia" w:ascii="宋体" w:hAnsi="宋体" w:eastAsia="宋体"/>
              </w:rPr>
              <w:t>-</w:t>
            </w:r>
          </w:p>
        </w:tc>
      </w:tr>
      <w:tr w14:paraId="1E646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0A1129">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F868646">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51BBAF68">
            <w:pPr>
              <w:jc w:val="right"/>
              <w:rPr>
                <w:rFonts w:ascii="宋体" w:hAnsi="宋体" w:eastAsia="宋体" w:cs="宋体"/>
                <w:sz w:val="24"/>
                <w:szCs w:val="24"/>
              </w:rPr>
            </w:pPr>
            <w:r>
              <w:rPr>
                <w:rFonts w:hint="eastAsia" w:ascii="宋体" w:hAnsi="宋体" w:eastAsia="宋体"/>
              </w:rPr>
              <w:t>-</w:t>
            </w:r>
          </w:p>
        </w:tc>
      </w:tr>
      <w:tr w14:paraId="1F8FB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9157C9">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73B28E4">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25CC3CDF">
            <w:pPr>
              <w:jc w:val="right"/>
              <w:rPr>
                <w:rFonts w:ascii="宋体" w:hAnsi="宋体" w:eastAsia="宋体" w:cs="宋体"/>
                <w:sz w:val="24"/>
                <w:szCs w:val="24"/>
              </w:rPr>
            </w:pPr>
            <w:r>
              <w:rPr>
                <w:rFonts w:hint="eastAsia" w:ascii="宋体" w:hAnsi="宋体" w:eastAsia="宋体"/>
              </w:rPr>
              <w:t>-</w:t>
            </w:r>
          </w:p>
        </w:tc>
      </w:tr>
      <w:tr w14:paraId="4D4E3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466729">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ADDC6E4">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0859F106">
            <w:pPr>
              <w:jc w:val="right"/>
              <w:rPr>
                <w:rFonts w:ascii="宋体" w:hAnsi="宋体" w:eastAsia="宋体" w:cs="宋体"/>
                <w:sz w:val="24"/>
                <w:szCs w:val="24"/>
              </w:rPr>
            </w:pPr>
            <w:r>
              <w:rPr>
                <w:rFonts w:hint="eastAsia" w:ascii="宋体" w:hAnsi="宋体" w:eastAsia="宋体"/>
              </w:rPr>
              <w:t>-</w:t>
            </w:r>
          </w:p>
        </w:tc>
      </w:tr>
      <w:tr w14:paraId="74C99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F1B45E">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70BC72B">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1E06CE64">
            <w:pPr>
              <w:jc w:val="right"/>
              <w:rPr>
                <w:rFonts w:ascii="宋体" w:hAnsi="宋体" w:eastAsia="宋体" w:cs="宋体"/>
                <w:sz w:val="24"/>
                <w:szCs w:val="24"/>
              </w:rPr>
            </w:pPr>
            <w:r>
              <w:rPr>
                <w:rFonts w:hint="eastAsia" w:ascii="宋体" w:hAnsi="宋体" w:eastAsia="宋体"/>
              </w:rPr>
              <w:t>13,251.11</w:t>
            </w:r>
          </w:p>
        </w:tc>
      </w:tr>
      <w:tr w14:paraId="27574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29EFAC">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5DAF8ADF">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070615AE">
            <w:pPr>
              <w:jc w:val="right"/>
              <w:rPr>
                <w:rFonts w:ascii="宋体" w:hAnsi="宋体" w:eastAsia="宋体" w:cs="宋体"/>
                <w:sz w:val="24"/>
                <w:szCs w:val="24"/>
              </w:rPr>
            </w:pPr>
            <w:r>
              <w:rPr>
                <w:rFonts w:hint="eastAsia" w:ascii="宋体" w:hAnsi="宋体" w:eastAsia="宋体"/>
              </w:rPr>
              <w:t>-</w:t>
            </w:r>
          </w:p>
        </w:tc>
      </w:tr>
      <w:tr w14:paraId="02847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D787F1">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7DEBB7C4">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0FDFCC6F">
            <w:pPr>
              <w:jc w:val="right"/>
              <w:rPr>
                <w:rFonts w:ascii="宋体" w:hAnsi="宋体" w:eastAsia="宋体" w:cs="宋体"/>
                <w:sz w:val="24"/>
                <w:szCs w:val="24"/>
              </w:rPr>
            </w:pPr>
            <w:r>
              <w:rPr>
                <w:rFonts w:hint="eastAsia" w:ascii="宋体" w:hAnsi="宋体" w:eastAsia="宋体"/>
              </w:rPr>
              <w:t>-</w:t>
            </w:r>
          </w:p>
        </w:tc>
      </w:tr>
      <w:tr w14:paraId="4FB11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0D1E94">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1424B7A">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391366A5">
            <w:pPr>
              <w:jc w:val="right"/>
              <w:rPr>
                <w:rFonts w:ascii="宋体" w:hAnsi="宋体" w:eastAsia="宋体" w:cs="宋体"/>
                <w:sz w:val="24"/>
                <w:szCs w:val="24"/>
              </w:rPr>
            </w:pPr>
            <w:r>
              <w:rPr>
                <w:rFonts w:hint="eastAsia" w:ascii="宋体" w:hAnsi="宋体" w:eastAsia="宋体"/>
              </w:rPr>
              <w:t>13,251.11</w:t>
            </w:r>
          </w:p>
        </w:tc>
      </w:tr>
    </w:tbl>
    <w:p w14:paraId="3BA23BE2">
      <w:pPr>
        <w:pStyle w:val="8"/>
        <w:spacing w:before="0" w:beforeAutospacing="0" w:after="0" w:afterAutospacing="0" w:line="360" w:lineRule="auto"/>
        <w:ind w:firstLine="420"/>
        <w:rPr>
          <w:sz w:val="21"/>
          <w:szCs w:val="21"/>
        </w:rPr>
      </w:pPr>
      <w:r>
        <w:rPr>
          <w:rStyle w:val="12"/>
          <w:rFonts w:hint="eastAsia"/>
          <w:sz w:val="21"/>
          <w:szCs w:val="21"/>
        </w:rPr>
        <w:t>11.3报告期末持有的处于转股期的可转换债券明细</w:t>
      </w:r>
    </w:p>
    <w:p w14:paraId="393629FC">
      <w:pPr>
        <w:pStyle w:val="8"/>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4032246C">
      <w:pPr>
        <w:pStyle w:val="8"/>
        <w:spacing w:before="0" w:beforeAutospacing="0" w:after="0" w:afterAutospacing="0" w:line="360" w:lineRule="auto"/>
        <w:ind w:firstLine="420"/>
        <w:rPr>
          <w:sz w:val="21"/>
          <w:szCs w:val="21"/>
        </w:rPr>
      </w:pPr>
      <w:r>
        <w:rPr>
          <w:rStyle w:val="12"/>
          <w:rFonts w:hint="eastAsia"/>
          <w:sz w:val="21"/>
          <w:szCs w:val="21"/>
        </w:rPr>
        <w:t>11.4报告期末前十名股票中存在流通受限情况的说明</w:t>
      </w:r>
    </w:p>
    <w:p w14:paraId="6F12A71F">
      <w:pPr>
        <w:pStyle w:val="8"/>
        <w:spacing w:before="0" w:beforeAutospacing="0" w:after="0" w:afterAutospacing="0" w:line="360" w:lineRule="auto"/>
        <w:ind w:firstLine="420"/>
        <w:rPr>
          <w:sz w:val="21"/>
          <w:szCs w:val="21"/>
        </w:rPr>
      </w:pPr>
      <w:r>
        <w:rPr>
          <w:rFonts w:hint="eastAsia"/>
          <w:sz w:val="21"/>
          <w:szCs w:val="21"/>
        </w:rPr>
        <w:t>本基金本报告期末未持有股票。</w:t>
      </w:r>
    </w:p>
    <w:p w14:paraId="1C227C39">
      <w:pPr>
        <w:pStyle w:val="8"/>
        <w:spacing w:before="0" w:beforeAutospacing="0" w:after="0" w:afterAutospacing="0" w:line="360" w:lineRule="auto"/>
        <w:ind w:firstLine="420"/>
        <w:rPr>
          <w:sz w:val="21"/>
          <w:szCs w:val="21"/>
        </w:rPr>
      </w:pPr>
      <w:r>
        <w:rPr>
          <w:rStyle w:val="12"/>
          <w:rFonts w:hint="eastAsia"/>
          <w:sz w:val="21"/>
          <w:szCs w:val="21"/>
        </w:rPr>
        <w:t>11.5投资组合报告附注的其他文字描述部分</w:t>
      </w:r>
    </w:p>
    <w:p w14:paraId="513B7088">
      <w:pPr>
        <w:pStyle w:val="8"/>
        <w:spacing w:before="0" w:beforeAutospacing="0" w:after="0" w:afterAutospacing="0" w:line="360" w:lineRule="auto"/>
        <w:ind w:firstLine="420"/>
        <w:rPr>
          <w:sz w:val="21"/>
          <w:szCs w:val="21"/>
        </w:rPr>
      </w:pPr>
      <w:bookmarkStart w:id="135" w:name="chapter_level1_11_60_section_6_end"/>
      <w:bookmarkEnd w:id="135"/>
      <w:r>
        <w:rPr>
          <w:rFonts w:hint="eastAsia"/>
          <w:sz w:val="21"/>
          <w:szCs w:val="21"/>
        </w:rPr>
        <w:t>由于四舍五入的原因，分项之和与合计项之间可能存在尾差。</w:t>
      </w:r>
      <w:bookmarkStart w:id="136" w:name="field_0_fundportfolio_1_end"/>
      <w:bookmarkEnd w:id="136"/>
      <w:r>
        <w:rPr>
          <w:rFonts w:hint="eastAsia"/>
          <w:sz w:val="21"/>
          <w:szCs w:val="21"/>
        </w:rPr>
        <w:t xml:space="preserve">  </w:t>
      </w:r>
    </w:p>
    <w:p w14:paraId="3591AECB">
      <w:pPr>
        <w:widowControl/>
        <w:jc w:val="left"/>
        <w:rPr>
          <w:rFonts w:ascii="宋体" w:hAnsi="宋体" w:eastAsia="宋体"/>
        </w:rPr>
      </w:pPr>
      <w:r>
        <w:rPr>
          <w:rFonts w:ascii="宋体" w:hAnsi="宋体" w:eastAsia="宋体"/>
        </w:rPr>
        <w:br w:type="page"/>
      </w:r>
    </w:p>
    <w:p w14:paraId="67EB71E4">
      <w:pPr>
        <w:pStyle w:val="2"/>
        <w:jc w:val="center"/>
        <w:rPr>
          <w:rFonts w:ascii="宋体" w:hAnsi="宋体" w:eastAsia="宋体"/>
          <w:sz w:val="30"/>
        </w:rPr>
      </w:pPr>
      <w:bookmarkStart w:id="137" w:name="_Toc239208845"/>
      <w:bookmarkStart w:id="138" w:name="chapter_level1_12_3500"/>
      <w:r>
        <w:rPr>
          <w:rFonts w:hint="eastAsia" w:ascii="宋体" w:hAnsi="宋体" w:eastAsia="宋体"/>
          <w:sz w:val="30"/>
        </w:rPr>
        <w:t>第九部分 基金的业绩</w:t>
      </w:r>
      <w:bookmarkEnd w:id="137"/>
      <w:bookmarkEnd w:id="138"/>
    </w:p>
    <w:p w14:paraId="4FE521F8">
      <w:pPr>
        <w:pStyle w:val="8"/>
        <w:spacing w:before="0" w:beforeAutospacing="0" w:after="0" w:afterAutospacing="0" w:line="360" w:lineRule="auto"/>
        <w:ind w:firstLine="420"/>
        <w:rPr>
          <w:sz w:val="21"/>
          <w:szCs w:val="21"/>
        </w:rPr>
      </w:pPr>
      <w:bookmarkStart w:id="139" w:name="chapter_level1_12_3500_section_1"/>
      <w:bookmarkEnd w:id="139"/>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19BB7C5B">
      <w:pPr>
        <w:pStyle w:val="8"/>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18AC6B88">
      <w:pPr>
        <w:pStyle w:val="8"/>
        <w:spacing w:before="0" w:beforeAutospacing="0" w:after="0" w:afterAutospacing="0" w:line="360" w:lineRule="auto"/>
        <w:ind w:firstLine="420"/>
        <w:rPr>
          <w:sz w:val="21"/>
          <w:szCs w:val="21"/>
        </w:rPr>
      </w:pPr>
      <w:bookmarkStart w:id="140" w:name="field_0_indatatable_1_start"/>
      <w:bookmarkEnd w:id="140"/>
      <w:r>
        <w:rPr>
          <w:rFonts w:hint="eastAsia"/>
          <w:sz w:val="21"/>
          <w:szCs w:val="21"/>
        </w:rPr>
        <w:t>博时裕利纯债债券A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14:paraId="5C474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9ADF40">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4BD0700B">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2A22CFCA">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342419F6">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0D584110">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46075526">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3A065472">
            <w:pPr>
              <w:jc w:val="center"/>
              <w:rPr>
                <w:rFonts w:ascii="宋体" w:hAnsi="宋体" w:eastAsia="宋体" w:cs="宋体"/>
                <w:sz w:val="24"/>
                <w:szCs w:val="24"/>
              </w:rPr>
            </w:pPr>
            <w:r>
              <w:rPr>
                <w:rFonts w:hint="eastAsia" w:ascii="宋体" w:hAnsi="宋体" w:eastAsia="宋体"/>
              </w:rPr>
              <w:t>②-④</w:t>
            </w:r>
          </w:p>
        </w:tc>
      </w:tr>
      <w:tr w14:paraId="74577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B68B6E6">
            <w:pPr>
              <w:jc w:val="center"/>
              <w:rPr>
                <w:rFonts w:ascii="宋体" w:hAnsi="宋体" w:eastAsia="宋体" w:cs="宋体"/>
                <w:sz w:val="24"/>
                <w:szCs w:val="24"/>
              </w:rPr>
            </w:pPr>
            <w:r>
              <w:rPr>
                <w:rFonts w:hint="eastAsia" w:ascii="宋体" w:hAnsi="宋体" w:eastAsia="宋体"/>
              </w:rPr>
              <w:t>2016.05.09-2016.12.31</w:t>
            </w:r>
          </w:p>
        </w:tc>
        <w:tc>
          <w:tcPr>
            <w:tcW w:w="0" w:type="auto"/>
            <w:shd w:val="clear" w:color="auto" w:fill="auto"/>
          </w:tcPr>
          <w:p w14:paraId="74E0ADE6">
            <w:pPr>
              <w:jc w:val="center"/>
              <w:rPr>
                <w:rFonts w:ascii="宋体" w:hAnsi="宋体" w:eastAsia="宋体" w:cs="宋体"/>
                <w:sz w:val="24"/>
                <w:szCs w:val="24"/>
              </w:rPr>
            </w:pPr>
            <w:r>
              <w:rPr>
                <w:rFonts w:hint="eastAsia" w:ascii="宋体" w:hAnsi="宋体" w:eastAsia="宋体"/>
              </w:rPr>
              <w:t>1.30%</w:t>
            </w:r>
          </w:p>
        </w:tc>
        <w:tc>
          <w:tcPr>
            <w:tcW w:w="0" w:type="auto"/>
            <w:shd w:val="clear" w:color="auto" w:fill="auto"/>
          </w:tcPr>
          <w:p w14:paraId="73E76D6F">
            <w:pPr>
              <w:jc w:val="center"/>
              <w:rPr>
                <w:rFonts w:ascii="宋体" w:hAnsi="宋体" w:eastAsia="宋体" w:cs="宋体"/>
                <w:sz w:val="24"/>
                <w:szCs w:val="24"/>
              </w:rPr>
            </w:pPr>
            <w:r>
              <w:rPr>
                <w:rFonts w:hint="eastAsia" w:ascii="宋体" w:hAnsi="宋体" w:eastAsia="宋体"/>
              </w:rPr>
              <w:t>0.11%</w:t>
            </w:r>
          </w:p>
        </w:tc>
        <w:tc>
          <w:tcPr>
            <w:tcW w:w="0" w:type="auto"/>
            <w:shd w:val="clear" w:color="auto" w:fill="auto"/>
          </w:tcPr>
          <w:p w14:paraId="7E58AECE">
            <w:pPr>
              <w:jc w:val="center"/>
              <w:rPr>
                <w:rFonts w:ascii="宋体" w:hAnsi="宋体" w:eastAsia="宋体" w:cs="宋体"/>
                <w:sz w:val="24"/>
                <w:szCs w:val="24"/>
              </w:rPr>
            </w:pPr>
            <w:r>
              <w:rPr>
                <w:rFonts w:hint="eastAsia" w:ascii="宋体" w:hAnsi="宋体" w:eastAsia="宋体"/>
              </w:rPr>
              <w:t>1.22%</w:t>
            </w:r>
          </w:p>
        </w:tc>
        <w:tc>
          <w:tcPr>
            <w:tcW w:w="0" w:type="auto"/>
            <w:shd w:val="clear" w:color="auto" w:fill="auto"/>
          </w:tcPr>
          <w:p w14:paraId="1D8D9E81">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400938E7">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08CD98C0">
            <w:pPr>
              <w:jc w:val="center"/>
              <w:rPr>
                <w:rFonts w:ascii="宋体" w:hAnsi="宋体" w:eastAsia="宋体" w:cs="宋体"/>
                <w:sz w:val="24"/>
                <w:szCs w:val="24"/>
              </w:rPr>
            </w:pPr>
            <w:r>
              <w:rPr>
                <w:rFonts w:hint="eastAsia" w:ascii="宋体" w:hAnsi="宋体" w:eastAsia="宋体"/>
              </w:rPr>
              <w:t>0.02%</w:t>
            </w:r>
          </w:p>
        </w:tc>
      </w:tr>
      <w:tr w14:paraId="65177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B91D67">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14:paraId="44F00767">
            <w:pPr>
              <w:jc w:val="center"/>
              <w:rPr>
                <w:rFonts w:ascii="宋体" w:hAnsi="宋体" w:eastAsia="宋体" w:cs="宋体"/>
                <w:sz w:val="24"/>
                <w:szCs w:val="24"/>
              </w:rPr>
            </w:pPr>
            <w:r>
              <w:rPr>
                <w:rFonts w:hint="eastAsia" w:ascii="宋体" w:hAnsi="宋体" w:eastAsia="宋体"/>
              </w:rPr>
              <w:t>1.87%</w:t>
            </w:r>
          </w:p>
        </w:tc>
        <w:tc>
          <w:tcPr>
            <w:tcW w:w="0" w:type="auto"/>
            <w:shd w:val="clear" w:color="auto" w:fill="auto"/>
          </w:tcPr>
          <w:p w14:paraId="35F62EF8">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30165C69">
            <w:pPr>
              <w:jc w:val="center"/>
              <w:rPr>
                <w:rFonts w:ascii="宋体" w:hAnsi="宋体" w:eastAsia="宋体" w:cs="宋体"/>
                <w:sz w:val="24"/>
                <w:szCs w:val="24"/>
              </w:rPr>
            </w:pPr>
            <w:r>
              <w:rPr>
                <w:rFonts w:hint="eastAsia" w:ascii="宋体" w:hAnsi="宋体" w:eastAsia="宋体"/>
              </w:rPr>
              <w:t>0.37%</w:t>
            </w:r>
          </w:p>
        </w:tc>
        <w:tc>
          <w:tcPr>
            <w:tcW w:w="0" w:type="auto"/>
            <w:shd w:val="clear" w:color="auto" w:fill="auto"/>
          </w:tcPr>
          <w:p w14:paraId="3A0B992E">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31E4EB34">
            <w:pPr>
              <w:jc w:val="center"/>
              <w:rPr>
                <w:rFonts w:ascii="宋体" w:hAnsi="宋体" w:eastAsia="宋体" w:cs="宋体"/>
                <w:sz w:val="24"/>
                <w:szCs w:val="24"/>
              </w:rPr>
            </w:pPr>
            <w:r>
              <w:rPr>
                <w:rFonts w:hint="eastAsia" w:ascii="宋体" w:hAnsi="宋体" w:eastAsia="宋体"/>
              </w:rPr>
              <w:t>1.50%</w:t>
            </w:r>
          </w:p>
        </w:tc>
        <w:tc>
          <w:tcPr>
            <w:tcW w:w="0" w:type="auto"/>
            <w:shd w:val="clear" w:color="auto" w:fill="auto"/>
          </w:tcPr>
          <w:p w14:paraId="5D9D9F48">
            <w:pPr>
              <w:jc w:val="center"/>
              <w:rPr>
                <w:rFonts w:ascii="宋体" w:hAnsi="宋体" w:eastAsia="宋体" w:cs="宋体"/>
                <w:sz w:val="24"/>
                <w:szCs w:val="24"/>
              </w:rPr>
            </w:pPr>
            <w:r>
              <w:rPr>
                <w:rFonts w:hint="eastAsia" w:ascii="宋体" w:hAnsi="宋体" w:eastAsia="宋体"/>
              </w:rPr>
              <w:t>-0.01%</w:t>
            </w:r>
          </w:p>
        </w:tc>
      </w:tr>
      <w:tr w14:paraId="0F474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B34C40">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04A5A546">
            <w:pPr>
              <w:jc w:val="center"/>
              <w:rPr>
                <w:rFonts w:ascii="宋体" w:hAnsi="宋体" w:eastAsia="宋体" w:cs="宋体"/>
                <w:sz w:val="24"/>
                <w:szCs w:val="24"/>
              </w:rPr>
            </w:pPr>
            <w:r>
              <w:rPr>
                <w:rFonts w:hint="eastAsia" w:ascii="宋体" w:hAnsi="宋体" w:eastAsia="宋体"/>
              </w:rPr>
              <w:t>8.23%</w:t>
            </w:r>
          </w:p>
        </w:tc>
        <w:tc>
          <w:tcPr>
            <w:tcW w:w="0" w:type="auto"/>
            <w:shd w:val="clear" w:color="auto" w:fill="auto"/>
          </w:tcPr>
          <w:p w14:paraId="2CDECAAA">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39AC35B3">
            <w:pPr>
              <w:jc w:val="center"/>
              <w:rPr>
                <w:rFonts w:ascii="宋体" w:hAnsi="宋体" w:eastAsia="宋体" w:cs="宋体"/>
                <w:sz w:val="24"/>
                <w:szCs w:val="24"/>
              </w:rPr>
            </w:pPr>
            <w:r>
              <w:rPr>
                <w:rFonts w:hint="eastAsia" w:ascii="宋体" w:hAnsi="宋体" w:eastAsia="宋体"/>
              </w:rPr>
              <w:t>7.53%</w:t>
            </w:r>
          </w:p>
        </w:tc>
        <w:tc>
          <w:tcPr>
            <w:tcW w:w="0" w:type="auto"/>
            <w:shd w:val="clear" w:color="auto" w:fill="auto"/>
          </w:tcPr>
          <w:p w14:paraId="5EAF4510">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56894E19">
            <w:pPr>
              <w:jc w:val="center"/>
              <w:rPr>
                <w:rFonts w:ascii="宋体" w:hAnsi="宋体" w:eastAsia="宋体" w:cs="宋体"/>
                <w:sz w:val="24"/>
                <w:szCs w:val="24"/>
              </w:rPr>
            </w:pPr>
            <w:r>
              <w:rPr>
                <w:rFonts w:hint="eastAsia" w:ascii="宋体" w:hAnsi="宋体" w:eastAsia="宋体"/>
              </w:rPr>
              <w:t>0.70%</w:t>
            </w:r>
          </w:p>
        </w:tc>
        <w:tc>
          <w:tcPr>
            <w:tcW w:w="0" w:type="auto"/>
            <w:shd w:val="clear" w:color="auto" w:fill="auto"/>
          </w:tcPr>
          <w:p w14:paraId="6D6873E1">
            <w:pPr>
              <w:jc w:val="center"/>
              <w:rPr>
                <w:rFonts w:ascii="宋体" w:hAnsi="宋体" w:eastAsia="宋体" w:cs="宋体"/>
                <w:sz w:val="24"/>
                <w:szCs w:val="24"/>
              </w:rPr>
            </w:pPr>
            <w:r>
              <w:rPr>
                <w:rFonts w:hint="eastAsia" w:ascii="宋体" w:hAnsi="宋体" w:eastAsia="宋体"/>
              </w:rPr>
              <w:t>0.02%</w:t>
            </w:r>
          </w:p>
        </w:tc>
      </w:tr>
      <w:tr w14:paraId="78C87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C56099">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35DEB8D2">
            <w:pPr>
              <w:jc w:val="center"/>
              <w:rPr>
                <w:rFonts w:ascii="宋体" w:hAnsi="宋体" w:eastAsia="宋体" w:cs="宋体"/>
                <w:sz w:val="24"/>
                <w:szCs w:val="24"/>
              </w:rPr>
            </w:pPr>
            <w:r>
              <w:rPr>
                <w:rFonts w:hint="eastAsia" w:ascii="宋体" w:hAnsi="宋体" w:eastAsia="宋体"/>
              </w:rPr>
              <w:t>4.00%</w:t>
            </w:r>
          </w:p>
        </w:tc>
        <w:tc>
          <w:tcPr>
            <w:tcW w:w="0" w:type="auto"/>
            <w:shd w:val="clear" w:color="auto" w:fill="auto"/>
          </w:tcPr>
          <w:p w14:paraId="226255A2">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4B330F3E">
            <w:pPr>
              <w:jc w:val="center"/>
              <w:rPr>
                <w:rFonts w:ascii="宋体" w:hAnsi="宋体" w:eastAsia="宋体" w:cs="宋体"/>
                <w:sz w:val="24"/>
                <w:szCs w:val="24"/>
              </w:rPr>
            </w:pPr>
            <w:r>
              <w:rPr>
                <w:rFonts w:hint="eastAsia" w:ascii="宋体" w:hAnsi="宋体" w:eastAsia="宋体"/>
              </w:rPr>
              <w:t>4.28%</w:t>
            </w:r>
          </w:p>
        </w:tc>
        <w:tc>
          <w:tcPr>
            <w:tcW w:w="0" w:type="auto"/>
            <w:shd w:val="clear" w:color="auto" w:fill="auto"/>
          </w:tcPr>
          <w:p w14:paraId="52CAAD8E">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3154270E">
            <w:pPr>
              <w:jc w:val="center"/>
              <w:rPr>
                <w:rFonts w:ascii="宋体" w:hAnsi="宋体" w:eastAsia="宋体" w:cs="宋体"/>
                <w:sz w:val="24"/>
                <w:szCs w:val="24"/>
              </w:rPr>
            </w:pPr>
            <w:r>
              <w:rPr>
                <w:rFonts w:hint="eastAsia" w:ascii="宋体" w:hAnsi="宋体" w:eastAsia="宋体"/>
              </w:rPr>
              <w:t>-0.28%</w:t>
            </w:r>
          </w:p>
        </w:tc>
        <w:tc>
          <w:tcPr>
            <w:tcW w:w="0" w:type="auto"/>
            <w:shd w:val="clear" w:color="auto" w:fill="auto"/>
          </w:tcPr>
          <w:p w14:paraId="61A91270">
            <w:pPr>
              <w:jc w:val="center"/>
              <w:rPr>
                <w:rFonts w:ascii="宋体" w:hAnsi="宋体" w:eastAsia="宋体" w:cs="宋体"/>
                <w:sz w:val="24"/>
                <w:szCs w:val="24"/>
              </w:rPr>
            </w:pPr>
            <w:r>
              <w:rPr>
                <w:rFonts w:hint="eastAsia" w:ascii="宋体" w:hAnsi="宋体" w:eastAsia="宋体"/>
              </w:rPr>
              <w:t>0.02%</w:t>
            </w:r>
          </w:p>
        </w:tc>
      </w:tr>
      <w:tr w14:paraId="2ADE2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A9665E">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72ED083E">
            <w:pPr>
              <w:jc w:val="center"/>
              <w:rPr>
                <w:rFonts w:ascii="宋体" w:hAnsi="宋体" w:eastAsia="宋体" w:cs="宋体"/>
                <w:sz w:val="24"/>
                <w:szCs w:val="24"/>
              </w:rPr>
            </w:pPr>
            <w:r>
              <w:rPr>
                <w:rFonts w:hint="eastAsia" w:ascii="宋体" w:hAnsi="宋体" w:eastAsia="宋体"/>
              </w:rPr>
              <w:t>2.04%</w:t>
            </w:r>
          </w:p>
        </w:tc>
        <w:tc>
          <w:tcPr>
            <w:tcW w:w="0" w:type="auto"/>
            <w:shd w:val="clear" w:color="auto" w:fill="auto"/>
          </w:tcPr>
          <w:p w14:paraId="6E809B4C">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14:paraId="6BA27DF2">
            <w:pPr>
              <w:jc w:val="center"/>
              <w:rPr>
                <w:rFonts w:ascii="宋体" w:hAnsi="宋体" w:eastAsia="宋体" w:cs="宋体"/>
                <w:sz w:val="24"/>
                <w:szCs w:val="24"/>
              </w:rPr>
            </w:pPr>
            <w:r>
              <w:rPr>
                <w:rFonts w:hint="eastAsia" w:ascii="宋体" w:hAnsi="宋体" w:eastAsia="宋体"/>
              </w:rPr>
              <w:t>2.83%</w:t>
            </w:r>
          </w:p>
        </w:tc>
        <w:tc>
          <w:tcPr>
            <w:tcW w:w="0" w:type="auto"/>
            <w:shd w:val="clear" w:color="auto" w:fill="auto"/>
          </w:tcPr>
          <w:p w14:paraId="1E8F97AD">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2B32D5CA">
            <w:pPr>
              <w:jc w:val="center"/>
              <w:rPr>
                <w:rFonts w:ascii="宋体" w:hAnsi="宋体" w:eastAsia="宋体" w:cs="宋体"/>
                <w:sz w:val="24"/>
                <w:szCs w:val="24"/>
              </w:rPr>
            </w:pPr>
            <w:r>
              <w:rPr>
                <w:rFonts w:hint="eastAsia" w:ascii="宋体" w:hAnsi="宋体" w:eastAsia="宋体"/>
              </w:rPr>
              <w:t>-0.79%</w:t>
            </w:r>
          </w:p>
        </w:tc>
        <w:tc>
          <w:tcPr>
            <w:tcW w:w="0" w:type="auto"/>
            <w:shd w:val="clear" w:color="auto" w:fill="auto"/>
          </w:tcPr>
          <w:p w14:paraId="6362B6F9">
            <w:pPr>
              <w:jc w:val="center"/>
              <w:rPr>
                <w:rFonts w:ascii="宋体" w:hAnsi="宋体" w:eastAsia="宋体" w:cs="宋体"/>
                <w:sz w:val="24"/>
                <w:szCs w:val="24"/>
              </w:rPr>
            </w:pPr>
            <w:r>
              <w:rPr>
                <w:rFonts w:hint="eastAsia" w:ascii="宋体" w:hAnsi="宋体" w:eastAsia="宋体"/>
              </w:rPr>
              <w:t>0.01%</w:t>
            </w:r>
          </w:p>
        </w:tc>
      </w:tr>
      <w:tr w14:paraId="58F54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076A85">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770F0552">
            <w:pPr>
              <w:jc w:val="center"/>
              <w:rPr>
                <w:rFonts w:ascii="宋体" w:hAnsi="宋体" w:eastAsia="宋体" w:cs="宋体"/>
                <w:sz w:val="24"/>
                <w:szCs w:val="24"/>
              </w:rPr>
            </w:pPr>
            <w:r>
              <w:rPr>
                <w:rFonts w:hint="eastAsia" w:ascii="宋体" w:hAnsi="宋体" w:eastAsia="宋体"/>
              </w:rPr>
              <w:t>3.73%</w:t>
            </w:r>
          </w:p>
        </w:tc>
        <w:tc>
          <w:tcPr>
            <w:tcW w:w="0" w:type="auto"/>
            <w:shd w:val="clear" w:color="auto" w:fill="auto"/>
          </w:tcPr>
          <w:p w14:paraId="7FF0CD43">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045D6A7D">
            <w:pPr>
              <w:jc w:val="center"/>
              <w:rPr>
                <w:rFonts w:ascii="宋体" w:hAnsi="宋体" w:eastAsia="宋体" w:cs="宋体"/>
                <w:sz w:val="24"/>
                <w:szCs w:val="24"/>
              </w:rPr>
            </w:pPr>
            <w:r>
              <w:rPr>
                <w:rFonts w:hint="eastAsia" w:ascii="宋体" w:hAnsi="宋体" w:eastAsia="宋体"/>
              </w:rPr>
              <w:t>4.73%</w:t>
            </w:r>
          </w:p>
        </w:tc>
        <w:tc>
          <w:tcPr>
            <w:tcW w:w="0" w:type="auto"/>
            <w:shd w:val="clear" w:color="auto" w:fill="auto"/>
          </w:tcPr>
          <w:p w14:paraId="54843A70">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5323700F">
            <w:pPr>
              <w:jc w:val="center"/>
              <w:rPr>
                <w:rFonts w:ascii="宋体" w:hAnsi="宋体" w:eastAsia="宋体" w:cs="宋体"/>
                <w:sz w:val="24"/>
                <w:szCs w:val="24"/>
              </w:rPr>
            </w:pPr>
            <w:r>
              <w:rPr>
                <w:rFonts w:hint="eastAsia" w:ascii="宋体" w:hAnsi="宋体" w:eastAsia="宋体"/>
              </w:rPr>
              <w:t>-1.00%</w:t>
            </w:r>
          </w:p>
        </w:tc>
        <w:tc>
          <w:tcPr>
            <w:tcW w:w="0" w:type="auto"/>
            <w:shd w:val="clear" w:color="auto" w:fill="auto"/>
          </w:tcPr>
          <w:p w14:paraId="1CBA9871">
            <w:pPr>
              <w:jc w:val="center"/>
              <w:rPr>
                <w:rFonts w:ascii="宋体" w:hAnsi="宋体" w:eastAsia="宋体" w:cs="宋体"/>
                <w:sz w:val="24"/>
                <w:szCs w:val="24"/>
              </w:rPr>
            </w:pPr>
            <w:r>
              <w:rPr>
                <w:rFonts w:hint="eastAsia" w:ascii="宋体" w:hAnsi="宋体" w:eastAsia="宋体"/>
              </w:rPr>
              <w:t>-0.01%</w:t>
            </w:r>
          </w:p>
        </w:tc>
      </w:tr>
      <w:tr w14:paraId="7E94C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BF14AE">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19851BAA">
            <w:pPr>
              <w:jc w:val="center"/>
              <w:rPr>
                <w:rFonts w:ascii="宋体" w:hAnsi="宋体" w:eastAsia="宋体" w:cs="宋体"/>
                <w:sz w:val="24"/>
                <w:szCs w:val="24"/>
              </w:rPr>
            </w:pPr>
            <w:r>
              <w:rPr>
                <w:rFonts w:hint="eastAsia" w:ascii="宋体" w:hAnsi="宋体" w:eastAsia="宋体"/>
              </w:rPr>
              <w:t>2.39%</w:t>
            </w:r>
          </w:p>
        </w:tc>
        <w:tc>
          <w:tcPr>
            <w:tcW w:w="0" w:type="auto"/>
            <w:shd w:val="clear" w:color="auto" w:fill="auto"/>
          </w:tcPr>
          <w:p w14:paraId="07D4EF02">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4E270254">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14:paraId="1C748C22">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024DB349">
            <w:pPr>
              <w:jc w:val="center"/>
              <w:rPr>
                <w:rFonts w:ascii="宋体" w:hAnsi="宋体" w:eastAsia="宋体" w:cs="宋体"/>
                <w:sz w:val="24"/>
                <w:szCs w:val="24"/>
              </w:rPr>
            </w:pPr>
            <w:r>
              <w:rPr>
                <w:rFonts w:hint="eastAsia" w:ascii="宋体" w:hAnsi="宋体" w:eastAsia="宋体"/>
              </w:rPr>
              <w:t>-0.73%</w:t>
            </w:r>
          </w:p>
        </w:tc>
        <w:tc>
          <w:tcPr>
            <w:tcW w:w="0" w:type="auto"/>
            <w:shd w:val="clear" w:color="auto" w:fill="auto"/>
          </w:tcPr>
          <w:p w14:paraId="279633CC">
            <w:pPr>
              <w:jc w:val="center"/>
              <w:rPr>
                <w:rFonts w:ascii="宋体" w:hAnsi="宋体" w:eastAsia="宋体" w:cs="宋体"/>
                <w:sz w:val="24"/>
                <w:szCs w:val="24"/>
              </w:rPr>
            </w:pPr>
            <w:r>
              <w:rPr>
                <w:rFonts w:hint="eastAsia" w:ascii="宋体" w:hAnsi="宋体" w:eastAsia="宋体"/>
              </w:rPr>
              <w:t>0.01%</w:t>
            </w:r>
          </w:p>
        </w:tc>
      </w:tr>
      <w:tr w14:paraId="4608D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7EF7D2">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1381415D">
            <w:pPr>
              <w:jc w:val="center"/>
              <w:rPr>
                <w:rFonts w:ascii="宋体" w:hAnsi="宋体" w:eastAsia="宋体" w:cs="宋体"/>
                <w:sz w:val="24"/>
                <w:szCs w:val="24"/>
              </w:rPr>
            </w:pPr>
            <w:r>
              <w:rPr>
                <w:rFonts w:hint="eastAsia" w:ascii="宋体" w:hAnsi="宋体" w:eastAsia="宋体"/>
              </w:rPr>
              <w:t>2.37%</w:t>
            </w:r>
          </w:p>
        </w:tc>
        <w:tc>
          <w:tcPr>
            <w:tcW w:w="0" w:type="auto"/>
            <w:shd w:val="clear" w:color="auto" w:fill="auto"/>
          </w:tcPr>
          <w:p w14:paraId="13BB3669">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6614517F">
            <w:pPr>
              <w:jc w:val="center"/>
              <w:rPr>
                <w:rFonts w:ascii="宋体" w:hAnsi="宋体" w:eastAsia="宋体" w:cs="宋体"/>
                <w:sz w:val="24"/>
                <w:szCs w:val="24"/>
              </w:rPr>
            </w:pPr>
            <w:r>
              <w:rPr>
                <w:rFonts w:hint="eastAsia" w:ascii="宋体" w:hAnsi="宋体" w:eastAsia="宋体"/>
              </w:rPr>
              <w:t>4.45%</w:t>
            </w:r>
          </w:p>
        </w:tc>
        <w:tc>
          <w:tcPr>
            <w:tcW w:w="0" w:type="auto"/>
            <w:shd w:val="clear" w:color="auto" w:fill="auto"/>
          </w:tcPr>
          <w:p w14:paraId="20563525">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25720C0C">
            <w:pPr>
              <w:jc w:val="center"/>
              <w:rPr>
                <w:rFonts w:ascii="宋体" w:hAnsi="宋体" w:eastAsia="宋体" w:cs="宋体"/>
                <w:sz w:val="24"/>
                <w:szCs w:val="24"/>
              </w:rPr>
            </w:pPr>
            <w:r>
              <w:rPr>
                <w:rFonts w:hint="eastAsia" w:ascii="宋体" w:hAnsi="宋体" w:eastAsia="宋体"/>
              </w:rPr>
              <w:t>-2.08%</w:t>
            </w:r>
          </w:p>
        </w:tc>
        <w:tc>
          <w:tcPr>
            <w:tcW w:w="0" w:type="auto"/>
            <w:shd w:val="clear" w:color="auto" w:fill="auto"/>
          </w:tcPr>
          <w:p w14:paraId="64C35F7C">
            <w:pPr>
              <w:jc w:val="center"/>
              <w:rPr>
                <w:rFonts w:ascii="宋体" w:hAnsi="宋体" w:eastAsia="宋体" w:cs="宋体"/>
                <w:sz w:val="24"/>
                <w:szCs w:val="24"/>
              </w:rPr>
            </w:pPr>
            <w:r>
              <w:rPr>
                <w:rFonts w:hint="eastAsia" w:ascii="宋体" w:hAnsi="宋体" w:eastAsia="宋体"/>
              </w:rPr>
              <w:t>-0.01%</w:t>
            </w:r>
          </w:p>
        </w:tc>
      </w:tr>
      <w:tr w14:paraId="6A577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D6F53B">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1800C221">
            <w:pPr>
              <w:jc w:val="center"/>
              <w:rPr>
                <w:rFonts w:ascii="宋体" w:hAnsi="宋体" w:eastAsia="宋体" w:cs="宋体"/>
                <w:sz w:val="24"/>
                <w:szCs w:val="24"/>
              </w:rPr>
            </w:pPr>
            <w:r>
              <w:rPr>
                <w:rFonts w:hint="eastAsia" w:ascii="宋体" w:hAnsi="宋体" w:eastAsia="宋体"/>
              </w:rPr>
              <w:t>10.05%</w:t>
            </w:r>
          </w:p>
        </w:tc>
        <w:tc>
          <w:tcPr>
            <w:tcW w:w="0" w:type="auto"/>
            <w:shd w:val="clear" w:color="auto" w:fill="auto"/>
          </w:tcPr>
          <w:p w14:paraId="213745D1">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14:paraId="1E5BEBFA">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14:paraId="33F698B0">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6AE697B4">
            <w:pPr>
              <w:jc w:val="center"/>
              <w:rPr>
                <w:rFonts w:ascii="宋体" w:hAnsi="宋体" w:eastAsia="宋体" w:cs="宋体"/>
                <w:sz w:val="24"/>
                <w:szCs w:val="24"/>
              </w:rPr>
            </w:pPr>
            <w:r>
              <w:rPr>
                <w:rFonts w:hint="eastAsia" w:ascii="宋体" w:hAnsi="宋体" w:eastAsia="宋体"/>
              </w:rPr>
              <w:t>3.06%</w:t>
            </w:r>
          </w:p>
        </w:tc>
        <w:tc>
          <w:tcPr>
            <w:tcW w:w="0" w:type="auto"/>
            <w:shd w:val="clear" w:color="auto" w:fill="auto"/>
          </w:tcPr>
          <w:p w14:paraId="5F95DA36">
            <w:pPr>
              <w:jc w:val="center"/>
              <w:rPr>
                <w:rFonts w:ascii="宋体" w:hAnsi="宋体" w:eastAsia="宋体" w:cs="宋体"/>
                <w:sz w:val="24"/>
                <w:szCs w:val="24"/>
              </w:rPr>
            </w:pPr>
            <w:r>
              <w:rPr>
                <w:rFonts w:hint="eastAsia" w:ascii="宋体" w:hAnsi="宋体" w:eastAsia="宋体"/>
              </w:rPr>
              <w:t>0.10%</w:t>
            </w:r>
          </w:p>
        </w:tc>
      </w:tr>
      <w:tr w14:paraId="47E36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42CCA4">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047B9864">
            <w:pPr>
              <w:jc w:val="center"/>
              <w:rPr>
                <w:rFonts w:ascii="宋体" w:hAnsi="宋体" w:eastAsia="宋体" w:cs="宋体"/>
                <w:sz w:val="24"/>
                <w:szCs w:val="24"/>
              </w:rPr>
            </w:pPr>
            <w:r>
              <w:rPr>
                <w:rFonts w:hint="eastAsia" w:ascii="宋体" w:hAnsi="宋体" w:eastAsia="宋体"/>
              </w:rPr>
              <w:t>0.42%</w:t>
            </w:r>
          </w:p>
        </w:tc>
        <w:tc>
          <w:tcPr>
            <w:tcW w:w="0" w:type="auto"/>
            <w:shd w:val="clear" w:color="auto" w:fill="auto"/>
          </w:tcPr>
          <w:p w14:paraId="641FB92C">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57A8E0F9">
            <w:pPr>
              <w:jc w:val="center"/>
              <w:rPr>
                <w:rFonts w:ascii="宋体" w:hAnsi="宋体" w:eastAsia="宋体" w:cs="宋体"/>
                <w:sz w:val="24"/>
                <w:szCs w:val="24"/>
              </w:rPr>
            </w:pPr>
            <w:r>
              <w:rPr>
                <w:rFonts w:hint="eastAsia" w:ascii="宋体" w:hAnsi="宋体" w:eastAsia="宋体"/>
              </w:rPr>
              <w:t>0.73%</w:t>
            </w:r>
          </w:p>
        </w:tc>
        <w:tc>
          <w:tcPr>
            <w:tcW w:w="0" w:type="auto"/>
            <w:shd w:val="clear" w:color="auto" w:fill="auto"/>
          </w:tcPr>
          <w:p w14:paraId="12DD043C">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086744F7">
            <w:pPr>
              <w:jc w:val="center"/>
              <w:rPr>
                <w:rFonts w:ascii="宋体" w:hAnsi="宋体" w:eastAsia="宋体" w:cs="宋体"/>
                <w:sz w:val="24"/>
                <w:szCs w:val="24"/>
              </w:rPr>
            </w:pPr>
            <w:r>
              <w:rPr>
                <w:rFonts w:hint="eastAsia" w:ascii="宋体" w:hAnsi="宋体" w:eastAsia="宋体"/>
              </w:rPr>
              <w:t>-0.31%</w:t>
            </w:r>
          </w:p>
        </w:tc>
        <w:tc>
          <w:tcPr>
            <w:tcW w:w="0" w:type="auto"/>
            <w:shd w:val="clear" w:color="auto" w:fill="auto"/>
          </w:tcPr>
          <w:p w14:paraId="4E88F522">
            <w:pPr>
              <w:jc w:val="center"/>
              <w:rPr>
                <w:rFonts w:ascii="宋体" w:hAnsi="宋体" w:eastAsia="宋体" w:cs="宋体"/>
                <w:sz w:val="24"/>
                <w:szCs w:val="24"/>
              </w:rPr>
            </w:pPr>
            <w:r>
              <w:rPr>
                <w:rFonts w:hint="eastAsia" w:ascii="宋体" w:hAnsi="宋体" w:eastAsia="宋体"/>
              </w:rPr>
              <w:t>-0.03%</w:t>
            </w:r>
          </w:p>
        </w:tc>
      </w:tr>
      <w:tr w14:paraId="441DE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86FA31">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48FD43F9">
            <w:pPr>
              <w:jc w:val="center"/>
              <w:rPr>
                <w:rFonts w:ascii="宋体" w:hAnsi="宋体" w:eastAsia="宋体" w:cs="宋体"/>
                <w:sz w:val="24"/>
                <w:szCs w:val="24"/>
              </w:rPr>
            </w:pPr>
            <w:r>
              <w:rPr>
                <w:rFonts w:hint="eastAsia" w:ascii="宋体" w:hAnsi="宋体" w:eastAsia="宋体"/>
              </w:rPr>
              <w:t>1.25%</w:t>
            </w:r>
          </w:p>
        </w:tc>
        <w:tc>
          <w:tcPr>
            <w:tcW w:w="0" w:type="auto"/>
            <w:shd w:val="clear" w:color="auto" w:fill="auto"/>
          </w:tcPr>
          <w:p w14:paraId="2BDC1844">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53A02446">
            <w:pPr>
              <w:jc w:val="center"/>
              <w:rPr>
                <w:rFonts w:ascii="宋体" w:hAnsi="宋体" w:eastAsia="宋体" w:cs="宋体"/>
                <w:sz w:val="24"/>
                <w:szCs w:val="24"/>
              </w:rPr>
            </w:pPr>
            <w:r>
              <w:rPr>
                <w:rFonts w:hint="eastAsia" w:ascii="宋体" w:hAnsi="宋体" w:eastAsia="宋体"/>
              </w:rPr>
              <w:t>1.90%</w:t>
            </w:r>
          </w:p>
        </w:tc>
        <w:tc>
          <w:tcPr>
            <w:tcW w:w="0" w:type="auto"/>
            <w:shd w:val="clear" w:color="auto" w:fill="auto"/>
          </w:tcPr>
          <w:p w14:paraId="5B71F286">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27A5EE70">
            <w:pPr>
              <w:jc w:val="center"/>
              <w:rPr>
                <w:rFonts w:ascii="宋体" w:hAnsi="宋体" w:eastAsia="宋体" w:cs="宋体"/>
                <w:sz w:val="24"/>
                <w:szCs w:val="24"/>
              </w:rPr>
            </w:pPr>
            <w:r>
              <w:rPr>
                <w:rFonts w:hint="eastAsia" w:ascii="宋体" w:hAnsi="宋体" w:eastAsia="宋体"/>
              </w:rPr>
              <w:t>-0.65%</w:t>
            </w:r>
          </w:p>
        </w:tc>
        <w:tc>
          <w:tcPr>
            <w:tcW w:w="0" w:type="auto"/>
            <w:shd w:val="clear" w:color="auto" w:fill="auto"/>
          </w:tcPr>
          <w:p w14:paraId="14BF9EC0">
            <w:pPr>
              <w:jc w:val="center"/>
              <w:rPr>
                <w:rFonts w:ascii="宋体" w:hAnsi="宋体" w:eastAsia="宋体" w:cs="宋体"/>
                <w:sz w:val="24"/>
                <w:szCs w:val="24"/>
              </w:rPr>
            </w:pPr>
            <w:r>
              <w:rPr>
                <w:rFonts w:hint="eastAsia" w:ascii="宋体" w:hAnsi="宋体" w:eastAsia="宋体"/>
              </w:rPr>
              <w:t>-0.02%</w:t>
            </w:r>
          </w:p>
        </w:tc>
      </w:tr>
      <w:tr w14:paraId="6259A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4D1836">
            <w:pPr>
              <w:jc w:val="center"/>
              <w:rPr>
                <w:rFonts w:ascii="宋体" w:hAnsi="宋体" w:eastAsia="宋体" w:cs="宋体"/>
                <w:sz w:val="24"/>
                <w:szCs w:val="24"/>
              </w:rPr>
            </w:pPr>
            <w:r>
              <w:rPr>
                <w:rFonts w:hint="eastAsia" w:ascii="宋体" w:hAnsi="宋体" w:eastAsia="宋体"/>
              </w:rPr>
              <w:t>2016.05.09-2026.06.30</w:t>
            </w:r>
          </w:p>
        </w:tc>
        <w:tc>
          <w:tcPr>
            <w:tcW w:w="0" w:type="auto"/>
            <w:shd w:val="clear" w:color="auto" w:fill="auto"/>
          </w:tcPr>
          <w:p w14:paraId="7B1E160B">
            <w:pPr>
              <w:jc w:val="center"/>
              <w:rPr>
                <w:rFonts w:ascii="宋体" w:hAnsi="宋体" w:eastAsia="宋体" w:cs="宋体"/>
                <w:sz w:val="24"/>
                <w:szCs w:val="24"/>
              </w:rPr>
            </w:pPr>
            <w:r>
              <w:rPr>
                <w:rFonts w:hint="eastAsia" w:ascii="宋体" w:hAnsi="宋体" w:eastAsia="宋体"/>
              </w:rPr>
              <w:t>44.20%</w:t>
            </w:r>
          </w:p>
        </w:tc>
        <w:tc>
          <w:tcPr>
            <w:tcW w:w="0" w:type="auto"/>
            <w:shd w:val="clear" w:color="auto" w:fill="auto"/>
          </w:tcPr>
          <w:p w14:paraId="06BD8857">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5105F511">
            <w:pPr>
              <w:jc w:val="center"/>
              <w:rPr>
                <w:rFonts w:ascii="宋体" w:hAnsi="宋体" w:eastAsia="宋体" w:cs="宋体"/>
                <w:sz w:val="24"/>
                <w:szCs w:val="24"/>
              </w:rPr>
            </w:pPr>
            <w:r>
              <w:rPr>
                <w:rFonts w:hint="eastAsia" w:ascii="宋体" w:hAnsi="宋体" w:eastAsia="宋体"/>
              </w:rPr>
              <w:t>45.12%</w:t>
            </w:r>
          </w:p>
        </w:tc>
        <w:tc>
          <w:tcPr>
            <w:tcW w:w="0" w:type="auto"/>
            <w:shd w:val="clear" w:color="auto" w:fill="auto"/>
          </w:tcPr>
          <w:p w14:paraId="4FC564FC">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1E00A4AD">
            <w:pPr>
              <w:jc w:val="center"/>
              <w:rPr>
                <w:rFonts w:ascii="宋体" w:hAnsi="宋体" w:eastAsia="宋体" w:cs="宋体"/>
                <w:sz w:val="24"/>
                <w:szCs w:val="24"/>
              </w:rPr>
            </w:pPr>
            <w:r>
              <w:rPr>
                <w:rFonts w:hint="eastAsia" w:ascii="宋体" w:hAnsi="宋体" w:eastAsia="宋体"/>
              </w:rPr>
              <w:t>-0.92%</w:t>
            </w:r>
          </w:p>
        </w:tc>
        <w:tc>
          <w:tcPr>
            <w:tcW w:w="0" w:type="auto"/>
            <w:shd w:val="clear" w:color="auto" w:fill="auto"/>
          </w:tcPr>
          <w:p w14:paraId="58DEFB3A">
            <w:pPr>
              <w:jc w:val="center"/>
              <w:rPr>
                <w:rFonts w:ascii="宋体" w:hAnsi="宋体" w:eastAsia="宋体" w:cs="宋体"/>
                <w:sz w:val="24"/>
                <w:szCs w:val="24"/>
              </w:rPr>
            </w:pPr>
            <w:r>
              <w:rPr>
                <w:rFonts w:hint="eastAsia" w:ascii="宋体" w:hAnsi="宋体" w:eastAsia="宋体"/>
              </w:rPr>
              <w:t>0.02%</w:t>
            </w:r>
          </w:p>
        </w:tc>
      </w:tr>
    </w:tbl>
    <w:p w14:paraId="398CA3EE">
      <w:pPr>
        <w:pStyle w:val="8"/>
        <w:spacing w:before="0" w:beforeAutospacing="0" w:after="0" w:afterAutospacing="0" w:line="360" w:lineRule="auto"/>
        <w:ind w:firstLine="420"/>
        <w:rPr>
          <w:sz w:val="21"/>
          <w:szCs w:val="21"/>
        </w:rPr>
      </w:pPr>
      <w:r>
        <w:rPr>
          <w:rFonts w:hint="eastAsia"/>
          <w:sz w:val="21"/>
          <w:szCs w:val="21"/>
        </w:rPr>
        <w:t>博时裕利纯债债券C</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92"/>
        <w:gridCol w:w="1056"/>
        <w:gridCol w:w="1105"/>
        <w:gridCol w:w="1250"/>
        <w:gridCol w:w="846"/>
        <w:gridCol w:w="846"/>
      </w:tblGrid>
      <w:tr w14:paraId="316C9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BD7920">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2BD2C443">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7EC93514">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595D6322">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2C8FD2A7">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5E7C0A7C">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64C18295">
            <w:pPr>
              <w:jc w:val="center"/>
              <w:rPr>
                <w:rFonts w:ascii="宋体" w:hAnsi="宋体" w:eastAsia="宋体" w:cs="宋体"/>
                <w:sz w:val="24"/>
                <w:szCs w:val="24"/>
              </w:rPr>
            </w:pPr>
            <w:r>
              <w:rPr>
                <w:rFonts w:hint="eastAsia" w:ascii="宋体" w:hAnsi="宋体" w:eastAsia="宋体"/>
              </w:rPr>
              <w:t>②-④</w:t>
            </w:r>
          </w:p>
        </w:tc>
      </w:tr>
      <w:tr w14:paraId="3146B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7D3D0C">
            <w:pPr>
              <w:jc w:val="center"/>
              <w:rPr>
                <w:rFonts w:ascii="宋体" w:hAnsi="宋体" w:eastAsia="宋体" w:cs="宋体"/>
                <w:sz w:val="24"/>
                <w:szCs w:val="24"/>
              </w:rPr>
            </w:pPr>
            <w:r>
              <w:rPr>
                <w:rFonts w:hint="eastAsia" w:ascii="宋体" w:hAnsi="宋体" w:eastAsia="宋体"/>
              </w:rPr>
              <w:t>2024.03.21-2024.12.31</w:t>
            </w:r>
          </w:p>
        </w:tc>
        <w:tc>
          <w:tcPr>
            <w:tcW w:w="0" w:type="auto"/>
            <w:shd w:val="clear" w:color="auto" w:fill="auto"/>
          </w:tcPr>
          <w:p w14:paraId="512E0813">
            <w:pPr>
              <w:jc w:val="center"/>
              <w:rPr>
                <w:rFonts w:ascii="宋体" w:hAnsi="宋体" w:eastAsia="宋体" w:cs="宋体"/>
                <w:sz w:val="24"/>
                <w:szCs w:val="24"/>
              </w:rPr>
            </w:pPr>
            <w:r>
              <w:rPr>
                <w:rFonts w:hint="eastAsia" w:ascii="宋体" w:hAnsi="宋体" w:eastAsia="宋体"/>
              </w:rPr>
              <w:t>8.95%</w:t>
            </w:r>
          </w:p>
        </w:tc>
        <w:tc>
          <w:tcPr>
            <w:tcW w:w="0" w:type="auto"/>
            <w:shd w:val="clear" w:color="auto" w:fill="auto"/>
          </w:tcPr>
          <w:p w14:paraId="72E22278">
            <w:pPr>
              <w:jc w:val="center"/>
              <w:rPr>
                <w:rFonts w:ascii="宋体" w:hAnsi="宋体" w:eastAsia="宋体" w:cs="宋体"/>
                <w:sz w:val="24"/>
                <w:szCs w:val="24"/>
              </w:rPr>
            </w:pPr>
            <w:r>
              <w:rPr>
                <w:rFonts w:hint="eastAsia" w:ascii="宋体" w:hAnsi="宋体" w:eastAsia="宋体"/>
              </w:rPr>
              <w:t>0.20%</w:t>
            </w:r>
          </w:p>
        </w:tc>
        <w:tc>
          <w:tcPr>
            <w:tcW w:w="0" w:type="auto"/>
            <w:shd w:val="clear" w:color="auto" w:fill="auto"/>
          </w:tcPr>
          <w:p w14:paraId="2B82758D">
            <w:pPr>
              <w:jc w:val="center"/>
              <w:rPr>
                <w:rFonts w:ascii="宋体" w:hAnsi="宋体" w:eastAsia="宋体" w:cs="宋体"/>
                <w:sz w:val="24"/>
                <w:szCs w:val="24"/>
              </w:rPr>
            </w:pPr>
            <w:r>
              <w:rPr>
                <w:rFonts w:hint="eastAsia" w:ascii="宋体" w:hAnsi="宋体" w:eastAsia="宋体"/>
              </w:rPr>
              <w:t>5.18%</w:t>
            </w:r>
          </w:p>
        </w:tc>
        <w:tc>
          <w:tcPr>
            <w:tcW w:w="0" w:type="auto"/>
            <w:shd w:val="clear" w:color="auto" w:fill="auto"/>
          </w:tcPr>
          <w:p w14:paraId="362FDE5D">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2F1EC842">
            <w:pPr>
              <w:jc w:val="center"/>
              <w:rPr>
                <w:rFonts w:ascii="宋体" w:hAnsi="宋体" w:eastAsia="宋体" w:cs="宋体"/>
                <w:sz w:val="24"/>
                <w:szCs w:val="24"/>
              </w:rPr>
            </w:pPr>
            <w:r>
              <w:rPr>
                <w:rFonts w:hint="eastAsia" w:ascii="宋体" w:hAnsi="宋体" w:eastAsia="宋体"/>
              </w:rPr>
              <w:t>3.77%</w:t>
            </w:r>
          </w:p>
        </w:tc>
        <w:tc>
          <w:tcPr>
            <w:tcW w:w="0" w:type="auto"/>
            <w:shd w:val="clear" w:color="auto" w:fill="auto"/>
          </w:tcPr>
          <w:p w14:paraId="0424166C">
            <w:pPr>
              <w:jc w:val="center"/>
              <w:rPr>
                <w:rFonts w:ascii="宋体" w:hAnsi="宋体" w:eastAsia="宋体" w:cs="宋体"/>
                <w:sz w:val="24"/>
                <w:szCs w:val="24"/>
              </w:rPr>
            </w:pPr>
            <w:r>
              <w:rPr>
                <w:rFonts w:hint="eastAsia" w:ascii="宋体" w:hAnsi="宋体" w:eastAsia="宋体"/>
              </w:rPr>
              <w:t>0.12%</w:t>
            </w:r>
          </w:p>
        </w:tc>
      </w:tr>
      <w:tr w14:paraId="1270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4CBB59">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47A2C1A4">
            <w:pPr>
              <w:jc w:val="center"/>
              <w:rPr>
                <w:rFonts w:ascii="宋体" w:hAnsi="宋体" w:eastAsia="宋体" w:cs="宋体"/>
                <w:sz w:val="24"/>
                <w:szCs w:val="24"/>
              </w:rPr>
            </w:pPr>
            <w:r>
              <w:rPr>
                <w:rFonts w:hint="eastAsia" w:ascii="宋体" w:hAnsi="宋体" w:eastAsia="宋体"/>
              </w:rPr>
              <w:t>0.32%</w:t>
            </w:r>
          </w:p>
        </w:tc>
        <w:tc>
          <w:tcPr>
            <w:tcW w:w="0" w:type="auto"/>
            <w:shd w:val="clear" w:color="auto" w:fill="auto"/>
          </w:tcPr>
          <w:p w14:paraId="3CA8AF1E">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03883913">
            <w:pPr>
              <w:jc w:val="center"/>
              <w:rPr>
                <w:rFonts w:ascii="宋体" w:hAnsi="宋体" w:eastAsia="宋体" w:cs="宋体"/>
                <w:sz w:val="24"/>
                <w:szCs w:val="24"/>
              </w:rPr>
            </w:pPr>
            <w:r>
              <w:rPr>
                <w:rFonts w:hint="eastAsia" w:ascii="宋体" w:hAnsi="宋体" w:eastAsia="宋体"/>
              </w:rPr>
              <w:t>0.73%</w:t>
            </w:r>
          </w:p>
        </w:tc>
        <w:tc>
          <w:tcPr>
            <w:tcW w:w="0" w:type="auto"/>
            <w:shd w:val="clear" w:color="auto" w:fill="auto"/>
          </w:tcPr>
          <w:p w14:paraId="17C1842B">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7D4F82FE">
            <w:pPr>
              <w:jc w:val="center"/>
              <w:rPr>
                <w:rFonts w:ascii="宋体" w:hAnsi="宋体" w:eastAsia="宋体" w:cs="宋体"/>
                <w:sz w:val="24"/>
                <w:szCs w:val="24"/>
              </w:rPr>
            </w:pPr>
            <w:r>
              <w:rPr>
                <w:rFonts w:hint="eastAsia" w:ascii="宋体" w:hAnsi="宋体" w:eastAsia="宋体"/>
              </w:rPr>
              <w:t>-0.41%</w:t>
            </w:r>
          </w:p>
        </w:tc>
        <w:tc>
          <w:tcPr>
            <w:tcW w:w="0" w:type="auto"/>
            <w:shd w:val="clear" w:color="auto" w:fill="auto"/>
          </w:tcPr>
          <w:p w14:paraId="43B3ADE8">
            <w:pPr>
              <w:jc w:val="center"/>
              <w:rPr>
                <w:rFonts w:ascii="宋体" w:hAnsi="宋体" w:eastAsia="宋体" w:cs="宋体"/>
                <w:sz w:val="24"/>
                <w:szCs w:val="24"/>
              </w:rPr>
            </w:pPr>
            <w:r>
              <w:rPr>
                <w:rFonts w:hint="eastAsia" w:ascii="宋体" w:hAnsi="宋体" w:eastAsia="宋体"/>
              </w:rPr>
              <w:t>-0.03%</w:t>
            </w:r>
          </w:p>
        </w:tc>
      </w:tr>
      <w:tr w14:paraId="550A0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961610">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7C45BE80">
            <w:pPr>
              <w:jc w:val="center"/>
              <w:rPr>
                <w:rFonts w:ascii="宋体" w:hAnsi="宋体" w:eastAsia="宋体" w:cs="宋体"/>
                <w:sz w:val="24"/>
                <w:szCs w:val="24"/>
              </w:rPr>
            </w:pPr>
            <w:r>
              <w:rPr>
                <w:rFonts w:hint="eastAsia" w:ascii="宋体" w:hAnsi="宋体" w:eastAsia="宋体"/>
              </w:rPr>
              <w:t>1.21%</w:t>
            </w:r>
          </w:p>
        </w:tc>
        <w:tc>
          <w:tcPr>
            <w:tcW w:w="0" w:type="auto"/>
            <w:shd w:val="clear" w:color="auto" w:fill="auto"/>
          </w:tcPr>
          <w:p w14:paraId="349CAEAA">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27071A66">
            <w:pPr>
              <w:jc w:val="center"/>
              <w:rPr>
                <w:rFonts w:ascii="宋体" w:hAnsi="宋体" w:eastAsia="宋体" w:cs="宋体"/>
                <w:sz w:val="24"/>
                <w:szCs w:val="24"/>
              </w:rPr>
            </w:pPr>
            <w:r>
              <w:rPr>
                <w:rFonts w:hint="eastAsia" w:ascii="宋体" w:hAnsi="宋体" w:eastAsia="宋体"/>
              </w:rPr>
              <w:t>1.90%</w:t>
            </w:r>
          </w:p>
        </w:tc>
        <w:tc>
          <w:tcPr>
            <w:tcW w:w="0" w:type="auto"/>
            <w:shd w:val="clear" w:color="auto" w:fill="auto"/>
          </w:tcPr>
          <w:p w14:paraId="295E57F1">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739AD70D">
            <w:pPr>
              <w:jc w:val="center"/>
              <w:rPr>
                <w:rFonts w:ascii="宋体" w:hAnsi="宋体" w:eastAsia="宋体" w:cs="宋体"/>
                <w:sz w:val="24"/>
                <w:szCs w:val="24"/>
              </w:rPr>
            </w:pPr>
            <w:r>
              <w:rPr>
                <w:rFonts w:hint="eastAsia" w:ascii="宋体" w:hAnsi="宋体" w:eastAsia="宋体"/>
              </w:rPr>
              <w:t>-0.69%</w:t>
            </w:r>
          </w:p>
        </w:tc>
        <w:tc>
          <w:tcPr>
            <w:tcW w:w="0" w:type="auto"/>
            <w:shd w:val="clear" w:color="auto" w:fill="auto"/>
          </w:tcPr>
          <w:p w14:paraId="4A490D72">
            <w:pPr>
              <w:jc w:val="center"/>
              <w:rPr>
                <w:rFonts w:ascii="宋体" w:hAnsi="宋体" w:eastAsia="宋体" w:cs="宋体"/>
                <w:sz w:val="24"/>
                <w:szCs w:val="24"/>
              </w:rPr>
            </w:pPr>
            <w:r>
              <w:rPr>
                <w:rFonts w:hint="eastAsia" w:ascii="宋体" w:hAnsi="宋体" w:eastAsia="宋体"/>
              </w:rPr>
              <w:t>-0.02%</w:t>
            </w:r>
          </w:p>
        </w:tc>
      </w:tr>
      <w:tr w14:paraId="2A3C3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E39206">
            <w:pPr>
              <w:jc w:val="center"/>
              <w:rPr>
                <w:rFonts w:ascii="宋体" w:hAnsi="宋体" w:eastAsia="宋体" w:cs="宋体"/>
                <w:sz w:val="24"/>
                <w:szCs w:val="24"/>
              </w:rPr>
            </w:pPr>
            <w:r>
              <w:rPr>
                <w:rFonts w:hint="eastAsia" w:ascii="宋体" w:hAnsi="宋体" w:eastAsia="宋体"/>
              </w:rPr>
              <w:t>2024.03.21-2026.06.30</w:t>
            </w:r>
          </w:p>
        </w:tc>
        <w:tc>
          <w:tcPr>
            <w:tcW w:w="0" w:type="auto"/>
            <w:shd w:val="clear" w:color="auto" w:fill="auto"/>
          </w:tcPr>
          <w:p w14:paraId="4FFFE929">
            <w:pPr>
              <w:jc w:val="center"/>
              <w:rPr>
                <w:rFonts w:ascii="宋体" w:hAnsi="宋体" w:eastAsia="宋体" w:cs="宋体"/>
                <w:sz w:val="24"/>
                <w:szCs w:val="24"/>
              </w:rPr>
            </w:pPr>
            <w:r>
              <w:rPr>
                <w:rFonts w:hint="eastAsia" w:ascii="宋体" w:hAnsi="宋体" w:eastAsia="宋体"/>
              </w:rPr>
              <w:t>10.62%</w:t>
            </w:r>
          </w:p>
        </w:tc>
        <w:tc>
          <w:tcPr>
            <w:tcW w:w="0" w:type="auto"/>
            <w:shd w:val="clear" w:color="auto" w:fill="auto"/>
          </w:tcPr>
          <w:p w14:paraId="5017DB80">
            <w:pPr>
              <w:jc w:val="center"/>
              <w:rPr>
                <w:rFonts w:ascii="宋体" w:hAnsi="宋体" w:eastAsia="宋体" w:cs="宋体"/>
                <w:sz w:val="24"/>
                <w:szCs w:val="24"/>
              </w:rPr>
            </w:pPr>
            <w:r>
              <w:rPr>
                <w:rFonts w:hint="eastAsia" w:ascii="宋体" w:hAnsi="宋体" w:eastAsia="宋体"/>
              </w:rPr>
              <w:t>0.13%</w:t>
            </w:r>
          </w:p>
        </w:tc>
        <w:tc>
          <w:tcPr>
            <w:tcW w:w="0" w:type="auto"/>
            <w:shd w:val="clear" w:color="auto" w:fill="auto"/>
          </w:tcPr>
          <w:p w14:paraId="534C012D">
            <w:pPr>
              <w:jc w:val="center"/>
              <w:rPr>
                <w:rFonts w:ascii="宋体" w:hAnsi="宋体" w:eastAsia="宋体" w:cs="宋体"/>
                <w:sz w:val="24"/>
                <w:szCs w:val="24"/>
              </w:rPr>
            </w:pPr>
            <w:r>
              <w:rPr>
                <w:rFonts w:hint="eastAsia" w:ascii="宋体" w:hAnsi="宋体" w:eastAsia="宋体"/>
              </w:rPr>
              <w:t>7.96%</w:t>
            </w:r>
          </w:p>
        </w:tc>
        <w:tc>
          <w:tcPr>
            <w:tcW w:w="0" w:type="auto"/>
            <w:shd w:val="clear" w:color="auto" w:fill="auto"/>
          </w:tcPr>
          <w:p w14:paraId="0EB96F0F">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14:paraId="5FEDC149">
            <w:pPr>
              <w:jc w:val="center"/>
              <w:rPr>
                <w:rFonts w:ascii="宋体" w:hAnsi="宋体" w:eastAsia="宋体" w:cs="宋体"/>
                <w:sz w:val="24"/>
                <w:szCs w:val="24"/>
              </w:rPr>
            </w:pPr>
            <w:r>
              <w:rPr>
                <w:rFonts w:hint="eastAsia" w:ascii="宋体" w:hAnsi="宋体" w:eastAsia="宋体"/>
              </w:rPr>
              <w:t>2.66%</w:t>
            </w:r>
          </w:p>
        </w:tc>
        <w:tc>
          <w:tcPr>
            <w:tcW w:w="0" w:type="auto"/>
            <w:shd w:val="clear" w:color="auto" w:fill="auto"/>
          </w:tcPr>
          <w:p w14:paraId="0FFF50D7">
            <w:pPr>
              <w:jc w:val="center"/>
              <w:rPr>
                <w:rFonts w:ascii="宋体" w:hAnsi="宋体" w:eastAsia="宋体" w:cs="宋体"/>
                <w:sz w:val="24"/>
                <w:szCs w:val="24"/>
              </w:rPr>
            </w:pPr>
            <w:r>
              <w:rPr>
                <w:rFonts w:hint="eastAsia" w:ascii="宋体" w:hAnsi="宋体" w:eastAsia="宋体"/>
              </w:rPr>
              <w:t>0.06%</w:t>
            </w:r>
          </w:p>
        </w:tc>
      </w:tr>
    </w:tbl>
    <w:p w14:paraId="11B4D4BA">
      <w:pPr>
        <w:pStyle w:val="8"/>
        <w:spacing w:before="0" w:beforeAutospacing="0" w:after="0" w:afterAutospacing="0" w:line="360" w:lineRule="auto"/>
        <w:ind w:firstLine="420"/>
        <w:rPr>
          <w:sz w:val="21"/>
          <w:szCs w:val="21"/>
        </w:rPr>
      </w:pPr>
      <w:bookmarkStart w:id="141" w:name="chapter_level1_12_3500_section_1_end"/>
      <w:bookmarkEnd w:id="141"/>
      <w:bookmarkStart w:id="142" w:name="field_0_indatatable_1_end"/>
      <w:bookmarkEnd w:id="142"/>
      <w:r>
        <w:rPr>
          <w:rFonts w:hint="eastAsia"/>
          <w:sz w:val="21"/>
          <w:szCs w:val="21"/>
        </w:rPr>
        <w:t xml:space="preserve">  </w:t>
      </w:r>
    </w:p>
    <w:p w14:paraId="16F00E87">
      <w:pPr>
        <w:widowControl/>
        <w:jc w:val="left"/>
        <w:rPr>
          <w:rFonts w:ascii="宋体" w:hAnsi="宋体" w:eastAsia="宋体"/>
        </w:rPr>
      </w:pPr>
      <w:r>
        <w:rPr>
          <w:rFonts w:ascii="宋体" w:hAnsi="宋体" w:eastAsia="宋体"/>
        </w:rPr>
        <w:br w:type="page"/>
      </w:r>
    </w:p>
    <w:p w14:paraId="18075923">
      <w:pPr>
        <w:pStyle w:val="2"/>
        <w:jc w:val="center"/>
        <w:rPr>
          <w:rFonts w:ascii="宋体" w:hAnsi="宋体" w:eastAsia="宋体"/>
          <w:sz w:val="30"/>
        </w:rPr>
      </w:pPr>
      <w:bookmarkStart w:id="143" w:name="chapter_level1_13_62"/>
      <w:bookmarkStart w:id="144" w:name="_Toc239208846"/>
      <w:r>
        <w:rPr>
          <w:rFonts w:hint="eastAsia" w:ascii="宋体" w:hAnsi="宋体" w:eastAsia="宋体"/>
          <w:sz w:val="30"/>
        </w:rPr>
        <w:t>第十部分  基金的财产</w:t>
      </w:r>
      <w:bookmarkEnd w:id="143"/>
      <w:bookmarkEnd w:id="144"/>
    </w:p>
    <w:p w14:paraId="3A55BE7E">
      <w:pPr>
        <w:pStyle w:val="8"/>
        <w:spacing w:before="0" w:beforeAutospacing="0" w:after="0" w:afterAutospacing="0" w:line="360" w:lineRule="auto"/>
        <w:ind w:firstLine="420"/>
        <w:rPr>
          <w:sz w:val="21"/>
          <w:szCs w:val="21"/>
        </w:rPr>
      </w:pPr>
      <w:bookmarkStart w:id="145" w:name="chapter_level1_13_62_section_1"/>
      <w:bookmarkEnd w:id="145"/>
      <w:r>
        <w:rPr>
          <w:rStyle w:val="12"/>
          <w:rFonts w:hint="eastAsia"/>
          <w:sz w:val="21"/>
          <w:szCs w:val="21"/>
        </w:rPr>
        <w:t>一、基金资产总值</w:t>
      </w:r>
    </w:p>
    <w:p w14:paraId="76110F64">
      <w:pPr>
        <w:pStyle w:val="8"/>
        <w:spacing w:before="0" w:beforeAutospacing="0" w:after="0" w:afterAutospacing="0" w:line="360" w:lineRule="auto"/>
        <w:ind w:firstLine="420"/>
        <w:rPr>
          <w:sz w:val="21"/>
          <w:szCs w:val="21"/>
        </w:rPr>
      </w:pPr>
      <w:r>
        <w:rPr>
          <w:rFonts w:hint="eastAsia"/>
          <w:sz w:val="21"/>
          <w:szCs w:val="21"/>
        </w:rPr>
        <w:t xml:space="preserve">指基金拥有的各类有价证券、银行存款本息、基金应收款项及其他资产的价值总和 </w:t>
      </w:r>
    </w:p>
    <w:p w14:paraId="09EB5FBF">
      <w:pPr>
        <w:pStyle w:val="8"/>
        <w:spacing w:before="0" w:beforeAutospacing="0" w:after="0" w:afterAutospacing="0" w:line="360" w:lineRule="auto"/>
        <w:ind w:firstLine="420"/>
        <w:rPr>
          <w:sz w:val="21"/>
          <w:szCs w:val="21"/>
        </w:rPr>
      </w:pPr>
      <w:r>
        <w:rPr>
          <w:rStyle w:val="12"/>
          <w:rFonts w:hint="eastAsia"/>
          <w:sz w:val="21"/>
          <w:szCs w:val="21"/>
        </w:rPr>
        <w:t>二、基金资产净值</w:t>
      </w:r>
    </w:p>
    <w:p w14:paraId="369E3B6B">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372F52D0">
      <w:pPr>
        <w:pStyle w:val="8"/>
        <w:spacing w:before="0" w:beforeAutospacing="0" w:after="0" w:afterAutospacing="0" w:line="360" w:lineRule="auto"/>
        <w:ind w:firstLine="420"/>
        <w:rPr>
          <w:sz w:val="21"/>
          <w:szCs w:val="21"/>
        </w:rPr>
      </w:pPr>
      <w:r>
        <w:rPr>
          <w:rStyle w:val="12"/>
          <w:rFonts w:hint="eastAsia"/>
          <w:sz w:val="21"/>
          <w:szCs w:val="21"/>
        </w:rPr>
        <w:t>三、基金财产的账户</w:t>
      </w:r>
    </w:p>
    <w:p w14:paraId="56835448">
      <w:pPr>
        <w:pStyle w:val="8"/>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7ABC0C76">
      <w:pPr>
        <w:pStyle w:val="8"/>
        <w:spacing w:before="0" w:beforeAutospacing="0" w:after="0" w:afterAutospacing="0" w:line="360" w:lineRule="auto"/>
        <w:ind w:firstLine="420"/>
        <w:rPr>
          <w:sz w:val="21"/>
          <w:szCs w:val="21"/>
        </w:rPr>
      </w:pPr>
      <w:r>
        <w:rPr>
          <w:rStyle w:val="12"/>
          <w:rFonts w:hint="eastAsia"/>
          <w:sz w:val="21"/>
          <w:szCs w:val="21"/>
        </w:rPr>
        <w:t>四、基金财产的保管和处分</w:t>
      </w:r>
    </w:p>
    <w:p w14:paraId="15856E3E">
      <w:pPr>
        <w:pStyle w:val="8"/>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45CDC1EE">
      <w:pPr>
        <w:pStyle w:val="8"/>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6" w:name="chapter_level1_13_62_section_1_end"/>
      <w:bookmarkEnd w:id="146"/>
      <w:r>
        <w:rPr>
          <w:rFonts w:hint="eastAsia"/>
          <w:sz w:val="21"/>
          <w:szCs w:val="21"/>
        </w:rPr>
        <w:t xml:space="preserve">得相互抵销。 </w:t>
      </w:r>
    </w:p>
    <w:p w14:paraId="0471C6CB">
      <w:pPr>
        <w:widowControl/>
        <w:jc w:val="left"/>
        <w:rPr>
          <w:rFonts w:ascii="宋体" w:hAnsi="宋体" w:eastAsia="宋体"/>
        </w:rPr>
      </w:pPr>
      <w:r>
        <w:rPr>
          <w:rFonts w:ascii="宋体" w:hAnsi="宋体" w:eastAsia="宋体"/>
        </w:rPr>
        <w:br w:type="page"/>
      </w:r>
    </w:p>
    <w:p w14:paraId="23DAD245">
      <w:pPr>
        <w:pStyle w:val="2"/>
        <w:jc w:val="center"/>
        <w:rPr>
          <w:rFonts w:ascii="宋体" w:hAnsi="宋体" w:eastAsia="宋体"/>
          <w:sz w:val="30"/>
        </w:rPr>
      </w:pPr>
      <w:bookmarkStart w:id="147" w:name="_Toc239208847"/>
      <w:bookmarkStart w:id="148" w:name="chapter_level1_14_63"/>
      <w:r>
        <w:rPr>
          <w:rFonts w:hint="eastAsia" w:ascii="宋体" w:hAnsi="宋体" w:eastAsia="宋体"/>
          <w:sz w:val="30"/>
        </w:rPr>
        <w:t>第十一部分  基金资产的估值</w:t>
      </w:r>
      <w:bookmarkEnd w:id="147"/>
      <w:bookmarkEnd w:id="148"/>
    </w:p>
    <w:p w14:paraId="17192433">
      <w:pPr>
        <w:pStyle w:val="8"/>
        <w:spacing w:before="0" w:beforeAutospacing="0" w:after="0" w:afterAutospacing="0" w:line="360" w:lineRule="auto"/>
        <w:ind w:firstLine="420"/>
        <w:rPr>
          <w:sz w:val="21"/>
          <w:szCs w:val="21"/>
        </w:rPr>
      </w:pPr>
      <w:bookmarkStart w:id="149" w:name="chapter_level1_14_63_section_1"/>
      <w:bookmarkEnd w:id="149"/>
      <w:r>
        <w:rPr>
          <w:rStyle w:val="12"/>
          <w:rFonts w:hint="eastAsia"/>
          <w:sz w:val="21"/>
          <w:szCs w:val="21"/>
        </w:rPr>
        <w:t>一、估值日</w:t>
      </w:r>
    </w:p>
    <w:p w14:paraId="6CE1E094">
      <w:pPr>
        <w:pStyle w:val="8"/>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5EC0CB5C">
      <w:pPr>
        <w:pStyle w:val="8"/>
        <w:spacing w:before="0" w:beforeAutospacing="0" w:after="0" w:afterAutospacing="0" w:line="360" w:lineRule="auto"/>
        <w:ind w:firstLine="420"/>
        <w:rPr>
          <w:sz w:val="21"/>
          <w:szCs w:val="21"/>
        </w:rPr>
      </w:pPr>
      <w:r>
        <w:rPr>
          <w:rStyle w:val="12"/>
          <w:rFonts w:hint="eastAsia"/>
          <w:sz w:val="21"/>
          <w:szCs w:val="21"/>
        </w:rPr>
        <w:t>二、估值对象</w:t>
      </w:r>
    </w:p>
    <w:p w14:paraId="729472D0">
      <w:pPr>
        <w:pStyle w:val="8"/>
        <w:spacing w:before="0" w:beforeAutospacing="0" w:after="0" w:afterAutospacing="0" w:line="360" w:lineRule="auto"/>
        <w:ind w:firstLine="420"/>
        <w:rPr>
          <w:sz w:val="21"/>
          <w:szCs w:val="21"/>
        </w:rPr>
      </w:pPr>
      <w:r>
        <w:rPr>
          <w:rFonts w:hint="eastAsia"/>
          <w:sz w:val="21"/>
          <w:szCs w:val="21"/>
        </w:rPr>
        <w:t xml:space="preserve">基金所拥有的债券和银行存款本息、应收款项、其它投资等资产及负债。 </w:t>
      </w:r>
    </w:p>
    <w:p w14:paraId="0B3081A4">
      <w:pPr>
        <w:pStyle w:val="8"/>
        <w:spacing w:before="0" w:beforeAutospacing="0" w:after="0" w:afterAutospacing="0" w:line="360" w:lineRule="auto"/>
        <w:ind w:firstLine="420"/>
        <w:rPr>
          <w:sz w:val="21"/>
          <w:szCs w:val="21"/>
        </w:rPr>
      </w:pPr>
      <w:r>
        <w:rPr>
          <w:rStyle w:val="12"/>
          <w:rFonts w:hint="eastAsia"/>
          <w:sz w:val="21"/>
          <w:szCs w:val="21"/>
        </w:rPr>
        <w:t>三、估值方法</w:t>
      </w:r>
    </w:p>
    <w:p w14:paraId="51118FD6">
      <w:pPr>
        <w:pStyle w:val="8"/>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017636B4">
      <w:pPr>
        <w:pStyle w:val="8"/>
        <w:spacing w:before="0" w:beforeAutospacing="0" w:after="0" w:afterAutospacing="0" w:line="360" w:lineRule="auto"/>
        <w:ind w:firstLine="420"/>
        <w:rPr>
          <w:sz w:val="21"/>
          <w:szCs w:val="21"/>
        </w:rPr>
      </w:pPr>
      <w:r>
        <w:rPr>
          <w:rFonts w:hint="eastAsia"/>
          <w:sz w:val="21"/>
          <w:szCs w:val="21"/>
        </w:rPr>
        <w:t xml:space="preserve">（1）交易所上市实行净价交易或挂牌转让的固定收益品种（基金合同另有规定的除外），选取估值日第三方估值机构提供的相应品种对应的估值净价估值，具体估值机构由基金管理人与托管人另行协商约定； </w:t>
      </w:r>
    </w:p>
    <w:p w14:paraId="699DE6D4">
      <w:pPr>
        <w:pStyle w:val="8"/>
        <w:spacing w:before="0" w:beforeAutospacing="0" w:after="0" w:afterAutospacing="0" w:line="360" w:lineRule="auto"/>
        <w:ind w:firstLine="420"/>
        <w:rPr>
          <w:sz w:val="21"/>
          <w:szCs w:val="21"/>
        </w:rPr>
      </w:pPr>
      <w:r>
        <w:rPr>
          <w:rFonts w:hint="eastAsia"/>
          <w:sz w:val="21"/>
          <w:szCs w:val="21"/>
        </w:rPr>
        <w:t xml:space="preserve">（2）交易所上市不存在活跃市场的有价证券，采用估值技术确定公允价值。交易所上市的资产支持证券，采用估值技术确定公允价值，在估值技术难以可靠计量公允价值的情况下，按成本估值。 </w:t>
      </w:r>
    </w:p>
    <w:p w14:paraId="10059182">
      <w:pPr>
        <w:pStyle w:val="8"/>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784B2FAA">
      <w:pPr>
        <w:pStyle w:val="8"/>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46E24811">
      <w:pPr>
        <w:pStyle w:val="8"/>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14:paraId="34F96508">
      <w:pPr>
        <w:pStyle w:val="8"/>
        <w:spacing w:before="0" w:beforeAutospacing="0" w:after="0" w:afterAutospacing="0" w:line="360" w:lineRule="auto"/>
        <w:ind w:firstLine="420"/>
        <w:rPr>
          <w:sz w:val="21"/>
          <w:szCs w:val="21"/>
        </w:rPr>
      </w:pPr>
      <w:r>
        <w:rPr>
          <w:rFonts w:hint="eastAsia"/>
          <w:sz w:val="21"/>
          <w:szCs w:val="21"/>
        </w:rPr>
        <w:t xml:space="preserve">5、中小企业私募债券，采用估值技术确定公允价值。在估值技术难以可靠计量公允价值的情况下，按成本估值。 </w:t>
      </w:r>
    </w:p>
    <w:p w14:paraId="52884D4E">
      <w:pPr>
        <w:pStyle w:val="8"/>
        <w:spacing w:before="0" w:beforeAutospacing="0" w:after="0" w:afterAutospacing="0" w:line="360" w:lineRule="auto"/>
        <w:ind w:firstLine="420"/>
        <w:rPr>
          <w:sz w:val="21"/>
          <w:szCs w:val="21"/>
        </w:rPr>
      </w:pPr>
      <w:r>
        <w:rPr>
          <w:rFonts w:hint="eastAsia"/>
          <w:sz w:val="21"/>
          <w:szCs w:val="21"/>
        </w:rPr>
        <w:t xml:space="preserve">6、如有确凿证据表明按上述方法进行估值不能客观反映其公允价值的，基金管理人可根据具体情况与基金托管人商定后，按最能反映公允价值的价格估值。 </w:t>
      </w:r>
    </w:p>
    <w:p w14:paraId="5D821847">
      <w:pPr>
        <w:pStyle w:val="8"/>
        <w:spacing w:before="0" w:beforeAutospacing="0" w:after="0" w:afterAutospacing="0" w:line="360" w:lineRule="auto"/>
        <w:ind w:firstLine="420"/>
        <w:rPr>
          <w:sz w:val="21"/>
          <w:szCs w:val="21"/>
        </w:rPr>
      </w:pPr>
      <w:r>
        <w:rPr>
          <w:rFonts w:hint="eastAsia"/>
          <w:sz w:val="21"/>
          <w:szCs w:val="21"/>
        </w:rPr>
        <w:t xml:space="preserve">7、相关法律法规以及监管部门有强制规定的，从其规定。如有新增事项，按国家最新规定估值。 </w:t>
      </w:r>
    </w:p>
    <w:p w14:paraId="62E57193">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0B7D5655">
      <w:pPr>
        <w:pStyle w:val="8"/>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50" w:name="chapter_level1_14_63_section_1_end"/>
      <w:bookmarkEnd w:id="150"/>
      <w:r>
        <w:rPr>
          <w:rFonts w:hint="eastAsia"/>
          <w:sz w:val="21"/>
          <w:szCs w:val="21"/>
        </w:rPr>
        <w:t xml:space="preserve">予以公布。 </w:t>
      </w:r>
    </w:p>
    <w:p w14:paraId="784FC283">
      <w:pPr>
        <w:pStyle w:val="8"/>
        <w:spacing w:before="0" w:beforeAutospacing="0" w:after="0" w:afterAutospacing="0" w:line="360" w:lineRule="auto"/>
        <w:ind w:firstLine="420"/>
        <w:rPr>
          <w:sz w:val="21"/>
          <w:szCs w:val="21"/>
        </w:rPr>
      </w:pPr>
      <w:bookmarkStart w:id="151" w:name="chapter_level1_14_63_section_2"/>
      <w:bookmarkEnd w:id="151"/>
      <w:r>
        <w:rPr>
          <w:rStyle w:val="12"/>
          <w:rFonts w:hint="eastAsia"/>
          <w:sz w:val="21"/>
          <w:szCs w:val="21"/>
        </w:rPr>
        <w:t>四、估值程序</w:t>
      </w:r>
    </w:p>
    <w:p w14:paraId="41481F75">
      <w:pPr>
        <w:pStyle w:val="8"/>
        <w:spacing w:before="0" w:beforeAutospacing="0" w:after="0" w:afterAutospacing="0" w:line="360" w:lineRule="auto"/>
        <w:ind w:firstLine="420"/>
        <w:rPr>
          <w:sz w:val="21"/>
          <w:szCs w:val="21"/>
        </w:rPr>
      </w:pPr>
      <w:r>
        <w:rPr>
          <w:rFonts w:hint="eastAsia"/>
          <w:sz w:val="21"/>
          <w:szCs w:val="21"/>
        </w:rPr>
        <w:t>1、各类基金份额净值是按照每个工作日闭市后，各类基金份额的基金资产净值除以当日该类基金份额的余额数量计算，均精确到</w:t>
      </w:r>
      <w:bookmarkStart w:id="152" w:name="field_63_netdecimalvalue_1"/>
      <w:r>
        <w:rPr>
          <w:sz w:val="21"/>
          <w:szCs w:val="21"/>
        </w:rPr>
        <w:t>0.0001</w:t>
      </w:r>
      <w:bookmarkEnd w:id="152"/>
      <w:r>
        <w:rPr>
          <w:rFonts w:hint="eastAsia"/>
          <w:sz w:val="21"/>
          <w:szCs w:val="21"/>
        </w:rPr>
        <w:t>元，小数点后第</w:t>
      </w:r>
      <w:bookmarkStart w:id="153" w:name="field_0_netdecimaladd1_1"/>
      <w:r>
        <w:rPr>
          <w:sz w:val="21"/>
          <w:szCs w:val="21"/>
        </w:rPr>
        <w:t>5</w:t>
      </w:r>
      <w:bookmarkEnd w:id="153"/>
      <w:r>
        <w:rPr>
          <w:rFonts w:hint="eastAsia"/>
          <w:sz w:val="21"/>
          <w:szCs w:val="21"/>
        </w:rPr>
        <w:t xml:space="preserve">位四舍五入。国家另有规定的，从其规定。 </w:t>
      </w:r>
    </w:p>
    <w:p w14:paraId="65FCFEB3">
      <w:pPr>
        <w:pStyle w:val="8"/>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基金管理人应每个工作日计算基金资产净值及各类基金份额净值，并按规定进行公告。 </w:t>
      </w:r>
    </w:p>
    <w:p w14:paraId="3AA14F30">
      <w:pPr>
        <w:pStyle w:val="8"/>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14:paraId="595C6BF6">
      <w:pPr>
        <w:pStyle w:val="8"/>
        <w:spacing w:before="0" w:beforeAutospacing="0" w:after="0" w:afterAutospacing="0" w:line="360" w:lineRule="auto"/>
        <w:ind w:firstLine="420"/>
        <w:rPr>
          <w:sz w:val="21"/>
          <w:szCs w:val="21"/>
        </w:rPr>
      </w:pPr>
      <w:r>
        <w:rPr>
          <w:rStyle w:val="12"/>
          <w:rFonts w:hint="eastAsia"/>
          <w:sz w:val="21"/>
          <w:szCs w:val="21"/>
        </w:rPr>
        <w:t>五、估值错误的处理</w:t>
      </w:r>
    </w:p>
    <w:p w14:paraId="1CAF9B37">
      <w:pPr>
        <w:pStyle w:val="8"/>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基金管理人和基金托管人将采取必要、适当、合理的措施确保基金资产估值的准确性、及时性。当任何一类基金份额净值小数点后</w:t>
      </w:r>
      <w:bookmarkStart w:id="154" w:name="field_63_netdecimal_1"/>
      <w:r>
        <w:rPr>
          <w:sz w:val="21"/>
          <w:szCs w:val="21"/>
        </w:rPr>
        <w:t>4</w:t>
      </w:r>
      <w:bookmarkEnd w:id="154"/>
      <w:r>
        <w:rPr>
          <w:rFonts w:hint="eastAsia"/>
          <w:sz w:val="21"/>
          <w:szCs w:val="21"/>
        </w:rPr>
        <w:t>位以内(含第</w:t>
      </w:r>
      <w:bookmarkStart w:id="155" w:name="field_63_netdecimal_2"/>
      <w:r>
        <w:rPr>
          <w:sz w:val="21"/>
          <w:szCs w:val="21"/>
        </w:rPr>
        <w:t>4</w:t>
      </w:r>
      <w:bookmarkEnd w:id="155"/>
      <w:r>
        <w:rPr>
          <w:rFonts w:hint="eastAsia"/>
          <w:sz w:val="21"/>
          <w:szCs w:val="21"/>
        </w:rPr>
        <w:t xml:space="preserve">位)发生估值错误时，视为该类基金份额净值错误。 </w:t>
      </w:r>
    </w:p>
    <w:p w14:paraId="49B8B151">
      <w:pPr>
        <w:pStyle w:val="8"/>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689D5E09">
      <w:pPr>
        <w:pStyle w:val="8"/>
        <w:spacing w:before="0" w:beforeAutospacing="0" w:after="0" w:afterAutospacing="0" w:line="360" w:lineRule="auto"/>
        <w:ind w:firstLine="420"/>
        <w:rPr>
          <w:sz w:val="21"/>
          <w:szCs w:val="21"/>
        </w:rPr>
      </w:pPr>
      <w:r>
        <w:rPr>
          <w:rFonts w:hint="eastAsia"/>
          <w:sz w:val="21"/>
          <w:szCs w:val="21"/>
        </w:rPr>
        <w:t xml:space="preserve">1、估值错误类型 </w:t>
      </w:r>
    </w:p>
    <w:p w14:paraId="4D54294C">
      <w:pPr>
        <w:pStyle w:val="8"/>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035168EC">
      <w:pPr>
        <w:pStyle w:val="8"/>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4E50641B">
      <w:pPr>
        <w:pStyle w:val="8"/>
        <w:spacing w:before="0" w:beforeAutospacing="0" w:after="0" w:afterAutospacing="0" w:line="360" w:lineRule="auto"/>
        <w:ind w:firstLine="420"/>
        <w:rPr>
          <w:sz w:val="21"/>
          <w:szCs w:val="21"/>
        </w:rPr>
      </w:pPr>
      <w:r>
        <w:rPr>
          <w:rFonts w:hint="eastAsia"/>
          <w:sz w:val="21"/>
          <w:szCs w:val="21"/>
        </w:rPr>
        <w:t xml:space="preserve">2、估值错误处理原则 </w:t>
      </w:r>
    </w:p>
    <w:p w14:paraId="6DF7A262">
      <w:pPr>
        <w:pStyle w:val="8"/>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1CAAE6C4">
      <w:pPr>
        <w:pStyle w:val="8"/>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65F0D88F">
      <w:pPr>
        <w:pStyle w:val="8"/>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1CD31210">
      <w:pPr>
        <w:pStyle w:val="8"/>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1B60620E">
      <w:pPr>
        <w:pStyle w:val="8"/>
        <w:spacing w:before="0" w:beforeAutospacing="0" w:after="0" w:afterAutospacing="0" w:line="360" w:lineRule="auto"/>
        <w:ind w:firstLine="420"/>
        <w:rPr>
          <w:sz w:val="21"/>
          <w:szCs w:val="21"/>
        </w:rPr>
      </w:pPr>
      <w:r>
        <w:rPr>
          <w:rFonts w:hint="eastAsia"/>
          <w:sz w:val="21"/>
          <w:szCs w:val="21"/>
        </w:rPr>
        <w:t xml:space="preserve">3、估值错误处理程序 </w:t>
      </w:r>
    </w:p>
    <w:p w14:paraId="1D8DECB9">
      <w:pPr>
        <w:pStyle w:val="8"/>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11078D08">
      <w:pPr>
        <w:pStyle w:val="8"/>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6834BAB8">
      <w:pPr>
        <w:pStyle w:val="8"/>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3F528BA3">
      <w:pPr>
        <w:pStyle w:val="8"/>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292CA690">
      <w:pPr>
        <w:pStyle w:val="8"/>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13BFF1D2">
      <w:pPr>
        <w:pStyle w:val="8"/>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7304BF33">
      <w:pPr>
        <w:pStyle w:val="8"/>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56E2B96F">
      <w:pPr>
        <w:pStyle w:val="8"/>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 </w:t>
      </w:r>
    </w:p>
    <w:p w14:paraId="62EAFCE7">
      <w:pPr>
        <w:pStyle w:val="8"/>
        <w:spacing w:before="0" w:beforeAutospacing="0" w:after="0" w:afterAutospacing="0" w:line="360" w:lineRule="auto"/>
        <w:ind w:firstLine="420"/>
        <w:rPr>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14:paraId="3A8130A4">
      <w:pPr>
        <w:pStyle w:val="8"/>
        <w:spacing w:before="0" w:beforeAutospacing="0" w:after="0" w:afterAutospacing="0" w:line="360" w:lineRule="auto"/>
        <w:ind w:firstLine="420"/>
        <w:rPr>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2C85A7B9">
      <w:pPr>
        <w:pStyle w:val="8"/>
        <w:spacing w:before="0" w:beforeAutospacing="0" w:after="0" w:afterAutospacing="0" w:line="360" w:lineRule="auto"/>
        <w:ind w:firstLine="420"/>
        <w:rPr>
          <w:sz w:val="21"/>
          <w:szCs w:val="21"/>
        </w:rPr>
      </w:pPr>
      <w:r>
        <w:rPr>
          <w:rFonts w:hint="eastAsia"/>
          <w:sz w:val="21"/>
          <w:szCs w:val="21"/>
        </w:rPr>
        <w:t xml:space="preserve">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 </w:t>
      </w:r>
    </w:p>
    <w:p w14:paraId="0826B578">
      <w:pPr>
        <w:pStyle w:val="8"/>
        <w:spacing w:before="0" w:beforeAutospacing="0" w:after="0" w:afterAutospacing="0" w:line="360" w:lineRule="auto"/>
        <w:ind w:firstLine="420"/>
        <w:rPr>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4FFB35C1">
      <w:pPr>
        <w:pStyle w:val="8"/>
        <w:spacing w:before="0" w:beforeAutospacing="0" w:after="0" w:afterAutospacing="0" w:line="360" w:lineRule="auto"/>
        <w:ind w:firstLine="420"/>
        <w:rPr>
          <w:sz w:val="21"/>
          <w:szCs w:val="21"/>
        </w:rPr>
      </w:pPr>
      <w:r>
        <w:rPr>
          <w:rFonts w:hint="eastAsia"/>
          <w:sz w:val="21"/>
          <w:szCs w:val="21"/>
        </w:rPr>
        <w:t xml:space="preserve">④由于基金管理人提供的信息错误（包括但不限于基金申购或赎回金额等），进而导致基金份额净值计算错误而引起的基金份额持有人和基金财产的损失，由基金管理人负责赔付。 </w:t>
      </w:r>
    </w:p>
    <w:p w14:paraId="6B5C3A81">
      <w:pPr>
        <w:pStyle w:val="8"/>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 </w:t>
      </w:r>
    </w:p>
    <w:p w14:paraId="2DAA526B">
      <w:pPr>
        <w:pStyle w:val="8"/>
        <w:spacing w:before="0" w:beforeAutospacing="0" w:after="0" w:afterAutospacing="0" w:line="360" w:lineRule="auto"/>
        <w:ind w:firstLine="420"/>
        <w:rPr>
          <w:sz w:val="21"/>
          <w:szCs w:val="21"/>
        </w:rPr>
      </w:pPr>
      <w:r>
        <w:rPr>
          <w:rStyle w:val="12"/>
          <w:rFonts w:hint="eastAsia"/>
          <w:sz w:val="21"/>
          <w:szCs w:val="21"/>
        </w:rPr>
        <w:t>六、暂停估值的情形</w:t>
      </w:r>
    </w:p>
    <w:p w14:paraId="52C27876">
      <w:pPr>
        <w:pStyle w:val="8"/>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14:paraId="28E40311">
      <w:pPr>
        <w:pStyle w:val="8"/>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23A4A854">
      <w:pPr>
        <w:pStyle w:val="8"/>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2C8944F4">
      <w:pPr>
        <w:pStyle w:val="8"/>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08FA1CA5">
      <w:pPr>
        <w:pStyle w:val="8"/>
        <w:spacing w:before="0" w:beforeAutospacing="0" w:after="0" w:afterAutospacing="0" w:line="360" w:lineRule="auto"/>
        <w:ind w:firstLine="420"/>
        <w:rPr>
          <w:sz w:val="21"/>
          <w:szCs w:val="21"/>
        </w:rPr>
      </w:pPr>
      <w:r>
        <w:rPr>
          <w:rStyle w:val="12"/>
          <w:rFonts w:hint="eastAsia"/>
          <w:sz w:val="21"/>
          <w:szCs w:val="21"/>
        </w:rPr>
        <w:t>七、基金净值的确认</w:t>
      </w:r>
    </w:p>
    <w:p w14:paraId="1BD13752">
      <w:pPr>
        <w:pStyle w:val="8"/>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5554349B">
      <w:pPr>
        <w:pStyle w:val="8"/>
        <w:spacing w:before="0" w:beforeAutospacing="0" w:after="0" w:afterAutospacing="0" w:line="360" w:lineRule="auto"/>
        <w:ind w:firstLine="420"/>
        <w:rPr>
          <w:sz w:val="21"/>
          <w:szCs w:val="21"/>
        </w:rPr>
      </w:pPr>
      <w:r>
        <w:rPr>
          <w:rStyle w:val="12"/>
          <w:rFonts w:hint="eastAsia"/>
          <w:sz w:val="21"/>
          <w:szCs w:val="21"/>
        </w:rPr>
        <w:t>八、特殊情况的处理方法</w:t>
      </w:r>
    </w:p>
    <w:p w14:paraId="2BEE0F9F">
      <w:pPr>
        <w:pStyle w:val="8"/>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1、基金管理人或基金托管人按估值方法的第6项进行估值时，所造成的误差不作为基金资产估值错误处理。 </w:t>
      </w:r>
    </w:p>
    <w:p w14:paraId="47197418">
      <w:pPr>
        <w:pStyle w:val="8"/>
        <w:spacing w:before="0" w:beforeAutospacing="0" w:after="0" w:afterAutospacing="0" w:line="360" w:lineRule="auto"/>
        <w:ind w:firstLine="420"/>
        <w:rPr>
          <w:sz w:val="21"/>
          <w:szCs w:val="21"/>
        </w:rPr>
      </w:pPr>
      <w:r>
        <w:rPr>
          <w:rFonts w:hint="eastAsia"/>
          <w:sz w:val="21"/>
          <w:szCs w:val="21"/>
        </w:rPr>
        <w:t xml:space="preserve">2、由于不可抗力原因，或由于证券交易所及登记结算公司发送的数据错误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3FC4C180">
      <w:pPr>
        <w:pStyle w:val="8"/>
        <w:spacing w:before="0" w:beforeAutospacing="0" w:after="0" w:afterAutospacing="0" w:line="360" w:lineRule="auto"/>
        <w:ind w:firstLine="420"/>
        <w:rPr>
          <w:sz w:val="21"/>
          <w:szCs w:val="21"/>
        </w:rPr>
      </w:pPr>
      <w:r>
        <w:rPr>
          <w:rStyle w:val="12"/>
          <w:rFonts w:hint="eastAsia"/>
          <w:sz w:val="21"/>
          <w:szCs w:val="21"/>
        </w:rPr>
        <w:t>九、实施侧袋机制期间的基金资产估值</w:t>
      </w:r>
    </w:p>
    <w:p w14:paraId="51597FCE">
      <w:pPr>
        <w:pStyle w:val="8"/>
        <w:spacing w:before="0" w:beforeAutospacing="0" w:after="0" w:afterAutospacing="0" w:line="360" w:lineRule="auto"/>
        <w:ind w:firstLine="420"/>
        <w:rPr>
          <w:sz w:val="21"/>
          <w:szCs w:val="21"/>
        </w:rPr>
      </w:pPr>
      <w:r>
        <w:rPr>
          <w:rFonts w:hint="eastAsia"/>
          <w:sz w:val="21"/>
          <w:szCs w:val="21"/>
        </w:rPr>
        <w:t xml:space="preserve">本基金实施侧袋机制的，应根据本部分的约定对主袋账户资产进行估值并披露主袋账户的基金净值信息，暂停披露侧袋账户基金净值信息。  </w:t>
      </w:r>
    </w:p>
    <w:p w14:paraId="1E0348F3">
      <w:pPr>
        <w:widowControl/>
        <w:jc w:val="left"/>
        <w:rPr>
          <w:rFonts w:ascii="宋体" w:hAnsi="宋体" w:eastAsia="宋体"/>
        </w:rPr>
      </w:pPr>
      <w:bookmarkStart w:id="156" w:name="chapter_level1_14_63_section_2_end"/>
      <w:bookmarkEnd w:id="156"/>
      <w:r>
        <w:rPr>
          <w:rFonts w:ascii="宋体" w:hAnsi="宋体" w:eastAsia="宋体"/>
        </w:rPr>
        <w:br w:type="page"/>
      </w:r>
    </w:p>
    <w:p w14:paraId="0F2F291C">
      <w:pPr>
        <w:pStyle w:val="2"/>
        <w:jc w:val="center"/>
        <w:rPr>
          <w:rFonts w:ascii="宋体" w:hAnsi="宋体" w:eastAsia="宋体"/>
          <w:sz w:val="30"/>
        </w:rPr>
      </w:pPr>
      <w:bookmarkStart w:id="157" w:name="chapter_level1_15_64"/>
      <w:bookmarkStart w:id="158" w:name="_Toc239208848"/>
      <w:r>
        <w:rPr>
          <w:rFonts w:hint="eastAsia" w:ascii="宋体" w:hAnsi="宋体" w:eastAsia="宋体"/>
          <w:sz w:val="30"/>
        </w:rPr>
        <w:t>第十二部分  基金的收益与分配</w:t>
      </w:r>
      <w:bookmarkEnd w:id="157"/>
      <w:bookmarkEnd w:id="158"/>
    </w:p>
    <w:p w14:paraId="2F56AA1A">
      <w:pPr>
        <w:pStyle w:val="8"/>
        <w:spacing w:before="0" w:beforeAutospacing="0" w:after="0" w:afterAutospacing="0" w:line="360" w:lineRule="auto"/>
        <w:ind w:firstLine="420"/>
        <w:rPr>
          <w:sz w:val="21"/>
          <w:szCs w:val="21"/>
        </w:rPr>
      </w:pPr>
      <w:bookmarkStart w:id="159" w:name="chapter_level1_15_64_section_1"/>
      <w:bookmarkEnd w:id="159"/>
      <w:r>
        <w:rPr>
          <w:rStyle w:val="12"/>
          <w:rFonts w:hint="eastAsia"/>
          <w:sz w:val="21"/>
          <w:szCs w:val="21"/>
        </w:rPr>
        <w:t>一、基金利润的构成</w:t>
      </w:r>
    </w:p>
    <w:p w14:paraId="08C5F976">
      <w:pPr>
        <w:pStyle w:val="8"/>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6D91214A">
      <w:pPr>
        <w:pStyle w:val="8"/>
        <w:spacing w:before="0" w:beforeAutospacing="0" w:after="0" w:afterAutospacing="0" w:line="360" w:lineRule="auto"/>
        <w:ind w:firstLine="420"/>
        <w:rPr>
          <w:sz w:val="21"/>
          <w:szCs w:val="21"/>
        </w:rPr>
      </w:pPr>
      <w:r>
        <w:rPr>
          <w:rStyle w:val="12"/>
          <w:rFonts w:hint="eastAsia"/>
          <w:sz w:val="21"/>
          <w:szCs w:val="21"/>
        </w:rPr>
        <w:t>二、基金可供分配利润</w:t>
      </w:r>
    </w:p>
    <w:p w14:paraId="382D351D">
      <w:pPr>
        <w:pStyle w:val="8"/>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4FE38C3D">
      <w:pPr>
        <w:pStyle w:val="8"/>
        <w:spacing w:before="0" w:beforeAutospacing="0" w:after="0" w:afterAutospacing="0" w:line="360" w:lineRule="auto"/>
        <w:ind w:firstLine="420"/>
        <w:rPr>
          <w:sz w:val="21"/>
          <w:szCs w:val="21"/>
        </w:rPr>
      </w:pPr>
      <w:r>
        <w:rPr>
          <w:rStyle w:val="12"/>
          <w:rFonts w:hint="eastAsia"/>
          <w:sz w:val="21"/>
          <w:szCs w:val="21"/>
        </w:rPr>
        <w:t>三、基金收益分配原则</w:t>
      </w:r>
    </w:p>
    <w:p w14:paraId="7A1E593D">
      <w:pPr>
        <w:pStyle w:val="8"/>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6BC4EB56">
      <w:pPr>
        <w:pStyle w:val="8"/>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3D7817C7">
      <w:pPr>
        <w:pStyle w:val="8"/>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3、由于本基金A类基金份额不收取销售服务费，而C类基金份额收取销售服务费，各基金份额类别对应的可供分配利润将有所不同，本基金同一类别的每一基金份额享有同等分配权； </w:t>
      </w:r>
    </w:p>
    <w:p w14:paraId="6892A97A">
      <w:pPr>
        <w:pStyle w:val="8"/>
        <w:spacing w:before="0" w:beforeAutospacing="0" w:after="0" w:afterAutospacing="0" w:line="360" w:lineRule="auto"/>
        <w:ind w:firstLine="420"/>
        <w:rPr>
          <w:sz w:val="21"/>
          <w:szCs w:val="21"/>
        </w:rPr>
      </w:pPr>
      <w:bookmarkStart w:id="160" w:name="chapter_level1_15_64_section_1_end"/>
      <w:bookmarkEnd w:id="160"/>
      <w:r>
        <w:rPr>
          <w:rFonts w:hint="eastAsia"/>
          <w:sz w:val="21"/>
          <w:szCs w:val="21"/>
        </w:rPr>
        <w:t xml:space="preserve">4、法律法规或监管机关另有规定的，从其规定。 </w:t>
      </w:r>
    </w:p>
    <w:p w14:paraId="1C086A86">
      <w:pPr>
        <w:pStyle w:val="8"/>
        <w:spacing w:before="0" w:beforeAutospacing="0" w:after="0" w:afterAutospacing="0" w:line="360" w:lineRule="auto"/>
        <w:ind w:firstLine="420"/>
        <w:rPr>
          <w:sz w:val="21"/>
          <w:szCs w:val="21"/>
        </w:rPr>
      </w:pPr>
      <w:bookmarkStart w:id="161" w:name="chapter_level1_15_64_section_2"/>
      <w:bookmarkEnd w:id="161"/>
      <w:r>
        <w:rPr>
          <w:rStyle w:val="12"/>
          <w:rFonts w:hint="eastAsia"/>
          <w:sz w:val="21"/>
          <w:szCs w:val="21"/>
        </w:rPr>
        <w:t>四、收益分配方案</w:t>
      </w:r>
    </w:p>
    <w:p w14:paraId="3876AB30">
      <w:pPr>
        <w:pStyle w:val="8"/>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1673B884">
      <w:pPr>
        <w:pStyle w:val="8"/>
        <w:spacing w:before="0" w:beforeAutospacing="0" w:after="0" w:afterAutospacing="0" w:line="360" w:lineRule="auto"/>
        <w:ind w:firstLine="420"/>
        <w:rPr>
          <w:sz w:val="21"/>
          <w:szCs w:val="21"/>
        </w:rPr>
      </w:pPr>
      <w:r>
        <w:rPr>
          <w:rStyle w:val="12"/>
          <w:rFonts w:hint="eastAsia"/>
          <w:sz w:val="21"/>
          <w:szCs w:val="21"/>
        </w:rPr>
        <w:t>五、收益分配方案的确定、公告与实施</w:t>
      </w:r>
    </w:p>
    <w:p w14:paraId="28DC4906">
      <w:pPr>
        <w:pStyle w:val="8"/>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14:paraId="3E23AD73">
      <w:pPr>
        <w:pStyle w:val="8"/>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14:paraId="7B0B2EA9">
      <w:pPr>
        <w:pStyle w:val="8"/>
        <w:spacing w:before="0" w:beforeAutospacing="0" w:after="0" w:afterAutospacing="0" w:line="360" w:lineRule="auto"/>
        <w:ind w:firstLine="420"/>
        <w:rPr>
          <w:sz w:val="21"/>
          <w:szCs w:val="21"/>
        </w:rPr>
      </w:pPr>
      <w:r>
        <w:rPr>
          <w:rStyle w:val="12"/>
          <w:rFonts w:hint="eastAsia"/>
          <w:sz w:val="21"/>
          <w:szCs w:val="21"/>
        </w:rPr>
        <w:t>六、基金收益分配中发生的费用</w:t>
      </w:r>
    </w:p>
    <w:p w14:paraId="58287FD5">
      <w:pPr>
        <w:pStyle w:val="8"/>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于支付银行转账或其他手续费用时，基金登记机构可将基金份额持有人的现金红利自动转为相应类别的基金份额。红利再投资的计算方法，依照《业务规则》执行。 </w:t>
      </w:r>
    </w:p>
    <w:p w14:paraId="6E4970DE">
      <w:pPr>
        <w:pStyle w:val="8"/>
        <w:spacing w:before="0" w:beforeAutospacing="0" w:after="0" w:afterAutospacing="0" w:line="360" w:lineRule="auto"/>
        <w:ind w:firstLine="420"/>
        <w:rPr>
          <w:sz w:val="21"/>
          <w:szCs w:val="21"/>
        </w:rPr>
      </w:pPr>
      <w:r>
        <w:rPr>
          <w:rStyle w:val="12"/>
          <w:rFonts w:hint="eastAsia"/>
          <w:sz w:val="21"/>
          <w:szCs w:val="21"/>
        </w:rPr>
        <w:t>七、实施侧袋机制期间的收益分配</w:t>
      </w:r>
    </w:p>
    <w:p w14:paraId="20C28A75">
      <w:pPr>
        <w:pStyle w:val="8"/>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62" w:name="chapter_level1_15_64_section_2_end"/>
      <w:bookmarkEnd w:id="162"/>
      <w:r>
        <w:rPr>
          <w:rFonts w:hint="eastAsia"/>
          <w:sz w:val="21"/>
          <w:szCs w:val="21"/>
        </w:rPr>
        <w:t xml:space="preserve">节的规定。  </w:t>
      </w:r>
    </w:p>
    <w:p w14:paraId="4AF7AEAA">
      <w:pPr>
        <w:widowControl/>
        <w:jc w:val="left"/>
        <w:rPr>
          <w:rFonts w:ascii="宋体" w:hAnsi="宋体" w:eastAsia="宋体"/>
        </w:rPr>
      </w:pPr>
      <w:r>
        <w:rPr>
          <w:rFonts w:ascii="宋体" w:hAnsi="宋体" w:eastAsia="宋体"/>
        </w:rPr>
        <w:br w:type="page"/>
      </w:r>
    </w:p>
    <w:p w14:paraId="7F29DB62">
      <w:pPr>
        <w:pStyle w:val="2"/>
        <w:jc w:val="center"/>
        <w:rPr>
          <w:rFonts w:ascii="宋体" w:hAnsi="宋体" w:eastAsia="宋体"/>
          <w:sz w:val="30"/>
        </w:rPr>
      </w:pPr>
      <w:bookmarkStart w:id="163" w:name="_Toc239208849"/>
      <w:bookmarkStart w:id="164" w:name="chapter_level1_16_65"/>
      <w:r>
        <w:rPr>
          <w:rFonts w:hint="eastAsia" w:ascii="宋体" w:hAnsi="宋体" w:eastAsia="宋体"/>
          <w:sz w:val="30"/>
        </w:rPr>
        <w:t>第十三部分  基金费用与税收</w:t>
      </w:r>
      <w:bookmarkEnd w:id="163"/>
      <w:bookmarkEnd w:id="164"/>
    </w:p>
    <w:p w14:paraId="1106E70E">
      <w:pPr>
        <w:pStyle w:val="8"/>
        <w:spacing w:before="0" w:beforeAutospacing="0" w:after="0" w:afterAutospacing="0" w:line="360" w:lineRule="auto"/>
        <w:ind w:firstLine="420"/>
        <w:rPr>
          <w:sz w:val="21"/>
          <w:szCs w:val="21"/>
        </w:rPr>
      </w:pPr>
      <w:bookmarkStart w:id="165" w:name="chapter_level1_16_65_section_1"/>
      <w:bookmarkEnd w:id="165"/>
      <w:r>
        <w:rPr>
          <w:rStyle w:val="12"/>
          <w:rFonts w:hint="eastAsia"/>
          <w:sz w:val="21"/>
          <w:szCs w:val="21"/>
        </w:rPr>
        <w:t>一、基金费用的种类</w:t>
      </w:r>
    </w:p>
    <w:p w14:paraId="70A0022B">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7A8C8A05">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53124A59">
      <w:pPr>
        <w:pStyle w:val="8"/>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076B1419">
      <w:pPr>
        <w:pStyle w:val="8"/>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6A21D4C7">
      <w:pPr>
        <w:pStyle w:val="8"/>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5、《基金合同》生效后与基金相关的会计师费、律师费、诉讼费和仲裁费； </w:t>
      </w:r>
    </w:p>
    <w:p w14:paraId="48A97DF0">
      <w:pPr>
        <w:pStyle w:val="8"/>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2D7C8315">
      <w:pPr>
        <w:pStyle w:val="8"/>
        <w:spacing w:before="0" w:beforeAutospacing="0" w:after="0" w:afterAutospacing="0" w:line="360" w:lineRule="auto"/>
        <w:ind w:firstLine="420"/>
        <w:rPr>
          <w:sz w:val="21"/>
          <w:szCs w:val="21"/>
        </w:rPr>
      </w:pPr>
      <w:r>
        <w:rPr>
          <w:rFonts w:hint="eastAsia"/>
          <w:sz w:val="21"/>
          <w:szCs w:val="21"/>
        </w:rPr>
        <w:t xml:space="preserve">7、基金的证券交易费用； </w:t>
      </w:r>
    </w:p>
    <w:p w14:paraId="713925E2">
      <w:pPr>
        <w:pStyle w:val="8"/>
        <w:spacing w:before="0" w:beforeAutospacing="0" w:after="0" w:afterAutospacing="0" w:line="360" w:lineRule="auto"/>
        <w:ind w:firstLine="420"/>
        <w:rPr>
          <w:sz w:val="21"/>
          <w:szCs w:val="21"/>
        </w:rPr>
      </w:pPr>
      <w:r>
        <w:rPr>
          <w:rFonts w:hint="eastAsia"/>
          <w:sz w:val="21"/>
          <w:szCs w:val="21"/>
        </w:rPr>
        <w:t xml:space="preserve">8、基金的银行汇划费用； </w:t>
      </w:r>
    </w:p>
    <w:p w14:paraId="156D10E3">
      <w:pPr>
        <w:pStyle w:val="8"/>
        <w:spacing w:before="0" w:beforeAutospacing="0" w:after="0" w:afterAutospacing="0" w:line="360" w:lineRule="auto"/>
        <w:ind w:firstLine="420"/>
        <w:rPr>
          <w:sz w:val="21"/>
          <w:szCs w:val="21"/>
        </w:rPr>
      </w:pPr>
      <w:r>
        <w:rPr>
          <w:rFonts w:hint="eastAsia"/>
          <w:sz w:val="21"/>
          <w:szCs w:val="21"/>
        </w:rPr>
        <w:t xml:space="preserve">9、基金的开户费用、账户维护费用； </w:t>
      </w:r>
    </w:p>
    <w:p w14:paraId="22A9E807">
      <w:pPr>
        <w:pStyle w:val="8"/>
        <w:spacing w:before="0" w:beforeAutospacing="0" w:after="0" w:afterAutospacing="0" w:line="360" w:lineRule="auto"/>
        <w:ind w:firstLine="420"/>
        <w:rPr>
          <w:sz w:val="21"/>
          <w:szCs w:val="21"/>
        </w:rPr>
      </w:pPr>
      <w:r>
        <w:rPr>
          <w:rFonts w:hint="eastAsia"/>
          <w:sz w:val="21"/>
          <w:szCs w:val="21"/>
        </w:rPr>
        <w:t xml:space="preserve">10、按照国家有关规定和《基金合同》约定，可以在基金财产中列支的其他费用。 </w:t>
      </w:r>
    </w:p>
    <w:p w14:paraId="1B59776B">
      <w:pPr>
        <w:pStyle w:val="8"/>
        <w:spacing w:before="0" w:beforeAutospacing="0" w:after="0" w:afterAutospacing="0" w:line="360" w:lineRule="auto"/>
        <w:ind w:firstLine="420"/>
        <w:rPr>
          <w:sz w:val="21"/>
          <w:szCs w:val="21"/>
        </w:rPr>
      </w:pPr>
      <w:r>
        <w:rPr>
          <w:rStyle w:val="12"/>
          <w:rFonts w:hint="eastAsia"/>
          <w:sz w:val="21"/>
          <w:szCs w:val="21"/>
        </w:rPr>
        <w:t>二、基金费用计提方法、计提标准和支付方式</w:t>
      </w:r>
    </w:p>
    <w:p w14:paraId="6AF1A90D">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14496741">
      <w:pPr>
        <w:pStyle w:val="8"/>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66" w:name="field_0_managementrate_1"/>
      <w:r>
        <w:rPr>
          <w:sz w:val="21"/>
          <w:szCs w:val="21"/>
        </w:rPr>
        <w:t>0.30</w:t>
      </w:r>
      <w:bookmarkEnd w:id="166"/>
      <w:r>
        <w:rPr>
          <w:rFonts w:hint="eastAsia"/>
          <w:sz w:val="21"/>
          <w:szCs w:val="21"/>
        </w:rPr>
        <w:t xml:space="preserve">%年费率计提。管理费的计算方法如下： </w:t>
      </w:r>
    </w:p>
    <w:p w14:paraId="4DB97AF8">
      <w:pPr>
        <w:pStyle w:val="8"/>
        <w:spacing w:before="0" w:beforeAutospacing="0" w:after="0" w:afterAutospacing="0" w:line="360" w:lineRule="auto"/>
        <w:ind w:firstLine="420"/>
        <w:rPr>
          <w:sz w:val="21"/>
          <w:szCs w:val="21"/>
        </w:rPr>
      </w:pPr>
      <w:r>
        <w:rPr>
          <w:rFonts w:hint="eastAsia"/>
          <w:sz w:val="21"/>
          <w:szCs w:val="21"/>
        </w:rPr>
        <w:t>H＝E×</w:t>
      </w:r>
      <w:bookmarkStart w:id="167" w:name="field_0_managementrate_2"/>
      <w:r>
        <w:rPr>
          <w:sz w:val="21"/>
          <w:szCs w:val="21"/>
        </w:rPr>
        <w:t>0.30</w:t>
      </w:r>
      <w:bookmarkEnd w:id="167"/>
      <w:r>
        <w:rPr>
          <w:rFonts w:hint="eastAsia"/>
          <w:sz w:val="21"/>
          <w:szCs w:val="21"/>
        </w:rPr>
        <w:t xml:space="preserve">%÷当年天数 </w:t>
      </w:r>
    </w:p>
    <w:p w14:paraId="627E3959">
      <w:pPr>
        <w:pStyle w:val="8"/>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62F5AED1">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3FA33027">
      <w:pPr>
        <w:pStyle w:val="8"/>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在次月前3个工作日内，由基金管理人向基金托管人发送管理费划款指令，基金托管人核对无误后从基金财产中一次性支付给基金管理人。若遇法定节假日、公休假等，支付日期顺延。 </w:t>
      </w:r>
    </w:p>
    <w:p w14:paraId="3F0A23C0">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62F2A8D9">
      <w:pPr>
        <w:pStyle w:val="8"/>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68" w:name="field_0_trusteerate_1"/>
      <w:r>
        <w:rPr>
          <w:sz w:val="21"/>
          <w:szCs w:val="21"/>
        </w:rPr>
        <w:t>0.</w:t>
      </w:r>
      <w:r>
        <w:rPr>
          <w:rFonts w:hint="eastAsia"/>
          <w:sz w:val="21"/>
          <w:szCs w:val="21"/>
          <w:lang w:val="en-US" w:eastAsia="zh-CN"/>
        </w:rPr>
        <w:t>05</w:t>
      </w:r>
      <w:bookmarkEnd w:id="168"/>
      <w:r>
        <w:rPr>
          <w:rFonts w:hint="eastAsia"/>
          <w:sz w:val="21"/>
          <w:szCs w:val="21"/>
        </w:rPr>
        <w:t xml:space="preserve">%的年费率计提。托管费的计算方法如下： </w:t>
      </w:r>
    </w:p>
    <w:p w14:paraId="48D9FBE8">
      <w:pPr>
        <w:pStyle w:val="8"/>
        <w:spacing w:before="0" w:beforeAutospacing="0" w:after="0" w:afterAutospacing="0" w:line="360" w:lineRule="auto"/>
        <w:ind w:firstLine="420"/>
        <w:rPr>
          <w:sz w:val="21"/>
          <w:szCs w:val="21"/>
        </w:rPr>
      </w:pPr>
      <w:r>
        <w:rPr>
          <w:rFonts w:hint="eastAsia"/>
          <w:sz w:val="21"/>
          <w:szCs w:val="21"/>
        </w:rPr>
        <w:t>H＝E×</w:t>
      </w:r>
      <w:bookmarkStart w:id="169" w:name="field_0_trusteerate_2"/>
      <w:r>
        <w:rPr>
          <w:sz w:val="21"/>
          <w:szCs w:val="21"/>
        </w:rPr>
        <w:t>0.</w:t>
      </w:r>
      <w:r>
        <w:rPr>
          <w:rFonts w:hint="eastAsia"/>
          <w:sz w:val="21"/>
          <w:szCs w:val="21"/>
          <w:lang w:val="en-US" w:eastAsia="zh-CN"/>
        </w:rPr>
        <w:t>05</w:t>
      </w:r>
      <w:bookmarkEnd w:id="169"/>
      <w:r>
        <w:rPr>
          <w:rFonts w:hint="eastAsia"/>
          <w:sz w:val="21"/>
          <w:szCs w:val="21"/>
        </w:rPr>
        <w:t xml:space="preserve">%÷当年天数 </w:t>
      </w:r>
    </w:p>
    <w:p w14:paraId="1AB37765">
      <w:pPr>
        <w:pStyle w:val="8"/>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6C9A428B">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24437263">
      <w:pPr>
        <w:pStyle w:val="8"/>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于次月前3个工作日内，由基金管理人向基金托管人发送托管费划款指令，基金托管人复核无误后从基金财产中一次性支取。若遇法定节假日、公休假等，支付日期顺延。 </w:t>
      </w:r>
    </w:p>
    <w:p w14:paraId="7E837EF9">
      <w:pPr>
        <w:pStyle w:val="8"/>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310B6D43">
      <w:pPr>
        <w:pStyle w:val="8"/>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本基金A类基金份额不收取销售服务费，C类基金份额的销售服务费年费率为0.10%。本基金销售服务费主要用于本基金持续销售以及基金份额持有人服务等各项费用。 </w:t>
      </w:r>
    </w:p>
    <w:p w14:paraId="1E68EF73">
      <w:pPr>
        <w:pStyle w:val="8"/>
        <w:spacing w:before="0" w:beforeAutospacing="0" w:after="0" w:afterAutospacing="0" w:line="360" w:lineRule="auto"/>
        <w:ind w:firstLine="420"/>
        <w:rPr>
          <w:sz w:val="21"/>
          <w:szCs w:val="21"/>
        </w:rPr>
      </w:pPr>
      <w:r>
        <w:rPr>
          <w:rFonts w:hint="eastAsia"/>
          <w:sz w:val="21"/>
          <w:szCs w:val="21"/>
        </w:rPr>
        <w:t xml:space="preserve">本基金的销售服务费按前一日C类基金份额基金资产净值的0.10%的年费率计提。销售服务费的计算方法如下： </w:t>
      </w:r>
    </w:p>
    <w:p w14:paraId="25F62FD3">
      <w:pPr>
        <w:pStyle w:val="8"/>
        <w:spacing w:before="0" w:beforeAutospacing="0" w:after="0" w:afterAutospacing="0" w:line="360" w:lineRule="auto"/>
        <w:ind w:firstLine="420"/>
        <w:rPr>
          <w:sz w:val="21"/>
          <w:szCs w:val="21"/>
        </w:rPr>
      </w:pPr>
      <w:r>
        <w:rPr>
          <w:rFonts w:hint="eastAsia"/>
          <w:sz w:val="21"/>
          <w:szCs w:val="21"/>
        </w:rPr>
        <w:t xml:space="preserve">H＝E×0.10%÷当年天数 </w:t>
      </w:r>
    </w:p>
    <w:p w14:paraId="4CAF3AED">
      <w:pPr>
        <w:pStyle w:val="8"/>
        <w:spacing w:before="0" w:beforeAutospacing="0" w:after="0" w:afterAutospacing="0" w:line="360" w:lineRule="auto"/>
        <w:ind w:firstLine="420"/>
        <w:rPr>
          <w:sz w:val="21"/>
          <w:szCs w:val="21"/>
        </w:rPr>
      </w:pPr>
      <w:r>
        <w:rPr>
          <w:rFonts w:hint="eastAsia"/>
          <w:sz w:val="21"/>
          <w:szCs w:val="21"/>
        </w:rPr>
        <w:t xml:space="preserve">H为每日应计提的C类基金份额的销售服务费 </w:t>
      </w:r>
    </w:p>
    <w:p w14:paraId="5B3D7946">
      <w:pPr>
        <w:pStyle w:val="8"/>
        <w:spacing w:before="0" w:beforeAutospacing="0" w:after="0" w:afterAutospacing="0" w:line="360" w:lineRule="auto"/>
        <w:ind w:firstLine="420"/>
        <w:rPr>
          <w:sz w:val="21"/>
          <w:szCs w:val="21"/>
        </w:rPr>
      </w:pPr>
      <w:r>
        <w:rPr>
          <w:rFonts w:hint="eastAsia"/>
          <w:sz w:val="21"/>
          <w:szCs w:val="21"/>
        </w:rPr>
        <w:t xml:space="preserve">E为前一日的C类基金份额基金资产净值 </w:t>
      </w:r>
    </w:p>
    <w:p w14:paraId="66482ED8">
      <w:pPr>
        <w:pStyle w:val="8"/>
        <w:spacing w:before="0" w:beforeAutospacing="0" w:after="0" w:afterAutospacing="0" w:line="360" w:lineRule="auto"/>
        <w:ind w:firstLine="420"/>
        <w:rPr>
          <w:sz w:val="21"/>
          <w:szCs w:val="21"/>
        </w:rPr>
      </w:pPr>
      <w:r>
        <w:rPr>
          <w:rFonts w:hint="eastAsia"/>
          <w:sz w:val="21"/>
          <w:szCs w:val="21"/>
        </w:rPr>
        <w:t xml:space="preserve">基金销售服务费每日计算，逐日累计至每月月末，按月支付，于次月前3个工作日内，由基金管理人向基金托管人发送销售服务费划款指令，基金托管人复核无误后从基金财产中一次性支付。若遇法定节假日、公休假等，支付日期顺延。 </w:t>
      </w:r>
    </w:p>
    <w:p w14:paraId="74FD3F69">
      <w:pPr>
        <w:pStyle w:val="8"/>
        <w:spacing w:before="0" w:beforeAutospacing="0" w:after="0" w:afterAutospacing="0" w:line="360" w:lineRule="auto"/>
        <w:ind w:firstLine="420"/>
        <w:rPr>
          <w:sz w:val="21"/>
          <w:szCs w:val="21"/>
        </w:rPr>
      </w:pPr>
      <w:r>
        <w:rPr>
          <w:rFonts w:hint="eastAsia"/>
          <w:sz w:val="21"/>
          <w:szCs w:val="21"/>
        </w:rPr>
        <w:t xml:space="preserve">上述“一、基金费用的种类”中第4－10项费用，根据有关法规及相应协议规定，按费用实际支出金额列入当期费用，由基金托管人从基金财产中支付。 </w:t>
      </w:r>
    </w:p>
    <w:p w14:paraId="639A04AC">
      <w:pPr>
        <w:pStyle w:val="8"/>
        <w:spacing w:before="0" w:beforeAutospacing="0" w:after="0" w:afterAutospacing="0" w:line="360" w:lineRule="auto"/>
        <w:ind w:firstLine="420"/>
        <w:rPr>
          <w:sz w:val="21"/>
          <w:szCs w:val="21"/>
        </w:rPr>
      </w:pPr>
      <w:r>
        <w:rPr>
          <w:rFonts w:hint="eastAsia"/>
          <w:sz w:val="21"/>
          <w:szCs w:val="21"/>
        </w:rPr>
        <w:t xml:space="preserve">4、证券账户开户费用：证券账户开户费经基金管理人与基金托管人核对无误后，自产品成立一个月内由基金托管人从基金财产中划付，如基金财产余额不足支付该开户费用，由基金管理人于产品成立一个月后的5个工作日内进行垫付，基金托管人不承担垫付开户费用义务。 </w:t>
      </w:r>
    </w:p>
    <w:p w14:paraId="2EADF22F">
      <w:pPr>
        <w:pStyle w:val="8"/>
        <w:spacing w:before="0" w:beforeAutospacing="0" w:after="0" w:afterAutospacing="0" w:line="360" w:lineRule="auto"/>
        <w:ind w:firstLine="420"/>
        <w:rPr>
          <w:sz w:val="21"/>
          <w:szCs w:val="21"/>
        </w:rPr>
      </w:pPr>
      <w:r>
        <w:rPr>
          <w:rStyle w:val="12"/>
          <w:rFonts w:hint="eastAsia"/>
          <w:sz w:val="21"/>
          <w:szCs w:val="21"/>
        </w:rPr>
        <w:t>三、不列入基金费用的项目</w:t>
      </w:r>
    </w:p>
    <w:p w14:paraId="7612DFF2">
      <w:pPr>
        <w:pStyle w:val="8"/>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37F1A699">
      <w:pPr>
        <w:pStyle w:val="8"/>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5A8D8DF4">
      <w:pPr>
        <w:pStyle w:val="8"/>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166F33EC">
      <w:pPr>
        <w:pStyle w:val="8"/>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2AD13424">
      <w:pPr>
        <w:pStyle w:val="8"/>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6D1DAE53">
      <w:pPr>
        <w:pStyle w:val="8"/>
        <w:spacing w:before="0" w:beforeAutospacing="0" w:after="0" w:afterAutospacing="0" w:line="360" w:lineRule="auto"/>
        <w:ind w:firstLine="420"/>
        <w:rPr>
          <w:sz w:val="21"/>
          <w:szCs w:val="21"/>
        </w:rPr>
      </w:pPr>
      <w:r>
        <w:rPr>
          <w:rStyle w:val="12"/>
          <w:rFonts w:hint="eastAsia"/>
          <w:sz w:val="21"/>
          <w:szCs w:val="21"/>
        </w:rPr>
        <w:t>四、基金税收</w:t>
      </w:r>
    </w:p>
    <w:p w14:paraId="350F4393">
      <w:pPr>
        <w:pStyle w:val="8"/>
        <w:spacing w:before="0" w:beforeAutospacing="0" w:after="0" w:afterAutospacing="0" w:line="360" w:lineRule="auto"/>
        <w:ind w:firstLine="420"/>
        <w:rPr>
          <w:sz w:val="21"/>
          <w:szCs w:val="21"/>
        </w:rPr>
      </w:pPr>
      <w:r>
        <w:rPr>
          <w:rFonts w:hint="eastAsia"/>
          <w:sz w:val="21"/>
          <w:szCs w:val="21"/>
        </w:rPr>
        <w:t xml:space="preserve">本基金运作过程中涉及的各纳税主体，其纳税义务按国家税收法律、法规执行。 </w:t>
      </w:r>
    </w:p>
    <w:p w14:paraId="49BCA7CC">
      <w:pPr>
        <w:pStyle w:val="8"/>
        <w:spacing w:before="0" w:beforeAutospacing="0" w:after="0" w:afterAutospacing="0" w:line="360" w:lineRule="auto"/>
        <w:ind w:firstLine="420"/>
        <w:rPr>
          <w:sz w:val="21"/>
          <w:szCs w:val="21"/>
        </w:rPr>
      </w:pPr>
      <w:r>
        <w:rPr>
          <w:rFonts w:hint="eastAsia"/>
          <w:sz w:val="21"/>
          <w:szCs w:val="21"/>
        </w:rPr>
        <w:t xml:space="preserve">基金财产投资的相关税收，由基金份额持有人承担，基金管理人或者其他扣缴义务人按照国家有关税收征收的规定代扣代缴。 </w:t>
      </w:r>
    </w:p>
    <w:p w14:paraId="162C3D7F">
      <w:pPr>
        <w:pStyle w:val="8"/>
        <w:spacing w:before="0" w:beforeAutospacing="0" w:after="0" w:afterAutospacing="0" w:line="360" w:lineRule="auto"/>
        <w:ind w:firstLine="420"/>
        <w:rPr>
          <w:sz w:val="21"/>
          <w:szCs w:val="21"/>
        </w:rPr>
      </w:pPr>
      <w:r>
        <w:rPr>
          <w:rStyle w:val="12"/>
          <w:rFonts w:hint="eastAsia"/>
          <w:sz w:val="21"/>
          <w:szCs w:val="21"/>
        </w:rPr>
        <w:t>五、实施侧袋机制期间的基金费用</w:t>
      </w:r>
    </w:p>
    <w:p w14:paraId="22157A63">
      <w:pPr>
        <w:pStyle w:val="8"/>
        <w:spacing w:before="0" w:beforeAutospacing="0" w:after="0" w:afterAutospacing="0" w:line="360" w:lineRule="auto"/>
        <w:ind w:firstLine="420"/>
        <w:rPr>
          <w:sz w:val="21"/>
          <w:szCs w:val="21"/>
        </w:rPr>
      </w:pPr>
      <w:r>
        <w:rPr>
          <w:rFonts w:hint="eastAsia"/>
          <w:sz w:val="21"/>
          <w:szCs w:val="21"/>
        </w:rPr>
        <w:t>本基金实施侧袋机制的，与侧袋账户有关的费用可以从侧袋账户中列支，但应待侧袋账户资产变现后方可列支，有关费用可酌情收取或减免，但不得收取管理费，详见本招募说明</w:t>
      </w:r>
      <w:bookmarkStart w:id="170" w:name="chapter_level1_16_65_section_1_end"/>
      <w:bookmarkEnd w:id="170"/>
      <w:r>
        <w:rPr>
          <w:rFonts w:hint="eastAsia"/>
          <w:sz w:val="21"/>
          <w:szCs w:val="21"/>
        </w:rPr>
        <w:t xml:space="preserve">书“侧袋机制”章节的规定。  </w:t>
      </w:r>
    </w:p>
    <w:p w14:paraId="74D85609">
      <w:pPr>
        <w:widowControl/>
        <w:jc w:val="left"/>
        <w:rPr>
          <w:rFonts w:ascii="宋体" w:hAnsi="宋体" w:eastAsia="宋体"/>
        </w:rPr>
      </w:pPr>
      <w:r>
        <w:rPr>
          <w:rFonts w:ascii="宋体" w:hAnsi="宋体" w:eastAsia="宋体"/>
        </w:rPr>
        <w:br w:type="page"/>
      </w:r>
    </w:p>
    <w:p w14:paraId="13017D2E">
      <w:pPr>
        <w:pStyle w:val="2"/>
        <w:jc w:val="center"/>
        <w:rPr>
          <w:rFonts w:ascii="宋体" w:hAnsi="宋体" w:eastAsia="宋体"/>
          <w:sz w:val="30"/>
        </w:rPr>
      </w:pPr>
      <w:bookmarkStart w:id="171" w:name="_Toc239208850"/>
      <w:bookmarkStart w:id="172" w:name="chapter_level1_17_66"/>
      <w:r>
        <w:rPr>
          <w:rFonts w:hint="eastAsia" w:ascii="宋体" w:hAnsi="宋体" w:eastAsia="宋体"/>
          <w:sz w:val="30"/>
        </w:rPr>
        <w:t>第十四部分  基金的会计与审计</w:t>
      </w:r>
      <w:bookmarkEnd w:id="171"/>
      <w:bookmarkEnd w:id="172"/>
    </w:p>
    <w:p w14:paraId="00E77BEF">
      <w:pPr>
        <w:pStyle w:val="8"/>
        <w:spacing w:before="0" w:beforeAutospacing="0" w:after="0" w:afterAutospacing="0" w:line="360" w:lineRule="auto"/>
        <w:ind w:firstLine="420"/>
        <w:rPr>
          <w:sz w:val="21"/>
          <w:szCs w:val="21"/>
        </w:rPr>
      </w:pPr>
      <w:bookmarkStart w:id="173" w:name="chapter_level1_17_66_section_1"/>
      <w:bookmarkEnd w:id="173"/>
      <w:r>
        <w:rPr>
          <w:rStyle w:val="12"/>
          <w:rFonts w:hint="eastAsia"/>
          <w:sz w:val="21"/>
          <w:szCs w:val="21"/>
        </w:rPr>
        <w:t>一、基金会计政策</w:t>
      </w:r>
    </w:p>
    <w:p w14:paraId="6F4C57BD">
      <w:pPr>
        <w:pStyle w:val="8"/>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76F21261">
      <w:pPr>
        <w:pStyle w:val="8"/>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 </w:t>
      </w:r>
    </w:p>
    <w:p w14:paraId="3563F67B">
      <w:pPr>
        <w:pStyle w:val="8"/>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74D61776">
      <w:pPr>
        <w:pStyle w:val="8"/>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4A131578">
      <w:pPr>
        <w:pStyle w:val="8"/>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1D17FDE6">
      <w:pPr>
        <w:pStyle w:val="8"/>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6C47FAEA">
      <w:pPr>
        <w:pStyle w:val="8"/>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69C62980">
      <w:pPr>
        <w:pStyle w:val="8"/>
        <w:spacing w:before="0" w:beforeAutospacing="0" w:after="0" w:afterAutospacing="0" w:line="360" w:lineRule="auto"/>
        <w:ind w:firstLine="420"/>
        <w:rPr>
          <w:sz w:val="21"/>
          <w:szCs w:val="21"/>
        </w:rPr>
      </w:pPr>
      <w:r>
        <w:rPr>
          <w:rStyle w:val="12"/>
          <w:rFonts w:hint="eastAsia"/>
          <w:sz w:val="21"/>
          <w:szCs w:val="21"/>
        </w:rPr>
        <w:t>二、基金的年度审计</w:t>
      </w:r>
    </w:p>
    <w:p w14:paraId="23659E94">
      <w:pPr>
        <w:pStyle w:val="8"/>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1、基金管理人聘请与基金管理人、基金托管人相互独立的具有证券、期货相关业务从业资格的会计师事务所及其注册会计师对本基金的年度财务报表进行审计。 </w:t>
      </w:r>
    </w:p>
    <w:p w14:paraId="1F16687C">
      <w:pPr>
        <w:pStyle w:val="8"/>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6CD7A4BE">
      <w:pPr>
        <w:pStyle w:val="8"/>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4" w:name="chapter_level1_17_66_section_1_end"/>
      <w:bookmarkEnd w:id="174"/>
      <w:r>
        <w:rPr>
          <w:rFonts w:hint="eastAsia"/>
          <w:sz w:val="21"/>
          <w:szCs w:val="21"/>
        </w:rPr>
        <w:t xml:space="preserve">务所需按照《信息披露办法》的有关规定在指定媒介公告。 </w:t>
      </w:r>
    </w:p>
    <w:p w14:paraId="462164A1">
      <w:pPr>
        <w:widowControl/>
        <w:jc w:val="left"/>
        <w:rPr>
          <w:rFonts w:ascii="宋体" w:hAnsi="宋体" w:eastAsia="宋体"/>
        </w:rPr>
      </w:pPr>
      <w:r>
        <w:rPr>
          <w:rFonts w:ascii="宋体" w:hAnsi="宋体" w:eastAsia="宋体"/>
        </w:rPr>
        <w:br w:type="page"/>
      </w:r>
    </w:p>
    <w:p w14:paraId="64216B01">
      <w:pPr>
        <w:pStyle w:val="2"/>
        <w:jc w:val="center"/>
        <w:rPr>
          <w:rFonts w:ascii="宋体" w:hAnsi="宋体" w:eastAsia="宋体"/>
          <w:sz w:val="30"/>
        </w:rPr>
      </w:pPr>
      <w:bookmarkStart w:id="175" w:name="_Toc239208851"/>
      <w:bookmarkStart w:id="176" w:name="chapter_level1_18_67"/>
      <w:r>
        <w:rPr>
          <w:rFonts w:hint="eastAsia" w:ascii="宋体" w:hAnsi="宋体" w:eastAsia="宋体"/>
          <w:sz w:val="30"/>
        </w:rPr>
        <w:t>第十五部分  基金的信息披露</w:t>
      </w:r>
      <w:bookmarkEnd w:id="175"/>
      <w:bookmarkEnd w:id="176"/>
    </w:p>
    <w:p w14:paraId="776321A7">
      <w:pPr>
        <w:pStyle w:val="8"/>
        <w:spacing w:before="0" w:beforeAutospacing="0" w:after="0" w:afterAutospacing="0" w:line="360" w:lineRule="auto"/>
        <w:ind w:firstLine="420"/>
        <w:rPr>
          <w:sz w:val="21"/>
          <w:szCs w:val="21"/>
        </w:rPr>
      </w:pPr>
      <w:bookmarkStart w:id="177" w:name="chapter_level1_18_67_section_1"/>
      <w:bookmarkEnd w:id="177"/>
      <w:r>
        <w:rPr>
          <w:rStyle w:val="12"/>
          <w:rFonts w:hint="eastAsia"/>
          <w:sz w:val="21"/>
          <w:szCs w:val="21"/>
        </w:rPr>
        <w:t>一、本基金的信息披露应符合《基金法》、《运作办法》、《信息披露办法》、《基金合同》及其他有关规定。</w:t>
      </w:r>
    </w:p>
    <w:p w14:paraId="39EC3BA1">
      <w:pPr>
        <w:pStyle w:val="8"/>
        <w:spacing w:before="0" w:beforeAutospacing="0" w:after="0" w:afterAutospacing="0" w:line="360" w:lineRule="auto"/>
        <w:ind w:firstLine="420"/>
        <w:rPr>
          <w:sz w:val="21"/>
          <w:szCs w:val="21"/>
        </w:rPr>
      </w:pPr>
      <w:r>
        <w:rPr>
          <w:rStyle w:val="12"/>
          <w:rFonts w:hint="eastAsia"/>
          <w:sz w:val="21"/>
          <w:szCs w:val="21"/>
        </w:rPr>
        <w:t>二、信息披露义务人</w:t>
      </w:r>
    </w:p>
    <w:p w14:paraId="53B47D77">
      <w:pPr>
        <w:pStyle w:val="8"/>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63BA0081">
      <w:pPr>
        <w:pStyle w:val="8"/>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7B87DB1C">
      <w:pPr>
        <w:pStyle w:val="8"/>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14:paraId="76DBED43">
      <w:pPr>
        <w:pStyle w:val="8"/>
        <w:spacing w:before="0" w:beforeAutospacing="0" w:after="0" w:afterAutospacing="0" w:line="360" w:lineRule="auto"/>
        <w:ind w:firstLine="420"/>
        <w:rPr>
          <w:sz w:val="21"/>
          <w:szCs w:val="21"/>
        </w:rPr>
      </w:pPr>
      <w:r>
        <w:rPr>
          <w:rFonts w:hint="eastAsia"/>
          <w:sz w:val="21"/>
          <w:szCs w:val="21"/>
        </w:rPr>
        <w:t xml:space="preserve">当出现下述情况时，基金管理人和基金托管人可暂停或延迟披露基金相关信息： </w:t>
      </w:r>
    </w:p>
    <w:p w14:paraId="5C9E7471">
      <w:pPr>
        <w:pStyle w:val="8"/>
        <w:spacing w:before="0" w:beforeAutospacing="0" w:after="0" w:afterAutospacing="0" w:line="360" w:lineRule="auto"/>
        <w:ind w:firstLine="420"/>
        <w:rPr>
          <w:sz w:val="21"/>
          <w:szCs w:val="21"/>
        </w:rPr>
      </w:pPr>
      <w:r>
        <w:rPr>
          <w:rFonts w:hint="eastAsia"/>
          <w:sz w:val="21"/>
          <w:szCs w:val="21"/>
        </w:rPr>
        <w:t xml:space="preserve">（1）不可抗力； </w:t>
      </w:r>
    </w:p>
    <w:p w14:paraId="000545A2">
      <w:pPr>
        <w:pStyle w:val="8"/>
        <w:spacing w:before="0" w:beforeAutospacing="0" w:after="0" w:afterAutospacing="0" w:line="360" w:lineRule="auto"/>
        <w:ind w:firstLine="420"/>
        <w:rPr>
          <w:sz w:val="21"/>
          <w:szCs w:val="21"/>
        </w:rPr>
      </w:pPr>
      <w:r>
        <w:rPr>
          <w:rFonts w:hint="eastAsia"/>
          <w:sz w:val="21"/>
          <w:szCs w:val="21"/>
        </w:rPr>
        <w:t xml:space="preserve">（2）发生暂停估值的情形； </w:t>
      </w:r>
    </w:p>
    <w:p w14:paraId="24A12E7C">
      <w:pPr>
        <w:pStyle w:val="8"/>
        <w:spacing w:before="0" w:beforeAutospacing="0" w:after="0" w:afterAutospacing="0" w:line="360" w:lineRule="auto"/>
        <w:ind w:firstLine="420"/>
        <w:rPr>
          <w:sz w:val="21"/>
          <w:szCs w:val="21"/>
        </w:rPr>
      </w:pPr>
      <w:r>
        <w:rPr>
          <w:rFonts w:hint="eastAsia"/>
          <w:sz w:val="21"/>
          <w:szCs w:val="21"/>
        </w:rPr>
        <w:t xml:space="preserve">（3）法律法规、基金合同或中国证监会规定的情况。 </w:t>
      </w:r>
    </w:p>
    <w:p w14:paraId="516B9859">
      <w:pPr>
        <w:pStyle w:val="8"/>
        <w:spacing w:before="0" w:beforeAutospacing="0" w:after="0" w:afterAutospacing="0" w:line="360" w:lineRule="auto"/>
        <w:ind w:firstLine="420"/>
        <w:rPr>
          <w:sz w:val="21"/>
          <w:szCs w:val="21"/>
        </w:rPr>
      </w:pPr>
      <w:r>
        <w:rPr>
          <w:rStyle w:val="12"/>
          <w:rFonts w:hint="eastAsia"/>
          <w:sz w:val="21"/>
          <w:szCs w:val="21"/>
        </w:rPr>
        <w:t>三、本基金信息披露义务人承诺公开披露的基金信息，不得有下列行为：</w:t>
      </w:r>
    </w:p>
    <w:p w14:paraId="4F016B66">
      <w:pPr>
        <w:pStyle w:val="8"/>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584B3DC6">
      <w:pPr>
        <w:pStyle w:val="8"/>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642F29EE">
      <w:pPr>
        <w:pStyle w:val="8"/>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35C3F810">
      <w:pPr>
        <w:pStyle w:val="8"/>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26266A65">
      <w:pPr>
        <w:pStyle w:val="8"/>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166E867E">
      <w:pPr>
        <w:pStyle w:val="8"/>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45B4AD9A">
      <w:pPr>
        <w:pStyle w:val="8"/>
        <w:spacing w:before="0" w:beforeAutospacing="0" w:after="0" w:afterAutospacing="0" w:line="360" w:lineRule="auto"/>
        <w:ind w:firstLine="420"/>
        <w:rPr>
          <w:sz w:val="21"/>
          <w:szCs w:val="21"/>
        </w:rPr>
      </w:pPr>
      <w:r>
        <w:rPr>
          <w:rStyle w:val="12"/>
          <w:rFonts w:hint="eastAsia"/>
          <w:sz w:val="21"/>
          <w:szCs w:val="21"/>
        </w:rPr>
        <w:t>四、本基金公开披露的信息应采用中文文本。如同时采用外文文本的，基金信息披露义务人应保证不同文本的内容一致。不同文本之间发生歧义的，以中文文本为准。</w:t>
      </w:r>
    </w:p>
    <w:p w14:paraId="1E164E2C">
      <w:pPr>
        <w:pStyle w:val="8"/>
        <w:spacing w:before="0" w:beforeAutospacing="0" w:after="0" w:afterAutospacing="0" w:line="360" w:lineRule="auto"/>
        <w:ind w:firstLine="420"/>
        <w:rPr>
          <w:sz w:val="21"/>
          <w:szCs w:val="21"/>
        </w:rPr>
      </w:pPr>
      <w:bookmarkStart w:id="178" w:name="chapter_level1_18_67_section_1_end"/>
      <w:bookmarkEnd w:id="178"/>
      <w:r>
        <w:rPr>
          <w:rFonts w:hint="eastAsia"/>
          <w:sz w:val="21"/>
          <w:szCs w:val="21"/>
        </w:rPr>
        <w:t xml:space="preserve">本基金公开披露的信息采用阿拉伯数字；除特别说明外，货币单位为人民币元。 </w:t>
      </w:r>
    </w:p>
    <w:p w14:paraId="5D35B4F6">
      <w:pPr>
        <w:pStyle w:val="8"/>
        <w:spacing w:before="0" w:beforeAutospacing="0" w:after="0" w:afterAutospacing="0" w:line="360" w:lineRule="auto"/>
        <w:ind w:firstLine="420"/>
        <w:rPr>
          <w:sz w:val="21"/>
          <w:szCs w:val="21"/>
        </w:rPr>
      </w:pPr>
      <w:bookmarkStart w:id="179" w:name="chapter_level1_18_67_section_2"/>
      <w:bookmarkEnd w:id="179"/>
      <w:r>
        <w:rPr>
          <w:rStyle w:val="12"/>
          <w:rFonts w:hint="eastAsia"/>
          <w:sz w:val="21"/>
          <w:szCs w:val="21"/>
        </w:rPr>
        <w:t>五、公开披露的基金信息</w:t>
      </w:r>
    </w:p>
    <w:p w14:paraId="315FD46F">
      <w:pPr>
        <w:pStyle w:val="8"/>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3C1EFF64">
      <w:pPr>
        <w:pStyle w:val="8"/>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5D407271">
      <w:pPr>
        <w:pStyle w:val="8"/>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3EEEB08A">
      <w:pPr>
        <w:pStyle w:val="8"/>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280CDE7E">
      <w:pPr>
        <w:pStyle w:val="8"/>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1D9E3427">
      <w:pPr>
        <w:pStyle w:val="8"/>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70EEC2D5">
      <w:pPr>
        <w:pStyle w:val="8"/>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5、基金募集申请经中国证监会注册后，基金管理人在基金份额发售的3日前，将基金招募说明书、《基金合同》摘要、《基金合同》、基金托管协议登载在指定媒介上。 </w:t>
      </w:r>
    </w:p>
    <w:p w14:paraId="6C6A1C12">
      <w:pPr>
        <w:pStyle w:val="8"/>
        <w:spacing w:before="0" w:beforeAutospacing="0" w:after="0" w:afterAutospacing="0" w:line="360" w:lineRule="auto"/>
        <w:ind w:firstLine="420"/>
        <w:rPr>
          <w:sz w:val="21"/>
          <w:szCs w:val="21"/>
        </w:rPr>
      </w:pPr>
      <w:r>
        <w:rPr>
          <w:rFonts w:hint="eastAsia"/>
          <w:sz w:val="21"/>
          <w:szCs w:val="21"/>
        </w:rPr>
        <w:t xml:space="preserve">（二）基金份额发售公告 </w:t>
      </w:r>
    </w:p>
    <w:p w14:paraId="35609043">
      <w:pPr>
        <w:pStyle w:val="8"/>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14:paraId="7C426845">
      <w:pPr>
        <w:pStyle w:val="8"/>
        <w:spacing w:before="0" w:beforeAutospacing="0" w:after="0" w:afterAutospacing="0" w:line="360" w:lineRule="auto"/>
        <w:ind w:firstLine="420"/>
        <w:rPr>
          <w:sz w:val="21"/>
          <w:szCs w:val="21"/>
        </w:rPr>
      </w:pPr>
      <w:r>
        <w:rPr>
          <w:rFonts w:hint="eastAsia"/>
          <w:sz w:val="21"/>
          <w:szCs w:val="21"/>
        </w:rPr>
        <w:t xml:space="preserve">（三）《基金合同》生效公告 </w:t>
      </w:r>
    </w:p>
    <w:p w14:paraId="7C4181BF">
      <w:pPr>
        <w:pStyle w:val="8"/>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14:paraId="3441B638">
      <w:pPr>
        <w:pStyle w:val="8"/>
        <w:spacing w:before="0" w:beforeAutospacing="0" w:after="0" w:afterAutospacing="0" w:line="360" w:lineRule="auto"/>
        <w:ind w:firstLine="420"/>
        <w:rPr>
          <w:sz w:val="21"/>
          <w:szCs w:val="21"/>
        </w:rPr>
      </w:pPr>
      <w:r>
        <w:rPr>
          <w:rFonts w:hint="eastAsia"/>
          <w:sz w:val="21"/>
          <w:szCs w:val="21"/>
        </w:rPr>
        <w:t xml:space="preserve">（四）基金净值信息 </w:t>
      </w:r>
    </w:p>
    <w:p w14:paraId="68371D67">
      <w:pPr>
        <w:pStyle w:val="8"/>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《基金合同》生效后，在开始办理基金份额申购或者赎回前，基金管理人应当至少每周在指定网站披露一次基金份额净值和基金份额累计净值。 </w:t>
      </w:r>
    </w:p>
    <w:p w14:paraId="4CB7C7E6">
      <w:pPr>
        <w:pStyle w:val="8"/>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在开始办理基金份额申购或者赎回后，基金管理人应当在不晚于每个开放日的次日，通过其指定网站、基金销售机构网站或营业网点披露开放日的各类基金份额净值和各类基金份额累计净值。  </w:t>
      </w:r>
    </w:p>
    <w:p w14:paraId="75C08FEC">
      <w:pPr>
        <w:pStyle w:val="8"/>
        <w:spacing w:before="0" w:beforeAutospacing="0" w:after="0" w:afterAutospacing="0" w:line="360" w:lineRule="auto"/>
        <w:ind w:firstLine="420"/>
        <w:rPr>
          <w:sz w:val="21"/>
          <w:szCs w:val="21"/>
        </w:rPr>
      </w:pPr>
      <w:r>
        <w:rPr>
          <w:rFonts w:hint="eastAsia"/>
          <w:sz w:val="21"/>
          <w:szCs w:val="21"/>
        </w:rPr>
        <w:t xml:space="preserve">基金管理人应在不晚于半年度和年度最后一日的次日，在指定网站披露半年度和年度最后一日的各类基金份额净值和各类基金份额累计净值。 </w:t>
      </w:r>
    </w:p>
    <w:p w14:paraId="2E7E2A68">
      <w:pPr>
        <w:pStyle w:val="8"/>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44E1EC4F">
      <w:pPr>
        <w:pStyle w:val="8"/>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40FC1ECD">
      <w:pPr>
        <w:pStyle w:val="8"/>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14:paraId="330A86D9">
      <w:pPr>
        <w:pStyle w:val="8"/>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14:paraId="19AFDDAC">
      <w:pPr>
        <w:pStyle w:val="8"/>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20759940">
      <w:pPr>
        <w:pStyle w:val="8"/>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14:paraId="681784C9">
      <w:pPr>
        <w:pStyle w:val="8"/>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5CE5A0F7">
      <w:pPr>
        <w:pStyle w:val="8"/>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14:paraId="7530CB2A">
      <w:pPr>
        <w:pStyle w:val="8"/>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 </w:t>
      </w:r>
    </w:p>
    <w:p w14:paraId="31C86084">
      <w:pPr>
        <w:pStyle w:val="8"/>
        <w:spacing w:before="0" w:beforeAutospacing="0" w:after="0" w:afterAutospacing="0" w:line="360" w:lineRule="auto"/>
        <w:ind w:firstLine="420"/>
        <w:rPr>
          <w:sz w:val="21"/>
          <w:szCs w:val="21"/>
        </w:rPr>
      </w:pPr>
      <w:r>
        <w:rPr>
          <w:rFonts w:hint="eastAsia"/>
          <w:sz w:val="21"/>
          <w:szCs w:val="21"/>
        </w:rPr>
        <w:t xml:space="preserve">（七）临时报告 </w:t>
      </w:r>
    </w:p>
    <w:p w14:paraId="7543D3ED">
      <w:pPr>
        <w:pStyle w:val="8"/>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14:paraId="116826FE">
      <w:pPr>
        <w:pStyle w:val="8"/>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1780F797">
      <w:pPr>
        <w:pStyle w:val="8"/>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6E168583">
      <w:pPr>
        <w:pStyle w:val="8"/>
        <w:spacing w:before="0" w:beforeAutospacing="0" w:after="0" w:afterAutospacing="0" w:line="360" w:lineRule="auto"/>
        <w:ind w:firstLine="420"/>
        <w:rPr>
          <w:sz w:val="21"/>
          <w:szCs w:val="21"/>
        </w:rPr>
      </w:pPr>
      <w:r>
        <w:rPr>
          <w:rFonts w:hint="eastAsia"/>
          <w:sz w:val="21"/>
          <w:szCs w:val="21"/>
        </w:rPr>
        <w:t xml:space="preserve">2、基金合同终止、基金清算； </w:t>
      </w:r>
    </w:p>
    <w:p w14:paraId="2FFCBA98">
      <w:pPr>
        <w:pStyle w:val="8"/>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4E2FD0B9">
      <w:pPr>
        <w:pStyle w:val="8"/>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629D2C39">
      <w:pPr>
        <w:pStyle w:val="8"/>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4097B1AA">
      <w:pPr>
        <w:pStyle w:val="8"/>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5E8FC64E">
      <w:pPr>
        <w:pStyle w:val="8"/>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7FD7A892">
      <w:pPr>
        <w:pStyle w:val="8"/>
        <w:spacing w:before="0" w:beforeAutospacing="0" w:after="0" w:afterAutospacing="0" w:line="360" w:lineRule="auto"/>
        <w:ind w:firstLine="420"/>
        <w:rPr>
          <w:sz w:val="21"/>
          <w:szCs w:val="21"/>
        </w:rPr>
      </w:pPr>
      <w:r>
        <w:rPr>
          <w:rFonts w:hint="eastAsia"/>
          <w:sz w:val="21"/>
          <w:szCs w:val="21"/>
        </w:rPr>
        <w:t xml:space="preserve">8、基金募集期延长； </w:t>
      </w:r>
    </w:p>
    <w:p w14:paraId="77CFB1FB">
      <w:pPr>
        <w:pStyle w:val="8"/>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25C6CB1C">
      <w:pPr>
        <w:pStyle w:val="8"/>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10、基金管理人的董事在最近12个月内变更超过百分之五十，基金管理人、基金托管人专门基金托管部门的主要业务人员在最近12个月内变动超过百分之三十； </w:t>
      </w:r>
    </w:p>
    <w:p w14:paraId="26EDB070">
      <w:pPr>
        <w:pStyle w:val="8"/>
        <w:spacing w:before="0" w:beforeAutospacing="0" w:after="0" w:afterAutospacing="0" w:line="360" w:lineRule="auto"/>
        <w:ind w:firstLine="420"/>
        <w:rPr>
          <w:sz w:val="21"/>
          <w:szCs w:val="21"/>
        </w:rPr>
      </w:pPr>
      <w:r>
        <w:rPr>
          <w:rFonts w:hint="eastAsia"/>
          <w:sz w:val="21"/>
          <w:szCs w:val="21"/>
        </w:rPr>
        <w:t xml:space="preserve">11、涉及基金管理业务、基金财产、基金托管业务的诉讼或仲裁； </w:t>
      </w:r>
    </w:p>
    <w:p w14:paraId="7407D422">
      <w:pPr>
        <w:pStyle w:val="8"/>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14:paraId="56485A98">
      <w:pPr>
        <w:pStyle w:val="8"/>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796A18EF">
      <w:pPr>
        <w:pStyle w:val="8"/>
        <w:spacing w:before="0" w:beforeAutospacing="0" w:after="0" w:afterAutospacing="0" w:line="360" w:lineRule="auto"/>
        <w:ind w:firstLine="420"/>
        <w:rPr>
          <w:sz w:val="21"/>
          <w:szCs w:val="21"/>
        </w:rPr>
      </w:pPr>
      <w:r>
        <w:rPr>
          <w:rFonts w:hint="eastAsia"/>
          <w:sz w:val="21"/>
          <w:szCs w:val="21"/>
        </w:rPr>
        <w:t xml:space="preserve">14、基金收益分配事项； </w:t>
      </w:r>
    </w:p>
    <w:p w14:paraId="1B32EAB2">
      <w:pPr>
        <w:pStyle w:val="8"/>
        <w:spacing w:before="0" w:beforeAutospacing="0" w:after="0" w:afterAutospacing="0" w:line="360" w:lineRule="auto"/>
        <w:ind w:firstLine="420"/>
        <w:rPr>
          <w:sz w:val="21"/>
          <w:szCs w:val="21"/>
        </w:rPr>
      </w:pPr>
      <w:r>
        <w:rPr>
          <w:rFonts w:hint="eastAsia"/>
          <w:sz w:val="21"/>
          <w:szCs w:val="21"/>
        </w:rPr>
        <w:t xml:space="preserve">15、管理费、托管费、销售服务费、申购费、赎回费等费用计提标准、计提方式和费率发生变更；  </w:t>
      </w:r>
    </w:p>
    <w:p w14:paraId="618F263A">
      <w:pPr>
        <w:pStyle w:val="8"/>
        <w:spacing w:before="0" w:beforeAutospacing="0" w:after="0" w:afterAutospacing="0" w:line="360" w:lineRule="auto"/>
        <w:ind w:firstLine="420"/>
        <w:rPr>
          <w:sz w:val="21"/>
          <w:szCs w:val="21"/>
        </w:rPr>
      </w:pPr>
      <w:r>
        <w:rPr>
          <w:rFonts w:hint="eastAsia"/>
          <w:sz w:val="21"/>
          <w:szCs w:val="21"/>
        </w:rPr>
        <w:t xml:space="preserve">16、任一类基金份额净值计价错误达该类基金份额净值百分之零点五； </w:t>
      </w:r>
    </w:p>
    <w:p w14:paraId="17D89518">
      <w:pPr>
        <w:pStyle w:val="8"/>
        <w:spacing w:before="0" w:beforeAutospacing="0" w:after="0" w:afterAutospacing="0" w:line="360" w:lineRule="auto"/>
        <w:ind w:firstLine="420"/>
        <w:rPr>
          <w:sz w:val="21"/>
          <w:szCs w:val="21"/>
        </w:rPr>
      </w:pPr>
      <w:r>
        <w:rPr>
          <w:rFonts w:hint="eastAsia"/>
          <w:sz w:val="21"/>
          <w:szCs w:val="21"/>
        </w:rPr>
        <w:t xml:space="preserve">17、本基金开始办理申购、赎回； </w:t>
      </w:r>
    </w:p>
    <w:p w14:paraId="7CEC3FF6">
      <w:pPr>
        <w:pStyle w:val="8"/>
        <w:spacing w:before="0" w:beforeAutospacing="0" w:after="0" w:afterAutospacing="0" w:line="360" w:lineRule="auto"/>
        <w:ind w:firstLine="420"/>
        <w:rPr>
          <w:sz w:val="21"/>
          <w:szCs w:val="21"/>
        </w:rPr>
      </w:pPr>
      <w:r>
        <w:rPr>
          <w:rFonts w:hint="eastAsia"/>
          <w:sz w:val="21"/>
          <w:szCs w:val="21"/>
        </w:rPr>
        <w:t xml:space="preserve">18、本基金发生巨额赎回并延期办理； </w:t>
      </w:r>
    </w:p>
    <w:p w14:paraId="04EE4CB8">
      <w:pPr>
        <w:pStyle w:val="8"/>
        <w:spacing w:before="0" w:beforeAutospacing="0" w:after="0" w:afterAutospacing="0" w:line="360" w:lineRule="auto"/>
        <w:ind w:firstLine="420"/>
        <w:rPr>
          <w:sz w:val="21"/>
          <w:szCs w:val="21"/>
        </w:rPr>
      </w:pPr>
      <w:r>
        <w:rPr>
          <w:rFonts w:hint="eastAsia"/>
          <w:sz w:val="21"/>
          <w:szCs w:val="21"/>
        </w:rPr>
        <w:t xml:space="preserve">19、本基金连续发生巨额赎回并暂停接受赎回申请或延缓支付赎回款项； </w:t>
      </w:r>
    </w:p>
    <w:p w14:paraId="5EE8DE67">
      <w:pPr>
        <w:pStyle w:val="8"/>
        <w:spacing w:before="0" w:beforeAutospacing="0" w:after="0" w:afterAutospacing="0" w:line="360" w:lineRule="auto"/>
        <w:ind w:firstLine="420"/>
        <w:rPr>
          <w:sz w:val="21"/>
          <w:szCs w:val="21"/>
        </w:rPr>
      </w:pPr>
      <w:r>
        <w:rPr>
          <w:rFonts w:hint="eastAsia"/>
          <w:sz w:val="21"/>
          <w:szCs w:val="21"/>
        </w:rPr>
        <w:t xml:space="preserve">20、本基金暂停接受申购、赎回申请或重新接受申购、赎回申请； </w:t>
      </w:r>
    </w:p>
    <w:p w14:paraId="25F00C97">
      <w:pPr>
        <w:pStyle w:val="8"/>
        <w:spacing w:before="0" w:beforeAutospacing="0" w:after="0" w:afterAutospacing="0" w:line="360" w:lineRule="auto"/>
        <w:ind w:firstLine="420"/>
        <w:rPr>
          <w:sz w:val="21"/>
          <w:szCs w:val="21"/>
        </w:rPr>
      </w:pPr>
      <w:r>
        <w:rPr>
          <w:rFonts w:hint="eastAsia"/>
          <w:sz w:val="21"/>
          <w:szCs w:val="21"/>
        </w:rPr>
        <w:t xml:space="preserve">21、发生涉及本基金申购、赎回事项调整或潜在影响投资者赎回等重大事项时； </w:t>
      </w:r>
    </w:p>
    <w:p w14:paraId="23826A9F">
      <w:pPr>
        <w:pStyle w:val="8"/>
        <w:spacing w:before="0" w:beforeAutospacing="0" w:after="0" w:afterAutospacing="0" w:line="360" w:lineRule="auto"/>
        <w:ind w:firstLine="420"/>
        <w:rPr>
          <w:sz w:val="21"/>
          <w:szCs w:val="21"/>
        </w:rPr>
      </w:pPr>
      <w:r>
        <w:rPr>
          <w:rFonts w:hint="eastAsia"/>
          <w:sz w:val="21"/>
          <w:szCs w:val="21"/>
        </w:rPr>
        <w:t xml:space="preserve">22、基金信息披露义务人认为可能对基金份额持有人权益或者基金份额的价格产生重大影响的其他事项或中国证监会规定的其他事项。 </w:t>
      </w:r>
    </w:p>
    <w:p w14:paraId="55C40D84">
      <w:pPr>
        <w:pStyle w:val="8"/>
        <w:spacing w:before="0" w:beforeAutospacing="0" w:after="0" w:afterAutospacing="0" w:line="360" w:lineRule="auto"/>
        <w:ind w:firstLine="420"/>
        <w:rPr>
          <w:sz w:val="21"/>
          <w:szCs w:val="21"/>
        </w:rPr>
      </w:pPr>
      <w:r>
        <w:rPr>
          <w:rFonts w:hint="eastAsia"/>
          <w:sz w:val="21"/>
          <w:szCs w:val="21"/>
        </w:rPr>
        <w:t xml:space="preserve">（八）澄清公告 </w:t>
      </w:r>
    </w:p>
    <w:p w14:paraId="4DF4BD70">
      <w:pPr>
        <w:pStyle w:val="8"/>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14:paraId="07ACD6F1">
      <w:pPr>
        <w:pStyle w:val="8"/>
        <w:spacing w:before="0" w:beforeAutospacing="0" w:after="0" w:afterAutospacing="0" w:line="360" w:lineRule="auto"/>
        <w:ind w:firstLine="420"/>
        <w:rPr>
          <w:sz w:val="21"/>
          <w:szCs w:val="21"/>
        </w:rPr>
      </w:pPr>
      <w:r>
        <w:rPr>
          <w:rFonts w:hint="eastAsia"/>
          <w:sz w:val="21"/>
          <w:szCs w:val="21"/>
        </w:rPr>
        <w:t xml:space="preserve">（九）基金份额持有人大会决议 </w:t>
      </w:r>
    </w:p>
    <w:p w14:paraId="265F1435">
      <w:pPr>
        <w:pStyle w:val="8"/>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36387109">
      <w:pPr>
        <w:pStyle w:val="8"/>
        <w:spacing w:before="0" w:beforeAutospacing="0" w:after="0" w:afterAutospacing="0" w:line="360" w:lineRule="auto"/>
        <w:ind w:firstLine="420"/>
        <w:rPr>
          <w:sz w:val="21"/>
          <w:szCs w:val="21"/>
        </w:rPr>
      </w:pPr>
      <w:r>
        <w:rPr>
          <w:rFonts w:hint="eastAsia"/>
          <w:sz w:val="21"/>
          <w:szCs w:val="21"/>
        </w:rPr>
        <w:t xml:space="preserve">（十）清算报告 </w:t>
      </w:r>
    </w:p>
    <w:p w14:paraId="72B7378B">
      <w:pPr>
        <w:pStyle w:val="8"/>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54F24AEE">
      <w:pPr>
        <w:pStyle w:val="8"/>
        <w:spacing w:before="0" w:beforeAutospacing="0" w:after="0" w:afterAutospacing="0" w:line="360" w:lineRule="auto"/>
        <w:ind w:firstLine="420"/>
        <w:rPr>
          <w:sz w:val="21"/>
          <w:szCs w:val="21"/>
        </w:rPr>
      </w:pPr>
      <w:r>
        <w:rPr>
          <w:rFonts w:hint="eastAsia"/>
          <w:sz w:val="21"/>
          <w:szCs w:val="21"/>
        </w:rPr>
        <w:t xml:space="preserve">（十一）中小企业私募债券的投资情况 </w:t>
      </w:r>
    </w:p>
    <w:p w14:paraId="70A5A229">
      <w:pPr>
        <w:pStyle w:val="8"/>
        <w:spacing w:before="0" w:beforeAutospacing="0" w:after="0" w:afterAutospacing="0" w:line="360" w:lineRule="auto"/>
        <w:ind w:firstLine="420"/>
        <w:rPr>
          <w:sz w:val="21"/>
          <w:szCs w:val="21"/>
        </w:rPr>
      </w:pPr>
      <w:r>
        <w:rPr>
          <w:rFonts w:hint="eastAsia"/>
          <w:sz w:val="21"/>
          <w:szCs w:val="21"/>
        </w:rPr>
        <w:t xml:space="preserve">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等文件中披露中小企业私募债券的投资情况。 </w:t>
      </w:r>
    </w:p>
    <w:p w14:paraId="7C9F8674">
      <w:pPr>
        <w:pStyle w:val="8"/>
        <w:spacing w:before="0" w:beforeAutospacing="0" w:after="0" w:afterAutospacing="0" w:line="360" w:lineRule="auto"/>
        <w:ind w:firstLine="420"/>
        <w:rPr>
          <w:sz w:val="21"/>
          <w:szCs w:val="21"/>
        </w:rPr>
      </w:pPr>
      <w:r>
        <w:rPr>
          <w:rFonts w:hint="eastAsia"/>
          <w:sz w:val="21"/>
          <w:szCs w:val="21"/>
        </w:rPr>
        <w:t xml:space="preserve">（十二）资产支持证券的投资情况 </w:t>
      </w:r>
    </w:p>
    <w:p w14:paraId="74AFB5DF">
      <w:pPr>
        <w:pStyle w:val="8"/>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1A1DA16F">
      <w:pPr>
        <w:pStyle w:val="8"/>
        <w:spacing w:before="0" w:beforeAutospacing="0" w:after="0" w:afterAutospacing="0" w:line="360" w:lineRule="auto"/>
        <w:ind w:firstLine="420"/>
        <w:rPr>
          <w:sz w:val="21"/>
          <w:szCs w:val="21"/>
        </w:rPr>
      </w:pPr>
      <w:r>
        <w:rPr>
          <w:rFonts w:hint="eastAsia"/>
          <w:sz w:val="21"/>
          <w:szCs w:val="21"/>
        </w:rPr>
        <w:t xml:space="preserve">（十三）实施侧袋机制期间的信息披露  </w:t>
      </w:r>
    </w:p>
    <w:p w14:paraId="4D891F7B">
      <w:pPr>
        <w:pStyle w:val="8"/>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3D6B774E">
      <w:pPr>
        <w:pStyle w:val="8"/>
        <w:spacing w:before="0" w:beforeAutospacing="0" w:after="0" w:afterAutospacing="0" w:line="360" w:lineRule="auto"/>
        <w:ind w:firstLine="420"/>
        <w:rPr>
          <w:sz w:val="21"/>
          <w:szCs w:val="21"/>
        </w:rPr>
      </w:pPr>
      <w:bookmarkStart w:id="180" w:name="chapter_level1_18_67_section_2_end"/>
      <w:bookmarkEnd w:id="180"/>
      <w:r>
        <w:rPr>
          <w:rFonts w:hint="eastAsia"/>
          <w:sz w:val="21"/>
          <w:szCs w:val="21"/>
        </w:rPr>
        <w:t xml:space="preserve">（十四）中国证监会规定的其他信息。 </w:t>
      </w:r>
    </w:p>
    <w:p w14:paraId="0C23BC0B">
      <w:pPr>
        <w:pStyle w:val="8"/>
        <w:spacing w:before="0" w:beforeAutospacing="0" w:after="0" w:afterAutospacing="0" w:line="360" w:lineRule="auto"/>
        <w:ind w:firstLine="420"/>
        <w:rPr>
          <w:sz w:val="21"/>
          <w:szCs w:val="21"/>
        </w:rPr>
      </w:pPr>
      <w:bookmarkStart w:id="181" w:name="chapter_level1_18_67_section_3"/>
      <w:bookmarkEnd w:id="181"/>
      <w:r>
        <w:rPr>
          <w:rStyle w:val="12"/>
          <w:rFonts w:hint="eastAsia"/>
          <w:sz w:val="21"/>
          <w:szCs w:val="21"/>
        </w:rPr>
        <w:t>六、信息披露事务管理</w:t>
      </w:r>
    </w:p>
    <w:p w14:paraId="5A7FDBA7">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264B10A0">
      <w:pPr>
        <w:pStyle w:val="8"/>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258C7B5B">
      <w:pPr>
        <w:pStyle w:val="8"/>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6BAD9C97">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14:paraId="05E5ED35">
      <w:pPr>
        <w:pStyle w:val="8"/>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6892457F">
      <w:pPr>
        <w:pStyle w:val="8"/>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3DAAF7FA">
      <w:pPr>
        <w:pStyle w:val="8"/>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7F2D05EE">
      <w:pPr>
        <w:pStyle w:val="8"/>
        <w:spacing w:before="0" w:beforeAutospacing="0" w:after="0" w:afterAutospacing="0" w:line="360" w:lineRule="auto"/>
        <w:ind w:firstLine="420"/>
        <w:rPr>
          <w:sz w:val="21"/>
          <w:szCs w:val="21"/>
        </w:rPr>
      </w:pPr>
      <w:r>
        <w:rPr>
          <w:rStyle w:val="12"/>
          <w:rFonts w:hint="eastAsia"/>
          <w:sz w:val="21"/>
          <w:szCs w:val="21"/>
        </w:rPr>
        <w:t>七、信息披露文件的存放与查阅</w:t>
      </w:r>
    </w:p>
    <w:p w14:paraId="63773F1B">
      <w:pPr>
        <w:pStyle w:val="8"/>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w:t>
      </w:r>
      <w:bookmarkStart w:id="182" w:name="chapter_level1_18_67_section_3_end"/>
      <w:bookmarkEnd w:id="182"/>
      <w:r>
        <w:rPr>
          <w:rFonts w:hint="eastAsia"/>
          <w:sz w:val="21"/>
          <w:szCs w:val="21"/>
        </w:rPr>
        <w:t xml:space="preserve">息置备于公司住所，供社会公众查阅、复制。 </w:t>
      </w:r>
    </w:p>
    <w:p w14:paraId="04DA86FB">
      <w:pPr>
        <w:widowControl/>
        <w:jc w:val="left"/>
        <w:rPr>
          <w:rFonts w:ascii="宋体" w:hAnsi="宋体" w:eastAsia="宋体"/>
        </w:rPr>
      </w:pPr>
      <w:r>
        <w:rPr>
          <w:rFonts w:ascii="宋体" w:hAnsi="宋体" w:eastAsia="宋体"/>
        </w:rPr>
        <w:br w:type="page"/>
      </w:r>
    </w:p>
    <w:p w14:paraId="6C3A3835">
      <w:pPr>
        <w:pStyle w:val="2"/>
        <w:jc w:val="center"/>
        <w:rPr>
          <w:rFonts w:ascii="宋体" w:hAnsi="宋体" w:eastAsia="宋体"/>
          <w:sz w:val="30"/>
        </w:rPr>
      </w:pPr>
      <w:bookmarkStart w:id="183" w:name="_Toc239208852"/>
      <w:bookmarkStart w:id="184" w:name="chapter_level1_19_52918"/>
      <w:r>
        <w:rPr>
          <w:rFonts w:hint="eastAsia" w:ascii="宋体" w:hAnsi="宋体" w:eastAsia="宋体"/>
          <w:sz w:val="30"/>
        </w:rPr>
        <w:t>第十六部分 侧袋机制</w:t>
      </w:r>
      <w:bookmarkEnd w:id="183"/>
      <w:bookmarkEnd w:id="184"/>
    </w:p>
    <w:p w14:paraId="33F5ACA3">
      <w:pPr>
        <w:pStyle w:val="8"/>
        <w:spacing w:before="0" w:beforeAutospacing="0" w:after="0" w:afterAutospacing="0" w:line="360" w:lineRule="auto"/>
        <w:ind w:firstLine="420"/>
        <w:rPr>
          <w:sz w:val="21"/>
          <w:szCs w:val="21"/>
        </w:rPr>
      </w:pPr>
      <w:bookmarkStart w:id="185" w:name="chapter_level1_19_52918_section_1"/>
      <w:bookmarkEnd w:id="185"/>
      <w:r>
        <w:rPr>
          <w:rFonts w:hint="eastAsia"/>
          <w:b/>
          <w:bCs/>
          <w:sz w:val="21"/>
          <w:szCs w:val="21"/>
        </w:rPr>
        <w:t>一、侧袋机制的实施条件、实施程序和特定资产范围</w:t>
      </w:r>
    </w:p>
    <w:p w14:paraId="5F7111E1">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14:paraId="5E4DE646">
      <w:pPr>
        <w:pStyle w:val="8"/>
        <w:spacing w:before="0" w:beforeAutospacing="0" w:after="0" w:afterAutospacing="0" w:line="360" w:lineRule="auto"/>
        <w:ind w:firstLine="420"/>
        <w:rPr>
          <w:sz w:val="21"/>
          <w:szCs w:val="21"/>
        </w:rPr>
      </w:pPr>
      <w:r>
        <w:rPr>
          <w:rFonts w:hint="eastAsia"/>
          <w:sz w:val="21"/>
          <w:szCs w:val="21"/>
        </w:rPr>
        <w:t>特定资产包括：（1）无可参考的活跃市场价格且采用估值技术仍导致公允价值存在重大不确定性的资产；（2）按摊余成本计量且计提资产减值准备仍导致资产价值存在重大不</w:t>
      </w:r>
      <w:bookmarkStart w:id="186" w:name="chapter_level1_19_52918_section_1_end"/>
      <w:bookmarkEnd w:id="186"/>
      <w:r>
        <w:rPr>
          <w:rFonts w:hint="eastAsia"/>
          <w:sz w:val="21"/>
          <w:szCs w:val="21"/>
        </w:rPr>
        <w:t xml:space="preserve">确定性的资产；（3）其他资产价值存在重大不确定性的资产。 </w:t>
      </w:r>
    </w:p>
    <w:p w14:paraId="3A5CE57B">
      <w:pPr>
        <w:pStyle w:val="8"/>
        <w:spacing w:before="0" w:beforeAutospacing="0" w:after="0" w:afterAutospacing="0" w:line="360" w:lineRule="auto"/>
        <w:ind w:firstLine="420"/>
        <w:rPr>
          <w:sz w:val="21"/>
          <w:szCs w:val="21"/>
        </w:rPr>
      </w:pPr>
      <w:bookmarkStart w:id="187" w:name="chapter_level1_19_52918_section_2"/>
      <w:bookmarkEnd w:id="187"/>
      <w:r>
        <w:rPr>
          <w:rFonts w:hint="eastAsia"/>
          <w:b/>
          <w:bCs/>
          <w:sz w:val="21"/>
          <w:szCs w:val="21"/>
        </w:rPr>
        <w:t>二、侧袋机制实施期间的基金运作安排</w:t>
      </w:r>
    </w:p>
    <w:p w14:paraId="48485104">
      <w:pPr>
        <w:pStyle w:val="8"/>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40A54B59">
      <w:pPr>
        <w:pStyle w:val="8"/>
        <w:spacing w:before="0" w:beforeAutospacing="0" w:after="0" w:afterAutospacing="0" w:line="360" w:lineRule="auto"/>
        <w:ind w:firstLine="420"/>
        <w:rPr>
          <w:sz w:val="21"/>
          <w:szCs w:val="21"/>
        </w:rPr>
      </w:pPr>
      <w:r>
        <w:rPr>
          <w:rFonts w:hint="eastAsia"/>
          <w:sz w:val="21"/>
          <w:szCs w:val="21"/>
        </w:rPr>
        <w:t xml:space="preserve">1、侧袋账户 </w:t>
      </w:r>
    </w:p>
    <w:p w14:paraId="41256BCF">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侧袋机制实施期间，基金管理人不办理侧袋账户份额的申购、赎回和转换。基金份额持有人申请申购、赎回或转换侧袋账户基金份额的，该申购、赎回或转换申请将被拒绝。   </w:t>
      </w:r>
    </w:p>
    <w:p w14:paraId="14BDB3DE">
      <w:pPr>
        <w:pStyle w:val="8"/>
        <w:spacing w:before="0" w:beforeAutospacing="0" w:after="0" w:afterAutospacing="0" w:line="360" w:lineRule="auto"/>
        <w:ind w:firstLine="420"/>
        <w:rPr>
          <w:sz w:val="21"/>
          <w:szCs w:val="21"/>
        </w:rPr>
      </w:pPr>
      <w:r>
        <w:rPr>
          <w:rFonts w:hint="eastAsia"/>
          <w:sz w:val="21"/>
          <w:szCs w:val="21"/>
        </w:rPr>
        <w:t xml:space="preserve">2、主袋账户 </w:t>
      </w:r>
    </w:p>
    <w:p w14:paraId="13E10637">
      <w:pPr>
        <w:pStyle w:val="8"/>
        <w:spacing w:before="0" w:beforeAutospacing="0" w:after="0" w:afterAutospacing="0" w:line="360" w:lineRule="auto"/>
        <w:ind w:firstLine="420"/>
        <w:rPr>
          <w:sz w:val="21"/>
          <w:szCs w:val="21"/>
        </w:rPr>
      </w:pPr>
      <w:r>
        <w:rPr>
          <w:rFonts w:hint="eastAsia"/>
          <w:sz w:val="21"/>
          <w:szCs w:val="21"/>
        </w:rPr>
        <w:t xml:space="preserve">基金管理人将依法保障主袋账户份额持有人享有基金合同约定的赎回权利，并根据主袋账户运作情况合理确定申购事项，具体事项届时将由基金管理人在相关公告中规定。 </w:t>
      </w:r>
    </w:p>
    <w:p w14:paraId="54469AB7">
      <w:pPr>
        <w:pStyle w:val="8"/>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3、当特定资产占前一估值日基金资产净值50%以上的，经与基金托管人协商确认后，基金管理人应当暂停基金估值，并暂停接受基金申购赎回申请或延缓支付赎回款项。 </w:t>
      </w:r>
    </w:p>
    <w:p w14:paraId="32412137">
      <w:pPr>
        <w:pStyle w:val="8"/>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48AAA2A1">
      <w:pPr>
        <w:pStyle w:val="8"/>
        <w:spacing w:before="0" w:beforeAutospacing="0" w:after="0" w:afterAutospacing="0" w:line="360" w:lineRule="auto"/>
        <w:ind w:firstLine="420"/>
        <w:rPr>
          <w:sz w:val="21"/>
          <w:szCs w:val="21"/>
        </w:rPr>
      </w:pPr>
      <w:r>
        <w:rPr>
          <w:rFonts w:hint="eastAsia"/>
          <w:sz w:val="21"/>
          <w:szCs w:val="21"/>
        </w:rPr>
        <w:t xml:space="preserve">（二）基金份额的登记 </w:t>
      </w:r>
    </w:p>
    <w:p w14:paraId="483B773C">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56C55AC6">
      <w:pPr>
        <w:pStyle w:val="8"/>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4EFCDA0C">
      <w:pPr>
        <w:pStyle w:val="8"/>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21070083">
      <w:pPr>
        <w:pStyle w:val="8"/>
        <w:spacing w:before="0" w:beforeAutospacing="0" w:after="0" w:afterAutospacing="0" w:line="360" w:lineRule="auto"/>
        <w:ind w:firstLine="420"/>
        <w:rPr>
          <w:sz w:val="21"/>
          <w:szCs w:val="21"/>
        </w:rPr>
      </w:pPr>
      <w:r>
        <w:rPr>
          <w:rFonts w:hint="eastAsia"/>
          <w:sz w:val="21"/>
          <w:szCs w:val="21"/>
        </w:rPr>
        <w:t xml:space="preserve">（三）基金的投资及业绩 </w:t>
      </w:r>
    </w:p>
    <w:p w14:paraId="65A8E796">
      <w:pPr>
        <w:pStyle w:val="8"/>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284319D1">
      <w:pPr>
        <w:pStyle w:val="8"/>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496B11C8">
      <w:pPr>
        <w:pStyle w:val="8"/>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518ADA71">
      <w:pPr>
        <w:pStyle w:val="8"/>
        <w:spacing w:before="0" w:beforeAutospacing="0" w:after="0" w:afterAutospacing="0" w:line="360" w:lineRule="auto"/>
        <w:ind w:firstLine="420"/>
        <w:rPr>
          <w:sz w:val="21"/>
          <w:szCs w:val="21"/>
        </w:rPr>
      </w:pPr>
      <w:r>
        <w:rPr>
          <w:rFonts w:hint="eastAsia"/>
          <w:sz w:val="21"/>
          <w:szCs w:val="21"/>
        </w:rPr>
        <w:t xml:space="preserve">（四）基金的估值 </w:t>
      </w:r>
    </w:p>
    <w:p w14:paraId="002FBEED">
      <w:pPr>
        <w:pStyle w:val="8"/>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57178C5D">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77EEE063">
      <w:pPr>
        <w:pStyle w:val="8"/>
        <w:spacing w:before="0" w:beforeAutospacing="0" w:after="0" w:afterAutospacing="0" w:line="360" w:lineRule="auto"/>
        <w:ind w:firstLine="420"/>
        <w:rPr>
          <w:sz w:val="21"/>
          <w:szCs w:val="21"/>
        </w:rPr>
      </w:pPr>
      <w:r>
        <w:rPr>
          <w:rFonts w:hint="eastAsia"/>
          <w:sz w:val="21"/>
          <w:szCs w:val="21"/>
        </w:rPr>
        <w:t xml:space="preserve">（五）基金的费用 </w:t>
      </w:r>
    </w:p>
    <w:p w14:paraId="10F42EF9">
      <w:pPr>
        <w:pStyle w:val="8"/>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侧袋机制实施期间，侧袋账户资产不收取管理费。因启用侧袋机制产生的咨询、审计费用等由基金管理人承担。 </w:t>
      </w:r>
    </w:p>
    <w:p w14:paraId="32CAADBE">
      <w:pPr>
        <w:pStyle w:val="8"/>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6FBEB77B">
      <w:pPr>
        <w:pStyle w:val="8"/>
        <w:spacing w:before="0" w:beforeAutospacing="0" w:after="0" w:afterAutospacing="0" w:line="360" w:lineRule="auto"/>
        <w:ind w:firstLine="420"/>
        <w:rPr>
          <w:sz w:val="21"/>
          <w:szCs w:val="21"/>
        </w:rPr>
      </w:pPr>
      <w:r>
        <w:rPr>
          <w:rFonts w:hint="eastAsia"/>
          <w:sz w:val="21"/>
          <w:szCs w:val="21"/>
        </w:rPr>
        <w:t xml:space="preserve">（六）基金的收益分配 </w:t>
      </w:r>
    </w:p>
    <w:p w14:paraId="60A1F639">
      <w:pPr>
        <w:pStyle w:val="8"/>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侧袋机制实施期间，在主袋账户份额满足基金合同收益分配条件的情形下，基金管理人可对主袋账户份额进行收益分配。侧袋账户不进行收益分配。 </w:t>
      </w:r>
    </w:p>
    <w:p w14:paraId="1A0C68A8">
      <w:pPr>
        <w:pStyle w:val="8"/>
        <w:spacing w:before="0" w:beforeAutospacing="0" w:after="0" w:afterAutospacing="0" w:line="360" w:lineRule="auto"/>
        <w:ind w:firstLine="420"/>
        <w:rPr>
          <w:sz w:val="21"/>
          <w:szCs w:val="21"/>
        </w:rPr>
      </w:pPr>
      <w:r>
        <w:rPr>
          <w:rFonts w:hint="eastAsia"/>
          <w:sz w:val="21"/>
          <w:szCs w:val="21"/>
        </w:rPr>
        <w:t xml:space="preserve">（七）基金的信息披露 </w:t>
      </w:r>
    </w:p>
    <w:p w14:paraId="3621E4C7">
      <w:pPr>
        <w:pStyle w:val="8"/>
        <w:spacing w:before="0" w:beforeAutospacing="0" w:after="0" w:afterAutospacing="0" w:line="360" w:lineRule="auto"/>
        <w:ind w:firstLine="420"/>
        <w:rPr>
          <w:sz w:val="21"/>
          <w:szCs w:val="21"/>
        </w:rPr>
      </w:pPr>
      <w:r>
        <w:rPr>
          <w:rFonts w:hint="eastAsia"/>
          <w:sz w:val="21"/>
          <w:szCs w:val="21"/>
        </w:rPr>
        <w:t xml:space="preserve">1、基金净值信息 </w:t>
      </w:r>
    </w:p>
    <w:p w14:paraId="0F1386DC">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14:paraId="1E0513BC">
      <w:pPr>
        <w:pStyle w:val="8"/>
        <w:spacing w:before="0" w:beforeAutospacing="0" w:after="0" w:afterAutospacing="0" w:line="360" w:lineRule="auto"/>
        <w:ind w:firstLine="420"/>
        <w:rPr>
          <w:sz w:val="21"/>
          <w:szCs w:val="21"/>
        </w:rPr>
      </w:pPr>
      <w:r>
        <w:rPr>
          <w:rFonts w:hint="eastAsia"/>
          <w:sz w:val="21"/>
          <w:szCs w:val="21"/>
        </w:rPr>
        <w:t xml:space="preserve">2、定期报告 </w:t>
      </w:r>
    </w:p>
    <w:p w14:paraId="453F777D">
      <w:pPr>
        <w:pStyle w:val="8"/>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48E78023">
      <w:pPr>
        <w:pStyle w:val="8"/>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5DAEC817">
      <w:pPr>
        <w:pStyle w:val="8"/>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14D080F9">
      <w:pPr>
        <w:pStyle w:val="8"/>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6ABF1E49">
      <w:pPr>
        <w:pStyle w:val="8"/>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7450F92B">
      <w:pPr>
        <w:pStyle w:val="8"/>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260C73F9">
      <w:pPr>
        <w:pStyle w:val="8"/>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1B0CD1E9">
      <w:pPr>
        <w:pStyle w:val="8"/>
        <w:spacing w:before="0" w:beforeAutospacing="0" w:after="0" w:afterAutospacing="0" w:line="360" w:lineRule="auto"/>
        <w:ind w:firstLine="420"/>
        <w:rPr>
          <w:sz w:val="21"/>
          <w:szCs w:val="21"/>
        </w:rPr>
      </w:pPr>
      <w:r>
        <w:rPr>
          <w:rFonts w:hint="eastAsia"/>
          <w:sz w:val="21"/>
          <w:szCs w:val="21"/>
        </w:rPr>
        <w:t xml:space="preserve">3、临时报告 </w:t>
      </w:r>
    </w:p>
    <w:p w14:paraId="792146A8">
      <w:pPr>
        <w:pStyle w:val="8"/>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3456253B">
      <w:pPr>
        <w:pStyle w:val="8"/>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5AB95FAC">
      <w:pPr>
        <w:pStyle w:val="8"/>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1405DD89">
      <w:pPr>
        <w:pStyle w:val="8"/>
        <w:spacing w:before="0" w:beforeAutospacing="0" w:after="0" w:afterAutospacing="0" w:line="360" w:lineRule="auto"/>
        <w:ind w:firstLine="420"/>
        <w:rPr>
          <w:sz w:val="21"/>
          <w:szCs w:val="21"/>
        </w:rPr>
      </w:pPr>
      <w:r>
        <w:rPr>
          <w:rFonts w:hint="eastAsia"/>
          <w:sz w:val="21"/>
          <w:szCs w:val="21"/>
        </w:rPr>
        <w:t xml:space="preserve">（八）特定资产处置清算 </w:t>
      </w:r>
    </w:p>
    <w:p w14:paraId="696F9A66">
      <w:pPr>
        <w:pStyle w:val="8"/>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0D25E4B4">
      <w:pPr>
        <w:pStyle w:val="8"/>
        <w:spacing w:before="0" w:beforeAutospacing="0" w:after="0" w:afterAutospacing="0" w:line="360" w:lineRule="auto"/>
        <w:ind w:firstLine="420"/>
        <w:rPr>
          <w:sz w:val="21"/>
          <w:szCs w:val="21"/>
        </w:rPr>
      </w:pPr>
      <w:r>
        <w:rPr>
          <w:rFonts w:hint="eastAsia"/>
          <w:sz w:val="21"/>
          <w:szCs w:val="21"/>
        </w:rPr>
        <w:t xml:space="preserve">（九）侧袋的审计 </w:t>
      </w:r>
    </w:p>
    <w:p w14:paraId="768AC52F">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14:paraId="3CEFC6AA">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14:paraId="1D102765">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5B32A07E">
      <w:pPr>
        <w:pStyle w:val="8"/>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7BEFD880">
      <w:pPr>
        <w:pStyle w:val="8"/>
        <w:spacing w:before="0" w:beforeAutospacing="0" w:after="0" w:afterAutospacing="0" w:line="360" w:lineRule="auto"/>
        <w:ind w:firstLine="420"/>
        <w:rPr>
          <w:sz w:val="21"/>
          <w:szCs w:val="21"/>
        </w:rPr>
      </w:pPr>
      <w:r>
        <w:rPr>
          <w:rFonts w:hint="eastAsia"/>
          <w:sz w:val="21"/>
          <w:szCs w:val="21"/>
        </w:rPr>
        <w:t>当侧袋账户资产全部完成变现后，基金管理人应参照基金清算报告的相关要求，聘请符</w:t>
      </w:r>
      <w:bookmarkStart w:id="188" w:name="chapter_level1_19_52918_section_2_end"/>
      <w:bookmarkEnd w:id="188"/>
      <w:r>
        <w:rPr>
          <w:rFonts w:hint="eastAsia"/>
          <w:sz w:val="21"/>
          <w:szCs w:val="21"/>
        </w:rPr>
        <w:t xml:space="preserve">合《证券法》规定的会计师事务所对侧袋账户进行审计并披露专项审计意见。 </w:t>
      </w:r>
    </w:p>
    <w:p w14:paraId="6B0AFA37">
      <w:pPr>
        <w:pStyle w:val="8"/>
        <w:spacing w:before="0" w:beforeAutospacing="0" w:after="0" w:afterAutospacing="0" w:line="360" w:lineRule="auto"/>
        <w:ind w:firstLine="420"/>
        <w:rPr>
          <w:sz w:val="21"/>
          <w:szCs w:val="21"/>
        </w:rPr>
      </w:pPr>
      <w:bookmarkStart w:id="189" w:name="chapter_level1_19_52918_section_3"/>
      <w:bookmarkEnd w:id="189"/>
      <w:r>
        <w:rPr>
          <w:rFonts w:hint="eastAsia"/>
          <w:b/>
          <w:bCs/>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90" w:name="chapter_level1_19_52918_section_3_end"/>
      <w:bookmarkEnd w:id="190"/>
      <w:r>
        <w:rPr>
          <w:rFonts w:hint="eastAsia"/>
          <w:b/>
          <w:bCs/>
          <w:sz w:val="21"/>
          <w:szCs w:val="21"/>
        </w:rPr>
        <w:t>改或调整，无需召开基金份额持有人大会审议。</w:t>
      </w:r>
    </w:p>
    <w:p w14:paraId="15B1BEA1">
      <w:pPr>
        <w:widowControl/>
        <w:jc w:val="left"/>
        <w:rPr>
          <w:rFonts w:ascii="宋体" w:hAnsi="宋体" w:eastAsia="宋体"/>
        </w:rPr>
      </w:pPr>
      <w:r>
        <w:rPr>
          <w:rFonts w:ascii="宋体" w:hAnsi="宋体" w:eastAsia="宋体"/>
        </w:rPr>
        <w:br w:type="page"/>
      </w:r>
    </w:p>
    <w:p w14:paraId="6D548330">
      <w:pPr>
        <w:pStyle w:val="2"/>
        <w:jc w:val="center"/>
        <w:rPr>
          <w:rFonts w:ascii="宋体" w:hAnsi="宋体" w:eastAsia="宋体"/>
          <w:sz w:val="30"/>
        </w:rPr>
      </w:pPr>
      <w:bookmarkStart w:id="191" w:name="chapter_level1_20_68"/>
      <w:bookmarkStart w:id="192" w:name="_Toc239208853"/>
      <w:r>
        <w:rPr>
          <w:rFonts w:hint="eastAsia" w:ascii="宋体" w:hAnsi="宋体" w:eastAsia="宋体"/>
          <w:sz w:val="30"/>
        </w:rPr>
        <w:t>第十七部分  风险揭示</w:t>
      </w:r>
      <w:bookmarkEnd w:id="191"/>
      <w:bookmarkEnd w:id="192"/>
    </w:p>
    <w:p w14:paraId="6E25FF1A">
      <w:pPr>
        <w:pStyle w:val="8"/>
        <w:spacing w:before="0" w:beforeAutospacing="0" w:after="0" w:afterAutospacing="0" w:line="360" w:lineRule="auto"/>
        <w:ind w:firstLine="420"/>
        <w:rPr>
          <w:sz w:val="21"/>
          <w:szCs w:val="21"/>
        </w:rPr>
      </w:pPr>
      <w:bookmarkStart w:id="193" w:name="chapter_level1_20_68_section_1"/>
      <w:bookmarkEnd w:id="193"/>
      <w:r>
        <w:rPr>
          <w:rFonts w:hint="eastAsia"/>
          <w:sz w:val="21"/>
          <w:szCs w:val="21"/>
        </w:rPr>
        <w:t xml:space="preserve">一、投资于本基金的主要风险 </w:t>
      </w:r>
    </w:p>
    <w:p w14:paraId="5533B7F5">
      <w:pPr>
        <w:pStyle w:val="8"/>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3A91C348">
      <w:pPr>
        <w:pStyle w:val="8"/>
        <w:spacing w:before="0" w:beforeAutospacing="0" w:after="0" w:afterAutospacing="0" w:line="360" w:lineRule="auto"/>
        <w:ind w:firstLine="420"/>
        <w:rPr>
          <w:sz w:val="21"/>
          <w:szCs w:val="21"/>
        </w:rPr>
      </w:pPr>
      <w:r>
        <w:rPr>
          <w:rFonts w:hint="eastAsia"/>
          <w:sz w:val="21"/>
          <w:szCs w:val="21"/>
        </w:rPr>
        <w:t xml:space="preserve">1、市场风险 </w:t>
      </w:r>
    </w:p>
    <w:p w14:paraId="19CFBD5B">
      <w:pPr>
        <w:pStyle w:val="8"/>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5E0328FD">
      <w:pPr>
        <w:pStyle w:val="8"/>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6B26AAA4">
      <w:pPr>
        <w:pStyle w:val="8"/>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14:paraId="1077E4E7">
      <w:pPr>
        <w:pStyle w:val="8"/>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0F5A2A0A">
      <w:pPr>
        <w:pStyle w:val="8"/>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5B33C75F">
      <w:pPr>
        <w:pStyle w:val="8"/>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1775DD89">
      <w:pPr>
        <w:pStyle w:val="8"/>
        <w:spacing w:before="0" w:beforeAutospacing="0" w:after="0" w:afterAutospacing="0" w:line="360" w:lineRule="auto"/>
        <w:ind w:firstLine="420"/>
        <w:rPr>
          <w:sz w:val="21"/>
          <w:szCs w:val="21"/>
        </w:rPr>
      </w:pPr>
      <w:r>
        <w:rPr>
          <w:rFonts w:hint="eastAsia"/>
          <w:sz w:val="21"/>
          <w:szCs w:val="21"/>
        </w:rPr>
        <w:t xml:space="preserve">（6）杠杆风险 </w:t>
      </w:r>
    </w:p>
    <w:p w14:paraId="40F9D723">
      <w:pPr>
        <w:pStyle w:val="8"/>
        <w:spacing w:before="0" w:beforeAutospacing="0" w:after="0" w:afterAutospacing="0" w:line="360" w:lineRule="auto"/>
        <w:ind w:firstLine="420"/>
        <w:rPr>
          <w:sz w:val="21"/>
          <w:szCs w:val="21"/>
        </w:rPr>
      </w:pPr>
      <w:r>
        <w:rPr>
          <w:rFonts w:hint="eastAsia"/>
          <w:sz w:val="21"/>
          <w:szCs w:val="21"/>
        </w:rPr>
        <w:t xml:space="preserve">本基金可以通过债券回购放大杠杆，进行杠杆操作将会放大组合收益波动，对组合业绩稳定性有较大影响，同时杠杆成本波动也会影响组合收益率水平，在市场下行或杠杆成本异常上升时，有可能导致本基金财产收益的超预期下降风险。 </w:t>
      </w:r>
    </w:p>
    <w:p w14:paraId="424EE1C8">
      <w:pPr>
        <w:pStyle w:val="8"/>
        <w:spacing w:before="0" w:beforeAutospacing="0" w:after="0" w:afterAutospacing="0" w:line="360" w:lineRule="auto"/>
        <w:ind w:firstLine="420"/>
        <w:rPr>
          <w:sz w:val="21"/>
          <w:szCs w:val="21"/>
        </w:rPr>
      </w:pPr>
      <w:r>
        <w:rPr>
          <w:rFonts w:hint="eastAsia"/>
          <w:sz w:val="21"/>
          <w:szCs w:val="21"/>
        </w:rPr>
        <w:t xml:space="preserve">（7）债券收益率曲线风险 </w:t>
      </w:r>
    </w:p>
    <w:p w14:paraId="2C593B3C">
      <w:pPr>
        <w:pStyle w:val="8"/>
        <w:spacing w:before="0" w:beforeAutospacing="0" w:after="0" w:afterAutospacing="0" w:line="360" w:lineRule="auto"/>
        <w:ind w:firstLine="420"/>
        <w:rPr>
          <w:sz w:val="21"/>
          <w:szCs w:val="21"/>
        </w:rPr>
      </w:pPr>
      <w:r>
        <w:rPr>
          <w:rFonts w:hint="eastAsia"/>
          <w:sz w:val="21"/>
          <w:szCs w:val="21"/>
        </w:rPr>
        <w:t xml:space="preserve">债券市场不同期限、不同类属债券之间的利差变动会导致相应期限和类属债券价格变化的风险。 </w:t>
      </w:r>
    </w:p>
    <w:p w14:paraId="7116575A">
      <w:pPr>
        <w:pStyle w:val="8"/>
        <w:spacing w:before="0" w:beforeAutospacing="0" w:after="0" w:afterAutospacing="0" w:line="360" w:lineRule="auto"/>
        <w:ind w:firstLine="420"/>
        <w:rPr>
          <w:sz w:val="21"/>
          <w:szCs w:val="21"/>
        </w:rPr>
      </w:pPr>
      <w:r>
        <w:rPr>
          <w:rFonts w:hint="eastAsia"/>
          <w:sz w:val="21"/>
          <w:szCs w:val="21"/>
        </w:rPr>
        <w:t xml:space="preserve">2、信用风险 </w:t>
      </w:r>
    </w:p>
    <w:p w14:paraId="14354CFD">
      <w:pPr>
        <w:pStyle w:val="8"/>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08549615">
      <w:pPr>
        <w:pStyle w:val="8"/>
        <w:spacing w:before="0" w:beforeAutospacing="0" w:after="0" w:afterAutospacing="0" w:line="360" w:lineRule="auto"/>
        <w:ind w:firstLine="420"/>
        <w:rPr>
          <w:sz w:val="21"/>
          <w:szCs w:val="21"/>
        </w:rPr>
      </w:pPr>
      <w:r>
        <w:rPr>
          <w:rFonts w:hint="eastAsia"/>
          <w:sz w:val="21"/>
          <w:szCs w:val="21"/>
        </w:rPr>
        <w:t xml:space="preserve">3、流动性风险 </w:t>
      </w:r>
    </w:p>
    <w:p w14:paraId="5931A6D4">
      <w:pPr>
        <w:pStyle w:val="8"/>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416267B9">
      <w:pPr>
        <w:pStyle w:val="8"/>
        <w:spacing w:before="0" w:beforeAutospacing="0" w:after="0" w:afterAutospacing="0" w:line="360" w:lineRule="auto"/>
        <w:ind w:firstLine="420"/>
        <w:rPr>
          <w:sz w:val="21"/>
          <w:szCs w:val="21"/>
        </w:rPr>
      </w:pPr>
      <w:r>
        <w:rPr>
          <w:rFonts w:hint="eastAsia"/>
          <w:sz w:val="21"/>
          <w:szCs w:val="21"/>
        </w:rPr>
        <w:t xml:space="preserve">（1）基金申购、赎回安排 </w:t>
      </w:r>
    </w:p>
    <w:p w14:paraId="63B32579">
      <w:pPr>
        <w:pStyle w:val="8"/>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1BCB31AC">
      <w:pPr>
        <w:pStyle w:val="8"/>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57FA6E1E">
      <w:pPr>
        <w:pStyle w:val="8"/>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14:paraId="6D158DFB">
      <w:pPr>
        <w:pStyle w:val="8"/>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590087F9">
      <w:pPr>
        <w:pStyle w:val="8"/>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2C3BE79F">
      <w:pPr>
        <w:pStyle w:val="8"/>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7642989B">
      <w:pPr>
        <w:pStyle w:val="8"/>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4B25B9B0">
      <w:pPr>
        <w:pStyle w:val="8"/>
        <w:spacing w:before="0" w:beforeAutospacing="0" w:after="0" w:afterAutospacing="0" w:line="360" w:lineRule="auto"/>
        <w:ind w:firstLine="420"/>
        <w:rPr>
          <w:sz w:val="21"/>
          <w:szCs w:val="21"/>
        </w:rPr>
      </w:pPr>
      <w:r>
        <w:rPr>
          <w:rFonts w:hint="eastAsia"/>
          <w:sz w:val="21"/>
          <w:szCs w:val="21"/>
        </w:rPr>
        <w:t xml:space="preserve">（5）启用侧袋机制的风险 </w:t>
      </w:r>
    </w:p>
    <w:p w14:paraId="3E606C56">
      <w:pPr>
        <w:pStyle w:val="8"/>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060962FA">
      <w:pPr>
        <w:pStyle w:val="8"/>
        <w:spacing w:before="0" w:beforeAutospacing="0" w:after="0" w:afterAutospacing="0" w:line="360" w:lineRule="auto"/>
        <w:ind w:firstLine="420"/>
        <w:rPr>
          <w:sz w:val="21"/>
          <w:szCs w:val="21"/>
        </w:rPr>
      </w:pPr>
      <w:r>
        <w:rPr>
          <w:rFonts w:hint="eastAsia"/>
          <w:sz w:val="21"/>
          <w:szCs w:val="21"/>
        </w:rPr>
        <w:t xml:space="preserve">4、操作风险 </w:t>
      </w:r>
    </w:p>
    <w:p w14:paraId="048B3F1A">
      <w:pPr>
        <w:pStyle w:val="8"/>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69F24FF3">
      <w:pPr>
        <w:pStyle w:val="8"/>
        <w:spacing w:before="0" w:beforeAutospacing="0" w:after="0" w:afterAutospacing="0" w:line="360" w:lineRule="auto"/>
        <w:ind w:firstLine="420"/>
        <w:rPr>
          <w:sz w:val="21"/>
          <w:szCs w:val="21"/>
        </w:rPr>
      </w:pPr>
      <w:r>
        <w:rPr>
          <w:rFonts w:hint="eastAsia"/>
          <w:sz w:val="21"/>
          <w:szCs w:val="21"/>
        </w:rPr>
        <w:t xml:space="preserve">5、管理风险 </w:t>
      </w:r>
    </w:p>
    <w:p w14:paraId="5FF9607A">
      <w:pPr>
        <w:pStyle w:val="8"/>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4A402099">
      <w:pPr>
        <w:pStyle w:val="8"/>
        <w:spacing w:before="0" w:beforeAutospacing="0" w:after="0" w:afterAutospacing="0" w:line="360" w:lineRule="auto"/>
        <w:ind w:firstLine="420"/>
        <w:rPr>
          <w:sz w:val="21"/>
          <w:szCs w:val="21"/>
        </w:rPr>
      </w:pPr>
      <w:r>
        <w:rPr>
          <w:rFonts w:hint="eastAsia"/>
          <w:sz w:val="21"/>
          <w:szCs w:val="21"/>
        </w:rPr>
        <w:t xml:space="preserve">6、合规风险 </w:t>
      </w:r>
    </w:p>
    <w:p w14:paraId="7E301CCC">
      <w:pPr>
        <w:pStyle w:val="8"/>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3F8D28E1">
      <w:pPr>
        <w:pStyle w:val="8"/>
        <w:spacing w:before="0" w:beforeAutospacing="0" w:after="0" w:afterAutospacing="0" w:line="360" w:lineRule="auto"/>
        <w:ind w:firstLine="420"/>
        <w:rPr>
          <w:sz w:val="21"/>
          <w:szCs w:val="21"/>
        </w:rPr>
      </w:pPr>
      <w:r>
        <w:rPr>
          <w:rFonts w:hint="eastAsia"/>
          <w:sz w:val="21"/>
          <w:szCs w:val="21"/>
        </w:rPr>
        <w:t xml:space="preserve">7、本基金的特有风险 </w:t>
      </w:r>
    </w:p>
    <w:p w14:paraId="66D459C2">
      <w:pPr>
        <w:pStyle w:val="8"/>
        <w:spacing w:before="0" w:beforeAutospacing="0" w:after="0" w:afterAutospacing="0" w:line="360" w:lineRule="auto"/>
        <w:ind w:firstLine="420"/>
        <w:rPr>
          <w:sz w:val="21"/>
          <w:szCs w:val="21"/>
        </w:rPr>
      </w:pPr>
      <w:r>
        <w:rPr>
          <w:rFonts w:hint="eastAsia"/>
          <w:sz w:val="21"/>
          <w:szCs w:val="21"/>
        </w:rPr>
        <w:t xml:space="preserve">本基金为纯债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14:paraId="59925A0C">
      <w:pPr>
        <w:pStyle w:val="8"/>
        <w:spacing w:before="0" w:beforeAutospacing="0" w:after="0" w:afterAutospacing="0" w:line="360" w:lineRule="auto"/>
        <w:ind w:firstLine="420"/>
        <w:rPr>
          <w:sz w:val="21"/>
          <w:szCs w:val="21"/>
        </w:rPr>
      </w:pPr>
      <w:r>
        <w:rPr>
          <w:rFonts w:hint="eastAsia"/>
          <w:sz w:val="21"/>
          <w:szCs w:val="21"/>
        </w:rPr>
        <w:t xml:space="preserve">本基金投资中小企业私募债券，中小企业私募债券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券，由此可能给基金净值带来更大的负面影响和损失。 </w:t>
      </w:r>
    </w:p>
    <w:p w14:paraId="12F3B1FB">
      <w:pPr>
        <w:pStyle w:val="8"/>
        <w:spacing w:before="0" w:beforeAutospacing="0" w:after="0" w:afterAutospacing="0" w:line="360" w:lineRule="auto"/>
        <w:ind w:firstLine="420"/>
        <w:rPr>
          <w:sz w:val="21"/>
          <w:szCs w:val="21"/>
        </w:rPr>
      </w:pPr>
      <w:r>
        <w:rPr>
          <w:rFonts w:hint="eastAsia"/>
          <w:sz w:val="21"/>
          <w:szCs w:val="21"/>
        </w:rPr>
        <w:t xml:space="preserve">二、声明 </w:t>
      </w:r>
    </w:p>
    <w:p w14:paraId="606D2052">
      <w:pPr>
        <w:pStyle w:val="8"/>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681C5949">
      <w:pPr>
        <w:pStyle w:val="8"/>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2、除基金管理人直接办理本基金的销售外，本基金还通过基金代销机构代理销售，基</w:t>
      </w:r>
      <w:bookmarkStart w:id="194" w:name="chapter_level1_20_68_section_1_end"/>
      <w:bookmarkEnd w:id="194"/>
      <w:r>
        <w:rPr>
          <w:rFonts w:hint="eastAsia"/>
          <w:sz w:val="21"/>
          <w:szCs w:val="21"/>
        </w:rPr>
        <w:t xml:space="preserve">金管理人与基金代销机构都不能保证其收益或本金安全。 </w:t>
      </w:r>
    </w:p>
    <w:p w14:paraId="324D6D99">
      <w:pPr>
        <w:widowControl/>
        <w:jc w:val="left"/>
        <w:rPr>
          <w:rFonts w:ascii="宋体" w:hAnsi="宋体" w:eastAsia="宋体"/>
        </w:rPr>
      </w:pPr>
      <w:r>
        <w:rPr>
          <w:rFonts w:ascii="宋体" w:hAnsi="宋体" w:eastAsia="宋体"/>
        </w:rPr>
        <w:br w:type="page"/>
      </w:r>
    </w:p>
    <w:p w14:paraId="36B8DD3D">
      <w:pPr>
        <w:pStyle w:val="2"/>
        <w:jc w:val="center"/>
        <w:rPr>
          <w:rFonts w:ascii="宋体" w:hAnsi="宋体" w:eastAsia="宋体"/>
          <w:sz w:val="30"/>
        </w:rPr>
      </w:pPr>
      <w:bookmarkStart w:id="195" w:name="chapter_level1_21_69"/>
      <w:bookmarkStart w:id="196" w:name="_Toc239208854"/>
      <w:r>
        <w:rPr>
          <w:rFonts w:hint="eastAsia" w:ascii="宋体" w:hAnsi="宋体" w:eastAsia="宋体"/>
          <w:sz w:val="30"/>
        </w:rPr>
        <w:t>第十八部分  基金合同的变更、终止与基金财产的清算</w:t>
      </w:r>
      <w:bookmarkEnd w:id="195"/>
      <w:bookmarkEnd w:id="196"/>
    </w:p>
    <w:p w14:paraId="5840D1C2">
      <w:pPr>
        <w:pStyle w:val="8"/>
        <w:spacing w:before="0" w:beforeAutospacing="0" w:after="0" w:afterAutospacing="0" w:line="360" w:lineRule="auto"/>
        <w:ind w:firstLine="420"/>
        <w:rPr>
          <w:sz w:val="21"/>
          <w:szCs w:val="21"/>
        </w:rPr>
      </w:pPr>
      <w:bookmarkStart w:id="197" w:name="chapter_level1_21_69_section_1"/>
      <w:bookmarkEnd w:id="197"/>
      <w:r>
        <w:rPr>
          <w:rStyle w:val="12"/>
          <w:rFonts w:hint="eastAsia"/>
          <w:sz w:val="21"/>
          <w:szCs w:val="21"/>
        </w:rPr>
        <w:t>一、《基金合同》的变更</w:t>
      </w:r>
    </w:p>
    <w:p w14:paraId="4BE4A831">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2AA0B8E1">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14:paraId="35E108A0">
      <w:pPr>
        <w:pStyle w:val="8"/>
        <w:spacing w:before="0" w:beforeAutospacing="0" w:after="0" w:afterAutospacing="0" w:line="360" w:lineRule="auto"/>
        <w:ind w:firstLine="420"/>
        <w:rPr>
          <w:sz w:val="21"/>
          <w:szCs w:val="21"/>
        </w:rPr>
      </w:pPr>
      <w:r>
        <w:rPr>
          <w:rStyle w:val="12"/>
          <w:rFonts w:hint="eastAsia"/>
          <w:sz w:val="21"/>
          <w:szCs w:val="21"/>
        </w:rPr>
        <w:t>二、《基金合同》的终止事由</w:t>
      </w:r>
    </w:p>
    <w:p w14:paraId="6763BDDC">
      <w:pPr>
        <w:pStyle w:val="8"/>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611D5FCC">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7D76B00C">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433CCF76">
      <w:pPr>
        <w:pStyle w:val="8"/>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 </w:t>
      </w:r>
    </w:p>
    <w:p w14:paraId="0F209824">
      <w:pPr>
        <w:pStyle w:val="8"/>
        <w:spacing w:before="0" w:beforeAutospacing="0" w:after="0" w:afterAutospacing="0" w:line="360" w:lineRule="auto"/>
        <w:ind w:firstLine="420"/>
        <w:rPr>
          <w:sz w:val="21"/>
          <w:szCs w:val="21"/>
        </w:rPr>
      </w:pPr>
      <w:r>
        <w:rPr>
          <w:rFonts w:hint="eastAsia"/>
          <w:sz w:val="21"/>
          <w:szCs w:val="21"/>
        </w:rPr>
        <w:t xml:space="preserve">4、《基金合同》约定的其他情形； </w:t>
      </w:r>
    </w:p>
    <w:p w14:paraId="164A49D0">
      <w:pPr>
        <w:pStyle w:val="8"/>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14:paraId="00146C00">
      <w:pPr>
        <w:pStyle w:val="8"/>
        <w:spacing w:before="0" w:beforeAutospacing="0" w:after="0" w:afterAutospacing="0" w:line="360" w:lineRule="auto"/>
        <w:ind w:firstLine="420"/>
        <w:rPr>
          <w:b/>
          <w:bCs/>
          <w:sz w:val="21"/>
          <w:szCs w:val="21"/>
        </w:rPr>
      </w:pPr>
      <w:r>
        <w:rPr>
          <w:rFonts w:hint="eastAsia"/>
          <w:b/>
          <w:bCs/>
          <w:sz w:val="21"/>
          <w:szCs w:val="21"/>
        </w:rPr>
        <w:t xml:space="preserve">三、基金财产的清算 </w:t>
      </w:r>
    </w:p>
    <w:p w14:paraId="54F8B04C">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54AF628D">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1835652B">
      <w:pPr>
        <w:pStyle w:val="8"/>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6C16D4FF">
      <w:pPr>
        <w:pStyle w:val="8"/>
        <w:spacing w:before="0" w:beforeAutospacing="0" w:after="0" w:afterAutospacing="0" w:line="360" w:lineRule="auto"/>
        <w:ind w:firstLine="420"/>
        <w:rPr>
          <w:sz w:val="21"/>
          <w:szCs w:val="21"/>
        </w:rPr>
      </w:pPr>
      <w:r>
        <w:rPr>
          <w:rFonts w:hint="eastAsia"/>
          <w:sz w:val="21"/>
          <w:szCs w:val="21"/>
        </w:rPr>
        <w:t xml:space="preserve">4、基金财产清算程序： </w:t>
      </w:r>
    </w:p>
    <w:p w14:paraId="6CB5CE2C">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399D17C1">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4196CDDB">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57DA395B">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648EFB19">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227088B4">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05D1F472">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4DD9EF01">
      <w:pPr>
        <w:pStyle w:val="8"/>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5、基金财产清算的期限为6个月，但因本基金所持证券的流动性受到限制而不能及时变现的，清算期限相应顺延。 </w:t>
      </w:r>
    </w:p>
    <w:p w14:paraId="2A8B6D9F">
      <w:pPr>
        <w:pStyle w:val="8"/>
        <w:spacing w:before="0" w:beforeAutospacing="0" w:after="0" w:afterAutospacing="0" w:line="360" w:lineRule="auto"/>
        <w:ind w:firstLine="420"/>
        <w:rPr>
          <w:sz w:val="21"/>
          <w:szCs w:val="21"/>
        </w:rPr>
      </w:pPr>
      <w:r>
        <w:rPr>
          <w:rStyle w:val="12"/>
          <w:rFonts w:hint="eastAsia"/>
          <w:sz w:val="21"/>
          <w:szCs w:val="21"/>
        </w:rPr>
        <w:t>四、清算费用</w:t>
      </w:r>
    </w:p>
    <w:p w14:paraId="6D9818B1">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55ABD032">
      <w:pPr>
        <w:pStyle w:val="8"/>
        <w:spacing w:before="0" w:beforeAutospacing="0" w:after="0" w:afterAutospacing="0" w:line="360" w:lineRule="auto"/>
        <w:ind w:firstLine="420"/>
        <w:rPr>
          <w:sz w:val="21"/>
          <w:szCs w:val="21"/>
        </w:rPr>
      </w:pPr>
      <w:r>
        <w:rPr>
          <w:rStyle w:val="12"/>
          <w:rFonts w:hint="eastAsia"/>
          <w:sz w:val="21"/>
          <w:szCs w:val="21"/>
        </w:rPr>
        <w:t>五、基金财产清算剩余资产的分配</w:t>
      </w:r>
    </w:p>
    <w:p w14:paraId="2EAB73FE">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70D02B53">
      <w:pPr>
        <w:pStyle w:val="8"/>
        <w:spacing w:before="0" w:beforeAutospacing="0" w:after="0" w:afterAutospacing="0" w:line="360" w:lineRule="auto"/>
        <w:ind w:firstLine="420"/>
        <w:rPr>
          <w:sz w:val="21"/>
          <w:szCs w:val="21"/>
        </w:rPr>
      </w:pPr>
      <w:r>
        <w:rPr>
          <w:rStyle w:val="12"/>
          <w:rFonts w:hint="eastAsia"/>
          <w:sz w:val="21"/>
          <w:szCs w:val="21"/>
        </w:rPr>
        <w:t>六、基金财产清算的公告</w:t>
      </w:r>
    </w:p>
    <w:p w14:paraId="409B8408">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72229508">
      <w:pPr>
        <w:pStyle w:val="8"/>
        <w:spacing w:before="0" w:beforeAutospacing="0" w:after="0" w:afterAutospacing="0" w:line="360" w:lineRule="auto"/>
        <w:ind w:firstLine="420"/>
        <w:rPr>
          <w:sz w:val="21"/>
          <w:szCs w:val="21"/>
        </w:rPr>
      </w:pPr>
      <w:r>
        <w:rPr>
          <w:rStyle w:val="12"/>
          <w:rFonts w:hint="eastAsia"/>
          <w:sz w:val="21"/>
          <w:szCs w:val="21"/>
        </w:rPr>
        <w:t>七、基金财产清算账册及文件的保存</w:t>
      </w:r>
    </w:p>
    <w:p w14:paraId="1747A4E7">
      <w:pPr>
        <w:pStyle w:val="8"/>
        <w:spacing w:before="0" w:beforeAutospacing="0" w:after="0" w:afterAutospacing="0" w:line="360" w:lineRule="auto"/>
        <w:ind w:firstLine="420"/>
        <w:rPr>
          <w:sz w:val="21"/>
          <w:szCs w:val="21"/>
        </w:rPr>
      </w:pPr>
      <w:bookmarkStart w:id="198" w:name="chapter_level1_21_69_section_1_end"/>
      <w:bookmarkEnd w:id="198"/>
      <w:r>
        <w:rPr>
          <w:rFonts w:hint="eastAsia"/>
          <w:sz w:val="21"/>
          <w:szCs w:val="21"/>
        </w:rPr>
        <w:t xml:space="preserve">基金财产清算账册及有关文件由基金托管人保存15年以上。 </w:t>
      </w:r>
    </w:p>
    <w:p w14:paraId="17B35B60">
      <w:pPr>
        <w:widowControl/>
        <w:jc w:val="left"/>
        <w:rPr>
          <w:rFonts w:ascii="宋体" w:hAnsi="宋体" w:eastAsia="宋体"/>
        </w:rPr>
      </w:pPr>
      <w:r>
        <w:rPr>
          <w:rFonts w:ascii="宋体" w:hAnsi="宋体" w:eastAsia="宋体"/>
        </w:rPr>
        <w:br w:type="page"/>
      </w:r>
    </w:p>
    <w:p w14:paraId="402D79D8">
      <w:pPr>
        <w:pStyle w:val="2"/>
        <w:jc w:val="center"/>
        <w:rPr>
          <w:rFonts w:ascii="宋体" w:hAnsi="宋体" w:eastAsia="宋体"/>
          <w:sz w:val="30"/>
        </w:rPr>
      </w:pPr>
      <w:bookmarkStart w:id="199" w:name="chapter_level1_22_71"/>
      <w:bookmarkStart w:id="200" w:name="_Toc239208855"/>
      <w:r>
        <w:rPr>
          <w:rFonts w:hint="eastAsia" w:ascii="宋体" w:hAnsi="宋体" w:eastAsia="宋体"/>
          <w:sz w:val="30"/>
        </w:rPr>
        <w:t>第十九部分  基金合同的内容摘要</w:t>
      </w:r>
      <w:bookmarkEnd w:id="199"/>
      <w:bookmarkEnd w:id="200"/>
    </w:p>
    <w:p w14:paraId="332B843E">
      <w:pPr>
        <w:pStyle w:val="8"/>
        <w:spacing w:before="0" w:beforeAutospacing="0" w:after="0" w:afterAutospacing="0" w:line="360" w:lineRule="auto"/>
        <w:ind w:firstLine="420"/>
        <w:rPr>
          <w:sz w:val="21"/>
          <w:szCs w:val="21"/>
        </w:rPr>
      </w:pPr>
      <w:bookmarkStart w:id="201" w:name="chapter_level1_22_71_section_1"/>
      <w:bookmarkEnd w:id="201"/>
      <w:r>
        <w:rPr>
          <w:rStyle w:val="12"/>
          <w:rFonts w:hint="eastAsia"/>
          <w:sz w:val="21"/>
          <w:szCs w:val="21"/>
        </w:rPr>
        <w:t>一、基金份额持有人、基金管理人和基金托管人的权利、义务</w:t>
      </w:r>
    </w:p>
    <w:p w14:paraId="5B114ED1">
      <w:pPr>
        <w:pStyle w:val="8"/>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326F42DD">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663E7CC9">
      <w:pPr>
        <w:pStyle w:val="8"/>
        <w:spacing w:before="0" w:beforeAutospacing="0" w:after="0" w:afterAutospacing="0" w:line="360" w:lineRule="auto"/>
        <w:ind w:firstLine="420"/>
        <w:rPr>
          <w:sz w:val="21"/>
          <w:szCs w:val="21"/>
        </w:rPr>
      </w:pPr>
      <w:r>
        <w:rPr>
          <w:rFonts w:hint="eastAsia"/>
          <w:sz w:val="21"/>
          <w:szCs w:val="21"/>
        </w:rPr>
        <w:t xml:space="preserve">（1）依法募集资金；   </w:t>
      </w:r>
    </w:p>
    <w:p w14:paraId="6CDB62DF">
      <w:pPr>
        <w:pStyle w:val="8"/>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71263BDC">
      <w:pPr>
        <w:pStyle w:val="8"/>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6122F4CC">
      <w:pPr>
        <w:pStyle w:val="8"/>
        <w:spacing w:before="0" w:beforeAutospacing="0" w:after="0" w:afterAutospacing="0" w:line="360" w:lineRule="auto"/>
        <w:ind w:firstLine="420"/>
        <w:rPr>
          <w:sz w:val="21"/>
          <w:szCs w:val="21"/>
        </w:rPr>
      </w:pPr>
      <w:r>
        <w:rPr>
          <w:rFonts w:hint="eastAsia"/>
          <w:sz w:val="21"/>
          <w:szCs w:val="21"/>
        </w:rPr>
        <w:t xml:space="preserve">（4）销售基金份额；   </w:t>
      </w:r>
    </w:p>
    <w:p w14:paraId="31B73B53">
      <w:pPr>
        <w:pStyle w:val="8"/>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404C0B07">
      <w:pPr>
        <w:pStyle w:val="8"/>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0FE1D392">
      <w:pPr>
        <w:pStyle w:val="8"/>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57CDD298">
      <w:pPr>
        <w:pStyle w:val="8"/>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33CC5B87">
      <w:pPr>
        <w:pStyle w:val="8"/>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6F0D6972">
      <w:pPr>
        <w:pStyle w:val="8"/>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504C2127">
      <w:pPr>
        <w:pStyle w:val="8"/>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1D1171FA">
      <w:pPr>
        <w:pStyle w:val="8"/>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56D0DE2F">
      <w:pPr>
        <w:pStyle w:val="8"/>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14:paraId="02812493">
      <w:pPr>
        <w:pStyle w:val="8"/>
        <w:spacing w:before="0" w:beforeAutospacing="0" w:after="0" w:afterAutospacing="0" w:line="360" w:lineRule="auto"/>
        <w:ind w:firstLine="420"/>
        <w:rPr>
          <w:sz w:val="21"/>
          <w:szCs w:val="21"/>
        </w:rPr>
      </w:pPr>
      <w:r>
        <w:rPr>
          <w:rFonts w:hint="eastAsia"/>
          <w:sz w:val="21"/>
          <w:szCs w:val="21"/>
        </w:rPr>
        <w:t xml:space="preserve">（14）选择、更换律师事务所、会计师事务所、证券经纪商或其他为基金提供服务的外部机构；      </w:t>
      </w:r>
    </w:p>
    <w:p w14:paraId="203D053C">
      <w:pPr>
        <w:pStyle w:val="8"/>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（15）在符合有关法律、法规的前提下，制订和调整有关基金认购、申购、赎回、转换、定期定额投资和非交易过户等业务规则；   </w:t>
      </w:r>
    </w:p>
    <w:p w14:paraId="60513F7A">
      <w:pPr>
        <w:pStyle w:val="8"/>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14:paraId="50118517">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32896A0F">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6F45E961">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1E6D6EED">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12CFA9AD">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347B497B">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3944AFA4">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12C7F322">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49EF0188">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67DBBC7A">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768E4FE4">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448C6910">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5EB44DA2">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6F6C368A">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2A2E5EAD">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49B37CC9">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7F0C191E">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6F0CC6D1">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1D21722B">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04BF258A">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1B9BAC18">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62EB498F">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39E1E0A3">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7C24A4E6">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24B174BA">
      <w:pPr>
        <w:pStyle w:val="8"/>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09DE79F3">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4C255602">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1E62E63F">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1FFBCB67">
      <w:pPr>
        <w:pStyle w:val="8"/>
        <w:spacing w:before="0" w:beforeAutospacing="0" w:after="0" w:afterAutospacing="0" w:line="360" w:lineRule="auto"/>
        <w:ind w:firstLine="420"/>
        <w:rPr>
          <w:sz w:val="21"/>
          <w:szCs w:val="21"/>
        </w:rPr>
      </w:pPr>
      <w:r>
        <w:rPr>
          <w:rFonts w:hint="eastAsia"/>
          <w:sz w:val="21"/>
          <w:szCs w:val="21"/>
        </w:rPr>
        <w:t xml:space="preserve">（二）基金托管人的权利与义务   </w:t>
      </w:r>
    </w:p>
    <w:p w14:paraId="7412B5BF">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606CFB68">
      <w:pPr>
        <w:pStyle w:val="8"/>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788B9817">
      <w:pPr>
        <w:pStyle w:val="8"/>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5653E810">
      <w:pPr>
        <w:pStyle w:val="8"/>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29B9B59A">
      <w:pPr>
        <w:pStyle w:val="8"/>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（4）根据相关市场规则，为基金开设资金账户、证券账户等投资所需的其他账户，为基金办理证券交易资金清算；   </w:t>
      </w:r>
    </w:p>
    <w:p w14:paraId="0E0A71DE">
      <w:pPr>
        <w:pStyle w:val="8"/>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0D046458">
      <w:pPr>
        <w:pStyle w:val="8"/>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15D86DCA">
      <w:pPr>
        <w:pStyle w:val="8"/>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180C4B69">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6E0A7E00">
      <w:pPr>
        <w:pStyle w:val="8"/>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32A1CF0D">
      <w:pPr>
        <w:pStyle w:val="8"/>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7E96F9C4">
      <w:pPr>
        <w:pStyle w:val="8"/>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5C1FEC24">
      <w:pPr>
        <w:pStyle w:val="8"/>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630FA89A">
      <w:pPr>
        <w:pStyle w:val="8"/>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797060B7">
      <w:pPr>
        <w:pStyle w:val="8"/>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（6）按规定开设基金财产的资金账户、证券账户等投资所需的其他账户，按照《基金合同》的约定，根据基金管理人的投资指令，及时办理清算、交割事宜；   </w:t>
      </w:r>
    </w:p>
    <w:p w14:paraId="73E0A6D8">
      <w:pPr>
        <w:pStyle w:val="8"/>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0F5F7E77">
      <w:pPr>
        <w:pStyle w:val="8"/>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（8）复核、审查基金管理人计算的基金资产净值、各类基金份额净值、基金份额申购、赎回价格；   </w:t>
      </w:r>
    </w:p>
    <w:p w14:paraId="56CA28D3">
      <w:pPr>
        <w:pStyle w:val="8"/>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7C527F70">
      <w:pPr>
        <w:pStyle w:val="8"/>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3C9463D9">
      <w:pPr>
        <w:pStyle w:val="8"/>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14:paraId="7C3D081C">
      <w:pPr>
        <w:pStyle w:val="8"/>
        <w:spacing w:before="0" w:beforeAutospacing="0" w:after="0" w:afterAutospacing="0" w:line="360" w:lineRule="auto"/>
        <w:ind w:firstLine="420"/>
        <w:rPr>
          <w:sz w:val="21"/>
          <w:szCs w:val="21"/>
        </w:rPr>
      </w:pPr>
      <w:r>
        <w:rPr>
          <w:rFonts w:hint="eastAsia"/>
          <w:sz w:val="21"/>
          <w:szCs w:val="21"/>
        </w:rPr>
        <w:t xml:space="preserve">（12）建立并保存基金份额持有人名册；   </w:t>
      </w:r>
    </w:p>
    <w:p w14:paraId="35F4EE09">
      <w:pPr>
        <w:pStyle w:val="8"/>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1C4FEA3C">
      <w:pPr>
        <w:pStyle w:val="8"/>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49394B9B">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077D8C9C">
      <w:pPr>
        <w:pStyle w:val="8"/>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2588B4C3">
      <w:pPr>
        <w:pStyle w:val="8"/>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3028318E">
      <w:pPr>
        <w:pStyle w:val="8"/>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6F55237A">
      <w:pPr>
        <w:pStyle w:val="8"/>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1A9C5BD7">
      <w:pPr>
        <w:pStyle w:val="8"/>
        <w:spacing w:before="0" w:beforeAutospacing="0" w:after="0" w:afterAutospacing="0" w:line="360" w:lineRule="auto"/>
        <w:ind w:firstLine="420"/>
        <w:rPr>
          <w:sz w:val="21"/>
          <w:szCs w:val="21"/>
        </w:rPr>
      </w:pPr>
      <w:r>
        <w:rPr>
          <w:rFonts w:hint="eastAsia"/>
          <w:sz w:val="21"/>
          <w:szCs w:val="21"/>
        </w:rPr>
        <w:t xml:space="preserve">（20）监督基金管理人按法律法规和《基金合同》规定履行自己的义务，基金管理人因违反《基金合同》造成基金财产损失时，应为基金份额持有人利益向基金管理人追偿；   </w:t>
      </w:r>
    </w:p>
    <w:p w14:paraId="5859D433">
      <w:pPr>
        <w:pStyle w:val="8"/>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7405F454">
      <w:pPr>
        <w:pStyle w:val="8"/>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62E90E4B">
      <w:pPr>
        <w:pStyle w:val="8"/>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14:paraId="57D216D8">
      <w:pPr>
        <w:pStyle w:val="8"/>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31DBCE5F">
      <w:pPr>
        <w:pStyle w:val="8"/>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14:paraId="1415A4F3">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433D5054">
      <w:pPr>
        <w:pStyle w:val="8"/>
        <w:spacing w:before="0" w:beforeAutospacing="0" w:after="0" w:afterAutospacing="0" w:line="360" w:lineRule="auto"/>
        <w:ind w:firstLine="420"/>
        <w:rPr>
          <w:sz w:val="21"/>
          <w:szCs w:val="21"/>
        </w:rPr>
      </w:pPr>
      <w:r>
        <w:rPr>
          <w:rFonts w:hint="eastAsia"/>
          <w:sz w:val="21"/>
          <w:szCs w:val="21"/>
        </w:rPr>
        <w:t xml:space="preserve">（1）分享基金财产收益；   </w:t>
      </w:r>
    </w:p>
    <w:p w14:paraId="534BCBDB">
      <w:pPr>
        <w:pStyle w:val="8"/>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5A2FF341">
      <w:pPr>
        <w:pStyle w:val="8"/>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0B01B509">
      <w:pPr>
        <w:pStyle w:val="8"/>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01965A3D">
      <w:pPr>
        <w:pStyle w:val="8"/>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3886A6EA">
      <w:pPr>
        <w:pStyle w:val="8"/>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03DE2B45">
      <w:pPr>
        <w:pStyle w:val="8"/>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7E33CFDF">
      <w:pPr>
        <w:pStyle w:val="8"/>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0A952414">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4427759B">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33331450">
      <w:pPr>
        <w:pStyle w:val="8"/>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0EE45507">
      <w:pPr>
        <w:pStyle w:val="8"/>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63173F7D">
      <w:pPr>
        <w:pStyle w:val="8"/>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6D5DF2D6">
      <w:pPr>
        <w:pStyle w:val="8"/>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14:paraId="022238D1">
      <w:pPr>
        <w:pStyle w:val="8"/>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2BC2AB17">
      <w:pPr>
        <w:pStyle w:val="8"/>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2432DC2D">
      <w:pPr>
        <w:pStyle w:val="8"/>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02031A22">
      <w:pPr>
        <w:pStyle w:val="8"/>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282A8250">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6ACD37C3">
      <w:pPr>
        <w:pStyle w:val="8"/>
        <w:spacing w:before="0" w:beforeAutospacing="0" w:after="0" w:afterAutospacing="0" w:line="360" w:lineRule="auto"/>
        <w:ind w:firstLine="420"/>
        <w:rPr>
          <w:sz w:val="21"/>
          <w:szCs w:val="21"/>
        </w:rPr>
      </w:pPr>
      <w:r>
        <w:rPr>
          <w:rStyle w:val="12"/>
          <w:rFonts w:hint="eastAsia"/>
          <w:sz w:val="21"/>
          <w:szCs w:val="21"/>
        </w:rPr>
        <w:t>二、基金份额持有人大会召集、议事及表决的程序和规则</w:t>
      </w:r>
    </w:p>
    <w:p w14:paraId="21152B4B">
      <w:pPr>
        <w:pStyle w:val="8"/>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若将来法律法规对基金份额持有人大会另有规定的，以届时有效的法律法规为准。   </w:t>
      </w:r>
    </w:p>
    <w:p w14:paraId="49FB316C">
      <w:pPr>
        <w:pStyle w:val="8"/>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1472DF6E">
      <w:pPr>
        <w:pStyle w:val="8"/>
        <w:spacing w:before="0" w:beforeAutospacing="0" w:after="0" w:afterAutospacing="0" w:line="360" w:lineRule="auto"/>
        <w:ind w:firstLine="420"/>
        <w:rPr>
          <w:sz w:val="21"/>
          <w:szCs w:val="21"/>
        </w:rPr>
      </w:pPr>
      <w:r>
        <w:rPr>
          <w:rFonts w:hint="eastAsia"/>
          <w:sz w:val="21"/>
          <w:szCs w:val="21"/>
        </w:rPr>
        <w:t xml:space="preserve">（一）召开事由    </w:t>
      </w:r>
    </w:p>
    <w:p w14:paraId="61093FCA">
      <w:pPr>
        <w:pStyle w:val="8"/>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5967A3CB">
      <w:pPr>
        <w:pStyle w:val="8"/>
        <w:spacing w:before="0" w:beforeAutospacing="0" w:after="0" w:afterAutospacing="0" w:line="360" w:lineRule="auto"/>
        <w:ind w:firstLine="420"/>
        <w:rPr>
          <w:sz w:val="21"/>
          <w:szCs w:val="21"/>
        </w:rPr>
      </w:pPr>
      <w:r>
        <w:rPr>
          <w:rFonts w:hint="eastAsia"/>
          <w:sz w:val="21"/>
          <w:szCs w:val="21"/>
        </w:rPr>
        <w:t xml:space="preserve">（1）终止《基金合同》；   </w:t>
      </w:r>
    </w:p>
    <w:p w14:paraId="0C0AABB4">
      <w:pPr>
        <w:pStyle w:val="8"/>
        <w:spacing w:before="0" w:beforeAutospacing="0" w:after="0" w:afterAutospacing="0" w:line="360" w:lineRule="auto"/>
        <w:ind w:firstLine="420"/>
        <w:rPr>
          <w:sz w:val="21"/>
          <w:szCs w:val="21"/>
        </w:rPr>
      </w:pPr>
      <w:r>
        <w:rPr>
          <w:rFonts w:hint="eastAsia"/>
          <w:sz w:val="21"/>
          <w:szCs w:val="21"/>
        </w:rPr>
        <w:t xml:space="preserve">（2）更换基金管理人；   </w:t>
      </w:r>
    </w:p>
    <w:p w14:paraId="71B05C52">
      <w:pPr>
        <w:pStyle w:val="8"/>
        <w:spacing w:before="0" w:beforeAutospacing="0" w:after="0" w:afterAutospacing="0" w:line="360" w:lineRule="auto"/>
        <w:ind w:firstLine="420"/>
        <w:rPr>
          <w:sz w:val="21"/>
          <w:szCs w:val="21"/>
        </w:rPr>
      </w:pPr>
      <w:r>
        <w:rPr>
          <w:rFonts w:hint="eastAsia"/>
          <w:sz w:val="21"/>
          <w:szCs w:val="21"/>
        </w:rPr>
        <w:t xml:space="preserve">（3）更换基金托管人；   </w:t>
      </w:r>
    </w:p>
    <w:p w14:paraId="6A6B7790">
      <w:pPr>
        <w:pStyle w:val="8"/>
        <w:spacing w:before="0" w:beforeAutospacing="0" w:after="0" w:afterAutospacing="0" w:line="360" w:lineRule="auto"/>
        <w:ind w:firstLine="420"/>
        <w:rPr>
          <w:sz w:val="21"/>
          <w:szCs w:val="21"/>
        </w:rPr>
      </w:pPr>
      <w:r>
        <w:rPr>
          <w:rFonts w:hint="eastAsia"/>
          <w:sz w:val="21"/>
          <w:szCs w:val="21"/>
        </w:rPr>
        <w:t xml:space="preserve">（4）转换基金运作方式；   </w:t>
      </w:r>
    </w:p>
    <w:p w14:paraId="3EE5B9C2">
      <w:pPr>
        <w:pStyle w:val="8"/>
        <w:spacing w:before="0" w:beforeAutospacing="0" w:after="0" w:afterAutospacing="0" w:line="360" w:lineRule="auto"/>
        <w:ind w:firstLine="420"/>
        <w:rPr>
          <w:sz w:val="21"/>
          <w:szCs w:val="21"/>
        </w:rPr>
      </w:pPr>
      <w:r>
        <w:rPr>
          <w:rFonts w:hint="eastAsia"/>
          <w:sz w:val="21"/>
          <w:szCs w:val="21"/>
        </w:rPr>
        <w:t xml:space="preserve">（5）提高基金管理人、基金托管人的报酬标准或调高销售服务费率；  </w:t>
      </w:r>
    </w:p>
    <w:p w14:paraId="18AE13A5">
      <w:pPr>
        <w:pStyle w:val="8"/>
        <w:spacing w:before="0" w:beforeAutospacing="0" w:after="0" w:afterAutospacing="0" w:line="360" w:lineRule="auto"/>
        <w:ind w:firstLine="420"/>
        <w:rPr>
          <w:sz w:val="21"/>
          <w:szCs w:val="21"/>
        </w:rPr>
      </w:pPr>
      <w:r>
        <w:rPr>
          <w:rFonts w:hint="eastAsia"/>
          <w:sz w:val="21"/>
          <w:szCs w:val="21"/>
        </w:rPr>
        <w:t xml:space="preserve">（6）变更基金类别；   </w:t>
      </w:r>
    </w:p>
    <w:p w14:paraId="33B7BFCE">
      <w:pPr>
        <w:pStyle w:val="8"/>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710E312B">
      <w:pPr>
        <w:pStyle w:val="8"/>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34260C0A">
      <w:pPr>
        <w:pStyle w:val="8"/>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24221852">
      <w:pPr>
        <w:pStyle w:val="8"/>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42500A12">
      <w:pPr>
        <w:pStyle w:val="8"/>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243012E2">
      <w:pPr>
        <w:pStyle w:val="8"/>
        <w:spacing w:before="0" w:beforeAutospacing="0" w:after="0" w:afterAutospacing="0" w:line="360" w:lineRule="auto"/>
        <w:ind w:firstLine="420"/>
        <w:rPr>
          <w:sz w:val="21"/>
          <w:szCs w:val="21"/>
        </w:rPr>
      </w:pPr>
      <w:r>
        <w:rPr>
          <w:rFonts w:hint="eastAsia"/>
          <w:sz w:val="21"/>
          <w:szCs w:val="21"/>
        </w:rPr>
        <w:t xml:space="preserve">（12）对基金当事人权利和义务产生重大影响的其他事项；   </w:t>
      </w:r>
    </w:p>
    <w:p w14:paraId="1824F3A8">
      <w:pPr>
        <w:pStyle w:val="8"/>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40EB6E96">
      <w:pPr>
        <w:pStyle w:val="8"/>
        <w:spacing w:before="0" w:beforeAutospacing="0" w:after="0" w:afterAutospacing="0" w:line="360" w:lineRule="auto"/>
        <w:ind w:firstLine="420"/>
        <w:rPr>
          <w:sz w:val="21"/>
          <w:szCs w:val="21"/>
        </w:rPr>
      </w:pPr>
      <w:r>
        <w:rPr>
          <w:rFonts w:hint="eastAsia"/>
          <w:sz w:val="21"/>
          <w:szCs w:val="21"/>
        </w:rPr>
        <w:t xml:space="preserve">2、在不违反法律法规、基金合同以及在不损害已有基金份额持有人权益的前提下，以下情况可由基金管理人和基金托管人协商后修改，不需召开基金份额持有人大会：   </w:t>
      </w:r>
    </w:p>
    <w:p w14:paraId="162E31A8">
      <w:pPr>
        <w:pStyle w:val="8"/>
        <w:spacing w:before="0" w:beforeAutospacing="0" w:after="0" w:afterAutospacing="0" w:line="360" w:lineRule="auto"/>
        <w:ind w:firstLine="420"/>
        <w:rPr>
          <w:sz w:val="21"/>
          <w:szCs w:val="21"/>
        </w:rPr>
      </w:pPr>
      <w:r>
        <w:rPr>
          <w:rFonts w:hint="eastAsia"/>
          <w:sz w:val="21"/>
          <w:szCs w:val="21"/>
        </w:rPr>
        <w:t xml:space="preserve">（1）调低基金管理费、基金托管费和其他应由基金承担的费用；   </w:t>
      </w:r>
    </w:p>
    <w:p w14:paraId="014DFF41">
      <w:pPr>
        <w:pStyle w:val="8"/>
        <w:spacing w:before="0" w:beforeAutospacing="0" w:after="0" w:afterAutospacing="0" w:line="360" w:lineRule="auto"/>
        <w:ind w:firstLine="420"/>
        <w:rPr>
          <w:sz w:val="21"/>
          <w:szCs w:val="21"/>
        </w:rPr>
      </w:pPr>
      <w:r>
        <w:rPr>
          <w:rFonts w:hint="eastAsia"/>
          <w:sz w:val="21"/>
          <w:szCs w:val="21"/>
        </w:rPr>
        <w:t xml:space="preserve">（2）法律法规要求增加的基金费用的收取；   </w:t>
      </w:r>
    </w:p>
    <w:p w14:paraId="264E435B">
      <w:pPr>
        <w:pStyle w:val="8"/>
        <w:spacing w:before="0" w:beforeAutospacing="0" w:after="0" w:afterAutospacing="0" w:line="360" w:lineRule="auto"/>
        <w:ind w:firstLine="420"/>
        <w:rPr>
          <w:sz w:val="21"/>
          <w:szCs w:val="21"/>
        </w:rPr>
      </w:pPr>
      <w:r>
        <w:rPr>
          <w:rFonts w:hint="eastAsia"/>
          <w:sz w:val="21"/>
          <w:szCs w:val="21"/>
        </w:rPr>
        <w:t xml:space="preserve">（3）在法律法规和《基金合同》规定的范围内调整本基金的申购费率、调低赎回费率、销售服务费率或在对现有基金份额持有人利益无实质性不利影响的前提下变更收费方式或调整基金份额类别设置、对基金份额分类办法及规则进行调整；   </w:t>
      </w:r>
    </w:p>
    <w:p w14:paraId="4CBBE6D7">
      <w:pPr>
        <w:pStyle w:val="8"/>
        <w:spacing w:before="0" w:beforeAutospacing="0" w:after="0" w:afterAutospacing="0" w:line="360" w:lineRule="auto"/>
        <w:ind w:firstLine="420"/>
        <w:rPr>
          <w:sz w:val="21"/>
          <w:szCs w:val="21"/>
        </w:rPr>
      </w:pPr>
      <w:r>
        <w:rPr>
          <w:rFonts w:hint="eastAsia"/>
          <w:sz w:val="21"/>
          <w:szCs w:val="21"/>
        </w:rPr>
        <w:t xml:space="preserve">（4）因相应的法律法规发生变动而应当对《基金合同》进行修改；   </w:t>
      </w:r>
    </w:p>
    <w:p w14:paraId="2C5C33E9">
      <w:pPr>
        <w:pStyle w:val="8"/>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14:paraId="7520CCEA">
      <w:pPr>
        <w:pStyle w:val="8"/>
        <w:spacing w:before="0" w:beforeAutospacing="0" w:after="0" w:afterAutospacing="0" w:line="360" w:lineRule="auto"/>
        <w:ind w:firstLine="420"/>
        <w:rPr>
          <w:sz w:val="21"/>
          <w:szCs w:val="21"/>
        </w:rPr>
      </w:pPr>
      <w:r>
        <w:rPr>
          <w:rFonts w:hint="eastAsia"/>
          <w:sz w:val="21"/>
          <w:szCs w:val="21"/>
        </w:rPr>
        <w:t xml:space="preserve">（6）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   </w:t>
      </w:r>
    </w:p>
    <w:p w14:paraId="34AA9BA3">
      <w:pPr>
        <w:pStyle w:val="8"/>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1C4604B8">
      <w:pPr>
        <w:pStyle w:val="8"/>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   </w:t>
      </w:r>
    </w:p>
    <w:p w14:paraId="2E72C602">
      <w:pPr>
        <w:pStyle w:val="8"/>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6DED909D">
      <w:pPr>
        <w:pStyle w:val="8"/>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3E547717">
      <w:pPr>
        <w:pStyle w:val="8"/>
        <w:spacing w:before="0" w:beforeAutospacing="0" w:after="0" w:afterAutospacing="0" w:line="360" w:lineRule="auto"/>
        <w:ind w:firstLine="420"/>
        <w:rPr>
          <w:sz w:val="21"/>
          <w:szCs w:val="21"/>
        </w:rPr>
      </w:pPr>
      <w:r>
        <w:rPr>
          <w:rFonts w:hint="eastAsia"/>
          <w:sz w:val="21"/>
          <w:szCs w:val="21"/>
        </w:rPr>
        <w:t xml:space="preserve">2、基金管理人未按规定召集或不能召开时，由基金托管人召集。   </w:t>
      </w:r>
    </w:p>
    <w:p w14:paraId="24E9B359">
      <w:pPr>
        <w:pStyle w:val="8"/>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01EAE8FB">
      <w:pPr>
        <w:pStyle w:val="8"/>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0D32C1D0">
      <w:pPr>
        <w:pStyle w:val="8"/>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4CCC6D3C">
      <w:pPr>
        <w:pStyle w:val="8"/>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2C0E4575">
      <w:pPr>
        <w:pStyle w:val="8"/>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4C1F1369">
      <w:pPr>
        <w:pStyle w:val="8"/>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14:paraId="65AC3C5B">
      <w:pPr>
        <w:pStyle w:val="8"/>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2C7B2B14">
      <w:pPr>
        <w:pStyle w:val="8"/>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33053E1C">
      <w:pPr>
        <w:pStyle w:val="8"/>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039CFA5F">
      <w:pPr>
        <w:pStyle w:val="8"/>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30404F75">
      <w:pPr>
        <w:pStyle w:val="8"/>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5C3046B2">
      <w:pPr>
        <w:pStyle w:val="8"/>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5BF12D31">
      <w:pPr>
        <w:pStyle w:val="8"/>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48CDFF70">
      <w:pPr>
        <w:pStyle w:val="8"/>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63C3393D">
      <w:pPr>
        <w:pStyle w:val="8"/>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2D88D86F">
      <w:pPr>
        <w:pStyle w:val="8"/>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0BDD97DC">
      <w:pPr>
        <w:pStyle w:val="8"/>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基金份额持有人大会可通过现场开会方式、通讯开会方式或法律法规及监管机关允许的其他方式召开，会议的召开方式由会议召集人确定。   </w:t>
      </w:r>
    </w:p>
    <w:p w14:paraId="167C48F9">
      <w:pPr>
        <w:pStyle w:val="8"/>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4008EAF3">
      <w:pPr>
        <w:pStyle w:val="8"/>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44240B1D">
      <w:pPr>
        <w:pStyle w:val="8"/>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471E7BBD">
      <w:pPr>
        <w:pStyle w:val="8"/>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至日以前送达至召集人指定的地址。通讯开会应以书面方式或大会公告载明的其他方式进行表决。   </w:t>
      </w:r>
    </w:p>
    <w:p w14:paraId="5865AEC4">
      <w:pPr>
        <w:pStyle w:val="8"/>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2CF19C13">
      <w:pPr>
        <w:pStyle w:val="8"/>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65257686">
      <w:pPr>
        <w:pStyle w:val="8"/>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66AA46D4">
      <w:pPr>
        <w:pStyle w:val="8"/>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1C875BEC">
      <w:pPr>
        <w:pStyle w:val="8"/>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17074002">
      <w:pPr>
        <w:pStyle w:val="8"/>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5D635B99">
      <w:pPr>
        <w:pStyle w:val="8"/>
        <w:spacing w:before="0" w:beforeAutospacing="0" w:after="0" w:afterAutospacing="0" w:line="360" w:lineRule="auto"/>
        <w:ind w:firstLine="420"/>
        <w:rPr>
          <w:sz w:val="21"/>
          <w:szCs w:val="21"/>
        </w:rPr>
      </w:pPr>
      <w:r>
        <w:rPr>
          <w:rFonts w:hint="eastAsia"/>
          <w:sz w:val="21"/>
          <w:szCs w:val="21"/>
        </w:rPr>
        <w:t xml:space="preserve">（五）议事内容与程序   </w:t>
      </w:r>
    </w:p>
    <w:p w14:paraId="18991637">
      <w:pPr>
        <w:pStyle w:val="8"/>
        <w:spacing w:before="0" w:beforeAutospacing="0" w:after="0" w:afterAutospacing="0" w:line="360" w:lineRule="auto"/>
        <w:ind w:firstLine="420"/>
        <w:rPr>
          <w:sz w:val="21"/>
          <w:szCs w:val="21"/>
        </w:rPr>
      </w:pPr>
      <w:r>
        <w:rPr>
          <w:rFonts w:hint="eastAsia"/>
          <w:sz w:val="21"/>
          <w:szCs w:val="21"/>
        </w:rPr>
        <w:t xml:space="preserve">1、议事内容及提案权   </w:t>
      </w:r>
    </w:p>
    <w:p w14:paraId="052A7862">
      <w:pPr>
        <w:pStyle w:val="8"/>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35717230">
      <w:pPr>
        <w:pStyle w:val="8"/>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710116E4">
      <w:pPr>
        <w:pStyle w:val="8"/>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76FBC246">
      <w:pPr>
        <w:pStyle w:val="8"/>
        <w:spacing w:before="0" w:beforeAutospacing="0" w:after="0" w:afterAutospacing="0" w:line="360" w:lineRule="auto"/>
        <w:ind w:firstLine="420"/>
        <w:rPr>
          <w:sz w:val="21"/>
          <w:szCs w:val="21"/>
        </w:rPr>
      </w:pPr>
      <w:r>
        <w:rPr>
          <w:rFonts w:hint="eastAsia"/>
          <w:sz w:val="21"/>
          <w:szCs w:val="21"/>
        </w:rPr>
        <w:t xml:space="preserve">2、议事程序   </w:t>
      </w:r>
    </w:p>
    <w:p w14:paraId="67F517E8">
      <w:pPr>
        <w:pStyle w:val="8"/>
        <w:spacing w:before="0" w:beforeAutospacing="0" w:after="0" w:afterAutospacing="0" w:line="360" w:lineRule="auto"/>
        <w:ind w:firstLine="420"/>
        <w:rPr>
          <w:sz w:val="21"/>
          <w:szCs w:val="21"/>
        </w:rPr>
      </w:pPr>
      <w:r>
        <w:rPr>
          <w:rFonts w:hint="eastAsia"/>
          <w:sz w:val="21"/>
          <w:szCs w:val="21"/>
        </w:rPr>
        <w:t xml:space="preserve">（1）现场开会   </w:t>
      </w:r>
    </w:p>
    <w:p w14:paraId="123397A3">
      <w:pPr>
        <w:pStyle w:val="8"/>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03F24212">
      <w:pPr>
        <w:pStyle w:val="8"/>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71AC3D2E">
      <w:pPr>
        <w:pStyle w:val="8"/>
        <w:spacing w:before="0" w:beforeAutospacing="0" w:after="0" w:afterAutospacing="0" w:line="360" w:lineRule="auto"/>
        <w:ind w:firstLine="420"/>
        <w:rPr>
          <w:sz w:val="21"/>
          <w:szCs w:val="21"/>
        </w:rPr>
      </w:pPr>
      <w:r>
        <w:rPr>
          <w:rFonts w:hint="eastAsia"/>
          <w:sz w:val="21"/>
          <w:szCs w:val="21"/>
        </w:rPr>
        <w:t xml:space="preserve">（2）通讯开会   </w:t>
      </w:r>
    </w:p>
    <w:p w14:paraId="0E7F5EA2">
      <w:pPr>
        <w:pStyle w:val="8"/>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3346EE53">
      <w:pPr>
        <w:pStyle w:val="8"/>
        <w:spacing w:before="0" w:beforeAutospacing="0" w:after="0" w:afterAutospacing="0" w:line="360" w:lineRule="auto"/>
        <w:ind w:firstLine="420"/>
        <w:rPr>
          <w:sz w:val="21"/>
          <w:szCs w:val="21"/>
        </w:rPr>
      </w:pPr>
      <w:r>
        <w:rPr>
          <w:rFonts w:hint="eastAsia"/>
          <w:sz w:val="21"/>
          <w:szCs w:val="21"/>
        </w:rPr>
        <w:t xml:space="preserve">（六）表决   </w:t>
      </w:r>
    </w:p>
    <w:p w14:paraId="261B6037">
      <w:pPr>
        <w:pStyle w:val="8"/>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2D8C7576">
      <w:pPr>
        <w:pStyle w:val="8"/>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1FFBF7DA">
      <w:pPr>
        <w:pStyle w:val="8"/>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08D5694E">
      <w:pPr>
        <w:pStyle w:val="8"/>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14:paraId="6BF6D5D6">
      <w:pPr>
        <w:pStyle w:val="8"/>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22B71C8B">
      <w:pPr>
        <w:pStyle w:val="8"/>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38B0F171">
      <w:pPr>
        <w:pStyle w:val="8"/>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67076745">
      <w:pPr>
        <w:pStyle w:val="8"/>
        <w:spacing w:before="0" w:beforeAutospacing="0" w:after="0" w:afterAutospacing="0" w:line="360" w:lineRule="auto"/>
        <w:ind w:firstLine="420"/>
        <w:rPr>
          <w:sz w:val="21"/>
          <w:szCs w:val="21"/>
        </w:rPr>
      </w:pPr>
      <w:r>
        <w:rPr>
          <w:rFonts w:hint="eastAsia"/>
          <w:sz w:val="21"/>
          <w:szCs w:val="21"/>
        </w:rPr>
        <w:t xml:space="preserve">（七）计票   </w:t>
      </w:r>
    </w:p>
    <w:p w14:paraId="17834C58">
      <w:pPr>
        <w:pStyle w:val="8"/>
        <w:spacing w:before="0" w:beforeAutospacing="0" w:after="0" w:afterAutospacing="0" w:line="360" w:lineRule="auto"/>
        <w:ind w:firstLine="420"/>
        <w:rPr>
          <w:sz w:val="21"/>
          <w:szCs w:val="21"/>
        </w:rPr>
      </w:pPr>
      <w:r>
        <w:rPr>
          <w:rFonts w:hint="eastAsia"/>
          <w:sz w:val="21"/>
          <w:szCs w:val="21"/>
        </w:rPr>
        <w:t xml:space="preserve">1、现场开会   </w:t>
      </w:r>
    </w:p>
    <w:p w14:paraId="028EE2DF">
      <w:pPr>
        <w:pStyle w:val="8"/>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5491D59B">
      <w:pPr>
        <w:pStyle w:val="8"/>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75EDAFE8">
      <w:pPr>
        <w:pStyle w:val="8"/>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4DE6A491">
      <w:pPr>
        <w:pStyle w:val="8"/>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0214D764">
      <w:pPr>
        <w:pStyle w:val="8"/>
        <w:spacing w:before="0" w:beforeAutospacing="0" w:after="0" w:afterAutospacing="0" w:line="360" w:lineRule="auto"/>
        <w:ind w:firstLine="420"/>
        <w:rPr>
          <w:sz w:val="21"/>
          <w:szCs w:val="21"/>
        </w:rPr>
      </w:pPr>
      <w:r>
        <w:rPr>
          <w:rFonts w:hint="eastAsia"/>
          <w:sz w:val="21"/>
          <w:szCs w:val="21"/>
        </w:rPr>
        <w:t xml:space="preserve">2、通讯开会   </w:t>
      </w:r>
    </w:p>
    <w:p w14:paraId="5673F084">
      <w:pPr>
        <w:pStyle w:val="8"/>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601AD073">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eastAsia="zh-CN"/>
        </w:rPr>
        <w:t>八</w:t>
      </w:r>
      <w:r>
        <w:rPr>
          <w:rFonts w:hint="eastAsia"/>
          <w:sz w:val="21"/>
          <w:szCs w:val="21"/>
        </w:rPr>
        <w:t xml:space="preserve">）实施侧袋机制期间基金份额持有人大会的特殊约定  </w:t>
      </w:r>
    </w:p>
    <w:p w14:paraId="38CD3920">
      <w:pPr>
        <w:pStyle w:val="8"/>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0AF0FCAC">
      <w:pPr>
        <w:pStyle w:val="8"/>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74EFE8C6">
      <w:pPr>
        <w:pStyle w:val="8"/>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751952DE">
      <w:pPr>
        <w:pStyle w:val="8"/>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679E30EF">
      <w:pPr>
        <w:pStyle w:val="8"/>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5E3C4FDE">
      <w:pPr>
        <w:pStyle w:val="8"/>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57D784E7">
      <w:pPr>
        <w:pStyle w:val="8"/>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7574DC2E">
      <w:pPr>
        <w:pStyle w:val="8"/>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5B9BBB7E">
      <w:pPr>
        <w:pStyle w:val="8"/>
        <w:spacing w:before="0" w:beforeAutospacing="0" w:after="0" w:afterAutospacing="0" w:line="360" w:lineRule="auto"/>
        <w:ind w:firstLine="420"/>
        <w:rPr>
          <w:sz w:val="21"/>
          <w:szCs w:val="21"/>
        </w:rPr>
      </w:pPr>
      <w:r>
        <w:rPr>
          <w:rFonts w:hint="eastAsia"/>
          <w:sz w:val="21"/>
          <w:szCs w:val="21"/>
        </w:rPr>
        <w:t xml:space="preserve">同一主侧袋账户内的每份基金份额具有平等的表决权。  </w:t>
      </w:r>
    </w:p>
    <w:p w14:paraId="43D34D6D">
      <w:pPr>
        <w:pStyle w:val="8"/>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14:paraId="2276C062">
      <w:pPr>
        <w:pStyle w:val="8"/>
        <w:spacing w:before="0" w:beforeAutospacing="0" w:after="0" w:afterAutospacing="0" w:line="360" w:lineRule="auto"/>
        <w:ind w:firstLine="420"/>
        <w:rPr>
          <w:sz w:val="21"/>
          <w:szCs w:val="21"/>
        </w:rPr>
      </w:pPr>
      <w:r>
        <w:rPr>
          <w:rStyle w:val="12"/>
          <w:rFonts w:hint="eastAsia"/>
          <w:sz w:val="21"/>
          <w:szCs w:val="21"/>
        </w:rPr>
        <w:t>三、基金收益分配原则</w:t>
      </w:r>
    </w:p>
    <w:p w14:paraId="2D7C6D78">
      <w:pPr>
        <w:pStyle w:val="8"/>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06F5232A">
      <w:pPr>
        <w:pStyle w:val="8"/>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2115E26A">
      <w:pPr>
        <w:pStyle w:val="8"/>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3、由于本基金A类基金份额不收取销售服务费，而C类基金份额收取销售服务费，各基金份额类别对应的可供分配利润将有所不同，本基金同一类别的每一基金份额享有同等分配权； </w:t>
      </w:r>
    </w:p>
    <w:p w14:paraId="0C4A4FA9">
      <w:pPr>
        <w:pStyle w:val="8"/>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266B1FCF">
      <w:pPr>
        <w:pStyle w:val="8"/>
        <w:spacing w:before="0" w:beforeAutospacing="0" w:after="0" w:afterAutospacing="0" w:line="360" w:lineRule="auto"/>
        <w:ind w:firstLine="420"/>
        <w:rPr>
          <w:sz w:val="21"/>
          <w:szCs w:val="21"/>
        </w:rPr>
      </w:pPr>
      <w:r>
        <w:rPr>
          <w:rStyle w:val="12"/>
          <w:rFonts w:hint="eastAsia"/>
          <w:sz w:val="21"/>
          <w:szCs w:val="21"/>
        </w:rPr>
        <w:t>四、基金财产管理、运用有关费用的提取、支付方式与比例</w:t>
      </w:r>
    </w:p>
    <w:p w14:paraId="2D0B4684">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01A78BC1">
      <w:pPr>
        <w:pStyle w:val="8"/>
        <w:spacing w:before="0" w:beforeAutospacing="0" w:after="0" w:afterAutospacing="0" w:line="360" w:lineRule="auto"/>
        <w:ind w:firstLine="420"/>
        <w:rPr>
          <w:sz w:val="21"/>
          <w:szCs w:val="21"/>
        </w:rPr>
      </w:pPr>
      <w:r>
        <w:rPr>
          <w:rFonts w:hint="eastAsia"/>
          <w:sz w:val="21"/>
          <w:szCs w:val="21"/>
        </w:rPr>
        <w:t xml:space="preserve">本基金的管理费按前一日基金资产净值的0.30%年费率计提。管理费的计算方法如下：   </w:t>
      </w:r>
    </w:p>
    <w:p w14:paraId="19DBB656">
      <w:pPr>
        <w:pStyle w:val="8"/>
        <w:spacing w:before="0" w:beforeAutospacing="0" w:after="0" w:afterAutospacing="0" w:line="360" w:lineRule="auto"/>
        <w:ind w:firstLine="420"/>
        <w:rPr>
          <w:sz w:val="21"/>
          <w:szCs w:val="21"/>
        </w:rPr>
      </w:pPr>
      <w:r>
        <w:rPr>
          <w:rFonts w:hint="eastAsia"/>
          <w:sz w:val="21"/>
          <w:szCs w:val="21"/>
        </w:rPr>
        <w:t xml:space="preserve">H＝E×0.30%÷当年天数   </w:t>
      </w:r>
    </w:p>
    <w:p w14:paraId="4E394007">
      <w:pPr>
        <w:pStyle w:val="8"/>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47BCBD2F">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72334FED">
      <w:pPr>
        <w:pStyle w:val="8"/>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在次月前3个工作日内，由基金管理人向基金托管人发送管理费划款指令，基金托管人核对无误后从基金财产中一次性支付给基金管理人。若遇法定节假日、公休假等，支付日期顺延。   </w:t>
      </w:r>
    </w:p>
    <w:p w14:paraId="4A6E5D69">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660E2D47">
      <w:pPr>
        <w:pStyle w:val="8"/>
        <w:spacing w:before="0" w:beforeAutospacing="0" w:after="0" w:afterAutospacing="0" w:line="360" w:lineRule="auto"/>
        <w:ind w:firstLine="420"/>
        <w:rPr>
          <w:sz w:val="21"/>
          <w:szCs w:val="21"/>
        </w:rPr>
      </w:pPr>
      <w:r>
        <w:rPr>
          <w:rFonts w:hint="eastAsia"/>
          <w:sz w:val="21"/>
          <w:szCs w:val="21"/>
        </w:rPr>
        <w:t>本基金的托管费按前一日基金资产净值的0.</w:t>
      </w:r>
      <w:r>
        <w:rPr>
          <w:rFonts w:hint="eastAsia"/>
          <w:sz w:val="21"/>
          <w:szCs w:val="21"/>
          <w:lang w:val="en-US" w:eastAsia="zh-CN"/>
        </w:rPr>
        <w:t>05</w:t>
      </w:r>
      <w:r>
        <w:rPr>
          <w:rFonts w:hint="eastAsia"/>
          <w:sz w:val="21"/>
          <w:szCs w:val="21"/>
        </w:rPr>
        <w:t xml:space="preserve">%的年费率计提。托管费的计算方法如下：   </w:t>
      </w:r>
    </w:p>
    <w:p w14:paraId="47ED7D46">
      <w:pPr>
        <w:pStyle w:val="8"/>
        <w:spacing w:before="0" w:beforeAutospacing="0" w:after="0" w:afterAutospacing="0" w:line="360" w:lineRule="auto"/>
        <w:ind w:firstLine="420"/>
        <w:rPr>
          <w:sz w:val="21"/>
          <w:szCs w:val="21"/>
        </w:rPr>
      </w:pPr>
      <w:r>
        <w:rPr>
          <w:rFonts w:hint="eastAsia"/>
          <w:sz w:val="21"/>
          <w:szCs w:val="21"/>
        </w:rPr>
        <w:t>H＝E×0.</w:t>
      </w:r>
      <w:r>
        <w:rPr>
          <w:rFonts w:hint="eastAsia"/>
          <w:sz w:val="21"/>
          <w:szCs w:val="21"/>
          <w:lang w:val="en-US" w:eastAsia="zh-CN"/>
        </w:rPr>
        <w:t>05</w:t>
      </w:r>
      <w:r>
        <w:rPr>
          <w:rFonts w:hint="eastAsia"/>
          <w:sz w:val="21"/>
          <w:szCs w:val="21"/>
        </w:rPr>
        <w:t xml:space="preserve">%÷当年天数   </w:t>
      </w:r>
    </w:p>
    <w:p w14:paraId="46E76D07">
      <w:pPr>
        <w:pStyle w:val="8"/>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6E4316E2">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04569ECD">
      <w:pPr>
        <w:pStyle w:val="8"/>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于次月前3个工作日内，由基金管理人向基金托管人发送托管费划款指令，基金托管人复核无误后从基金财产中一次性支取。若遇法定节假日、公休假等，支付日期顺延。   </w:t>
      </w:r>
    </w:p>
    <w:p w14:paraId="5410260D">
      <w:pPr>
        <w:pStyle w:val="8"/>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5C068601">
      <w:pPr>
        <w:pStyle w:val="8"/>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本基金A类基金份额不收取销售服务费，C类基金份额的销售服务费年费率为0.10%。本基金销售服务费主要用于本基金持续销售以及基金份额持有人服务等各项费用。  </w:t>
      </w:r>
    </w:p>
    <w:p w14:paraId="0783022C">
      <w:pPr>
        <w:pStyle w:val="8"/>
        <w:spacing w:before="0" w:beforeAutospacing="0" w:after="0" w:afterAutospacing="0" w:line="360" w:lineRule="auto"/>
        <w:ind w:firstLine="420"/>
        <w:rPr>
          <w:sz w:val="21"/>
          <w:szCs w:val="21"/>
        </w:rPr>
      </w:pPr>
      <w:r>
        <w:rPr>
          <w:rFonts w:hint="eastAsia"/>
          <w:sz w:val="21"/>
          <w:szCs w:val="21"/>
        </w:rPr>
        <w:t xml:space="preserve">本基金的销售服务费按前一日C类基金份额基金资产净值的0.10%的年费率计提。销售服务费的计算方法如下：  </w:t>
      </w:r>
    </w:p>
    <w:p w14:paraId="5A7994AD">
      <w:pPr>
        <w:pStyle w:val="8"/>
        <w:spacing w:before="0" w:beforeAutospacing="0" w:after="0" w:afterAutospacing="0" w:line="360" w:lineRule="auto"/>
        <w:ind w:firstLine="420"/>
        <w:rPr>
          <w:sz w:val="21"/>
          <w:szCs w:val="21"/>
        </w:rPr>
      </w:pPr>
      <w:r>
        <w:rPr>
          <w:rFonts w:hint="eastAsia"/>
          <w:sz w:val="21"/>
          <w:szCs w:val="21"/>
        </w:rPr>
        <w:t xml:space="preserve">H＝E×0.10%÷当年天数 </w:t>
      </w:r>
    </w:p>
    <w:p w14:paraId="1742070B">
      <w:pPr>
        <w:pStyle w:val="8"/>
        <w:spacing w:before="0" w:beforeAutospacing="0" w:after="0" w:afterAutospacing="0" w:line="360" w:lineRule="auto"/>
        <w:ind w:firstLine="420"/>
        <w:rPr>
          <w:sz w:val="21"/>
          <w:szCs w:val="21"/>
        </w:rPr>
      </w:pPr>
      <w:r>
        <w:rPr>
          <w:rFonts w:hint="eastAsia"/>
          <w:sz w:val="21"/>
          <w:szCs w:val="21"/>
        </w:rPr>
        <w:t xml:space="preserve">H为每日应计提的C类基金份额的销售服务费 </w:t>
      </w:r>
    </w:p>
    <w:p w14:paraId="0C6F8C8B">
      <w:pPr>
        <w:pStyle w:val="8"/>
        <w:spacing w:before="0" w:beforeAutospacing="0" w:after="0" w:afterAutospacing="0" w:line="360" w:lineRule="auto"/>
        <w:ind w:firstLine="420"/>
        <w:rPr>
          <w:sz w:val="21"/>
          <w:szCs w:val="21"/>
        </w:rPr>
      </w:pPr>
      <w:r>
        <w:rPr>
          <w:rFonts w:hint="eastAsia"/>
          <w:sz w:val="21"/>
          <w:szCs w:val="21"/>
        </w:rPr>
        <w:t xml:space="preserve">E为前一日的C类基金份额基金资产净值 </w:t>
      </w:r>
    </w:p>
    <w:p w14:paraId="2D665041">
      <w:pPr>
        <w:pStyle w:val="8"/>
        <w:spacing w:before="0" w:beforeAutospacing="0" w:after="0" w:afterAutospacing="0" w:line="360" w:lineRule="auto"/>
        <w:ind w:firstLine="420"/>
        <w:rPr>
          <w:sz w:val="21"/>
          <w:szCs w:val="21"/>
        </w:rPr>
      </w:pPr>
      <w:r>
        <w:rPr>
          <w:rFonts w:hint="eastAsia"/>
          <w:sz w:val="21"/>
          <w:szCs w:val="21"/>
        </w:rPr>
        <w:t xml:space="preserve">基金销售服务费每日计算，逐日累计至每月月末，按月支付，于次月前3个工作日内，由基金管理人向基金托管人发送销售服务费划款指令，基金托管人复核无误后从基金财产中一次性支付。若遇法定节假日、公休假等，支付日期顺延。 </w:t>
      </w:r>
    </w:p>
    <w:p w14:paraId="21D9DB0D">
      <w:pPr>
        <w:pStyle w:val="8"/>
        <w:spacing w:before="0" w:beforeAutospacing="0" w:after="0" w:afterAutospacing="0" w:line="360" w:lineRule="auto"/>
        <w:ind w:firstLine="420"/>
        <w:rPr>
          <w:sz w:val="21"/>
          <w:szCs w:val="21"/>
        </w:rPr>
      </w:pPr>
      <w:r>
        <w:rPr>
          <w:rFonts w:hint="eastAsia"/>
          <w:sz w:val="21"/>
          <w:szCs w:val="21"/>
        </w:rPr>
        <w:t xml:space="preserve">基金合同第十五部分“一、基金费用的种类”中第4－10项费用，根据有关法规及相应协议规定，按费用实际支出金额列入当期费用，由基金托管人从基金财产中支付。 </w:t>
      </w:r>
    </w:p>
    <w:p w14:paraId="176675E5">
      <w:pPr>
        <w:pStyle w:val="8"/>
        <w:spacing w:before="0" w:beforeAutospacing="0" w:after="0" w:afterAutospacing="0" w:line="360" w:lineRule="auto"/>
        <w:ind w:firstLine="420"/>
        <w:rPr>
          <w:sz w:val="21"/>
          <w:szCs w:val="21"/>
        </w:rPr>
      </w:pPr>
      <w:r>
        <w:rPr>
          <w:rFonts w:hint="eastAsia"/>
          <w:sz w:val="21"/>
          <w:szCs w:val="21"/>
        </w:rPr>
        <w:t xml:space="preserve">4、证券账户开户费用：证券账户开户费经基金管理人与基金托管人核对无误后，自产品成立一个月内由基金托管人从基金财产中划付，如基金财产余额不足支付该开户费用，由基金管理人于产品成立一个月后的5个工作日内进行垫付，基金托管人不承担垫付开户费用义务。   </w:t>
      </w:r>
    </w:p>
    <w:p w14:paraId="0B87E662">
      <w:pPr>
        <w:pStyle w:val="8"/>
        <w:spacing w:before="0" w:beforeAutospacing="0" w:after="0" w:afterAutospacing="0" w:line="360" w:lineRule="auto"/>
        <w:ind w:firstLine="420"/>
        <w:rPr>
          <w:sz w:val="21"/>
          <w:szCs w:val="21"/>
        </w:rPr>
      </w:pPr>
      <w:r>
        <w:rPr>
          <w:rStyle w:val="12"/>
          <w:rFonts w:hint="eastAsia"/>
          <w:sz w:val="21"/>
          <w:szCs w:val="21"/>
        </w:rPr>
        <w:t>五、基金财产的投资方向和投资限制</w:t>
      </w:r>
    </w:p>
    <w:p w14:paraId="29A820DD">
      <w:pPr>
        <w:pStyle w:val="8"/>
        <w:spacing w:before="0" w:beforeAutospacing="0" w:after="0" w:afterAutospacing="0" w:line="360" w:lineRule="auto"/>
        <w:ind w:firstLine="420"/>
        <w:rPr>
          <w:sz w:val="21"/>
          <w:szCs w:val="21"/>
        </w:rPr>
      </w:pPr>
      <w:r>
        <w:rPr>
          <w:rFonts w:hint="eastAsia"/>
          <w:sz w:val="21"/>
          <w:szCs w:val="21"/>
        </w:rPr>
        <w:t xml:space="preserve">（一）投资范围   </w:t>
      </w:r>
    </w:p>
    <w:p w14:paraId="77AD3A5B">
      <w:pPr>
        <w:pStyle w:val="8"/>
        <w:spacing w:before="0" w:beforeAutospacing="0" w:after="0" w:afterAutospacing="0" w:line="360" w:lineRule="auto"/>
        <w:ind w:firstLine="420"/>
        <w:rPr>
          <w:sz w:val="21"/>
          <w:szCs w:val="21"/>
        </w:rPr>
      </w:pPr>
      <w:r>
        <w:rPr>
          <w:rFonts w:hint="eastAsia"/>
          <w:sz w:val="21"/>
          <w:szCs w:val="21"/>
        </w:rPr>
        <w:t xml:space="preserve">本基金的投资范围主要为具有良好流动性的固定收益类品种，包括国债、金融债、企业债、公司债、央行票据、中期票据、短期融资券、中小企业私募债券、资产支持证券、次级债、可分离交易可转债的纯债部分、债券回购、银行存款等法律法规或中国证监会允许基金投资的其他固定收益类金融工具（但须符合中国证监会的相关规定）。   </w:t>
      </w:r>
    </w:p>
    <w:p w14:paraId="205C9735">
      <w:pPr>
        <w:pStyle w:val="8"/>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14:paraId="4261CECA">
      <w:pPr>
        <w:pStyle w:val="8"/>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14:paraId="42AD3608">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如法律法规或监管机构以后允许基金投资的其他品种，基金管理人在履行适当程序后，可以将其纳入投资范围。   </w:t>
      </w:r>
    </w:p>
    <w:p w14:paraId="17DCA434">
      <w:pPr>
        <w:pStyle w:val="8"/>
        <w:spacing w:before="0" w:beforeAutospacing="0" w:after="0" w:afterAutospacing="0" w:line="360" w:lineRule="auto"/>
        <w:ind w:firstLine="420"/>
        <w:rPr>
          <w:sz w:val="21"/>
          <w:szCs w:val="21"/>
        </w:rPr>
      </w:pPr>
      <w:r>
        <w:rPr>
          <w:rFonts w:hint="eastAsia"/>
          <w:sz w:val="21"/>
          <w:szCs w:val="21"/>
        </w:rPr>
        <w:t xml:space="preserve">（二）投资限制   </w:t>
      </w:r>
    </w:p>
    <w:p w14:paraId="49E8664B">
      <w:pPr>
        <w:pStyle w:val="8"/>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154C71DA">
      <w:pPr>
        <w:pStyle w:val="8"/>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14:paraId="3E244A8B">
      <w:pPr>
        <w:pStyle w:val="8"/>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14:paraId="0AAB232A">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4B951C8A">
      <w:pPr>
        <w:pStyle w:val="8"/>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27697AE0">
      <w:pPr>
        <w:pStyle w:val="8"/>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47F516B1">
      <w:pPr>
        <w:pStyle w:val="8"/>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28EF3446">
      <w:pPr>
        <w:pStyle w:val="8"/>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20D03542">
      <w:pPr>
        <w:pStyle w:val="8"/>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60A1EFEE">
      <w:pPr>
        <w:pStyle w:val="8"/>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114679A4">
      <w:pPr>
        <w:pStyle w:val="8"/>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788D0031">
      <w:pPr>
        <w:pStyle w:val="8"/>
        <w:spacing w:before="0" w:beforeAutospacing="0" w:after="0" w:afterAutospacing="0" w:line="360" w:lineRule="auto"/>
        <w:ind w:firstLine="420"/>
        <w:rPr>
          <w:sz w:val="21"/>
          <w:szCs w:val="21"/>
        </w:rPr>
      </w:pPr>
      <w:r>
        <w:rPr>
          <w:rFonts w:hint="eastAsia"/>
          <w:sz w:val="21"/>
          <w:szCs w:val="21"/>
        </w:rPr>
        <w:t xml:space="preserve">（11）本基金应投资于信用级别评级为AA以上（含AA）债券主体发行的债券；   </w:t>
      </w:r>
    </w:p>
    <w:p w14:paraId="3990BC4F">
      <w:pPr>
        <w:pStyle w:val="8"/>
        <w:spacing w:before="0" w:beforeAutospacing="0" w:after="0" w:afterAutospacing="0" w:line="360" w:lineRule="auto"/>
        <w:ind w:firstLine="420"/>
        <w:rPr>
          <w:sz w:val="21"/>
          <w:szCs w:val="21"/>
        </w:rPr>
      </w:pPr>
      <w:r>
        <w:rPr>
          <w:rFonts w:hint="eastAsia"/>
          <w:sz w:val="21"/>
          <w:szCs w:val="21"/>
        </w:rPr>
        <w:t xml:space="preserve">（12）本基金投资于中小企业私募债券比例合计不高于基金资产的10%；   </w:t>
      </w:r>
    </w:p>
    <w:p w14:paraId="3B9C8058">
      <w:pPr>
        <w:pStyle w:val="8"/>
        <w:spacing w:before="0" w:beforeAutospacing="0" w:after="0" w:afterAutospacing="0" w:line="360" w:lineRule="auto"/>
        <w:ind w:firstLine="420"/>
        <w:rPr>
          <w:sz w:val="21"/>
          <w:szCs w:val="21"/>
        </w:rPr>
      </w:pPr>
      <w:r>
        <w:rPr>
          <w:rFonts w:hint="eastAsia"/>
          <w:sz w:val="21"/>
          <w:szCs w:val="21"/>
        </w:rPr>
        <w:t xml:space="preserve">（13）基金资产总值不得超过基金资产净值的140%；   </w:t>
      </w:r>
    </w:p>
    <w:p w14:paraId="4B15901A">
      <w:pPr>
        <w:pStyle w:val="8"/>
        <w:spacing w:before="0" w:beforeAutospacing="0" w:after="0" w:afterAutospacing="0" w:line="360" w:lineRule="auto"/>
        <w:ind w:firstLine="420"/>
        <w:rPr>
          <w:sz w:val="21"/>
          <w:szCs w:val="21"/>
        </w:rPr>
      </w:pPr>
      <w:r>
        <w:rPr>
          <w:rFonts w:hint="eastAsia"/>
          <w:sz w:val="21"/>
          <w:szCs w:val="21"/>
        </w:rPr>
        <w:t xml:space="preserve">（14）本基金主动投资于流动性受限资产的市值合计不得超过本基金资产净值的15%；   </w:t>
      </w:r>
    </w:p>
    <w:p w14:paraId="43FEC2F5">
      <w:pPr>
        <w:pStyle w:val="8"/>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5E938881">
      <w:pPr>
        <w:pStyle w:val="8"/>
        <w:spacing w:before="0" w:beforeAutospacing="0" w:after="0" w:afterAutospacing="0" w:line="360" w:lineRule="auto"/>
        <w:ind w:firstLine="420"/>
        <w:rPr>
          <w:sz w:val="21"/>
          <w:szCs w:val="21"/>
        </w:rPr>
      </w:pPr>
      <w:r>
        <w:rPr>
          <w:rFonts w:hint="eastAsia"/>
          <w:sz w:val="21"/>
          <w:szCs w:val="21"/>
        </w:rPr>
        <w:t xml:space="preserve">（15）本基金与私募类证券资管产品及中国证监会认定的其他主体为交易对手开展逆回购交易的，可接受质押品的资质要求应当与基金合同约定的投资范围保持一致；   </w:t>
      </w:r>
    </w:p>
    <w:p w14:paraId="491EE1A1">
      <w:pPr>
        <w:pStyle w:val="8"/>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（16）法律法规及中国证监会规定的和《基金合同》约定的其他投资限制。   </w:t>
      </w:r>
    </w:p>
    <w:p w14:paraId="5C6D6013">
      <w:pPr>
        <w:pStyle w:val="8"/>
        <w:spacing w:before="0" w:beforeAutospacing="0" w:after="0" w:afterAutospacing="0" w:line="360" w:lineRule="auto"/>
        <w:ind w:firstLine="420"/>
        <w:rPr>
          <w:sz w:val="21"/>
          <w:szCs w:val="21"/>
        </w:rPr>
      </w:pPr>
      <w:r>
        <w:rPr>
          <w:rFonts w:hint="eastAsia"/>
          <w:sz w:val="21"/>
          <w:szCs w:val="21"/>
        </w:rPr>
        <w:t xml:space="preserve">除上述第（2）、（10）、（11）、（14）、（15）项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14:paraId="3F9E38C3">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   </w:t>
      </w:r>
    </w:p>
    <w:p w14:paraId="1C4EA661">
      <w:pPr>
        <w:pStyle w:val="8"/>
        <w:spacing w:before="0" w:beforeAutospacing="0" w:after="0" w:afterAutospacing="0" w:line="360" w:lineRule="auto"/>
        <w:ind w:firstLine="420"/>
        <w:rPr>
          <w:sz w:val="21"/>
          <w:szCs w:val="21"/>
        </w:rPr>
      </w:pPr>
      <w:r>
        <w:rPr>
          <w:rFonts w:hint="eastAsia"/>
          <w:sz w:val="21"/>
          <w:szCs w:val="21"/>
        </w:rPr>
        <w:t xml:space="preserve">基金托管人对基金的投资的监督与检查自本基金合同生效之日起开始。   </w:t>
      </w:r>
    </w:p>
    <w:p w14:paraId="2060EB7E">
      <w:pPr>
        <w:pStyle w:val="8"/>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法律法规或监管部门取消或调整上述限制，如适用于本基金，基金管理人在履行适当程序后，则本基金投资不再受相关限制或按调整后的规定执行，但须提前公告，不需要经基金份额持有人大会审议。   </w:t>
      </w:r>
    </w:p>
    <w:p w14:paraId="24E08300">
      <w:pPr>
        <w:pStyle w:val="8"/>
        <w:spacing w:before="0" w:beforeAutospacing="0" w:after="0" w:afterAutospacing="0" w:line="360" w:lineRule="auto"/>
        <w:ind w:firstLine="420"/>
        <w:rPr>
          <w:sz w:val="21"/>
          <w:szCs w:val="21"/>
        </w:rPr>
      </w:pPr>
      <w:r>
        <w:rPr>
          <w:rFonts w:hint="eastAsia"/>
          <w:sz w:val="21"/>
          <w:szCs w:val="21"/>
        </w:rPr>
        <w:t xml:space="preserve">（三）禁止行为   </w:t>
      </w:r>
    </w:p>
    <w:p w14:paraId="48594FB1">
      <w:pPr>
        <w:pStyle w:val="8"/>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6CF6C347">
      <w:pPr>
        <w:pStyle w:val="8"/>
        <w:spacing w:before="0" w:beforeAutospacing="0" w:after="0" w:afterAutospacing="0" w:line="360" w:lineRule="auto"/>
        <w:ind w:firstLine="420"/>
        <w:rPr>
          <w:sz w:val="21"/>
          <w:szCs w:val="21"/>
        </w:rPr>
      </w:pPr>
      <w:r>
        <w:rPr>
          <w:rFonts w:hint="eastAsia"/>
          <w:sz w:val="21"/>
          <w:szCs w:val="21"/>
        </w:rPr>
        <w:t xml:space="preserve">（1）承销证券；   </w:t>
      </w:r>
    </w:p>
    <w:p w14:paraId="21032332">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28BC117F">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2C2966CA">
      <w:pPr>
        <w:pStyle w:val="8"/>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5E5D20A6">
      <w:pPr>
        <w:pStyle w:val="8"/>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7DC3B406">
      <w:pPr>
        <w:pStyle w:val="8"/>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05DB7454">
      <w:pPr>
        <w:pStyle w:val="8"/>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40D10C7D">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7D70CB1E">
      <w:pPr>
        <w:pStyle w:val="8"/>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66DFA3DE">
      <w:pPr>
        <w:pStyle w:val="8"/>
        <w:spacing w:before="0" w:beforeAutospacing="0" w:after="0" w:afterAutospacing="0" w:line="360" w:lineRule="auto"/>
        <w:ind w:firstLine="420"/>
        <w:rPr>
          <w:sz w:val="21"/>
          <w:szCs w:val="21"/>
        </w:rPr>
      </w:pPr>
      <w:r>
        <w:rPr>
          <w:rStyle w:val="12"/>
          <w:rFonts w:hint="eastAsia"/>
          <w:sz w:val="21"/>
          <w:szCs w:val="21"/>
        </w:rPr>
        <w:t>六、基金资产净值的计算方法和公告方式</w:t>
      </w:r>
    </w:p>
    <w:p w14:paraId="29E4FDE8">
      <w:pPr>
        <w:pStyle w:val="8"/>
        <w:spacing w:before="0" w:beforeAutospacing="0" w:after="0" w:afterAutospacing="0" w:line="360" w:lineRule="auto"/>
        <w:ind w:firstLine="420"/>
        <w:rPr>
          <w:sz w:val="21"/>
          <w:szCs w:val="21"/>
        </w:rPr>
      </w:pPr>
      <w:r>
        <w:rPr>
          <w:rFonts w:hint="eastAsia"/>
          <w:sz w:val="21"/>
          <w:szCs w:val="21"/>
        </w:rPr>
        <w:t xml:space="preserve">（一）基金资产净值   </w:t>
      </w:r>
    </w:p>
    <w:p w14:paraId="5B80E857">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26BA68A8">
      <w:pPr>
        <w:pStyle w:val="8"/>
        <w:spacing w:before="0" w:beforeAutospacing="0" w:after="0" w:afterAutospacing="0" w:line="360" w:lineRule="auto"/>
        <w:ind w:firstLine="420"/>
        <w:rPr>
          <w:sz w:val="21"/>
          <w:szCs w:val="21"/>
        </w:rPr>
      </w:pPr>
      <w:r>
        <w:rPr>
          <w:rFonts w:hint="eastAsia"/>
          <w:sz w:val="21"/>
          <w:szCs w:val="21"/>
        </w:rPr>
        <w:t xml:space="preserve">（二）估值方法   </w:t>
      </w:r>
    </w:p>
    <w:p w14:paraId="0A0BDF4A">
      <w:pPr>
        <w:pStyle w:val="8"/>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0CCB174E">
      <w:pPr>
        <w:pStyle w:val="8"/>
        <w:spacing w:before="0" w:beforeAutospacing="0" w:after="0" w:afterAutospacing="0" w:line="360" w:lineRule="auto"/>
        <w:ind w:firstLine="420"/>
        <w:rPr>
          <w:sz w:val="21"/>
          <w:szCs w:val="21"/>
        </w:rPr>
      </w:pPr>
      <w:r>
        <w:rPr>
          <w:rFonts w:hint="eastAsia"/>
          <w:sz w:val="21"/>
          <w:szCs w:val="21"/>
        </w:rPr>
        <w:t xml:space="preserve">（1）交易所上市实行净价交易或挂牌转让的固定收益品种（本合同另有规定的除外），选取估值日第三方估值机构提供的相应品种对应的估值净价估值，具体估值机构由基金管理人与托管人另行协商约定；   </w:t>
      </w:r>
    </w:p>
    <w:p w14:paraId="3D13A369">
      <w:pPr>
        <w:pStyle w:val="8"/>
        <w:spacing w:before="0" w:beforeAutospacing="0" w:after="0" w:afterAutospacing="0" w:line="360" w:lineRule="auto"/>
        <w:ind w:firstLine="420"/>
        <w:rPr>
          <w:sz w:val="21"/>
          <w:szCs w:val="21"/>
        </w:rPr>
      </w:pPr>
      <w:r>
        <w:rPr>
          <w:rFonts w:hint="eastAsia"/>
          <w:sz w:val="21"/>
          <w:szCs w:val="21"/>
        </w:rPr>
        <w:t xml:space="preserve">（2）交易所上市不存在活跃市场的有价证券，采用估值技术确定公允价值。交易所上市的资产支持证券，采用估值技术确定公允价值，在估值技术难以可靠计量公允价值的情况下，按成本估值。   </w:t>
      </w:r>
    </w:p>
    <w:p w14:paraId="0573D5CA">
      <w:pPr>
        <w:pStyle w:val="8"/>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6E3B157F">
      <w:pPr>
        <w:pStyle w:val="8"/>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6ECD1AD6">
      <w:pPr>
        <w:pStyle w:val="8"/>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14:paraId="08303A1A">
      <w:pPr>
        <w:pStyle w:val="8"/>
        <w:spacing w:before="0" w:beforeAutospacing="0" w:after="0" w:afterAutospacing="0" w:line="360" w:lineRule="auto"/>
        <w:ind w:firstLine="420"/>
        <w:rPr>
          <w:sz w:val="21"/>
          <w:szCs w:val="21"/>
        </w:rPr>
      </w:pPr>
      <w:r>
        <w:rPr>
          <w:rFonts w:hint="eastAsia"/>
          <w:sz w:val="21"/>
          <w:szCs w:val="21"/>
        </w:rPr>
        <w:t xml:space="preserve">5、中小企业私募债券，采用估值技术确定公允价值。在估值技术难以可靠计量公允价值的情况下，按成本估值。   </w:t>
      </w:r>
    </w:p>
    <w:p w14:paraId="07A44BAD">
      <w:pPr>
        <w:pStyle w:val="8"/>
        <w:spacing w:before="0" w:beforeAutospacing="0" w:after="0" w:afterAutospacing="0" w:line="360" w:lineRule="auto"/>
        <w:ind w:firstLine="420"/>
        <w:rPr>
          <w:sz w:val="21"/>
          <w:szCs w:val="21"/>
        </w:rPr>
      </w:pPr>
      <w:r>
        <w:rPr>
          <w:rFonts w:hint="eastAsia"/>
          <w:sz w:val="21"/>
          <w:szCs w:val="21"/>
        </w:rPr>
        <w:t xml:space="preserve">6、如有确凿证据表明按上述方法进行估值不能客观反映其公允价值的，基金管理人可根据具体情况与基金托管人商定后，按最能反映公允价值的价格估值。   </w:t>
      </w:r>
    </w:p>
    <w:p w14:paraId="1EF1DC81">
      <w:pPr>
        <w:pStyle w:val="8"/>
        <w:spacing w:before="0" w:beforeAutospacing="0" w:after="0" w:afterAutospacing="0" w:line="360" w:lineRule="auto"/>
        <w:ind w:firstLine="420"/>
        <w:rPr>
          <w:sz w:val="21"/>
          <w:szCs w:val="21"/>
        </w:rPr>
      </w:pPr>
      <w:r>
        <w:rPr>
          <w:rFonts w:hint="eastAsia"/>
          <w:sz w:val="21"/>
          <w:szCs w:val="21"/>
        </w:rPr>
        <w:t xml:space="preserve">7、相关法律法规以及监管部门有强制规定的，从其规定。如有新增事项，按国家最新规定估值。   </w:t>
      </w:r>
    </w:p>
    <w:p w14:paraId="3A06A864">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70F09147">
      <w:pPr>
        <w:pStyle w:val="8"/>
        <w:spacing w:before="0" w:beforeAutospacing="0" w:after="0" w:afterAutospacing="0" w:line="360" w:lineRule="auto"/>
        <w:ind w:firstLine="420"/>
        <w:rPr>
          <w:sz w:val="21"/>
          <w:szCs w:val="21"/>
        </w:rPr>
      </w:pPr>
      <w:r>
        <w:rPr>
          <w:rFonts w:hint="eastAsia"/>
          <w:sz w:val="21"/>
          <w:szCs w:val="21"/>
        </w:rPr>
        <w:t xml:space="preserve">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4A63EE3C">
      <w:pPr>
        <w:pStyle w:val="8"/>
        <w:spacing w:before="0" w:beforeAutospacing="0" w:after="0" w:afterAutospacing="0" w:line="360" w:lineRule="auto"/>
        <w:ind w:firstLine="420"/>
        <w:rPr>
          <w:sz w:val="21"/>
          <w:szCs w:val="21"/>
        </w:rPr>
      </w:pPr>
      <w:r>
        <w:rPr>
          <w:rFonts w:hint="eastAsia"/>
          <w:sz w:val="21"/>
          <w:szCs w:val="21"/>
        </w:rPr>
        <w:t xml:space="preserve">（三）基金净值信息   </w:t>
      </w:r>
    </w:p>
    <w:p w14:paraId="26FD0B74">
      <w:pPr>
        <w:pStyle w:val="8"/>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《基金合同》生效后，在开始办理基金份额申购或者赎回前，基金管理人应当至少每周在指定网站披露一次基金份额净值和基金份额累计净值。 </w:t>
      </w:r>
    </w:p>
    <w:p w14:paraId="707EE6DE">
      <w:pPr>
        <w:pStyle w:val="8"/>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在开始办理基金份额申购或者赎回后，基金管理人应当在不晚于每个开放日的次日，通过指定网站、基金销售机构网站或者营业网点披露开放日的各类基金份额净值和各类基金份额累计净值。 </w:t>
      </w:r>
    </w:p>
    <w:p w14:paraId="49C9B811">
      <w:pPr>
        <w:pStyle w:val="8"/>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基金管理人应当在不晚于半年度和年度最后一日的次日，在指定网站披露半年度和年度最后一日的各类基金份额净值和各类基金份额累计净值。  </w:t>
      </w:r>
    </w:p>
    <w:p w14:paraId="0B315BDE">
      <w:pPr>
        <w:pStyle w:val="8"/>
        <w:spacing w:before="0" w:beforeAutospacing="0" w:after="0" w:afterAutospacing="0" w:line="360" w:lineRule="auto"/>
        <w:ind w:firstLine="420"/>
        <w:rPr>
          <w:sz w:val="21"/>
          <w:szCs w:val="21"/>
        </w:rPr>
      </w:pPr>
      <w:r>
        <w:rPr>
          <w:rStyle w:val="12"/>
          <w:rFonts w:hint="eastAsia"/>
          <w:sz w:val="21"/>
          <w:szCs w:val="21"/>
        </w:rPr>
        <w:t>七、基金合同解除和终止的事由、程序以及基金财产清算方式</w:t>
      </w:r>
    </w:p>
    <w:p w14:paraId="02223A1A">
      <w:pPr>
        <w:pStyle w:val="8"/>
        <w:spacing w:before="0" w:beforeAutospacing="0" w:after="0" w:afterAutospacing="0" w:line="360" w:lineRule="auto"/>
        <w:ind w:firstLine="420"/>
        <w:rPr>
          <w:sz w:val="21"/>
          <w:szCs w:val="21"/>
        </w:rPr>
      </w:pPr>
      <w:r>
        <w:rPr>
          <w:rFonts w:hint="eastAsia"/>
          <w:sz w:val="21"/>
          <w:szCs w:val="21"/>
        </w:rPr>
        <w:t xml:space="preserve">（一）《基金合同》的变更   </w:t>
      </w:r>
    </w:p>
    <w:p w14:paraId="1BB1FA30">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3F4F7998">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14:paraId="61DCD642">
      <w:pPr>
        <w:pStyle w:val="8"/>
        <w:spacing w:before="0" w:beforeAutospacing="0" w:after="0" w:afterAutospacing="0" w:line="360" w:lineRule="auto"/>
        <w:ind w:firstLine="420"/>
        <w:rPr>
          <w:sz w:val="21"/>
          <w:szCs w:val="21"/>
        </w:rPr>
      </w:pPr>
      <w:r>
        <w:rPr>
          <w:rFonts w:hint="eastAsia"/>
          <w:sz w:val="21"/>
          <w:szCs w:val="21"/>
        </w:rPr>
        <w:t xml:space="preserve">（二）《基金合同》的终止事由   </w:t>
      </w:r>
    </w:p>
    <w:p w14:paraId="54654260">
      <w:pPr>
        <w:pStyle w:val="8"/>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7CE542A5">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3307CEEC">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082FB167">
      <w:pPr>
        <w:pStyle w:val="8"/>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   </w:t>
      </w:r>
    </w:p>
    <w:p w14:paraId="22EB5ABE">
      <w:pPr>
        <w:pStyle w:val="8"/>
        <w:spacing w:before="0" w:beforeAutospacing="0" w:after="0" w:afterAutospacing="0" w:line="360" w:lineRule="auto"/>
        <w:ind w:firstLine="420"/>
        <w:rPr>
          <w:sz w:val="21"/>
          <w:szCs w:val="21"/>
        </w:rPr>
      </w:pPr>
      <w:r>
        <w:rPr>
          <w:rFonts w:hint="eastAsia"/>
          <w:sz w:val="21"/>
          <w:szCs w:val="21"/>
        </w:rPr>
        <w:t xml:space="preserve">4、《基金合同》约定的其他情形；   </w:t>
      </w:r>
    </w:p>
    <w:p w14:paraId="2CB6ABDA">
      <w:pPr>
        <w:pStyle w:val="8"/>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14:paraId="2308CBF5">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14:paraId="6EF5412C">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172851DF">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6F1D4AA0">
      <w:pPr>
        <w:pStyle w:val="8"/>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49990C60">
      <w:pPr>
        <w:pStyle w:val="8"/>
        <w:spacing w:before="0" w:beforeAutospacing="0" w:after="0" w:afterAutospacing="0" w:line="360" w:lineRule="auto"/>
        <w:ind w:firstLine="420"/>
        <w:rPr>
          <w:sz w:val="21"/>
          <w:szCs w:val="21"/>
        </w:rPr>
      </w:pPr>
      <w:r>
        <w:rPr>
          <w:rFonts w:hint="eastAsia"/>
          <w:sz w:val="21"/>
          <w:szCs w:val="21"/>
        </w:rPr>
        <w:t xml:space="preserve">4、基金财产清算程序：   </w:t>
      </w:r>
    </w:p>
    <w:p w14:paraId="2F31421B">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27445144">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0B94E8BF">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02EFD129">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3D7A4F16">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4F0320E3">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7464D819">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A7DC1C2">
      <w:pPr>
        <w:pStyle w:val="8"/>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5、基金财产清算的期限为6个月，但因本基金所持证券的流动性受到限制而不能及时变现的，清算期限相应顺延。   </w:t>
      </w:r>
    </w:p>
    <w:p w14:paraId="5A442213">
      <w:pPr>
        <w:pStyle w:val="8"/>
        <w:spacing w:before="0" w:beforeAutospacing="0" w:after="0" w:afterAutospacing="0" w:line="360" w:lineRule="auto"/>
        <w:ind w:firstLine="420"/>
        <w:rPr>
          <w:sz w:val="21"/>
          <w:szCs w:val="21"/>
        </w:rPr>
      </w:pPr>
      <w:r>
        <w:rPr>
          <w:rFonts w:hint="eastAsia"/>
          <w:sz w:val="21"/>
          <w:szCs w:val="21"/>
        </w:rPr>
        <w:t xml:space="preserve">（四）清算费用   </w:t>
      </w:r>
    </w:p>
    <w:p w14:paraId="1CF9BA47">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7875D4F5">
      <w:pPr>
        <w:pStyle w:val="8"/>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605190FA">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54EAB560">
      <w:pPr>
        <w:pStyle w:val="8"/>
        <w:spacing w:before="0" w:beforeAutospacing="0" w:after="0" w:afterAutospacing="0" w:line="360" w:lineRule="auto"/>
        <w:ind w:firstLine="420"/>
        <w:rPr>
          <w:sz w:val="21"/>
          <w:szCs w:val="21"/>
        </w:rPr>
      </w:pPr>
      <w:r>
        <w:rPr>
          <w:rFonts w:hint="eastAsia"/>
          <w:sz w:val="21"/>
          <w:szCs w:val="21"/>
        </w:rPr>
        <w:t xml:space="preserve">（六）基金财产清算的公告   </w:t>
      </w:r>
    </w:p>
    <w:p w14:paraId="47E2E54F">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4340088D">
      <w:pPr>
        <w:pStyle w:val="8"/>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77A48B2B">
      <w:pPr>
        <w:pStyle w:val="8"/>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2925C8DE">
      <w:pPr>
        <w:pStyle w:val="8"/>
        <w:spacing w:before="0" w:beforeAutospacing="0" w:after="0" w:afterAutospacing="0" w:line="360" w:lineRule="auto"/>
        <w:ind w:firstLine="420"/>
        <w:rPr>
          <w:sz w:val="21"/>
          <w:szCs w:val="21"/>
        </w:rPr>
      </w:pPr>
      <w:r>
        <w:rPr>
          <w:rStyle w:val="12"/>
          <w:rFonts w:hint="eastAsia"/>
          <w:sz w:val="21"/>
          <w:szCs w:val="21"/>
        </w:rPr>
        <w:t>八、争议解决方式</w:t>
      </w:r>
    </w:p>
    <w:p w14:paraId="51B239EC">
      <w:pPr>
        <w:pStyle w:val="8"/>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华南国际经济贸易仲裁委员会，按照华南国际经济贸易仲裁委员会届时有效的仲裁规则进行仲裁。仲裁地点为深圳市。仲裁裁决是终局的，对各方当事人均有约束力。除非仲裁裁决另有决定，仲裁费用由败诉方承担。   </w:t>
      </w:r>
    </w:p>
    <w:p w14:paraId="02D85280">
      <w:pPr>
        <w:pStyle w:val="8"/>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争议处理期间，双方当事人应恪守基金管理人和基金托管人职责，各自继续忠实、勤勉、尽责地履行基金合同规定的义务，维护基金份额持有人的合法权益。   </w:t>
      </w:r>
    </w:p>
    <w:p w14:paraId="53A369B9">
      <w:pPr>
        <w:pStyle w:val="8"/>
        <w:spacing w:before="0" w:beforeAutospacing="0" w:after="0" w:afterAutospacing="0" w:line="360" w:lineRule="auto"/>
        <w:ind w:firstLine="420"/>
        <w:rPr>
          <w:sz w:val="21"/>
          <w:szCs w:val="21"/>
        </w:rPr>
      </w:pPr>
      <w:r>
        <w:rPr>
          <w:rFonts w:hint="eastAsia"/>
          <w:sz w:val="21"/>
          <w:szCs w:val="21"/>
        </w:rPr>
        <w:t xml:space="preserve">《基金合同》受中国法律（为本基金合同之目的，在此不包括香港、澳门特别行政区和台湾地区法律）管辖。   </w:t>
      </w:r>
    </w:p>
    <w:p w14:paraId="462C4ADC">
      <w:pPr>
        <w:pStyle w:val="8"/>
        <w:spacing w:before="0" w:beforeAutospacing="0" w:after="0" w:afterAutospacing="0" w:line="360" w:lineRule="auto"/>
        <w:ind w:firstLine="420"/>
        <w:rPr>
          <w:sz w:val="21"/>
          <w:szCs w:val="21"/>
        </w:rPr>
      </w:pPr>
      <w:r>
        <w:rPr>
          <w:rStyle w:val="12"/>
          <w:rFonts w:hint="eastAsia"/>
          <w:sz w:val="21"/>
          <w:szCs w:val="21"/>
        </w:rPr>
        <w:t>九、基金合同存放地和投资人取得基金合同的方式</w:t>
      </w:r>
    </w:p>
    <w:p w14:paraId="1F253EB7">
      <w:pPr>
        <w:pStyle w:val="8"/>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02" w:name="chapter_level1_22_71_section_1_end"/>
      <w:bookmarkEnd w:id="202"/>
      <w:r>
        <w:rPr>
          <w:rFonts w:hint="eastAsia"/>
          <w:sz w:val="21"/>
          <w:szCs w:val="21"/>
        </w:rPr>
        <w:t xml:space="preserve">和营业场所查阅。  </w:t>
      </w:r>
    </w:p>
    <w:p w14:paraId="4FC418CF">
      <w:pPr>
        <w:widowControl/>
        <w:jc w:val="left"/>
        <w:rPr>
          <w:rFonts w:ascii="宋体" w:hAnsi="宋体" w:eastAsia="宋体"/>
        </w:rPr>
      </w:pPr>
      <w:r>
        <w:rPr>
          <w:rFonts w:ascii="宋体" w:hAnsi="宋体" w:eastAsia="宋体"/>
        </w:rPr>
        <w:br w:type="page"/>
      </w:r>
    </w:p>
    <w:p w14:paraId="72A24D60">
      <w:pPr>
        <w:pStyle w:val="2"/>
        <w:jc w:val="center"/>
        <w:rPr>
          <w:rFonts w:ascii="宋体" w:hAnsi="宋体" w:eastAsia="宋体"/>
          <w:sz w:val="30"/>
        </w:rPr>
      </w:pPr>
      <w:bookmarkStart w:id="203" w:name="chapter_level1_23_72"/>
      <w:bookmarkStart w:id="204" w:name="_Toc239208856"/>
      <w:r>
        <w:rPr>
          <w:rFonts w:hint="eastAsia" w:ascii="宋体" w:hAnsi="宋体" w:eastAsia="宋体"/>
          <w:sz w:val="30"/>
        </w:rPr>
        <w:t>第二十部分  基金托管协议的内容摘要</w:t>
      </w:r>
      <w:bookmarkEnd w:id="203"/>
      <w:bookmarkEnd w:id="204"/>
    </w:p>
    <w:p w14:paraId="4C3F32EA">
      <w:pPr>
        <w:pStyle w:val="8"/>
        <w:spacing w:before="0" w:beforeAutospacing="0" w:after="0" w:afterAutospacing="0" w:line="360" w:lineRule="auto"/>
        <w:ind w:firstLine="420"/>
        <w:rPr>
          <w:sz w:val="21"/>
          <w:szCs w:val="21"/>
        </w:rPr>
      </w:pPr>
      <w:bookmarkStart w:id="205" w:name="chapter_level1_23_72_section_1"/>
      <w:bookmarkEnd w:id="205"/>
      <w:r>
        <w:rPr>
          <w:rStyle w:val="12"/>
          <w:rFonts w:hint="eastAsia"/>
          <w:sz w:val="21"/>
          <w:szCs w:val="21"/>
        </w:rPr>
        <w:t>一、托管协议当事人</w:t>
      </w:r>
    </w:p>
    <w:p w14:paraId="699532D7">
      <w:pPr>
        <w:pStyle w:val="8"/>
        <w:spacing w:before="0" w:beforeAutospacing="0" w:after="0" w:afterAutospacing="0" w:line="360" w:lineRule="auto"/>
        <w:ind w:firstLine="420"/>
        <w:rPr>
          <w:sz w:val="21"/>
          <w:szCs w:val="21"/>
        </w:rPr>
      </w:pPr>
      <w:r>
        <w:rPr>
          <w:rFonts w:hint="eastAsia"/>
          <w:sz w:val="21"/>
          <w:szCs w:val="21"/>
        </w:rPr>
        <w:t xml:space="preserve">（一）基金管理人 </w:t>
      </w:r>
    </w:p>
    <w:p w14:paraId="78F91728">
      <w:pPr>
        <w:pStyle w:val="8"/>
        <w:spacing w:before="0" w:beforeAutospacing="0" w:after="0" w:afterAutospacing="0" w:line="360" w:lineRule="auto"/>
        <w:ind w:firstLine="420"/>
        <w:rPr>
          <w:rFonts w:hint="eastAsia"/>
          <w:sz w:val="21"/>
          <w:szCs w:val="21"/>
        </w:rPr>
      </w:pPr>
      <w:r>
        <w:rPr>
          <w:rFonts w:hint="eastAsia"/>
          <w:sz w:val="21"/>
          <w:szCs w:val="21"/>
        </w:rPr>
        <w:t>名称：</w:t>
      </w:r>
      <w:bookmarkStart w:id="206" w:name="field_0_managerorgfullname_6"/>
      <w:r>
        <w:rPr>
          <w:rFonts w:hint="eastAsia"/>
          <w:sz w:val="21"/>
          <w:szCs w:val="21"/>
        </w:rPr>
        <w:t>博时基金管理有限公司</w:t>
      </w:r>
      <w:bookmarkEnd w:id="206"/>
    </w:p>
    <w:p w14:paraId="16DB455B">
      <w:pPr>
        <w:pStyle w:val="8"/>
        <w:spacing w:before="0" w:beforeAutospacing="0" w:after="0" w:afterAutospacing="0" w:line="360" w:lineRule="auto"/>
        <w:ind w:firstLine="420"/>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住所：</w:t>
      </w:r>
      <w:r>
        <w:rPr>
          <w:rFonts w:hint="default" w:ascii="宋体" w:hAnsi="宋体" w:eastAsia="宋体" w:cs="宋体"/>
          <w:kern w:val="0"/>
          <w:sz w:val="21"/>
          <w:szCs w:val="21"/>
          <w:lang w:val="en-US" w:eastAsia="zh-CN" w:bidi="ar-SA"/>
        </w:rPr>
        <w:t>深圳市福田区莲花街道福新社区益田路5999号基金大厦21层</w:t>
      </w:r>
    </w:p>
    <w:p w14:paraId="201BADFC">
      <w:pPr>
        <w:pStyle w:val="8"/>
        <w:spacing w:before="0" w:beforeAutospacing="0" w:after="0" w:afterAutospacing="0" w:line="360" w:lineRule="auto"/>
        <w:ind w:firstLine="420"/>
        <w:rPr>
          <w:sz w:val="21"/>
          <w:szCs w:val="21"/>
        </w:rPr>
      </w:pPr>
      <w:r>
        <w:rPr>
          <w:rFonts w:hint="default" w:ascii="宋体" w:hAnsi="宋体" w:eastAsia="宋体" w:cs="宋体"/>
          <w:kern w:val="0"/>
          <w:sz w:val="21"/>
          <w:szCs w:val="21"/>
          <w:lang w:val="en-US" w:eastAsia="zh-CN" w:bidi="ar-SA"/>
        </w:rPr>
        <w:t>办公地址：广东省深圳市福田区益田路5999号基金大厦21层</w:t>
      </w:r>
    </w:p>
    <w:p w14:paraId="44CC08DD">
      <w:pPr>
        <w:pStyle w:val="8"/>
        <w:spacing w:before="0" w:beforeAutospacing="0" w:after="0" w:afterAutospacing="0" w:line="360" w:lineRule="auto"/>
        <w:ind w:firstLine="420"/>
        <w:rPr>
          <w:sz w:val="21"/>
          <w:szCs w:val="21"/>
        </w:rPr>
      </w:pPr>
      <w:r>
        <w:rPr>
          <w:rFonts w:hint="eastAsia"/>
          <w:sz w:val="21"/>
          <w:szCs w:val="21"/>
        </w:rPr>
        <w:t xml:space="preserve">法定代表人：张东 </w:t>
      </w:r>
    </w:p>
    <w:p w14:paraId="2B5CFB32">
      <w:pPr>
        <w:pStyle w:val="8"/>
        <w:spacing w:before="0" w:beforeAutospacing="0" w:after="0" w:afterAutospacing="0" w:line="360" w:lineRule="auto"/>
        <w:ind w:firstLine="420"/>
        <w:rPr>
          <w:sz w:val="21"/>
          <w:szCs w:val="21"/>
        </w:rPr>
      </w:pPr>
      <w:r>
        <w:rPr>
          <w:rFonts w:hint="eastAsia"/>
          <w:sz w:val="21"/>
          <w:szCs w:val="21"/>
        </w:rPr>
        <w:t xml:space="preserve">设立日期：1998年7月13日 </w:t>
      </w:r>
    </w:p>
    <w:p w14:paraId="49A44287">
      <w:pPr>
        <w:pStyle w:val="8"/>
        <w:spacing w:before="0" w:beforeAutospacing="0" w:after="0" w:afterAutospacing="0" w:line="360" w:lineRule="auto"/>
        <w:ind w:firstLine="420"/>
        <w:rPr>
          <w:sz w:val="21"/>
          <w:szCs w:val="21"/>
        </w:rPr>
      </w:pPr>
      <w:r>
        <w:rPr>
          <w:rFonts w:hint="eastAsia"/>
          <w:sz w:val="21"/>
          <w:szCs w:val="21"/>
        </w:rPr>
        <w:t xml:space="preserve">批准设立机关及批准设立文号： 中国证监会证监基字【1998】26号 </w:t>
      </w:r>
    </w:p>
    <w:p w14:paraId="21479AB2">
      <w:pPr>
        <w:pStyle w:val="8"/>
        <w:spacing w:before="0" w:beforeAutospacing="0" w:after="0" w:afterAutospacing="0" w:line="360" w:lineRule="auto"/>
        <w:ind w:firstLine="420"/>
        <w:rPr>
          <w:sz w:val="21"/>
          <w:szCs w:val="21"/>
        </w:rPr>
      </w:pPr>
      <w:r>
        <w:rPr>
          <w:rFonts w:hint="eastAsia"/>
          <w:sz w:val="21"/>
          <w:szCs w:val="21"/>
        </w:rPr>
        <w:t xml:space="preserve">组织形式： 有限责任公司 </w:t>
      </w:r>
    </w:p>
    <w:p w14:paraId="5FD507C7">
      <w:pPr>
        <w:pStyle w:val="8"/>
        <w:spacing w:before="0" w:beforeAutospacing="0" w:after="0" w:afterAutospacing="0" w:line="360" w:lineRule="auto"/>
        <w:ind w:firstLine="420"/>
        <w:rPr>
          <w:sz w:val="21"/>
          <w:szCs w:val="21"/>
        </w:rPr>
      </w:pPr>
      <w:r>
        <w:rPr>
          <w:rFonts w:hint="eastAsia"/>
          <w:sz w:val="21"/>
          <w:szCs w:val="21"/>
        </w:rPr>
        <w:t xml:space="preserve">注册资本：2.5亿元人民币 </w:t>
      </w:r>
    </w:p>
    <w:p w14:paraId="65BC879F">
      <w:pPr>
        <w:pStyle w:val="8"/>
        <w:spacing w:before="0" w:beforeAutospacing="0" w:after="0" w:afterAutospacing="0" w:line="360" w:lineRule="auto"/>
        <w:ind w:firstLine="420"/>
        <w:rPr>
          <w:sz w:val="21"/>
          <w:szCs w:val="21"/>
        </w:rPr>
      </w:pPr>
      <w:r>
        <w:rPr>
          <w:rFonts w:hint="eastAsia"/>
          <w:sz w:val="21"/>
          <w:szCs w:val="21"/>
        </w:rPr>
        <w:t xml:space="preserve">存续期限：持续经营 </w:t>
      </w:r>
    </w:p>
    <w:p w14:paraId="08B9B2C0">
      <w:pPr>
        <w:pStyle w:val="8"/>
        <w:spacing w:before="0" w:beforeAutospacing="0" w:after="0" w:afterAutospacing="0" w:line="360" w:lineRule="auto"/>
        <w:ind w:firstLine="420"/>
        <w:rPr>
          <w:sz w:val="21"/>
          <w:szCs w:val="21"/>
        </w:rPr>
      </w:pPr>
      <w:r>
        <w:rPr>
          <w:rFonts w:hint="eastAsia"/>
          <w:sz w:val="21"/>
          <w:szCs w:val="21"/>
        </w:rPr>
        <w:t xml:space="preserve">联系电话：0755-83169999 </w:t>
      </w:r>
    </w:p>
    <w:p w14:paraId="54B4A163">
      <w:pPr>
        <w:pStyle w:val="8"/>
        <w:spacing w:before="0" w:beforeAutospacing="0" w:after="0" w:afterAutospacing="0" w:line="360" w:lineRule="auto"/>
        <w:ind w:firstLine="420"/>
        <w:rPr>
          <w:sz w:val="21"/>
          <w:szCs w:val="21"/>
        </w:rPr>
      </w:pPr>
      <w:r>
        <w:rPr>
          <w:rFonts w:hint="eastAsia"/>
          <w:sz w:val="21"/>
          <w:szCs w:val="21"/>
        </w:rPr>
        <w:t xml:space="preserve">（二）基金托管人 </w:t>
      </w:r>
    </w:p>
    <w:p w14:paraId="4117A3C5">
      <w:pPr>
        <w:pStyle w:val="8"/>
        <w:spacing w:before="0" w:beforeAutospacing="0" w:after="0" w:afterAutospacing="0" w:line="360" w:lineRule="auto"/>
        <w:ind w:firstLine="420"/>
        <w:rPr>
          <w:sz w:val="21"/>
          <w:szCs w:val="21"/>
        </w:rPr>
      </w:pPr>
      <w:r>
        <w:rPr>
          <w:rFonts w:hint="eastAsia"/>
          <w:sz w:val="21"/>
          <w:szCs w:val="21"/>
        </w:rPr>
        <w:t>名称：</w:t>
      </w:r>
      <w:bookmarkStart w:id="207" w:name="field_0_trustorgfullname_2"/>
      <w:r>
        <w:rPr>
          <w:rFonts w:hint="eastAsia"/>
          <w:sz w:val="21"/>
          <w:szCs w:val="21"/>
        </w:rPr>
        <w:t>杭州银行股份有限公司</w:t>
      </w:r>
      <w:bookmarkEnd w:id="207"/>
      <w:r>
        <w:rPr>
          <w:rFonts w:hint="eastAsia"/>
          <w:sz w:val="21"/>
          <w:szCs w:val="21"/>
        </w:rPr>
        <w:t xml:space="preserve">(简称：杭州银行) </w:t>
      </w:r>
    </w:p>
    <w:p w14:paraId="39B7F7F4">
      <w:pPr>
        <w:pStyle w:val="8"/>
        <w:spacing w:before="0" w:beforeAutospacing="0" w:after="0" w:afterAutospacing="0" w:line="360" w:lineRule="auto"/>
        <w:ind w:firstLine="420"/>
        <w:rPr>
          <w:sz w:val="21"/>
          <w:szCs w:val="21"/>
        </w:rPr>
      </w:pPr>
      <w:r>
        <w:rPr>
          <w:rFonts w:hint="eastAsia"/>
          <w:sz w:val="21"/>
          <w:szCs w:val="21"/>
        </w:rPr>
        <w:t xml:space="preserve">住所：杭州市上城区解放东路168号 </w:t>
      </w:r>
    </w:p>
    <w:p w14:paraId="2D6CF2D9">
      <w:pPr>
        <w:pStyle w:val="8"/>
        <w:spacing w:before="0" w:beforeAutospacing="0" w:after="0" w:afterAutospacing="0" w:line="360" w:lineRule="auto"/>
        <w:ind w:firstLine="420"/>
        <w:rPr>
          <w:sz w:val="21"/>
          <w:szCs w:val="21"/>
        </w:rPr>
      </w:pPr>
      <w:r>
        <w:rPr>
          <w:rFonts w:hint="eastAsia"/>
          <w:sz w:val="21"/>
          <w:szCs w:val="21"/>
        </w:rPr>
        <w:t xml:space="preserve">办公地址：杭州市拱墅区庆春路46号 </w:t>
      </w:r>
    </w:p>
    <w:p w14:paraId="53C7B12E">
      <w:pPr>
        <w:pStyle w:val="8"/>
        <w:spacing w:before="0" w:beforeAutospacing="0" w:after="0" w:afterAutospacing="0" w:line="360" w:lineRule="auto"/>
        <w:ind w:firstLine="420"/>
        <w:rPr>
          <w:sz w:val="21"/>
          <w:szCs w:val="21"/>
        </w:rPr>
      </w:pPr>
      <w:r>
        <w:rPr>
          <w:rFonts w:hint="eastAsia"/>
          <w:sz w:val="21"/>
          <w:szCs w:val="21"/>
        </w:rPr>
        <w:t xml:space="preserve">邮政编码：310000 </w:t>
      </w:r>
    </w:p>
    <w:p w14:paraId="40E948BB">
      <w:pPr>
        <w:pStyle w:val="8"/>
        <w:spacing w:before="0" w:beforeAutospacing="0" w:after="0" w:afterAutospacing="0" w:line="360" w:lineRule="auto"/>
        <w:ind w:firstLine="420"/>
        <w:rPr>
          <w:sz w:val="21"/>
          <w:szCs w:val="21"/>
        </w:rPr>
      </w:pPr>
      <w:r>
        <w:rPr>
          <w:rFonts w:hint="eastAsia"/>
          <w:sz w:val="21"/>
          <w:szCs w:val="21"/>
        </w:rPr>
        <w:t xml:space="preserve">法定代表人：宋剑斌 </w:t>
      </w:r>
    </w:p>
    <w:p w14:paraId="4A8828BB">
      <w:pPr>
        <w:pStyle w:val="8"/>
        <w:spacing w:before="0" w:beforeAutospacing="0" w:after="0" w:afterAutospacing="0" w:line="360" w:lineRule="auto"/>
        <w:ind w:firstLine="420"/>
        <w:rPr>
          <w:sz w:val="21"/>
          <w:szCs w:val="21"/>
        </w:rPr>
      </w:pPr>
      <w:r>
        <w:rPr>
          <w:rFonts w:hint="eastAsia"/>
          <w:sz w:val="21"/>
          <w:szCs w:val="21"/>
        </w:rPr>
        <w:t xml:space="preserve">成立时间：1996年9月25日 </w:t>
      </w:r>
    </w:p>
    <w:p w14:paraId="3C1C7BC7">
      <w:pPr>
        <w:pStyle w:val="8"/>
        <w:spacing w:before="0" w:beforeAutospacing="0" w:after="0" w:afterAutospacing="0" w:line="360" w:lineRule="auto"/>
        <w:ind w:firstLine="420"/>
        <w:rPr>
          <w:sz w:val="21"/>
          <w:szCs w:val="21"/>
        </w:rPr>
      </w:pPr>
      <w:r>
        <w:rPr>
          <w:rFonts w:hint="eastAsia"/>
          <w:sz w:val="21"/>
          <w:szCs w:val="21"/>
        </w:rPr>
        <w:t xml:space="preserve">基金托管业务批准文号： 证监许可[2014]337号 </w:t>
      </w:r>
    </w:p>
    <w:p w14:paraId="40CC7264">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14:paraId="7F9E22A5">
      <w:pPr>
        <w:pStyle w:val="8"/>
        <w:spacing w:before="0" w:beforeAutospacing="0" w:after="0" w:afterAutospacing="0" w:line="360" w:lineRule="auto"/>
        <w:ind w:firstLine="420"/>
        <w:rPr>
          <w:sz w:val="21"/>
          <w:szCs w:val="21"/>
        </w:rPr>
      </w:pPr>
      <w:r>
        <w:rPr>
          <w:rFonts w:hint="eastAsia"/>
          <w:sz w:val="21"/>
          <w:szCs w:val="21"/>
        </w:rPr>
        <w:t xml:space="preserve">注册资本：伍拾玖亿叁仟零贰拾万零肆佰叁拾贰元人民币 </w:t>
      </w:r>
    </w:p>
    <w:p w14:paraId="4A9171C4">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79FF26EB">
      <w:pPr>
        <w:pStyle w:val="8"/>
        <w:spacing w:before="0" w:beforeAutospacing="0" w:after="0" w:afterAutospacing="0" w:line="360" w:lineRule="auto"/>
        <w:ind w:firstLine="420"/>
        <w:rPr>
          <w:sz w:val="21"/>
          <w:szCs w:val="21"/>
        </w:rPr>
      </w:pPr>
      <w:r>
        <w:rPr>
          <w:rStyle w:val="12"/>
          <w:rFonts w:hint="eastAsia"/>
          <w:sz w:val="21"/>
          <w:szCs w:val="21"/>
        </w:rPr>
        <w:t>二、基金托管人对基金管理人的业务监督和核查</w:t>
      </w:r>
    </w:p>
    <w:p w14:paraId="17ADFAFE">
      <w:pPr>
        <w:pStyle w:val="8"/>
        <w:spacing w:before="0" w:beforeAutospacing="0" w:after="0" w:afterAutospacing="0" w:line="360" w:lineRule="auto"/>
        <w:ind w:firstLine="420"/>
        <w:rPr>
          <w:sz w:val="21"/>
          <w:szCs w:val="21"/>
        </w:rPr>
      </w:pPr>
      <w:r>
        <w:rPr>
          <w:rFonts w:hint="eastAsia"/>
          <w:sz w:val="21"/>
          <w:szCs w:val="21"/>
        </w:rPr>
        <w:t xml:space="preserve">（一）基金托管人根据有关法律法规的规定以及《基金合同》的约定，对基金投资范围、投资比例、投资限制、关联方交易等，进行严格监督。   </w:t>
      </w:r>
    </w:p>
    <w:p w14:paraId="5ADC0208">
      <w:pPr>
        <w:pStyle w:val="8"/>
        <w:spacing w:before="0" w:beforeAutospacing="0" w:after="0" w:afterAutospacing="0" w:line="360" w:lineRule="auto"/>
        <w:ind w:firstLine="420"/>
        <w:rPr>
          <w:sz w:val="21"/>
          <w:szCs w:val="21"/>
        </w:rPr>
      </w:pPr>
      <w:r>
        <w:rPr>
          <w:rFonts w:hint="eastAsia"/>
          <w:sz w:val="21"/>
          <w:szCs w:val="21"/>
        </w:rPr>
        <w:t xml:space="preserve">1.本基金的投资范围为： </w:t>
      </w:r>
    </w:p>
    <w:p w14:paraId="2E3D5554">
      <w:pPr>
        <w:pStyle w:val="8"/>
        <w:spacing w:before="0" w:beforeAutospacing="0" w:after="0" w:afterAutospacing="0" w:line="360" w:lineRule="auto"/>
        <w:ind w:firstLine="420"/>
        <w:rPr>
          <w:sz w:val="21"/>
          <w:szCs w:val="21"/>
        </w:rPr>
      </w:pPr>
      <w:r>
        <w:rPr>
          <w:rFonts w:hint="eastAsia"/>
          <w:sz w:val="21"/>
          <w:szCs w:val="21"/>
        </w:rPr>
        <w:t xml:space="preserve">本基金的投资范围主要为具有良好流动性的固定收益类品种，包括国债、金融债、企业债、公司债、央行票据、中期票据、短期融资券、中小企业私募债券、资产支持证券、次级债、可分离交易可转债的纯债部分、债券回购、银行存款等法律法规或中国证监会允许基金投资的其他固定收益类金融工具（但须符合中国证监会的相关规定）。 </w:t>
      </w:r>
    </w:p>
    <w:p w14:paraId="5BFEF857">
      <w:pPr>
        <w:pStyle w:val="8"/>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14:paraId="178169E2">
      <w:pPr>
        <w:pStyle w:val="8"/>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14:paraId="6D8F8714">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如法律法规或监管机构以后允许基金投资的其他品种，基金管理人在履行适当程序后，可以将其纳入投资范围。 </w:t>
      </w:r>
    </w:p>
    <w:p w14:paraId="365E3E49">
      <w:pPr>
        <w:pStyle w:val="8"/>
        <w:spacing w:before="0" w:beforeAutospacing="0" w:after="0" w:afterAutospacing="0" w:line="360" w:lineRule="auto"/>
        <w:ind w:firstLine="420"/>
        <w:rPr>
          <w:sz w:val="21"/>
          <w:szCs w:val="21"/>
        </w:rPr>
      </w:pPr>
      <w:r>
        <w:rPr>
          <w:rFonts w:hint="eastAsia"/>
          <w:sz w:val="21"/>
          <w:szCs w:val="21"/>
        </w:rPr>
        <w:t xml:space="preserve">2.本基金各类品种的投资比例、投资限制为： </w:t>
      </w:r>
    </w:p>
    <w:p w14:paraId="4B35E1FE">
      <w:pPr>
        <w:pStyle w:val="8"/>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4F0905C4">
      <w:pPr>
        <w:pStyle w:val="8"/>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14:paraId="6624F2D3">
      <w:pPr>
        <w:pStyle w:val="8"/>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14:paraId="2D6DF844">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3DEFEABC">
      <w:pPr>
        <w:pStyle w:val="8"/>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1F61427A">
      <w:pPr>
        <w:pStyle w:val="8"/>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0343F2E6">
      <w:pPr>
        <w:pStyle w:val="8"/>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1AD22D9B">
      <w:pPr>
        <w:pStyle w:val="8"/>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5720E4AA">
      <w:pPr>
        <w:pStyle w:val="8"/>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5148939D">
      <w:pPr>
        <w:pStyle w:val="8"/>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21C5F19D">
      <w:pPr>
        <w:pStyle w:val="8"/>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07293E15">
      <w:pPr>
        <w:pStyle w:val="8"/>
        <w:spacing w:before="0" w:beforeAutospacing="0" w:after="0" w:afterAutospacing="0" w:line="360" w:lineRule="auto"/>
        <w:ind w:firstLine="420"/>
        <w:rPr>
          <w:sz w:val="21"/>
          <w:szCs w:val="21"/>
        </w:rPr>
      </w:pPr>
      <w:r>
        <w:rPr>
          <w:rFonts w:hint="eastAsia"/>
          <w:sz w:val="21"/>
          <w:szCs w:val="21"/>
        </w:rPr>
        <w:t xml:space="preserve">（11）本基金应投资于信用级别评级为AA以上（含AA）债券主体发行的债券； </w:t>
      </w:r>
    </w:p>
    <w:p w14:paraId="4336FA4E">
      <w:pPr>
        <w:pStyle w:val="8"/>
        <w:spacing w:before="0" w:beforeAutospacing="0" w:after="0" w:afterAutospacing="0" w:line="360" w:lineRule="auto"/>
        <w:ind w:firstLine="420"/>
        <w:rPr>
          <w:sz w:val="21"/>
          <w:szCs w:val="21"/>
        </w:rPr>
      </w:pPr>
      <w:r>
        <w:rPr>
          <w:rFonts w:hint="eastAsia"/>
          <w:sz w:val="21"/>
          <w:szCs w:val="21"/>
        </w:rPr>
        <w:t xml:space="preserve">(12)本基金投资于中小企业私募债券比例合计不高于基金资产的10%； </w:t>
      </w:r>
    </w:p>
    <w:p w14:paraId="072F61CF">
      <w:pPr>
        <w:pStyle w:val="8"/>
        <w:spacing w:before="0" w:beforeAutospacing="0" w:after="0" w:afterAutospacing="0" w:line="360" w:lineRule="auto"/>
        <w:ind w:firstLine="420"/>
        <w:rPr>
          <w:sz w:val="21"/>
          <w:szCs w:val="21"/>
        </w:rPr>
      </w:pPr>
      <w:r>
        <w:rPr>
          <w:rFonts w:hint="eastAsia"/>
          <w:sz w:val="21"/>
          <w:szCs w:val="21"/>
        </w:rPr>
        <w:t xml:space="preserve">(13)基金资产总值不得超过基金资产净值的140%； </w:t>
      </w:r>
    </w:p>
    <w:p w14:paraId="7CF43787">
      <w:pPr>
        <w:pStyle w:val="8"/>
        <w:spacing w:before="0" w:beforeAutospacing="0" w:after="0" w:afterAutospacing="0" w:line="360" w:lineRule="auto"/>
        <w:ind w:firstLine="420"/>
        <w:rPr>
          <w:sz w:val="21"/>
          <w:szCs w:val="21"/>
        </w:rPr>
      </w:pPr>
      <w:r>
        <w:rPr>
          <w:rFonts w:hint="eastAsia"/>
          <w:sz w:val="21"/>
          <w:szCs w:val="21"/>
        </w:rPr>
        <w:t xml:space="preserve">（14）本基金主动投资于流动性受限资产的市值合计不得超过本基金资产净值的15%； </w:t>
      </w:r>
    </w:p>
    <w:p w14:paraId="5F7CB8C8">
      <w:pPr>
        <w:pStyle w:val="8"/>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295037F6">
      <w:pPr>
        <w:pStyle w:val="8"/>
        <w:spacing w:before="0" w:beforeAutospacing="0" w:after="0" w:afterAutospacing="0" w:line="360" w:lineRule="auto"/>
        <w:ind w:firstLine="420"/>
        <w:rPr>
          <w:sz w:val="21"/>
          <w:szCs w:val="21"/>
        </w:rPr>
      </w:pPr>
      <w:r>
        <w:rPr>
          <w:rFonts w:hint="eastAsia"/>
          <w:sz w:val="21"/>
          <w:szCs w:val="21"/>
        </w:rPr>
        <w:t xml:space="preserve">（15）本基金与私募类证券资管产品及中国证监会认定的其他主体为交易对手开展逆回购交易的，可接受质押品的资质要求应当与基金合同约定的投资范围保持一致； </w:t>
      </w:r>
    </w:p>
    <w:p w14:paraId="7D384FF5">
      <w:pPr>
        <w:pStyle w:val="8"/>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(16)法律法规及中国证监会规定的和《基金合同》约定的其他投资限制。 </w:t>
      </w:r>
    </w:p>
    <w:p w14:paraId="27E3B84A">
      <w:pPr>
        <w:pStyle w:val="8"/>
        <w:spacing w:before="0" w:beforeAutospacing="0" w:after="0" w:afterAutospacing="0" w:line="360" w:lineRule="auto"/>
        <w:ind w:firstLine="420"/>
        <w:rPr>
          <w:sz w:val="21"/>
          <w:szCs w:val="21"/>
        </w:rPr>
      </w:pPr>
      <w:r>
        <w:rPr>
          <w:rFonts w:hint="eastAsia"/>
          <w:sz w:val="21"/>
          <w:szCs w:val="21"/>
        </w:rPr>
        <w:t xml:space="preserve">除上述第（2）、（10）、（11）、（14）、（15）项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14:paraId="36B6ABBE">
      <w:pPr>
        <w:pStyle w:val="8"/>
        <w:spacing w:before="0" w:beforeAutospacing="0" w:after="0" w:afterAutospacing="0" w:line="360" w:lineRule="auto"/>
        <w:ind w:firstLine="420"/>
        <w:rPr>
          <w:sz w:val="21"/>
          <w:szCs w:val="21"/>
        </w:rPr>
      </w:pPr>
      <w:r>
        <w:rPr>
          <w:rFonts w:hint="eastAsia"/>
          <w:sz w:val="21"/>
          <w:szCs w:val="21"/>
        </w:rPr>
        <w:t xml:space="preserve">3.本基金财产不得用于以下投资或者活动： </w:t>
      </w:r>
    </w:p>
    <w:p w14:paraId="5C82C19A">
      <w:pPr>
        <w:pStyle w:val="8"/>
        <w:spacing w:before="0" w:beforeAutospacing="0" w:after="0" w:afterAutospacing="0" w:line="360" w:lineRule="auto"/>
        <w:ind w:firstLine="420"/>
        <w:rPr>
          <w:sz w:val="21"/>
          <w:szCs w:val="21"/>
        </w:rPr>
      </w:pPr>
      <w:r>
        <w:rPr>
          <w:rFonts w:hint="eastAsia"/>
          <w:sz w:val="21"/>
          <w:szCs w:val="21"/>
        </w:rPr>
        <w:t xml:space="preserve">（1）承销证券； </w:t>
      </w:r>
    </w:p>
    <w:p w14:paraId="6D56B58B">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0CD35EAC">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6852087B">
      <w:pPr>
        <w:pStyle w:val="8"/>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08E4F579">
      <w:pPr>
        <w:pStyle w:val="8"/>
        <w:spacing w:before="0" w:beforeAutospacing="0" w:after="0" w:afterAutospacing="0" w:line="360" w:lineRule="auto"/>
        <w:ind w:firstLine="420"/>
        <w:rPr>
          <w:sz w:val="21"/>
          <w:szCs w:val="21"/>
        </w:rPr>
      </w:pPr>
      <w:r>
        <w:rPr>
          <w:rFonts w:hint="eastAsia"/>
          <w:sz w:val="21"/>
          <w:szCs w:val="21"/>
        </w:rPr>
        <w:t xml:space="preserve">（5）向基金管理人、基金托管人出资； </w:t>
      </w:r>
    </w:p>
    <w:p w14:paraId="272AEE95">
      <w:pPr>
        <w:pStyle w:val="8"/>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502DFF25">
      <w:pPr>
        <w:pStyle w:val="8"/>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2F15A3EA">
      <w:pPr>
        <w:pStyle w:val="8"/>
        <w:spacing w:before="0" w:beforeAutospacing="0" w:after="0" w:afterAutospacing="0" w:line="360" w:lineRule="auto"/>
        <w:ind w:firstLine="420"/>
        <w:rPr>
          <w:sz w:val="21"/>
          <w:szCs w:val="21"/>
        </w:rPr>
      </w:pPr>
      <w:r>
        <w:rPr>
          <w:rFonts w:hint="eastAsia"/>
          <w:sz w:val="21"/>
          <w:szCs w:val="21"/>
        </w:rPr>
        <w:t xml:space="preserve">4.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基金管理人需事前向基金托管人提供关联方清单，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7F88EB23">
      <w:pPr>
        <w:pStyle w:val="8"/>
        <w:spacing w:before="0" w:beforeAutospacing="0" w:after="0" w:afterAutospacing="0" w:line="360" w:lineRule="auto"/>
        <w:ind w:firstLine="420"/>
        <w:rPr>
          <w:sz w:val="21"/>
          <w:szCs w:val="21"/>
        </w:rPr>
      </w:pPr>
      <w:r>
        <w:rPr>
          <w:rFonts w:hint="eastAsia"/>
          <w:sz w:val="21"/>
          <w:szCs w:val="21"/>
        </w:rPr>
        <w:t xml:space="preserve">5.基金管理人应当自基金合同生效日起6个月内使基金的投资组合比例符合基金合同的有关约定。在上述期间内，本基金的投资范围、投资策略应当符合基金合同的约定。 </w:t>
      </w:r>
    </w:p>
    <w:p w14:paraId="4B46DF30">
      <w:pPr>
        <w:pStyle w:val="8"/>
        <w:spacing w:before="0" w:beforeAutospacing="0" w:after="0" w:afterAutospacing="0" w:line="360" w:lineRule="auto"/>
        <w:ind w:firstLine="420"/>
        <w:rPr>
          <w:sz w:val="21"/>
          <w:szCs w:val="21"/>
        </w:rPr>
      </w:pPr>
      <w:r>
        <w:rPr>
          <w:rFonts w:hint="eastAsia"/>
          <w:sz w:val="21"/>
          <w:szCs w:val="21"/>
        </w:rPr>
        <w:t xml:space="preserve">基金托管人对基金的投资的监督与检查自基金合同生效之日起开始。 </w:t>
      </w:r>
    </w:p>
    <w:p w14:paraId="7D567B85">
      <w:pPr>
        <w:pStyle w:val="8"/>
        <w:spacing w:before="0" w:beforeAutospacing="0" w:after="0" w:afterAutospacing="0" w:line="360" w:lineRule="auto"/>
        <w:ind w:firstLine="420"/>
        <w:rPr>
          <w:sz w:val="21"/>
          <w:szCs w:val="21"/>
        </w:rPr>
      </w:pPr>
      <w:r>
        <w:rPr>
          <w:rFonts w:hint="eastAsia"/>
          <w:sz w:val="21"/>
          <w:szCs w:val="21"/>
        </w:rPr>
        <w:t xml:space="preserve">6. 法律法规或监管部门取消或调整上述限制，如适用于本基金，基金管理人在履行适当程序后，则本基金投资不再受相关限制或按调整后的规定执行，但须提前公告，不需要经基金份额持有人大会审议。 </w:t>
      </w:r>
    </w:p>
    <w:p w14:paraId="0A441D32">
      <w:pPr>
        <w:pStyle w:val="8"/>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 </w:t>
      </w:r>
    </w:p>
    <w:p w14:paraId="44EA9097">
      <w:pPr>
        <w:pStyle w:val="8"/>
        <w:spacing w:before="0" w:beforeAutospacing="0" w:after="0" w:afterAutospacing="0" w:line="360" w:lineRule="auto"/>
        <w:ind w:firstLine="420"/>
        <w:rPr>
          <w:sz w:val="21"/>
          <w:szCs w:val="21"/>
        </w:rPr>
      </w:pPr>
      <w:r>
        <w:rPr>
          <w:rFonts w:hint="eastAsia"/>
          <w:sz w:val="21"/>
          <w:szCs w:val="21"/>
        </w:rPr>
        <w:t xml:space="preserve">本基金投资银行存款应符合如下规定： </w:t>
      </w:r>
    </w:p>
    <w:p w14:paraId="2D9B9725">
      <w:pPr>
        <w:pStyle w:val="8"/>
        <w:spacing w:before="0" w:beforeAutospacing="0" w:after="0" w:afterAutospacing="0" w:line="360" w:lineRule="auto"/>
        <w:ind w:firstLine="420"/>
        <w:rPr>
          <w:sz w:val="21"/>
          <w:szCs w:val="21"/>
        </w:rPr>
      </w:pPr>
      <w:r>
        <w:rPr>
          <w:rFonts w:hint="eastAsia"/>
          <w:sz w:val="21"/>
          <w:szCs w:val="21"/>
        </w:rPr>
        <w:t xml:space="preserve">1.本基金的存款银行应是具有证券投资基金托管资格、证券投资基金代销业务资格或合格境外基金投资人托管人资格的商业银行。 </w:t>
      </w:r>
    </w:p>
    <w:p w14:paraId="1E5A5A49">
      <w:pPr>
        <w:pStyle w:val="8"/>
        <w:spacing w:before="0" w:beforeAutospacing="0" w:after="0" w:afterAutospacing="0" w:line="360" w:lineRule="auto"/>
        <w:ind w:firstLine="420"/>
        <w:rPr>
          <w:sz w:val="21"/>
          <w:szCs w:val="21"/>
        </w:rPr>
      </w:pPr>
      <w:r>
        <w:rPr>
          <w:rFonts w:hint="eastAsia"/>
          <w:sz w:val="21"/>
          <w:szCs w:val="21"/>
        </w:rPr>
        <w:t xml:space="preserve">有关法律法规或监管部门制定或修改新的定期存款投资政策，基金公司履行适当程序后，可相应调整投资组合限制的规定。 </w:t>
      </w:r>
    </w:p>
    <w:p w14:paraId="0EDB7DC3">
      <w:pPr>
        <w:pStyle w:val="8"/>
        <w:spacing w:before="0" w:beforeAutospacing="0" w:after="0" w:afterAutospacing="0" w:line="360" w:lineRule="auto"/>
        <w:ind w:firstLine="420"/>
        <w:rPr>
          <w:sz w:val="21"/>
          <w:szCs w:val="21"/>
        </w:rPr>
      </w:pPr>
      <w:r>
        <w:rPr>
          <w:rFonts w:hint="eastAsia"/>
          <w:sz w:val="21"/>
          <w:szCs w:val="21"/>
        </w:rPr>
        <w:t xml:space="preserve">2.基金管理人负责对本基金存款银行的评估与研究，建立健全银行定期存款的业务流程、岗位职责、风险控制措施和监察稽核制度，切实防范有关风险。基金托管人负责对本基金银行定期存款业务的监督与核查，审查、复核相关协议、账户资料、投资指令、存款证实书等有关文件，切实履行托管职责。 </w:t>
      </w:r>
    </w:p>
    <w:p w14:paraId="5BB08201">
      <w:pPr>
        <w:pStyle w:val="8"/>
        <w:spacing w:before="0" w:beforeAutospacing="0" w:after="0" w:afterAutospacing="0" w:line="360" w:lineRule="auto"/>
        <w:ind w:firstLine="420"/>
        <w:rPr>
          <w:sz w:val="21"/>
          <w:szCs w:val="21"/>
        </w:rPr>
      </w:pPr>
      <w:r>
        <w:rPr>
          <w:rFonts w:hint="eastAsia"/>
          <w:sz w:val="21"/>
          <w:szCs w:val="21"/>
        </w:rPr>
        <w:t xml:space="preserve">（1）基金管理人负责控制信用风险。信用风险主要包括存款银行的信用等级、存款银行的支付能力等涉及到存款银行选择方面的风险。因选择存款银行不当造成基金财产损失的，由基金管理人承担责任。 </w:t>
      </w:r>
    </w:p>
    <w:p w14:paraId="06AC2534">
      <w:pPr>
        <w:pStyle w:val="8"/>
        <w:spacing w:before="0" w:beforeAutospacing="0" w:after="0" w:afterAutospacing="0" w:line="360" w:lineRule="auto"/>
        <w:ind w:firstLine="420"/>
        <w:rPr>
          <w:sz w:val="21"/>
          <w:szCs w:val="21"/>
        </w:rPr>
      </w:pPr>
      <w:r>
        <w:rPr>
          <w:rFonts w:hint="eastAsia"/>
          <w:sz w:val="21"/>
          <w:szCs w:val="21"/>
        </w:rPr>
        <w:t xml:space="preserve">（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 </w:t>
      </w:r>
    </w:p>
    <w:p w14:paraId="5C264D51">
      <w:pPr>
        <w:pStyle w:val="8"/>
        <w:spacing w:before="0" w:beforeAutospacing="0" w:after="0" w:afterAutospacing="0" w:line="360" w:lineRule="auto"/>
        <w:ind w:firstLine="420"/>
        <w:rPr>
          <w:sz w:val="21"/>
          <w:szCs w:val="21"/>
        </w:rPr>
      </w:pPr>
      <w:r>
        <w:rPr>
          <w:rFonts w:hint="eastAsia"/>
          <w:sz w:val="21"/>
          <w:szCs w:val="21"/>
        </w:rPr>
        <w:t xml:space="preserve">（3）基金管理人须加强内部风险控制制度的建设。如因基金管理人员工的职务和个人行为导致基金财产受到损失的，需由基金管理人承担由此造成的损失。 </w:t>
      </w:r>
    </w:p>
    <w:p w14:paraId="2C6027ED">
      <w:pPr>
        <w:pStyle w:val="8"/>
        <w:spacing w:before="0" w:beforeAutospacing="0" w:after="0" w:afterAutospacing="0" w:line="360" w:lineRule="auto"/>
        <w:ind w:firstLine="420"/>
        <w:rPr>
          <w:sz w:val="21"/>
          <w:szCs w:val="21"/>
        </w:rPr>
      </w:pPr>
      <w:r>
        <w:rPr>
          <w:rFonts w:hint="eastAsia"/>
          <w:sz w:val="21"/>
          <w:szCs w:val="21"/>
        </w:rPr>
        <w:t xml:space="preserve">（4）基金管理人投资银行存款时，应就相关事宜在更新招募说明书中予以披露，进行风险揭示。 </w:t>
      </w:r>
    </w:p>
    <w:p w14:paraId="0E2E5146">
      <w:pPr>
        <w:pStyle w:val="8"/>
        <w:spacing w:before="0" w:beforeAutospacing="0" w:after="0" w:afterAutospacing="0" w:line="360" w:lineRule="auto"/>
        <w:ind w:firstLine="420"/>
        <w:rPr>
          <w:sz w:val="21"/>
          <w:szCs w:val="21"/>
        </w:rPr>
      </w:pPr>
      <w:r>
        <w:rPr>
          <w:rFonts w:hint="eastAsia"/>
          <w:sz w:val="21"/>
          <w:szCs w:val="21"/>
        </w:rPr>
        <w:t xml:space="preserve">（5）基金管理人与基金托管人在开展基金存款业务时，应严格遵守《基金法》、《运作办法》等有关法律法规，以及国家有关账户管理、利率管理、支付结算等的各项规定。 </w:t>
      </w:r>
    </w:p>
    <w:p w14:paraId="4ED6C6EC">
      <w:pPr>
        <w:pStyle w:val="8"/>
        <w:spacing w:before="0" w:beforeAutospacing="0" w:after="0" w:afterAutospacing="0" w:line="360" w:lineRule="auto"/>
        <w:ind w:firstLine="420"/>
        <w:rPr>
          <w:sz w:val="21"/>
          <w:szCs w:val="21"/>
        </w:rPr>
      </w:pPr>
      <w:r>
        <w:rPr>
          <w:rFonts w:hint="eastAsia"/>
          <w:sz w:val="21"/>
          <w:szCs w:val="21"/>
        </w:rPr>
        <w:t xml:space="preserve">（三）基金投资银行存款协议的签订、账户开设与管理、投资指令与资金划拨、账目核对、到期兑付、提前支取和文件保管。 </w:t>
      </w:r>
    </w:p>
    <w:p w14:paraId="7D2735CF">
      <w:pPr>
        <w:pStyle w:val="8"/>
        <w:spacing w:before="0" w:beforeAutospacing="0" w:after="0" w:afterAutospacing="0" w:line="360" w:lineRule="auto"/>
        <w:ind w:firstLine="420"/>
        <w:rPr>
          <w:sz w:val="21"/>
          <w:szCs w:val="21"/>
        </w:rPr>
      </w:pPr>
      <w:r>
        <w:rPr>
          <w:rFonts w:hint="eastAsia"/>
          <w:sz w:val="21"/>
          <w:szCs w:val="21"/>
        </w:rPr>
        <w:t xml:space="preserve">1.基金投资银行存款协议的签订 </w:t>
      </w:r>
    </w:p>
    <w:p w14:paraId="72B36F6A">
      <w:pPr>
        <w:pStyle w:val="8"/>
        <w:spacing w:before="0" w:beforeAutospacing="0" w:after="0" w:afterAutospacing="0" w:line="360" w:lineRule="auto"/>
        <w:ind w:firstLine="420"/>
        <w:rPr>
          <w:sz w:val="21"/>
          <w:szCs w:val="21"/>
        </w:rPr>
      </w:pPr>
      <w:r>
        <w:rPr>
          <w:rFonts w:hint="eastAsia"/>
          <w:sz w:val="21"/>
          <w:szCs w:val="21"/>
        </w:rPr>
        <w:t xml:space="preserve">（1）符合资格的存款银行，基金管理人应与存款银行总行或其授权分行签订《基金存款业务总体合作协议》（以下简称《总体合作协议》），确定《存款协议书》的格式范本。《总体合作协议》和《存款协议书》的格式范本由基金托管人与基金管理人共同商定。 </w:t>
      </w:r>
    </w:p>
    <w:p w14:paraId="43CD086B">
      <w:pPr>
        <w:pStyle w:val="8"/>
        <w:spacing w:before="0" w:beforeAutospacing="0" w:after="0" w:afterAutospacing="0" w:line="360" w:lineRule="auto"/>
        <w:ind w:firstLine="420"/>
        <w:rPr>
          <w:sz w:val="21"/>
          <w:szCs w:val="21"/>
        </w:rPr>
      </w:pPr>
      <w:r>
        <w:rPr>
          <w:rFonts w:hint="eastAsia"/>
          <w:sz w:val="21"/>
          <w:szCs w:val="21"/>
        </w:rPr>
        <w:t xml:space="preserve">（2）基金管理人应在《存款协议书》中明确存款证实书或其他有效存款凭证的办理方式、邮寄地址、联系人和联系电话，以及存款证实书或其他有效凭证在邮寄过程中遗失后，存款余额的确认及兑付办法。 </w:t>
      </w:r>
    </w:p>
    <w:p w14:paraId="0AC07E7E">
      <w:pPr>
        <w:pStyle w:val="8"/>
        <w:spacing w:before="0" w:beforeAutospacing="0" w:after="0" w:afterAutospacing="0" w:line="360" w:lineRule="auto"/>
        <w:ind w:firstLine="420"/>
        <w:rPr>
          <w:sz w:val="21"/>
          <w:szCs w:val="21"/>
        </w:rPr>
      </w:pPr>
      <w:r>
        <w:rPr>
          <w:rFonts w:hint="eastAsia"/>
          <w:sz w:val="21"/>
          <w:szCs w:val="21"/>
        </w:rPr>
        <w:t xml:space="preserve">（3）由存款银行指定的存放存款的分支机构（以下简称“存款分支机构”）寄送存款证实书或其他有效存款凭证的，基金管理人应在《存款协议书》中规定基金托管人可向存款分支机构的上级行发出存款余额询证函，存款分支机构及其上级行应予配合。 </w:t>
      </w:r>
    </w:p>
    <w:p w14:paraId="73DC0581">
      <w:pPr>
        <w:pStyle w:val="8"/>
        <w:spacing w:before="0" w:beforeAutospacing="0" w:after="0" w:afterAutospacing="0" w:line="360" w:lineRule="auto"/>
        <w:ind w:firstLine="420"/>
        <w:rPr>
          <w:sz w:val="21"/>
          <w:szCs w:val="21"/>
        </w:rPr>
      </w:pPr>
      <w:r>
        <w:rPr>
          <w:rFonts w:hint="eastAsia"/>
          <w:sz w:val="21"/>
          <w:szCs w:val="21"/>
        </w:rPr>
        <w:t xml:space="preserve">（4）基金管理人应在《存款协议书》中规定，基金存放到期或提前兑付的资金应全部划转到指定的基金托管账户，并在《存款协议书》写明账户名称和账号，未划入指定账户的，由存款银行承担一切责任。 </w:t>
      </w:r>
    </w:p>
    <w:p w14:paraId="0EC9E14A">
      <w:pPr>
        <w:pStyle w:val="8"/>
        <w:spacing w:before="0" w:beforeAutospacing="0" w:after="0" w:afterAutospacing="0" w:line="360" w:lineRule="auto"/>
        <w:ind w:firstLine="420"/>
        <w:rPr>
          <w:sz w:val="21"/>
          <w:szCs w:val="21"/>
        </w:rPr>
      </w:pPr>
      <w:r>
        <w:rPr>
          <w:rFonts w:hint="eastAsia"/>
          <w:sz w:val="21"/>
          <w:szCs w:val="21"/>
        </w:rPr>
        <w:t xml:space="preserve">（5）基金托管人依据相关法规对《总体合作协议》和《存款证实书》的内容进行复核，审查存款银行资格等。 </w:t>
      </w:r>
    </w:p>
    <w:p w14:paraId="7A2A1765">
      <w:pPr>
        <w:pStyle w:val="8"/>
        <w:spacing w:before="0" w:beforeAutospacing="0" w:after="0" w:afterAutospacing="0" w:line="360" w:lineRule="auto"/>
        <w:ind w:firstLine="420"/>
        <w:rPr>
          <w:sz w:val="21"/>
          <w:szCs w:val="21"/>
        </w:rPr>
      </w:pPr>
      <w:r>
        <w:rPr>
          <w:rFonts w:hint="eastAsia"/>
          <w:sz w:val="21"/>
          <w:szCs w:val="21"/>
        </w:rPr>
        <w:t xml:space="preserve">2.基金投资银行存款时的账户开设与管理 </w:t>
      </w:r>
    </w:p>
    <w:p w14:paraId="1728162C">
      <w:pPr>
        <w:pStyle w:val="8"/>
        <w:spacing w:before="0" w:beforeAutospacing="0" w:after="0" w:afterAutospacing="0" w:line="360" w:lineRule="auto"/>
        <w:ind w:firstLine="420"/>
        <w:rPr>
          <w:sz w:val="21"/>
          <w:szCs w:val="21"/>
        </w:rPr>
      </w:pPr>
      <w:r>
        <w:rPr>
          <w:rFonts w:hint="eastAsia"/>
          <w:sz w:val="21"/>
          <w:szCs w:val="21"/>
        </w:rPr>
        <w:t xml:space="preserve">（1）基金投资于银行存款时，基金管理人应当依据基金管理人与存款银行签订的《总体合作协议》，以基金的名义在存款银行总行或授权分行指定的分支机构开立银行账户。 </w:t>
      </w:r>
    </w:p>
    <w:p w14:paraId="6E0513DA">
      <w:pPr>
        <w:pStyle w:val="8"/>
        <w:spacing w:before="0" w:beforeAutospacing="0" w:after="0" w:afterAutospacing="0" w:line="360" w:lineRule="auto"/>
        <w:ind w:firstLine="420"/>
        <w:rPr>
          <w:sz w:val="21"/>
          <w:szCs w:val="21"/>
        </w:rPr>
      </w:pPr>
      <w:r>
        <w:rPr>
          <w:rFonts w:hint="eastAsia"/>
          <w:sz w:val="21"/>
          <w:szCs w:val="21"/>
        </w:rPr>
        <w:t xml:space="preserve">（2）银行存款的预留印鉴由基金托管人保管和使用。 </w:t>
      </w:r>
    </w:p>
    <w:p w14:paraId="0357D7D7">
      <w:pPr>
        <w:pStyle w:val="8"/>
        <w:spacing w:before="0" w:beforeAutospacing="0" w:after="0" w:afterAutospacing="0" w:line="360" w:lineRule="auto"/>
        <w:ind w:firstLine="420"/>
        <w:rPr>
          <w:sz w:val="21"/>
          <w:szCs w:val="21"/>
        </w:rPr>
      </w:pPr>
      <w:r>
        <w:rPr>
          <w:rFonts w:hint="eastAsia"/>
          <w:sz w:val="21"/>
          <w:szCs w:val="21"/>
        </w:rPr>
        <w:t xml:space="preserve">3.存款投资指令的发送与执行 </w:t>
      </w:r>
    </w:p>
    <w:p w14:paraId="73FEF1A3">
      <w:pPr>
        <w:pStyle w:val="8"/>
        <w:spacing w:before="0" w:beforeAutospacing="0" w:after="0" w:afterAutospacing="0" w:line="360" w:lineRule="auto"/>
        <w:ind w:firstLine="420"/>
        <w:rPr>
          <w:sz w:val="21"/>
          <w:szCs w:val="21"/>
        </w:rPr>
      </w:pPr>
      <w:r>
        <w:rPr>
          <w:rFonts w:hint="eastAsia"/>
          <w:sz w:val="21"/>
          <w:szCs w:val="21"/>
        </w:rPr>
        <w:t xml:space="preserve">（1）基金管理人发送投资指令应采用加密传真方式或双方约定的其他方式。 </w:t>
      </w:r>
    </w:p>
    <w:p w14:paraId="4DD11E54">
      <w:pPr>
        <w:pStyle w:val="8"/>
        <w:spacing w:before="0" w:beforeAutospacing="0" w:after="0" w:afterAutospacing="0" w:line="360" w:lineRule="auto"/>
        <w:ind w:firstLine="420"/>
        <w:rPr>
          <w:sz w:val="21"/>
          <w:szCs w:val="21"/>
        </w:rPr>
      </w:pPr>
      <w:r>
        <w:rPr>
          <w:rFonts w:hint="eastAsia"/>
          <w:sz w:val="21"/>
          <w:szCs w:val="21"/>
        </w:rPr>
        <w:t xml:space="preserve">存款投资指令包括存款资金划拨指令、提前支取存款指令等。 </w:t>
      </w:r>
    </w:p>
    <w:p w14:paraId="612E6E12">
      <w:pPr>
        <w:pStyle w:val="8"/>
        <w:spacing w:before="0" w:beforeAutospacing="0" w:after="0" w:afterAutospacing="0" w:line="360" w:lineRule="auto"/>
        <w:ind w:firstLine="420"/>
        <w:rPr>
          <w:sz w:val="21"/>
          <w:szCs w:val="21"/>
        </w:rPr>
      </w:pPr>
      <w:r>
        <w:rPr>
          <w:rFonts w:hint="eastAsia"/>
          <w:sz w:val="21"/>
          <w:szCs w:val="21"/>
        </w:rPr>
        <w:t xml:space="preserve">基金管理人应按照法律法规和基金合同及本协议的规定向基金托管人发送存款投资指令。对于基金管理人依约定程序发出的指令，基金管理人不得否认其效力。 </w:t>
      </w:r>
    </w:p>
    <w:p w14:paraId="0D8A0EA2">
      <w:pPr>
        <w:pStyle w:val="8"/>
        <w:spacing w:before="0" w:beforeAutospacing="0" w:after="0" w:afterAutospacing="0" w:line="360" w:lineRule="auto"/>
        <w:ind w:firstLine="420"/>
        <w:rPr>
          <w:sz w:val="21"/>
          <w:szCs w:val="21"/>
        </w:rPr>
      </w:pPr>
      <w:r>
        <w:rPr>
          <w:rFonts w:hint="eastAsia"/>
          <w:sz w:val="21"/>
          <w:szCs w:val="21"/>
        </w:rPr>
        <w:t xml:space="preserve">指令发出后，基金管理人应及时以电话方式向基金托管人确认。 </w:t>
      </w:r>
    </w:p>
    <w:p w14:paraId="5FA7FA5F">
      <w:pPr>
        <w:pStyle w:val="8"/>
        <w:spacing w:before="0" w:beforeAutospacing="0" w:after="0" w:afterAutospacing="0" w:line="360" w:lineRule="auto"/>
        <w:ind w:firstLine="420"/>
        <w:rPr>
          <w:sz w:val="21"/>
          <w:szCs w:val="21"/>
        </w:rPr>
      </w:pPr>
      <w:r>
        <w:rPr>
          <w:rFonts w:hint="eastAsia"/>
          <w:sz w:val="21"/>
          <w:szCs w:val="21"/>
        </w:rPr>
        <w:t xml:space="preserve">基金管理人在发送投资指令时，应为基金托管人执行投资指令留出执行指令所必需的时间。因基金管理人原因造成投资指令传输不及时、未能留出足够的划款时间，导致资金未能及时到账所造成的损失由基金管理人承担。 </w:t>
      </w:r>
    </w:p>
    <w:p w14:paraId="788C1DE1">
      <w:pPr>
        <w:pStyle w:val="8"/>
        <w:spacing w:before="0" w:beforeAutospacing="0" w:after="0" w:afterAutospacing="0" w:line="360" w:lineRule="auto"/>
        <w:ind w:firstLine="420"/>
        <w:rPr>
          <w:sz w:val="21"/>
          <w:szCs w:val="21"/>
        </w:rPr>
      </w:pPr>
      <w:r>
        <w:rPr>
          <w:rFonts w:hint="eastAsia"/>
          <w:sz w:val="21"/>
          <w:szCs w:val="21"/>
        </w:rPr>
        <w:t xml:space="preserve">（2）投资指令的确认 </w:t>
      </w:r>
    </w:p>
    <w:p w14:paraId="08F55D3E">
      <w:pPr>
        <w:pStyle w:val="8"/>
        <w:spacing w:before="0" w:beforeAutospacing="0" w:after="0" w:afterAutospacing="0" w:line="360" w:lineRule="auto"/>
        <w:ind w:firstLine="420"/>
        <w:rPr>
          <w:sz w:val="21"/>
          <w:szCs w:val="21"/>
        </w:rPr>
      </w:pPr>
      <w:r>
        <w:rPr>
          <w:rFonts w:hint="eastAsia"/>
          <w:sz w:val="21"/>
          <w:szCs w:val="21"/>
        </w:rPr>
        <w:t xml:space="preserve">基金托管人应指定专人接收基金管理人的指令，预先通知基金管理人其名单，并与基金管理人商定指令发送和接收方式。投资指令到达基金托管人后，基金托管人应指定专人立即审慎验证有关内容及印鉴和签名的表面一致性。 </w:t>
      </w:r>
    </w:p>
    <w:p w14:paraId="5FA90B85">
      <w:pPr>
        <w:pStyle w:val="8"/>
        <w:spacing w:before="0" w:beforeAutospacing="0" w:after="0" w:afterAutospacing="0" w:line="360" w:lineRule="auto"/>
        <w:ind w:firstLine="420"/>
        <w:rPr>
          <w:sz w:val="21"/>
          <w:szCs w:val="21"/>
        </w:rPr>
      </w:pPr>
      <w:r>
        <w:rPr>
          <w:rFonts w:hint="eastAsia"/>
          <w:sz w:val="21"/>
          <w:szCs w:val="21"/>
        </w:rPr>
        <w:t xml:space="preserve">（3）投资指令的执行 </w:t>
      </w:r>
    </w:p>
    <w:p w14:paraId="35B75E17">
      <w:pPr>
        <w:pStyle w:val="8"/>
        <w:spacing w:before="0" w:beforeAutospacing="0" w:after="0" w:afterAutospacing="0" w:line="360" w:lineRule="auto"/>
        <w:ind w:firstLine="420"/>
        <w:rPr>
          <w:sz w:val="21"/>
          <w:szCs w:val="21"/>
        </w:rPr>
      </w:pPr>
      <w:r>
        <w:rPr>
          <w:rFonts w:hint="eastAsia"/>
          <w:sz w:val="21"/>
          <w:szCs w:val="21"/>
        </w:rPr>
        <w:t xml:space="preserve">基金托管人根据本协议的规定验证投资指令后，应及时执行。 </w:t>
      </w:r>
    </w:p>
    <w:p w14:paraId="6D111A78">
      <w:pPr>
        <w:pStyle w:val="8"/>
        <w:spacing w:before="0" w:beforeAutospacing="0" w:after="0" w:afterAutospacing="0" w:line="360" w:lineRule="auto"/>
        <w:ind w:firstLine="420"/>
        <w:rPr>
          <w:sz w:val="21"/>
          <w:szCs w:val="21"/>
        </w:rPr>
      </w:pPr>
      <w:r>
        <w:rPr>
          <w:rFonts w:hint="eastAsia"/>
          <w:sz w:val="21"/>
          <w:szCs w:val="21"/>
        </w:rPr>
        <w:t xml:space="preserve">若因基金托管人过错致使资金未能及时到账或者投资指令执行差错所造成的损失由基金托管人承担。 </w:t>
      </w:r>
    </w:p>
    <w:p w14:paraId="03CF99B5">
      <w:pPr>
        <w:pStyle w:val="8"/>
        <w:spacing w:before="0" w:beforeAutospacing="0" w:after="0" w:afterAutospacing="0" w:line="360" w:lineRule="auto"/>
        <w:ind w:firstLine="420"/>
        <w:rPr>
          <w:sz w:val="21"/>
          <w:szCs w:val="21"/>
        </w:rPr>
      </w:pPr>
      <w:r>
        <w:rPr>
          <w:rFonts w:hint="eastAsia"/>
          <w:sz w:val="21"/>
          <w:szCs w:val="21"/>
        </w:rPr>
        <w:t xml:space="preserve">若基金托管人未能执行或仅可部分执行投资指令（无论因基金托管人原因还是基金管理人原因），基金托管人应及时电话通知基金管理人。 </w:t>
      </w:r>
    </w:p>
    <w:p w14:paraId="222F8879">
      <w:pPr>
        <w:pStyle w:val="8"/>
        <w:spacing w:before="0" w:beforeAutospacing="0" w:after="0" w:afterAutospacing="0" w:line="360" w:lineRule="auto"/>
        <w:ind w:firstLine="420"/>
        <w:rPr>
          <w:sz w:val="21"/>
          <w:szCs w:val="21"/>
        </w:rPr>
      </w:pPr>
      <w:r>
        <w:rPr>
          <w:rFonts w:hint="eastAsia"/>
          <w:sz w:val="21"/>
          <w:szCs w:val="21"/>
        </w:rPr>
        <w:t xml:space="preserve">4.资金划拨、账目核对及到期兑付 </w:t>
      </w:r>
    </w:p>
    <w:p w14:paraId="1762D1A2">
      <w:pPr>
        <w:pStyle w:val="8"/>
        <w:spacing w:before="0" w:beforeAutospacing="0" w:after="0" w:afterAutospacing="0" w:line="360" w:lineRule="auto"/>
        <w:ind w:firstLine="420"/>
        <w:rPr>
          <w:sz w:val="21"/>
          <w:szCs w:val="21"/>
        </w:rPr>
      </w:pPr>
      <w:r>
        <w:rPr>
          <w:rFonts w:hint="eastAsia"/>
          <w:sz w:val="21"/>
          <w:szCs w:val="21"/>
        </w:rPr>
        <w:t xml:space="preserve">（1）资金划拨 </w:t>
      </w:r>
    </w:p>
    <w:p w14:paraId="71A9433A">
      <w:pPr>
        <w:pStyle w:val="8"/>
        <w:spacing w:before="0" w:beforeAutospacing="0" w:after="0" w:afterAutospacing="0" w:line="360" w:lineRule="auto"/>
        <w:ind w:firstLine="420"/>
        <w:rPr>
          <w:sz w:val="21"/>
          <w:szCs w:val="21"/>
        </w:rPr>
      </w:pPr>
      <w:r>
        <w:rPr>
          <w:rFonts w:hint="eastAsia"/>
          <w:sz w:val="21"/>
          <w:szCs w:val="21"/>
        </w:rPr>
        <w:t xml:space="preserve">基金管理人的划拨指令，经基金托管人审核无误后应在规定期限内执行。存款资金只能存放于存款银行总行或者其授权分行指定的分支机构。 </w:t>
      </w:r>
    </w:p>
    <w:p w14:paraId="243CBB5E">
      <w:pPr>
        <w:pStyle w:val="8"/>
        <w:spacing w:before="0" w:beforeAutospacing="0" w:after="0" w:afterAutospacing="0" w:line="360" w:lineRule="auto"/>
        <w:ind w:firstLine="420"/>
        <w:rPr>
          <w:sz w:val="21"/>
          <w:szCs w:val="21"/>
        </w:rPr>
      </w:pPr>
      <w:r>
        <w:rPr>
          <w:rFonts w:hint="eastAsia"/>
          <w:sz w:val="21"/>
          <w:szCs w:val="21"/>
        </w:rPr>
        <w:t xml:space="preserve">（2）存款证实书等存款凭证领取 </w:t>
      </w:r>
    </w:p>
    <w:p w14:paraId="63BD8AEA">
      <w:pPr>
        <w:pStyle w:val="8"/>
        <w:spacing w:before="0" w:beforeAutospacing="0" w:after="0" w:afterAutospacing="0" w:line="360" w:lineRule="auto"/>
        <w:ind w:firstLine="420"/>
        <w:rPr>
          <w:sz w:val="21"/>
          <w:szCs w:val="21"/>
        </w:rPr>
      </w:pPr>
      <w:r>
        <w:rPr>
          <w:rFonts w:hint="eastAsia"/>
          <w:sz w:val="21"/>
          <w:szCs w:val="21"/>
        </w:rPr>
        <w:t xml:space="preserve">存款银行分支机构应为基金开具存款证实书或其他有效存款凭证名称，该存款证实书为基金托管人存款确认或到期提款的有效凭证。资金到账当日，由存款银行分支机构指定的会计主管传真一份存款证实书复印件并与基金托管人电话确认收妥后，用特快专递将存款证实书原件寄送基金托管人指定联系人；若开户行代为保管存单的，由存款行分支机构指定会计主管传真一份存款证实书复印件并与基金托管人电话确认收妥。 </w:t>
      </w:r>
    </w:p>
    <w:p w14:paraId="6B7E62A1">
      <w:pPr>
        <w:pStyle w:val="8"/>
        <w:spacing w:before="0" w:beforeAutospacing="0" w:after="0" w:afterAutospacing="0" w:line="360" w:lineRule="auto"/>
        <w:ind w:firstLine="420"/>
        <w:rPr>
          <w:sz w:val="21"/>
          <w:szCs w:val="21"/>
        </w:rPr>
      </w:pPr>
      <w:r>
        <w:rPr>
          <w:rFonts w:hint="eastAsia"/>
          <w:sz w:val="21"/>
          <w:szCs w:val="21"/>
        </w:rPr>
        <w:t xml:space="preserve">（3）存款证实书等存款凭证的遗失补办 </w:t>
      </w:r>
    </w:p>
    <w:p w14:paraId="24BF701A">
      <w:pPr>
        <w:pStyle w:val="8"/>
        <w:spacing w:before="0" w:beforeAutospacing="0" w:after="0" w:afterAutospacing="0" w:line="360" w:lineRule="auto"/>
        <w:ind w:firstLine="420"/>
        <w:rPr>
          <w:sz w:val="21"/>
          <w:szCs w:val="21"/>
        </w:rPr>
      </w:pPr>
      <w:r>
        <w:rPr>
          <w:rFonts w:hint="eastAsia"/>
          <w:sz w:val="21"/>
          <w:szCs w:val="21"/>
        </w:rPr>
        <w:t xml:space="preserve">存款证实书在邮寄过程中遗失的，由基金托管人向存款银行提出补办申请，基金管理人应督促存款银行尽快补办存款证实书或基金托管人兑付时可作为兑付依据的存款证明文件，并按以上（2）的方式特快专递给托管人。 </w:t>
      </w:r>
    </w:p>
    <w:p w14:paraId="75E8827D">
      <w:pPr>
        <w:pStyle w:val="8"/>
        <w:spacing w:before="0" w:beforeAutospacing="0" w:after="0" w:afterAutospacing="0" w:line="360" w:lineRule="auto"/>
        <w:ind w:firstLine="420"/>
        <w:rPr>
          <w:sz w:val="21"/>
          <w:szCs w:val="21"/>
        </w:rPr>
      </w:pPr>
      <w:r>
        <w:rPr>
          <w:rFonts w:hint="eastAsia"/>
          <w:sz w:val="21"/>
          <w:szCs w:val="21"/>
        </w:rPr>
        <w:t xml:space="preserve">（4）账目核对 </w:t>
      </w:r>
    </w:p>
    <w:p w14:paraId="1B48ED53">
      <w:pPr>
        <w:pStyle w:val="8"/>
        <w:spacing w:before="0" w:beforeAutospacing="0" w:after="0" w:afterAutospacing="0" w:line="360" w:lineRule="auto"/>
        <w:ind w:firstLine="420"/>
        <w:rPr>
          <w:sz w:val="21"/>
          <w:szCs w:val="21"/>
        </w:rPr>
      </w:pPr>
      <w:r>
        <w:rPr>
          <w:rFonts w:hint="eastAsia"/>
          <w:sz w:val="21"/>
          <w:szCs w:val="21"/>
        </w:rPr>
        <w:t xml:space="preserve">每个工作日，基金管理人应与基金托管人核对各项银行存款投资余额及应计利息。 </w:t>
      </w:r>
    </w:p>
    <w:p w14:paraId="2051F3C8">
      <w:pPr>
        <w:pStyle w:val="8"/>
        <w:spacing w:before="0" w:beforeAutospacing="0" w:after="0" w:afterAutospacing="0" w:line="360" w:lineRule="auto"/>
        <w:ind w:firstLine="420"/>
        <w:rPr>
          <w:sz w:val="21"/>
          <w:szCs w:val="21"/>
        </w:rPr>
      </w:pPr>
      <w:r>
        <w:rPr>
          <w:rFonts w:hint="eastAsia"/>
          <w:sz w:val="21"/>
          <w:szCs w:val="21"/>
        </w:rPr>
        <w:t>定期存款行应配合基金托管人</w:t>
      </w:r>
      <w:bookmarkStart w:id="208" w:name="field_0_trustorgfullname_3"/>
      <w:r>
        <w:rPr>
          <w:rFonts w:hint="eastAsia"/>
          <w:sz w:val="21"/>
          <w:szCs w:val="21"/>
        </w:rPr>
        <w:t>杭州银行股份有限公司</w:t>
      </w:r>
      <w:bookmarkEnd w:id="208"/>
      <w:r>
        <w:rPr>
          <w:rFonts w:hint="eastAsia"/>
          <w:sz w:val="21"/>
          <w:szCs w:val="21"/>
        </w:rPr>
        <w:t xml:space="preserve">对“存款证实书”的询证，并在询证函上加盖定期存款行公章寄送至基金托管人指定联系人。 </w:t>
      </w:r>
    </w:p>
    <w:p w14:paraId="2D2E5AC0">
      <w:pPr>
        <w:pStyle w:val="8"/>
        <w:spacing w:before="0" w:beforeAutospacing="0" w:after="0" w:afterAutospacing="0" w:line="360" w:lineRule="auto"/>
        <w:ind w:firstLine="420"/>
        <w:rPr>
          <w:sz w:val="21"/>
          <w:szCs w:val="21"/>
        </w:rPr>
      </w:pPr>
      <w:r>
        <w:rPr>
          <w:rFonts w:hint="eastAsia"/>
          <w:sz w:val="21"/>
          <w:szCs w:val="21"/>
        </w:rPr>
        <w:t xml:space="preserve">（5）到期兑付 </w:t>
      </w:r>
    </w:p>
    <w:p w14:paraId="7B4B6C04">
      <w:pPr>
        <w:pStyle w:val="8"/>
        <w:spacing w:before="0" w:beforeAutospacing="0" w:after="0" w:afterAutospacing="0" w:line="360" w:lineRule="auto"/>
        <w:ind w:firstLine="420"/>
        <w:rPr>
          <w:sz w:val="21"/>
          <w:szCs w:val="21"/>
        </w:rPr>
      </w:pPr>
      <w:r>
        <w:rPr>
          <w:rFonts w:hint="eastAsia"/>
          <w:sz w:val="21"/>
          <w:szCs w:val="21"/>
        </w:rPr>
        <w:t xml:space="preserve">基金管理人提前通知基金托管人通过特快专递将存款证实书原件或其他存款证明原件寄给存款银行分支机构指定的会计主管。存款行未收到存款证实书原件的，应与基金托管人电话询问。存款到期前基金管理人与存款行确认存款证实书收到并于到期日兑付存款本息事宜。 </w:t>
      </w:r>
    </w:p>
    <w:p w14:paraId="2B9E63FE">
      <w:pPr>
        <w:pStyle w:val="8"/>
        <w:spacing w:before="0" w:beforeAutospacing="0" w:after="0" w:afterAutospacing="0" w:line="360" w:lineRule="auto"/>
        <w:ind w:firstLine="420"/>
        <w:rPr>
          <w:sz w:val="21"/>
          <w:szCs w:val="21"/>
        </w:rPr>
      </w:pPr>
      <w:r>
        <w:rPr>
          <w:rFonts w:hint="eastAsia"/>
          <w:sz w:val="21"/>
          <w:szCs w:val="21"/>
        </w:rPr>
        <w:t xml:space="preserve">基金托管人在存款到期日未收到存款本息或存款本息金额不符时，通知基金管理人与存款行接洽存款到账时间及利息补付事宜。基金管理人应将接洽结果告知基金托管人，基金托管人收妥存款本息的当日通知基金管理人。 </w:t>
      </w:r>
    </w:p>
    <w:p w14:paraId="3A7DF3F5">
      <w:pPr>
        <w:pStyle w:val="8"/>
        <w:spacing w:before="0" w:beforeAutospacing="0" w:after="0" w:afterAutospacing="0" w:line="360" w:lineRule="auto"/>
        <w:ind w:firstLine="420"/>
        <w:rPr>
          <w:sz w:val="21"/>
          <w:szCs w:val="21"/>
        </w:rPr>
      </w:pPr>
      <w:r>
        <w:rPr>
          <w:rFonts w:hint="eastAsia"/>
          <w:sz w:val="21"/>
          <w:szCs w:val="21"/>
        </w:rPr>
        <w:t xml:space="preserve">存款证实书在邮寄过程中遗失的，存款行应立即通知基金托管人，基金托管人在原存款证实书复印件上加盖公章并出具相关证明文件后，与存款行指定会计主管电话确认后，存款行分支机构应在到期日将存款本息划至指定基金的资金账户。 </w:t>
      </w:r>
    </w:p>
    <w:p w14:paraId="1440B17C">
      <w:pPr>
        <w:pStyle w:val="8"/>
        <w:spacing w:before="0" w:beforeAutospacing="0" w:after="0" w:afterAutospacing="0" w:line="360" w:lineRule="auto"/>
        <w:ind w:firstLine="420"/>
        <w:rPr>
          <w:sz w:val="21"/>
          <w:szCs w:val="21"/>
        </w:rPr>
      </w:pPr>
      <w:r>
        <w:rPr>
          <w:rFonts w:hint="eastAsia"/>
          <w:sz w:val="21"/>
          <w:szCs w:val="21"/>
        </w:rPr>
        <w:t xml:space="preserve">如果存款到期日为法定节假日，存款行顺延至到期后第一个工作日支付，存款行需按当期利率和实际延期天数支付延期利息。 </w:t>
      </w:r>
    </w:p>
    <w:p w14:paraId="65DAA7F0">
      <w:pPr>
        <w:pStyle w:val="8"/>
        <w:spacing w:before="0" w:beforeAutospacing="0" w:after="0" w:afterAutospacing="0" w:line="360" w:lineRule="auto"/>
        <w:ind w:firstLine="420"/>
        <w:rPr>
          <w:sz w:val="21"/>
          <w:szCs w:val="21"/>
        </w:rPr>
      </w:pPr>
      <w:r>
        <w:rPr>
          <w:rFonts w:hint="eastAsia"/>
          <w:sz w:val="21"/>
          <w:szCs w:val="21"/>
        </w:rPr>
        <w:t xml:space="preserve">5.提前支取 </w:t>
      </w:r>
    </w:p>
    <w:p w14:paraId="23DCB920">
      <w:pPr>
        <w:pStyle w:val="8"/>
        <w:spacing w:before="0" w:beforeAutospacing="0" w:after="0" w:afterAutospacing="0" w:line="360" w:lineRule="auto"/>
        <w:ind w:firstLine="420"/>
        <w:rPr>
          <w:sz w:val="21"/>
          <w:szCs w:val="21"/>
        </w:rPr>
      </w:pPr>
      <w:r>
        <w:rPr>
          <w:rFonts w:hint="eastAsia"/>
          <w:sz w:val="21"/>
          <w:szCs w:val="21"/>
        </w:rPr>
        <w:t xml:space="preserve">如果在存款期限内，由于基金规模发生缩减的原因或者出于流动性管理的需要等原因，经向存款行说明理由，基金管理人可以提前支取全部或部分资金，但应继续按原有利率计提利息，因提前支取导致的利息损失应由基金管理人承担。 </w:t>
      </w:r>
    </w:p>
    <w:p w14:paraId="2D6BECA2">
      <w:pPr>
        <w:pStyle w:val="8"/>
        <w:spacing w:before="0" w:beforeAutospacing="0" w:after="0" w:afterAutospacing="0" w:line="360" w:lineRule="auto"/>
        <w:ind w:firstLine="420"/>
        <w:rPr>
          <w:sz w:val="21"/>
          <w:szCs w:val="21"/>
        </w:rPr>
      </w:pPr>
      <w:r>
        <w:rPr>
          <w:rFonts w:hint="eastAsia"/>
          <w:sz w:val="21"/>
          <w:szCs w:val="21"/>
        </w:rPr>
        <w:t xml:space="preserve">提前支取的具体事项按照基金管理人与存款行签订的《存款协议书》执行。 </w:t>
      </w:r>
    </w:p>
    <w:p w14:paraId="4CA0F286">
      <w:pPr>
        <w:pStyle w:val="8"/>
        <w:spacing w:before="0" w:beforeAutospacing="0" w:after="0" w:afterAutospacing="0" w:line="360" w:lineRule="auto"/>
        <w:ind w:firstLine="420"/>
        <w:rPr>
          <w:sz w:val="21"/>
          <w:szCs w:val="21"/>
        </w:rPr>
      </w:pPr>
      <w:r>
        <w:rPr>
          <w:rFonts w:hint="eastAsia"/>
          <w:sz w:val="21"/>
          <w:szCs w:val="21"/>
        </w:rPr>
        <w:t xml:space="preserve">6.基金投资银行存款的相关文件保管 </w:t>
      </w:r>
    </w:p>
    <w:p w14:paraId="558CBDB8">
      <w:pPr>
        <w:pStyle w:val="8"/>
        <w:spacing w:before="0" w:beforeAutospacing="0" w:after="0" w:afterAutospacing="0" w:line="360" w:lineRule="auto"/>
        <w:ind w:firstLine="420"/>
        <w:rPr>
          <w:sz w:val="21"/>
          <w:szCs w:val="21"/>
        </w:rPr>
      </w:pPr>
      <w:r>
        <w:rPr>
          <w:rFonts w:hint="eastAsia"/>
          <w:sz w:val="21"/>
          <w:szCs w:val="21"/>
        </w:rPr>
        <w:t xml:space="preserve">（1）基金资金存入存款银行当日，存款行分支机构开具存款证实书或其他有效存款凭证，同时传真复印件给基金托管人和基金管理人，并寄送原件给基金托管人代为保管；若存款行代为保管存单原件，存款行传真复印件给基金托管人和基金管理人 </w:t>
      </w:r>
    </w:p>
    <w:p w14:paraId="791DA5C8">
      <w:pPr>
        <w:pStyle w:val="8"/>
        <w:spacing w:before="0" w:beforeAutospacing="0" w:after="0" w:afterAutospacing="0" w:line="360" w:lineRule="auto"/>
        <w:ind w:firstLine="420"/>
        <w:rPr>
          <w:sz w:val="21"/>
          <w:szCs w:val="21"/>
        </w:rPr>
      </w:pPr>
      <w:r>
        <w:rPr>
          <w:rFonts w:hint="eastAsia"/>
          <w:sz w:val="21"/>
          <w:szCs w:val="21"/>
        </w:rPr>
        <w:t xml:space="preserve">（2）存款证实书或其他有效存款凭证原件由基金托管人保管。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基金管理人拒不执行造成基金财产的损失，基金托管人不承担任何责任。 </w:t>
      </w:r>
    </w:p>
    <w:p w14:paraId="1CCDF3C4">
      <w:pPr>
        <w:pStyle w:val="8"/>
        <w:spacing w:before="0" w:beforeAutospacing="0" w:after="0" w:afterAutospacing="0" w:line="360" w:lineRule="auto"/>
        <w:ind w:firstLine="420"/>
        <w:rPr>
          <w:sz w:val="21"/>
          <w:szCs w:val="21"/>
        </w:rPr>
      </w:pPr>
      <w:r>
        <w:rPr>
          <w:rFonts w:hint="eastAsia"/>
          <w:sz w:val="21"/>
          <w:szCs w:val="21"/>
        </w:rPr>
        <w:t xml:space="preserve">（四） 本基金投资中小企业私募债券的应符合证监会有关法律法规的规定。 </w:t>
      </w:r>
    </w:p>
    <w:p w14:paraId="6D6699F8">
      <w:pPr>
        <w:pStyle w:val="8"/>
        <w:spacing w:before="0" w:beforeAutospacing="0" w:after="0" w:afterAutospacing="0" w:line="360" w:lineRule="auto"/>
        <w:ind w:firstLine="420"/>
        <w:rPr>
          <w:sz w:val="21"/>
          <w:szCs w:val="21"/>
        </w:rPr>
      </w:pPr>
      <w:r>
        <w:rPr>
          <w:rFonts w:hint="eastAsia"/>
          <w:sz w:val="21"/>
          <w:szCs w:val="21"/>
        </w:rPr>
        <w:t xml:space="preserve">1.  基金管理人应在基金首次投资中小企业私募债券前，向基金托管人提供经基金管理人董事会批准的有关基金投资中小企业私募债券的投资决策流程、风险控制制度、流动性风险处置预案、信用风险处置预案等。 </w:t>
      </w:r>
    </w:p>
    <w:p w14:paraId="472B2C4A">
      <w:pPr>
        <w:pStyle w:val="8"/>
        <w:spacing w:before="0" w:beforeAutospacing="0" w:after="0" w:afterAutospacing="0" w:line="360" w:lineRule="auto"/>
        <w:ind w:firstLine="420"/>
        <w:rPr>
          <w:sz w:val="21"/>
          <w:szCs w:val="21"/>
        </w:rPr>
      </w:pPr>
      <w:r>
        <w:rPr>
          <w:rFonts w:hint="eastAsia"/>
          <w:sz w:val="21"/>
          <w:szCs w:val="21"/>
        </w:rPr>
        <w:t xml:space="preserve">2.  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 </w:t>
      </w:r>
    </w:p>
    <w:p w14:paraId="6A411EF3">
      <w:pPr>
        <w:pStyle w:val="8"/>
        <w:spacing w:before="0" w:beforeAutospacing="0" w:after="0" w:afterAutospacing="0" w:line="360" w:lineRule="auto"/>
        <w:ind w:firstLine="420"/>
        <w:rPr>
          <w:sz w:val="21"/>
          <w:szCs w:val="21"/>
        </w:rPr>
      </w:pPr>
      <w:r>
        <w:rPr>
          <w:rFonts w:hint="eastAsia"/>
          <w:sz w:val="21"/>
          <w:szCs w:val="21"/>
        </w:rPr>
        <w:t xml:space="preserve">3.  基金管理人对本基金投资中小企业私募债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 </w:t>
      </w:r>
    </w:p>
    <w:p w14:paraId="400D2CD8">
      <w:pPr>
        <w:pStyle w:val="8"/>
        <w:spacing w:before="0" w:beforeAutospacing="0" w:after="0" w:afterAutospacing="0" w:line="360" w:lineRule="auto"/>
        <w:ind w:firstLine="420"/>
        <w:rPr>
          <w:sz w:val="21"/>
          <w:szCs w:val="21"/>
        </w:rPr>
      </w:pPr>
      <w:r>
        <w:rPr>
          <w:rFonts w:hint="eastAsia"/>
          <w:sz w:val="21"/>
          <w:szCs w:val="21"/>
        </w:rPr>
        <w:t xml:space="preserve">4. 基金托管人有权根据基金管理人制定的风险控制制度对基金管理人投资中小企业私募债券的额度和比例进行监督。如果基金管理人对相应风险控制制度进行修改的，应及时修订后通知基金托管人。 </w:t>
      </w:r>
    </w:p>
    <w:p w14:paraId="4A8AAB3E">
      <w:pPr>
        <w:pStyle w:val="8"/>
        <w:spacing w:before="0" w:beforeAutospacing="0" w:after="0" w:afterAutospacing="0" w:line="360" w:lineRule="auto"/>
        <w:ind w:firstLine="420"/>
        <w:rPr>
          <w:sz w:val="21"/>
          <w:szCs w:val="21"/>
        </w:rPr>
      </w:pPr>
      <w:r>
        <w:rPr>
          <w:rFonts w:hint="eastAsia"/>
          <w:sz w:val="21"/>
          <w:szCs w:val="21"/>
        </w:rPr>
        <w:t xml:space="preserve">5.  基金托管人对基金投资中小企业私募债券是否符合比例限制进行事后监督，如发现异常情况，应及时以书面形式通知基金管理人。基金管理人应积极配合和协助基金托管人的监督和核查。基金管理人接到通知后应及时核对并向基金托管人说明原因和解决措施。基金托管人有权随时对所通知事项进行复查,督促基金管理人改正。基金管理人违规事项未能在限期内纠正的，基金托管人应报告中国证监会。 </w:t>
      </w:r>
    </w:p>
    <w:p w14:paraId="130A652A">
      <w:pPr>
        <w:pStyle w:val="8"/>
        <w:spacing w:before="0" w:beforeAutospacing="0" w:after="0" w:afterAutospacing="0" w:line="360" w:lineRule="auto"/>
        <w:ind w:firstLine="420"/>
        <w:rPr>
          <w:sz w:val="21"/>
          <w:szCs w:val="21"/>
        </w:rPr>
      </w:pPr>
      <w:r>
        <w:rPr>
          <w:rFonts w:hint="eastAsia"/>
          <w:sz w:val="21"/>
          <w:szCs w:val="21"/>
        </w:rPr>
        <w:t xml:space="preserve">6.  如因市场变化，基金管理人投资的中小企业私募债券超过投资比例的，基金托管人有权要求基金管理人在10个交易日内将中小企业私募债券调整至规定的比例要求。 </w:t>
      </w:r>
    </w:p>
    <w:p w14:paraId="2BE9F47E">
      <w:pPr>
        <w:pStyle w:val="8"/>
        <w:spacing w:before="0" w:beforeAutospacing="0" w:after="0" w:afterAutospacing="0" w:line="360" w:lineRule="auto"/>
        <w:ind w:firstLine="420"/>
        <w:rPr>
          <w:sz w:val="21"/>
          <w:szCs w:val="21"/>
        </w:rPr>
      </w:pPr>
      <w:r>
        <w:rPr>
          <w:rFonts w:hint="eastAsia"/>
          <w:sz w:val="21"/>
          <w:szCs w:val="21"/>
        </w:rPr>
        <w:t xml:space="preserve">（五） 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前已与本次剔除的交易对手所进行但尚未结算的交易，仍应按照协议进行结算。如基金管理人根据市场需要临时调整银行间债券交易对手名单及结算方式的，应向基金托管人说明理由，并在与交易对手发生交易前3个交易日内与基金托管人协商解决。 </w:t>
      </w:r>
    </w:p>
    <w:p w14:paraId="5C1CFF19">
      <w:pPr>
        <w:pStyle w:val="8"/>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 </w:t>
      </w:r>
    </w:p>
    <w:p w14:paraId="291CF5DD">
      <w:pPr>
        <w:pStyle w:val="8"/>
        <w:spacing w:before="0" w:beforeAutospacing="0" w:after="0" w:afterAutospacing="0" w:line="360" w:lineRule="auto"/>
        <w:ind w:firstLine="420"/>
        <w:rPr>
          <w:sz w:val="21"/>
          <w:szCs w:val="21"/>
        </w:rPr>
      </w:pPr>
      <w:r>
        <w:rPr>
          <w:rFonts w:hint="eastAsia"/>
          <w:sz w:val="21"/>
          <w:szCs w:val="21"/>
        </w:rPr>
        <w:t xml:space="preserve">（六） 基金管理人应当对投资中期票据业务进行研究，认真评估中期票据投资业务的风险，本着审慎、勤勉尽责的原则进行中期票据的投资业务。基金管理人根据法律、法规、监管部门的规定，制定了经公司董事会批准的《中期票据投资管理办法》（以下简称《制度》），以规范对中期票据的投资决策流程、风险控制。基金管理人《制度》的内容与本协议不一致的，以本协议的约定为准。 </w:t>
      </w:r>
    </w:p>
    <w:p w14:paraId="47EE3F16">
      <w:pPr>
        <w:pStyle w:val="8"/>
        <w:spacing w:before="0" w:beforeAutospacing="0" w:after="0" w:afterAutospacing="0" w:line="360" w:lineRule="auto"/>
        <w:ind w:firstLine="420"/>
        <w:rPr>
          <w:sz w:val="21"/>
          <w:szCs w:val="21"/>
        </w:rPr>
      </w:pPr>
      <w:r>
        <w:rPr>
          <w:rFonts w:hint="eastAsia"/>
          <w:sz w:val="21"/>
          <w:szCs w:val="21"/>
        </w:rPr>
        <w:t xml:space="preserve">1.基金投资中期票据应遵循以下投资限制： </w:t>
      </w:r>
    </w:p>
    <w:p w14:paraId="1E7EBEC4">
      <w:pPr>
        <w:pStyle w:val="8"/>
        <w:spacing w:before="0" w:beforeAutospacing="0" w:after="0" w:afterAutospacing="0" w:line="360" w:lineRule="auto"/>
        <w:ind w:firstLine="420"/>
        <w:rPr>
          <w:sz w:val="21"/>
          <w:szCs w:val="21"/>
        </w:rPr>
      </w:pPr>
      <w:r>
        <w:rPr>
          <w:rFonts w:hint="eastAsia"/>
          <w:sz w:val="21"/>
          <w:szCs w:val="21"/>
        </w:rPr>
        <w:t xml:space="preserve">（1）中期票据属于固定收益类证券，基金投资中期票据应符合法律、法规及《基金合同》中关于该基金投资固定收益类证券的相关比例； </w:t>
      </w:r>
    </w:p>
    <w:p w14:paraId="474AB4E3">
      <w:pPr>
        <w:pStyle w:val="8"/>
        <w:spacing w:before="0" w:beforeAutospacing="0" w:after="0" w:afterAutospacing="0" w:line="360" w:lineRule="auto"/>
        <w:ind w:firstLine="420"/>
        <w:rPr>
          <w:sz w:val="21"/>
          <w:szCs w:val="21"/>
        </w:rPr>
      </w:pPr>
      <w:r>
        <w:rPr>
          <w:rFonts w:hint="eastAsia"/>
          <w:sz w:val="21"/>
          <w:szCs w:val="21"/>
        </w:rPr>
        <w:t xml:space="preserve">（2）基金管理人管理的全部公募基金投资于一家企业发行的单期中期票据合计不超过该期证券的10%。 </w:t>
      </w:r>
    </w:p>
    <w:p w14:paraId="0235B994">
      <w:pPr>
        <w:pStyle w:val="8"/>
        <w:spacing w:before="0" w:beforeAutospacing="0" w:after="0" w:afterAutospacing="0" w:line="360" w:lineRule="auto"/>
        <w:ind w:firstLine="420"/>
        <w:rPr>
          <w:sz w:val="21"/>
          <w:szCs w:val="21"/>
        </w:rPr>
      </w:pPr>
      <w:r>
        <w:rPr>
          <w:rFonts w:hint="eastAsia"/>
          <w:sz w:val="21"/>
          <w:szCs w:val="21"/>
        </w:rPr>
        <w:t xml:space="preserve">2.基金托管人对基金管理人流动性风险处置的监督职责限于： </w:t>
      </w:r>
    </w:p>
    <w:p w14:paraId="7FE2AD12">
      <w:pPr>
        <w:pStyle w:val="8"/>
        <w:spacing w:before="0" w:beforeAutospacing="0" w:after="0" w:afterAutospacing="0" w:line="360" w:lineRule="auto"/>
        <w:ind w:firstLine="420"/>
        <w:rPr>
          <w:sz w:val="21"/>
          <w:szCs w:val="21"/>
        </w:rPr>
      </w:pPr>
      <w:r>
        <w:rPr>
          <w:rFonts w:hint="eastAsia"/>
          <w:sz w:val="21"/>
          <w:szCs w:val="21"/>
        </w:rPr>
        <w:t xml:space="preserve">基金托管人对基金投资中期票据是否符合比例限制进行事后监督，如发现异常情况，应及时以书面形式通知基金管理人。基金管理人应积极配合和协助基金托管人的监督和核查。基金管理人接到通知后应及时核对并向基金托管人说明原因和解决措施。基金托管人有权随时对所通知事项进行复查,督促基金管理人改正。基金管理人违规事项未能在限期内纠正的，基金托管人应报告中国证监会。 </w:t>
      </w:r>
    </w:p>
    <w:p w14:paraId="0461B437">
      <w:pPr>
        <w:pStyle w:val="8"/>
        <w:spacing w:before="0" w:beforeAutospacing="0" w:after="0" w:afterAutospacing="0" w:line="360" w:lineRule="auto"/>
        <w:ind w:firstLine="420"/>
        <w:rPr>
          <w:sz w:val="21"/>
          <w:szCs w:val="21"/>
        </w:rPr>
      </w:pPr>
      <w:r>
        <w:rPr>
          <w:rFonts w:hint="eastAsia"/>
          <w:sz w:val="21"/>
          <w:szCs w:val="21"/>
        </w:rPr>
        <w:t xml:space="preserve">3.如因市场变化，基金管理人投资的中期票据超过投资比例的，基金托管人有权要求基金管理人在10个交易日内将中期票据调整至规定的比例要求。 </w:t>
      </w:r>
    </w:p>
    <w:p w14:paraId="1361A1EA">
      <w:pPr>
        <w:pStyle w:val="8"/>
        <w:spacing w:before="0" w:beforeAutospacing="0" w:after="0" w:afterAutospacing="0" w:line="360" w:lineRule="auto"/>
        <w:ind w:firstLine="420"/>
        <w:rPr>
          <w:sz w:val="21"/>
          <w:szCs w:val="21"/>
        </w:rPr>
      </w:pPr>
      <w:r>
        <w:rPr>
          <w:rFonts w:hint="eastAsia"/>
          <w:sz w:val="21"/>
          <w:szCs w:val="21"/>
        </w:rPr>
        <w:t xml:space="preserve">（七） 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14:paraId="3ACB7F77">
      <w:pPr>
        <w:pStyle w:val="8"/>
        <w:spacing w:before="0" w:beforeAutospacing="0" w:after="0" w:afterAutospacing="0" w:line="360" w:lineRule="auto"/>
        <w:ind w:firstLine="420"/>
        <w:rPr>
          <w:sz w:val="21"/>
          <w:szCs w:val="21"/>
        </w:rPr>
      </w:pPr>
      <w:r>
        <w:rPr>
          <w:rFonts w:hint="eastAsia"/>
          <w:sz w:val="21"/>
          <w:szCs w:val="21"/>
        </w:rPr>
        <w:t xml:space="preserve">（八） 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 </w:t>
      </w:r>
    </w:p>
    <w:p w14:paraId="0CAC7FB7">
      <w:pPr>
        <w:pStyle w:val="8"/>
        <w:spacing w:before="0" w:beforeAutospacing="0" w:after="0" w:afterAutospacing="0" w:line="360" w:lineRule="auto"/>
        <w:ind w:firstLine="420"/>
        <w:rPr>
          <w:sz w:val="21"/>
          <w:szCs w:val="21"/>
        </w:rPr>
      </w:pPr>
      <w:r>
        <w:rPr>
          <w:rFonts w:hint="eastAsia"/>
          <w:sz w:val="21"/>
          <w:szCs w:val="21"/>
        </w:rPr>
        <w:t xml:space="preserve">（九） 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33B959BA">
      <w:pPr>
        <w:pStyle w:val="8"/>
        <w:spacing w:before="0" w:beforeAutospacing="0" w:after="0" w:afterAutospacing="0" w:line="360" w:lineRule="auto"/>
        <w:ind w:firstLine="420"/>
        <w:rPr>
          <w:sz w:val="21"/>
          <w:szCs w:val="21"/>
        </w:rPr>
      </w:pPr>
      <w:r>
        <w:rPr>
          <w:rFonts w:hint="eastAsia"/>
          <w:sz w:val="21"/>
          <w:szCs w:val="21"/>
        </w:rPr>
        <w:t xml:space="preserve">（十） 若基金托管人发现基金管理人依据交易程序已经生效的指令违反法律、行政法规和其他有关规定，或者违反基金合同约定的，应当立即通知基金管理人及时纠正，由此造成的损失由基金管理人承担。 </w:t>
      </w:r>
    </w:p>
    <w:p w14:paraId="6042CD00">
      <w:pPr>
        <w:pStyle w:val="8"/>
        <w:spacing w:before="0" w:beforeAutospacing="0" w:after="0" w:afterAutospacing="0" w:line="360" w:lineRule="auto"/>
        <w:ind w:firstLine="420"/>
        <w:rPr>
          <w:sz w:val="21"/>
          <w:szCs w:val="21"/>
        </w:rPr>
      </w:pPr>
      <w:r>
        <w:rPr>
          <w:rFonts w:hint="eastAsia"/>
          <w:sz w:val="21"/>
          <w:szCs w:val="21"/>
        </w:rPr>
        <w:t xml:space="preserve">（十一）基金托管人发现基金管理人有重大违规行为，应及时报告中国证监会，同时通知基金管理人限期纠正。 </w:t>
      </w:r>
    </w:p>
    <w:p w14:paraId="15B5243F">
      <w:pPr>
        <w:pStyle w:val="8"/>
        <w:spacing w:before="0" w:beforeAutospacing="0" w:after="0" w:afterAutospacing="0" w:line="360" w:lineRule="auto"/>
        <w:ind w:firstLine="420"/>
        <w:rPr>
          <w:sz w:val="21"/>
          <w:szCs w:val="21"/>
        </w:rPr>
      </w:pPr>
      <w:r>
        <w:rPr>
          <w:rStyle w:val="12"/>
          <w:rFonts w:hint="eastAsia"/>
          <w:sz w:val="21"/>
          <w:szCs w:val="21"/>
        </w:rPr>
        <w:t>三、基金管理人对基金托管人的业务核查</w:t>
      </w:r>
    </w:p>
    <w:p w14:paraId="7102386E">
      <w:pPr>
        <w:pStyle w:val="8"/>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证券账户等投资所需账户、复核基金管理人计算的基金资产净值和各类基金份额净值、根据基金管理人指令办理清算交收、相关信息披露和监督基金投资运作等行为。 </w:t>
      </w:r>
    </w:p>
    <w:p w14:paraId="2A0B2657">
      <w:pPr>
        <w:pStyle w:val="8"/>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 </w:t>
      </w:r>
    </w:p>
    <w:p w14:paraId="4582C6D1">
      <w:pPr>
        <w:pStyle w:val="8"/>
        <w:spacing w:before="0" w:beforeAutospacing="0" w:after="0" w:afterAutospacing="0" w:line="360" w:lineRule="auto"/>
        <w:ind w:firstLine="420"/>
        <w:rPr>
          <w:sz w:val="21"/>
          <w:szCs w:val="21"/>
        </w:rPr>
      </w:pPr>
      <w:r>
        <w:rPr>
          <w:rFonts w:hint="eastAsia"/>
          <w:sz w:val="21"/>
          <w:szCs w:val="21"/>
        </w:rPr>
        <w:t xml:space="preserve">（三）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 </w:t>
      </w:r>
    </w:p>
    <w:p w14:paraId="2B0C1368">
      <w:pPr>
        <w:pStyle w:val="8"/>
        <w:spacing w:before="0" w:beforeAutospacing="0" w:after="0" w:afterAutospacing="0" w:line="360" w:lineRule="auto"/>
        <w:ind w:firstLine="420"/>
        <w:rPr>
          <w:sz w:val="21"/>
          <w:szCs w:val="21"/>
        </w:rPr>
      </w:pPr>
      <w:r>
        <w:rPr>
          <w:rFonts w:hint="eastAsia"/>
          <w:sz w:val="21"/>
          <w:szCs w:val="21"/>
        </w:rPr>
        <w:t xml:space="preserve">（四）基金管理人发现基金托管人有重大违规行为，应及时报告中国证监会，同时通知基金托管人限期纠正，并将纠正结果报告中国证监会。 </w:t>
      </w:r>
    </w:p>
    <w:p w14:paraId="62E35E67">
      <w:pPr>
        <w:pStyle w:val="8"/>
        <w:spacing w:before="0" w:beforeAutospacing="0" w:after="0" w:afterAutospacing="0" w:line="360" w:lineRule="auto"/>
        <w:ind w:firstLine="420"/>
        <w:rPr>
          <w:sz w:val="21"/>
          <w:szCs w:val="21"/>
        </w:rPr>
      </w:pPr>
      <w:r>
        <w:rPr>
          <w:rStyle w:val="12"/>
          <w:rFonts w:hint="eastAsia"/>
          <w:sz w:val="21"/>
          <w:szCs w:val="21"/>
        </w:rPr>
        <w:t>四、基金财产的保管</w:t>
      </w:r>
    </w:p>
    <w:p w14:paraId="509E5EB1">
      <w:pPr>
        <w:pStyle w:val="8"/>
        <w:spacing w:before="0" w:beforeAutospacing="0" w:after="0" w:afterAutospacing="0" w:line="360" w:lineRule="auto"/>
        <w:ind w:firstLine="420"/>
        <w:rPr>
          <w:sz w:val="21"/>
          <w:szCs w:val="21"/>
        </w:rPr>
      </w:pPr>
      <w:r>
        <w:rPr>
          <w:rFonts w:hint="eastAsia"/>
          <w:sz w:val="21"/>
          <w:szCs w:val="21"/>
        </w:rPr>
        <w:t xml:space="preserve">（一）基金财产保管的原则 </w:t>
      </w:r>
    </w:p>
    <w:p w14:paraId="15B1069F">
      <w:pPr>
        <w:pStyle w:val="8"/>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14:paraId="201F938D">
      <w:pPr>
        <w:pStyle w:val="8"/>
        <w:spacing w:before="0" w:beforeAutospacing="0" w:after="0" w:afterAutospacing="0" w:line="360" w:lineRule="auto"/>
        <w:ind w:firstLine="420"/>
        <w:rPr>
          <w:sz w:val="21"/>
          <w:szCs w:val="21"/>
        </w:rPr>
      </w:pPr>
      <w:r>
        <w:rPr>
          <w:rFonts w:hint="eastAsia"/>
          <w:sz w:val="21"/>
          <w:szCs w:val="21"/>
        </w:rPr>
        <w:t xml:space="preserve">2.基金托管人应安全保管基金财产。 </w:t>
      </w:r>
    </w:p>
    <w:p w14:paraId="2FE38E7F">
      <w:pPr>
        <w:pStyle w:val="8"/>
        <w:spacing w:before="0" w:beforeAutospacing="0" w:after="0" w:afterAutospacing="0" w:line="360" w:lineRule="auto"/>
        <w:ind w:firstLine="420"/>
        <w:rPr>
          <w:sz w:val="21"/>
          <w:szCs w:val="21"/>
        </w:rPr>
      </w:pPr>
      <w:r>
        <w:rPr>
          <w:rFonts w:hint="eastAsia"/>
          <w:sz w:val="21"/>
          <w:szCs w:val="21"/>
        </w:rPr>
        <w:t xml:space="preserve">3.基金托管人按照规定开设基金财产投资所需的相关账户。 </w:t>
      </w:r>
    </w:p>
    <w:p w14:paraId="6C3A71F2">
      <w:pPr>
        <w:pStyle w:val="8"/>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4.基金托管人对所托管的不同基金财产分别设置账户，确保基金财产的完整与独立。 </w:t>
      </w:r>
    </w:p>
    <w:p w14:paraId="129EFA63">
      <w:pPr>
        <w:pStyle w:val="8"/>
        <w:spacing w:before="0" w:beforeAutospacing="0" w:after="0" w:afterAutospacing="0" w:line="360" w:lineRule="auto"/>
        <w:ind w:firstLine="420"/>
        <w:rPr>
          <w:sz w:val="21"/>
          <w:szCs w:val="21"/>
        </w:rPr>
      </w:pPr>
      <w:r>
        <w:rPr>
          <w:rFonts w:hint="eastAsia"/>
          <w:sz w:val="21"/>
          <w:szCs w:val="21"/>
        </w:rPr>
        <w:t xml:space="preserve">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 </w:t>
      </w:r>
    </w:p>
    <w:p w14:paraId="0B365CA1">
      <w:pPr>
        <w:pStyle w:val="8"/>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基金管理人采取措施进行催收。基金管理人未及时催收给基金财产造成损失的，基金管理人应负责向有关当事人追偿基金财产的损失。 </w:t>
      </w:r>
    </w:p>
    <w:p w14:paraId="410C30A6">
      <w:pPr>
        <w:pStyle w:val="8"/>
        <w:spacing w:before="0" w:beforeAutospacing="0" w:after="0" w:afterAutospacing="0" w:line="360" w:lineRule="auto"/>
        <w:ind w:firstLine="420"/>
        <w:rPr>
          <w:sz w:val="21"/>
          <w:szCs w:val="21"/>
        </w:rPr>
      </w:pPr>
      <w:r>
        <w:rPr>
          <w:rFonts w:hint="eastAsia"/>
          <w:sz w:val="21"/>
          <w:szCs w:val="21"/>
        </w:rPr>
        <w:t xml:space="preserve">7.基金托管人对因为基金管理人投资产生的存放或存管在基金托管人以外机构的基金资产，或交由证券公司负责清算交收的基金资产及其收益，由于该等机构或该机构会员单位等本协议当事人外第三方的欺诈、疏忽、过失或破产等原因给基金资产造成的损失等不承担责任。 </w:t>
      </w:r>
    </w:p>
    <w:p w14:paraId="4C8F62B9">
      <w:pPr>
        <w:pStyle w:val="8"/>
        <w:spacing w:before="0" w:beforeAutospacing="0" w:after="0" w:afterAutospacing="0" w:line="360" w:lineRule="auto"/>
        <w:ind w:firstLine="420"/>
        <w:rPr>
          <w:sz w:val="21"/>
          <w:szCs w:val="21"/>
        </w:rPr>
      </w:pPr>
      <w:r>
        <w:rPr>
          <w:rFonts w:hint="eastAsia"/>
          <w:sz w:val="21"/>
          <w:szCs w:val="21"/>
        </w:rPr>
        <w:t xml:space="preserve">8.除依据法律法规和基金合同的规定外，基金托管人不得委托第三人托管基金财产。 </w:t>
      </w:r>
    </w:p>
    <w:p w14:paraId="0040D72B">
      <w:pPr>
        <w:pStyle w:val="8"/>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4555E9C7">
      <w:pPr>
        <w:pStyle w:val="8"/>
        <w:spacing w:before="0" w:beforeAutospacing="0" w:after="0" w:afterAutospacing="0" w:line="360" w:lineRule="auto"/>
        <w:ind w:firstLine="420"/>
        <w:rPr>
          <w:sz w:val="21"/>
          <w:szCs w:val="21"/>
        </w:rPr>
      </w:pPr>
      <w:r>
        <w:rPr>
          <w:rFonts w:hint="eastAsia"/>
          <w:sz w:val="21"/>
          <w:szCs w:val="21"/>
        </w:rPr>
        <w:t xml:space="preserve">1.基金募集期间募集的资金应开立“基金募集专户”。该账户由基金管理人开立并管理。 </w:t>
      </w:r>
    </w:p>
    <w:p w14:paraId="41870112">
      <w:pPr>
        <w:pStyle w:val="8"/>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具有从事证券相关业务资格的会计师事务所进行验资，出具验资报告。出具的验资报告由参加验资的2名或2名以上中国注册会计师签字方为有效。 </w:t>
      </w:r>
    </w:p>
    <w:p w14:paraId="25A81EC3">
      <w:pPr>
        <w:pStyle w:val="8"/>
        <w:spacing w:before="0" w:beforeAutospacing="0" w:after="0" w:afterAutospacing="0" w:line="360" w:lineRule="auto"/>
        <w:ind w:firstLine="420"/>
        <w:rPr>
          <w:sz w:val="21"/>
          <w:szCs w:val="21"/>
        </w:rPr>
      </w:pPr>
      <w:r>
        <w:rPr>
          <w:rFonts w:hint="eastAsia"/>
          <w:sz w:val="21"/>
          <w:szCs w:val="21"/>
        </w:rPr>
        <w:t xml:space="preserve">3.若基金募集期限届满，未能达到基金合同生效的条件，由基金管理人按规定办理退款等事宜。 </w:t>
      </w:r>
    </w:p>
    <w:p w14:paraId="03431D29">
      <w:pPr>
        <w:pStyle w:val="8"/>
        <w:spacing w:before="0" w:beforeAutospacing="0" w:after="0" w:afterAutospacing="0" w:line="360" w:lineRule="auto"/>
        <w:ind w:firstLine="420"/>
        <w:rPr>
          <w:sz w:val="21"/>
          <w:szCs w:val="21"/>
        </w:rPr>
      </w:pPr>
      <w:r>
        <w:rPr>
          <w:rFonts w:hint="eastAsia"/>
          <w:sz w:val="21"/>
          <w:szCs w:val="21"/>
        </w:rPr>
        <w:t xml:space="preserve">（三）基金资金账户的开立和管理 </w:t>
      </w:r>
    </w:p>
    <w:p w14:paraId="3E07CED8">
      <w:pPr>
        <w:pStyle w:val="8"/>
        <w:spacing w:before="0" w:beforeAutospacing="0" w:after="0" w:afterAutospacing="0" w:line="360" w:lineRule="auto"/>
        <w:ind w:firstLine="420"/>
        <w:rPr>
          <w:sz w:val="21"/>
          <w:szCs w:val="21"/>
        </w:rPr>
      </w:pPr>
      <w:r>
        <w:rPr>
          <w:rFonts w:hint="eastAsia"/>
          <w:sz w:val="21"/>
          <w:szCs w:val="21"/>
        </w:rPr>
        <w:t>1.基金托管人以本基金的名义在其营业机构开立基金的资金账户（也可称为“托管账户”），保管基金的银行存款，并根据基金管理人的指令办理资金收付。托管账户名称应为“</w:t>
      </w:r>
      <w:bookmarkStart w:id="209" w:name="field_0_productfullname_11"/>
      <w:r>
        <w:rPr>
          <w:rFonts w:hint="eastAsia"/>
          <w:sz w:val="21"/>
          <w:szCs w:val="21"/>
        </w:rPr>
        <w:t>博时裕利纯债债券型证券投资基金</w:t>
      </w:r>
      <w:bookmarkEnd w:id="209"/>
      <w:r>
        <w:rPr>
          <w:rFonts w:hint="eastAsia"/>
          <w:sz w:val="21"/>
          <w:szCs w:val="21"/>
        </w:rPr>
        <w:t xml:space="preserve">”，预留印鉴为基金托管人印章。 </w:t>
      </w:r>
    </w:p>
    <w:p w14:paraId="55EBE2E8">
      <w:pPr>
        <w:pStyle w:val="8"/>
        <w:spacing w:before="0" w:beforeAutospacing="0" w:after="0" w:afterAutospacing="0" w:line="360" w:lineRule="auto"/>
        <w:ind w:firstLine="420"/>
        <w:rPr>
          <w:sz w:val="21"/>
          <w:szCs w:val="21"/>
        </w:rPr>
      </w:pPr>
      <w:r>
        <w:rPr>
          <w:rFonts w:hint="eastAsia"/>
          <w:sz w:val="21"/>
          <w:szCs w:val="21"/>
        </w:rPr>
        <w:t xml:space="preserve">2.基金资金账户的开立和使用，限于满足开展本基金业务的需要。基金托管人和基金管理人不得假借本基金的名义开立任何其他银行账户；亦不得使用基金的任何账户进行本基金业务以外的活动。 </w:t>
      </w:r>
    </w:p>
    <w:p w14:paraId="07D1722F">
      <w:pPr>
        <w:pStyle w:val="8"/>
        <w:spacing w:before="0" w:beforeAutospacing="0" w:after="0" w:afterAutospacing="0" w:line="360" w:lineRule="auto"/>
        <w:ind w:firstLine="420"/>
        <w:rPr>
          <w:sz w:val="21"/>
          <w:szCs w:val="21"/>
        </w:rPr>
      </w:pPr>
      <w:r>
        <w:rPr>
          <w:rFonts w:hint="eastAsia"/>
          <w:sz w:val="21"/>
          <w:szCs w:val="21"/>
        </w:rPr>
        <w:t xml:space="preserve">3.基金资金账户的开立和管理应符合法律法规及银行业监督管理机构的有关规定。 </w:t>
      </w:r>
    </w:p>
    <w:p w14:paraId="036655E4">
      <w:pPr>
        <w:pStyle w:val="8"/>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14:paraId="54064E79">
      <w:pPr>
        <w:pStyle w:val="8"/>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1.基金托管人在中国证券登记结算有限责任公司上海分公司、深圳分公司为基金开立基金托管人与基金联名的证券账户（户名以实际开户为准）。 </w:t>
      </w:r>
    </w:p>
    <w:p w14:paraId="2701F07E">
      <w:pPr>
        <w:pStyle w:val="8"/>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14:paraId="322BFF30">
      <w:pPr>
        <w:pStyle w:val="8"/>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3.基金证券账户的开立和证券账户卡的保管由基金托管人负责，账户资产的管理和运用由基金管理人负责。 </w:t>
      </w:r>
    </w:p>
    <w:p w14:paraId="79F303BF">
      <w:pPr>
        <w:pStyle w:val="8"/>
        <w:spacing w:before="0" w:beforeAutospacing="0" w:after="0" w:afterAutospacing="0" w:line="360" w:lineRule="auto"/>
        <w:ind w:firstLine="420"/>
        <w:rPr>
          <w:sz w:val="21"/>
          <w:szCs w:val="21"/>
        </w:rPr>
      </w:pPr>
      <w:r>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结算风险金等的收取按照中国证券登记结算有限责任公司的规定执行。 </w:t>
      </w:r>
    </w:p>
    <w:p w14:paraId="04EA6369">
      <w:pPr>
        <w:pStyle w:val="8"/>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14:paraId="475ACEC3">
      <w:pPr>
        <w:pStyle w:val="8"/>
        <w:spacing w:before="0" w:beforeAutospacing="0" w:after="0" w:afterAutospacing="0" w:line="360" w:lineRule="auto"/>
        <w:ind w:firstLine="420"/>
        <w:rPr>
          <w:sz w:val="21"/>
          <w:szCs w:val="21"/>
        </w:rPr>
      </w:pPr>
      <w:r>
        <w:rPr>
          <w:rFonts w:hint="eastAsia"/>
          <w:sz w:val="21"/>
          <w:szCs w:val="21"/>
        </w:rPr>
        <w:t xml:space="preserve">（五）债券托管账户的开设和管理 </w:t>
      </w:r>
    </w:p>
    <w:p w14:paraId="407DACC3">
      <w:pPr>
        <w:pStyle w:val="8"/>
        <w:spacing w:before="0" w:beforeAutospacing="0" w:after="0" w:afterAutospacing="0" w:line="360" w:lineRule="auto"/>
        <w:ind w:firstLine="420"/>
        <w:rPr>
          <w:sz w:val="21"/>
          <w:szCs w:val="21"/>
        </w:rPr>
      </w:pPr>
      <w:r>
        <w:rPr>
          <w:rFonts w:hint="eastAsia"/>
          <w:sz w:val="21"/>
          <w:szCs w:val="21"/>
        </w:rPr>
        <w:t xml:space="preserve">基金合同生效后，基金托管人根据中国人民银行、银行间市场登记结算机构的有关规定，以基金的名义在银行间市场登记结算机构开立债券托管账户，并代表基金进行银行间市场债券的结算。 </w:t>
      </w:r>
    </w:p>
    <w:p w14:paraId="047AF47A">
      <w:pPr>
        <w:pStyle w:val="8"/>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5CE12881">
      <w:pPr>
        <w:pStyle w:val="8"/>
        <w:spacing w:before="0" w:beforeAutospacing="0" w:after="0" w:afterAutospacing="0" w:line="360" w:lineRule="auto"/>
        <w:ind w:firstLine="420"/>
        <w:rPr>
          <w:sz w:val="21"/>
          <w:szCs w:val="21"/>
        </w:rPr>
      </w:pPr>
      <w:r>
        <w:rPr>
          <w:rFonts w:hint="eastAsia"/>
          <w:sz w:val="21"/>
          <w:szCs w:val="21"/>
        </w:rPr>
        <w:t xml:space="preserve">1.基金托管人和基金管理人应当在开户过程中相互配合，并提供所需资料。基金管理人保证所提供的账户开户材料的真实性和有效性，且在相关资料变更后及时将变更的资料提供给基金托管人。 </w:t>
      </w:r>
    </w:p>
    <w:p w14:paraId="7AD2D0EA">
      <w:pPr>
        <w:pStyle w:val="8"/>
        <w:spacing w:before="0" w:beforeAutospacing="0" w:after="0" w:afterAutospacing="0" w:line="360" w:lineRule="auto"/>
        <w:ind w:firstLine="420"/>
        <w:rPr>
          <w:sz w:val="21"/>
          <w:szCs w:val="21"/>
        </w:rPr>
      </w:pPr>
      <w:r>
        <w:rPr>
          <w:rFonts w:hint="eastAsia"/>
          <w:sz w:val="21"/>
          <w:szCs w:val="21"/>
        </w:rPr>
        <w:t xml:space="preserve">2.因业务发展需要而开立的其他账户，可以根据法律法规和基金合同的规定，由基金管理人协助基金托管人按照有关法律法规和本协议的约定协商后开立。新账户按有关规定使用并管理。 </w:t>
      </w:r>
    </w:p>
    <w:p w14:paraId="4ED98A58">
      <w:pPr>
        <w:pStyle w:val="8"/>
        <w:spacing w:before="0" w:beforeAutospacing="0" w:after="0" w:afterAutospacing="0" w:line="360" w:lineRule="auto"/>
        <w:ind w:firstLine="420"/>
        <w:rPr>
          <w:sz w:val="21"/>
          <w:szCs w:val="21"/>
        </w:rPr>
      </w:pPr>
      <w:r>
        <w:rPr>
          <w:rFonts w:hint="eastAsia"/>
          <w:sz w:val="21"/>
          <w:szCs w:val="21"/>
        </w:rPr>
        <w:t xml:space="preserve">3.法律法规等有关规定对相关账户的开立和管理另有规定的，从其规定办理。 </w:t>
      </w:r>
    </w:p>
    <w:p w14:paraId="11FB9DE9">
      <w:pPr>
        <w:pStyle w:val="8"/>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14:paraId="4AEDD972">
      <w:pPr>
        <w:pStyle w:val="8"/>
        <w:spacing w:before="0" w:beforeAutospacing="0" w:after="0" w:afterAutospacing="0" w:line="360" w:lineRule="auto"/>
        <w:ind w:firstLine="420"/>
        <w:rPr>
          <w:sz w:val="21"/>
          <w:szCs w:val="21"/>
        </w:rPr>
      </w:pPr>
      <w:r>
        <w:rPr>
          <w:rFonts w:hint="eastAsia"/>
          <w:sz w:val="21"/>
          <w:szCs w:val="21"/>
        </w:rPr>
        <w:t xml:space="preserve">基金财产投资的有关实物证券等有价凭证按约定由基金托管人存放于基金托管人的保管库，或存入中央国债登记结算有限责任公司、中国证券登记结算有限责任公司上海分公司/深圳分公司、银行间清算所股份有限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 </w:t>
      </w:r>
    </w:p>
    <w:p w14:paraId="5507843B">
      <w:pPr>
        <w:pStyle w:val="8"/>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33588D06">
      <w:pPr>
        <w:pStyle w:val="8"/>
        <w:spacing w:before="0" w:beforeAutospacing="0" w:after="0" w:afterAutospacing="0" w:line="360" w:lineRule="auto"/>
        <w:ind w:firstLine="420"/>
        <w:rPr>
          <w:sz w:val="21"/>
          <w:szCs w:val="21"/>
        </w:rPr>
      </w:pPr>
      <w:r>
        <w:rPr>
          <w:rFonts w:hint="eastAsia"/>
          <w:sz w:val="21"/>
          <w:szCs w:val="21"/>
        </w:rPr>
        <w:t xml:space="preserve">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15年。 </w:t>
      </w:r>
    </w:p>
    <w:p w14:paraId="1F4344DE">
      <w:pPr>
        <w:pStyle w:val="8"/>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对于无法取得二份以上的正本的，基金管理人应向基金托管人提供加盖授权业务章的合同传真件或复印件，未经双方协商或未在合同约定范围内，合同原件不得转移。 </w:t>
      </w:r>
    </w:p>
    <w:p w14:paraId="679404ED">
      <w:pPr>
        <w:pStyle w:val="8"/>
        <w:spacing w:before="0" w:beforeAutospacing="0" w:after="0" w:afterAutospacing="0" w:line="360" w:lineRule="auto"/>
        <w:ind w:firstLine="420"/>
        <w:rPr>
          <w:sz w:val="21"/>
          <w:szCs w:val="21"/>
        </w:rPr>
      </w:pPr>
      <w:r>
        <w:rPr>
          <w:rStyle w:val="12"/>
          <w:rFonts w:hint="eastAsia"/>
          <w:sz w:val="21"/>
          <w:szCs w:val="21"/>
        </w:rPr>
        <w:t>五、基金资产净值计算和会计核算</w:t>
      </w:r>
    </w:p>
    <w:p w14:paraId="05E88903">
      <w:pPr>
        <w:pStyle w:val="8"/>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14:paraId="1D6AFABF">
      <w:pPr>
        <w:pStyle w:val="8"/>
        <w:spacing w:before="0" w:beforeAutospacing="0" w:after="0" w:afterAutospacing="0" w:line="360" w:lineRule="auto"/>
        <w:ind w:firstLine="420"/>
        <w:rPr>
          <w:sz w:val="21"/>
          <w:szCs w:val="21"/>
        </w:rPr>
      </w:pPr>
      <w:r>
        <w:rPr>
          <w:rFonts w:hint="eastAsia"/>
          <w:sz w:val="21"/>
          <w:szCs w:val="21"/>
        </w:rPr>
        <w:t xml:space="preserve">1.基金资产净值   </w:t>
      </w:r>
    </w:p>
    <w:p w14:paraId="42F3BD5E">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4D011EE5">
      <w:pPr>
        <w:pStyle w:val="8"/>
        <w:spacing w:before="0" w:beforeAutospacing="0" w:after="0" w:afterAutospacing="0" w:line="360" w:lineRule="auto"/>
        <w:ind w:firstLine="420"/>
        <w:rPr>
          <w:sz w:val="21"/>
          <w:szCs w:val="21"/>
        </w:rPr>
      </w:pPr>
      <w:r>
        <w:rPr>
          <w:rFonts w:hint="eastAsia"/>
          <w:sz w:val="21"/>
          <w:szCs w:val="21"/>
        </w:rPr>
        <w:t xml:space="preserve">各类基金份额净值是指各类基金份额的基金资产净值除以当日该类基金份额的余额数量，各类基金份额净值的计算，均精确到0.0001元，小数点后第五位四舍五入，国家另有规定的，从其规定。     </w:t>
      </w:r>
    </w:p>
    <w:p w14:paraId="4E85659F">
      <w:pPr>
        <w:pStyle w:val="8"/>
        <w:spacing w:before="0" w:beforeAutospacing="0" w:after="0" w:afterAutospacing="0" w:line="360" w:lineRule="auto"/>
        <w:ind w:firstLine="420"/>
        <w:rPr>
          <w:sz w:val="21"/>
          <w:szCs w:val="21"/>
        </w:rPr>
      </w:pPr>
      <w:r>
        <w:rPr>
          <w:rFonts w:hint="eastAsia"/>
          <w:sz w:val="21"/>
          <w:szCs w:val="21"/>
        </w:rPr>
        <w:t xml:space="preserve">基金管理人每个工作日计算基金资产净值、各类基金份额净值，经基金托管人复核，按规定公告。 </w:t>
      </w:r>
    </w:p>
    <w:p w14:paraId="67B3EAB3">
      <w:pPr>
        <w:pStyle w:val="8"/>
        <w:spacing w:before="0" w:beforeAutospacing="0" w:after="0" w:afterAutospacing="0" w:line="360" w:lineRule="auto"/>
        <w:ind w:firstLine="420"/>
        <w:rPr>
          <w:sz w:val="21"/>
          <w:szCs w:val="21"/>
        </w:rPr>
      </w:pPr>
      <w:r>
        <w:rPr>
          <w:rFonts w:hint="eastAsia"/>
          <w:sz w:val="21"/>
          <w:szCs w:val="21"/>
        </w:rPr>
        <w:t xml:space="preserve">2.复核程序   </w:t>
      </w:r>
    </w:p>
    <w:p w14:paraId="5A5CCADF">
      <w:pPr>
        <w:pStyle w:val="8"/>
        <w:spacing w:before="0" w:beforeAutospacing="0" w:after="0" w:afterAutospacing="0" w:line="360" w:lineRule="auto"/>
        <w:ind w:firstLine="420"/>
        <w:rPr>
          <w:sz w:val="21"/>
          <w:szCs w:val="21"/>
        </w:rPr>
      </w:pPr>
      <w:r>
        <w:rPr>
          <w:rFonts w:hint="eastAsia"/>
          <w:sz w:val="21"/>
          <w:szCs w:val="21"/>
        </w:rPr>
        <w:t xml:space="preserve">基金管理人每个工作日对基金资产进行估值后，将基金资产净值、各类基金份额净值发送基金托管人，经基金托管人复核无误后，由基金管理人按规定对外公布。但基金管理人根据法律法规或基金合同的规定暂停估值时除外。   </w:t>
      </w:r>
    </w:p>
    <w:p w14:paraId="283347A4">
      <w:pPr>
        <w:pStyle w:val="8"/>
        <w:spacing w:before="0" w:beforeAutospacing="0" w:after="0" w:afterAutospacing="0" w:line="360" w:lineRule="auto"/>
        <w:ind w:firstLine="420"/>
        <w:rPr>
          <w:sz w:val="21"/>
          <w:szCs w:val="21"/>
        </w:rPr>
      </w:pPr>
      <w:r>
        <w:rPr>
          <w:rFonts w:hint="eastAsia"/>
          <w:sz w:val="21"/>
          <w:szCs w:val="21"/>
        </w:rPr>
        <w:t xml:space="preserve">3.根据有关法律法规，基金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予以公布。   </w:t>
      </w:r>
    </w:p>
    <w:p w14:paraId="5264D937">
      <w:pPr>
        <w:pStyle w:val="8"/>
        <w:spacing w:before="0" w:beforeAutospacing="0" w:after="0" w:afterAutospacing="0" w:line="360" w:lineRule="auto"/>
        <w:ind w:firstLine="420"/>
        <w:rPr>
          <w:sz w:val="21"/>
          <w:szCs w:val="21"/>
        </w:rPr>
      </w:pPr>
      <w:r>
        <w:rPr>
          <w:rFonts w:hint="eastAsia"/>
          <w:sz w:val="21"/>
          <w:szCs w:val="21"/>
        </w:rPr>
        <w:t xml:space="preserve">（二）基金资产的估值   </w:t>
      </w:r>
    </w:p>
    <w:p w14:paraId="0F37348A">
      <w:pPr>
        <w:pStyle w:val="8"/>
        <w:spacing w:before="0" w:beforeAutospacing="0" w:after="0" w:afterAutospacing="0" w:line="360" w:lineRule="auto"/>
        <w:ind w:firstLine="420"/>
        <w:rPr>
          <w:sz w:val="21"/>
          <w:szCs w:val="21"/>
        </w:rPr>
      </w:pPr>
      <w:r>
        <w:rPr>
          <w:rFonts w:hint="eastAsia"/>
          <w:sz w:val="21"/>
          <w:szCs w:val="21"/>
        </w:rPr>
        <w:t xml:space="preserve">基金管理人及基金托管人应当按照《基金合同》的约定进行估值。   </w:t>
      </w:r>
    </w:p>
    <w:p w14:paraId="6E248FD1">
      <w:pPr>
        <w:pStyle w:val="8"/>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14:paraId="01EE4199">
      <w:pPr>
        <w:pStyle w:val="8"/>
        <w:spacing w:before="0" w:beforeAutospacing="0" w:after="0" w:afterAutospacing="0" w:line="360" w:lineRule="auto"/>
        <w:ind w:firstLine="420"/>
        <w:rPr>
          <w:sz w:val="21"/>
          <w:szCs w:val="21"/>
        </w:rPr>
      </w:pPr>
      <w:r>
        <w:rPr>
          <w:rFonts w:hint="eastAsia"/>
          <w:sz w:val="21"/>
          <w:szCs w:val="21"/>
        </w:rPr>
        <w:t xml:space="preserve">基金管理人及基金托管人应当按照《基金合同》的约定处理份额净值错误。   </w:t>
      </w:r>
    </w:p>
    <w:p w14:paraId="2AF01FEC">
      <w:pPr>
        <w:pStyle w:val="8"/>
        <w:spacing w:before="0" w:beforeAutospacing="0" w:after="0" w:afterAutospacing="0" w:line="360" w:lineRule="auto"/>
        <w:ind w:firstLine="420"/>
        <w:rPr>
          <w:sz w:val="21"/>
          <w:szCs w:val="21"/>
        </w:rPr>
      </w:pPr>
      <w:r>
        <w:rPr>
          <w:rFonts w:hint="eastAsia"/>
          <w:sz w:val="21"/>
          <w:szCs w:val="21"/>
        </w:rPr>
        <w:t xml:space="preserve">（四）基金会计制度   </w:t>
      </w:r>
    </w:p>
    <w:p w14:paraId="7D003F5D">
      <w:pPr>
        <w:pStyle w:val="8"/>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14:paraId="20494F57">
      <w:pPr>
        <w:pStyle w:val="8"/>
        <w:spacing w:before="0" w:beforeAutospacing="0" w:after="0" w:afterAutospacing="0" w:line="360" w:lineRule="auto"/>
        <w:ind w:firstLine="420"/>
        <w:rPr>
          <w:sz w:val="21"/>
          <w:szCs w:val="21"/>
        </w:rPr>
      </w:pPr>
      <w:r>
        <w:rPr>
          <w:rFonts w:hint="eastAsia"/>
          <w:sz w:val="21"/>
          <w:szCs w:val="21"/>
        </w:rPr>
        <w:t xml:space="preserve">（五）基金账册的建立   </w:t>
      </w:r>
    </w:p>
    <w:p w14:paraId="2E734D83">
      <w:pPr>
        <w:pStyle w:val="8"/>
        <w:spacing w:before="0" w:beforeAutospacing="0" w:after="0" w:afterAutospacing="0" w:line="360" w:lineRule="auto"/>
        <w:ind w:firstLine="420"/>
        <w:rPr>
          <w:sz w:val="21"/>
          <w:szCs w:val="21"/>
        </w:rPr>
      </w:pPr>
      <w:r>
        <w:rPr>
          <w:rFonts w:hint="eastAsia"/>
          <w:sz w:val="21"/>
          <w:szCs w:val="21"/>
        </w:rPr>
        <w:t xml:space="preserve">基金管理人和基金托管人在基金合同生效后，应按照双方约定的同一记账方法和会计处理原则，分别独立地设置、登录和保管本基金的全套账册，对相关各方各自的账册定期进行核对，互相监督，以保证基金资产的安全。若基金管理人和基金托管人对会计处理方法存在分歧，应以基金管理人的处理方法为准。若当日核对不符，暂时无法查找到错账的原因而影响到基金净值的计算和公告的，以基金管理人的账册为准。   </w:t>
      </w:r>
    </w:p>
    <w:p w14:paraId="2D767036">
      <w:pPr>
        <w:pStyle w:val="8"/>
        <w:spacing w:before="0" w:beforeAutospacing="0" w:after="0" w:afterAutospacing="0" w:line="360" w:lineRule="auto"/>
        <w:ind w:firstLine="420"/>
        <w:rPr>
          <w:sz w:val="21"/>
          <w:szCs w:val="21"/>
        </w:rPr>
      </w:pPr>
      <w:r>
        <w:rPr>
          <w:rFonts w:hint="eastAsia"/>
          <w:sz w:val="21"/>
          <w:szCs w:val="21"/>
        </w:rPr>
        <w:t xml:space="preserve">（六）基金财务报表与报告的编制和复核   </w:t>
      </w:r>
    </w:p>
    <w:p w14:paraId="7963BEB7">
      <w:pPr>
        <w:pStyle w:val="8"/>
        <w:spacing w:before="0" w:beforeAutospacing="0" w:after="0" w:afterAutospacing="0" w:line="360" w:lineRule="auto"/>
        <w:ind w:firstLine="420"/>
        <w:rPr>
          <w:sz w:val="21"/>
          <w:szCs w:val="21"/>
        </w:rPr>
      </w:pPr>
      <w:r>
        <w:rPr>
          <w:rFonts w:hint="eastAsia"/>
          <w:sz w:val="21"/>
          <w:szCs w:val="21"/>
        </w:rPr>
        <w:t xml:space="preserve">1.财务报表的编制   </w:t>
      </w:r>
    </w:p>
    <w:p w14:paraId="230EE9B4">
      <w:pPr>
        <w:pStyle w:val="8"/>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14:paraId="502FDC9B">
      <w:pPr>
        <w:pStyle w:val="8"/>
        <w:spacing w:before="0" w:beforeAutospacing="0" w:after="0" w:afterAutospacing="0" w:line="360" w:lineRule="auto"/>
        <w:ind w:firstLine="420"/>
        <w:rPr>
          <w:sz w:val="21"/>
          <w:szCs w:val="21"/>
        </w:rPr>
      </w:pPr>
      <w:r>
        <w:rPr>
          <w:rFonts w:hint="eastAsia"/>
          <w:sz w:val="21"/>
          <w:szCs w:val="21"/>
        </w:rPr>
        <w:t xml:space="preserve">2.报表复核   </w:t>
      </w:r>
    </w:p>
    <w:p w14:paraId="0ED48974">
      <w:pPr>
        <w:pStyle w:val="8"/>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2C63A7C3">
      <w:pPr>
        <w:pStyle w:val="8"/>
        <w:spacing w:before="0" w:beforeAutospacing="0" w:after="0" w:afterAutospacing="0" w:line="360" w:lineRule="auto"/>
        <w:ind w:firstLine="420"/>
        <w:rPr>
          <w:sz w:val="21"/>
          <w:szCs w:val="21"/>
        </w:rPr>
      </w:pPr>
      <w:r>
        <w:rPr>
          <w:rFonts w:hint="eastAsia"/>
          <w:sz w:val="21"/>
          <w:szCs w:val="21"/>
        </w:rPr>
        <w:t xml:space="preserve">3.财务报表的编制与复核时间安排   </w:t>
      </w:r>
    </w:p>
    <w:p w14:paraId="1147A285">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在每月结束后5个工作日内完成月度报表的编制及复核；在每个季度结束之日起15个工作日内完成基金季度报告的编制及复核；在上半年结束之日起2个月内完成基金中期报告的编制及复核；在每年结束之日起3个月内完成基金年度报告的编制及复核。基金托管人在复核过程中，发现双方的报表存在不符时，基金管理人和基金托管人应共同查明原因，进行调整，调整以国家有关规定为准。基金年度报告的财务会计报告应当经过具有证券、期货相关业务资格的会计师事务所审计。基金合同生效不足两个月的，基金管理人可以不编制当期季度报告、中期报告或者年度报告。   </w:t>
      </w:r>
    </w:p>
    <w:p w14:paraId="1D4C6468">
      <w:pPr>
        <w:pStyle w:val="8"/>
        <w:spacing w:before="0" w:beforeAutospacing="0" w:after="0" w:afterAutospacing="0" w:line="360" w:lineRule="auto"/>
        <w:ind w:firstLine="420"/>
        <w:rPr>
          <w:sz w:val="21"/>
          <w:szCs w:val="21"/>
        </w:rPr>
      </w:pPr>
      <w:r>
        <w:rPr>
          <w:rFonts w:hint="eastAsia"/>
          <w:sz w:val="21"/>
          <w:szCs w:val="21"/>
        </w:rPr>
        <w:t xml:space="preserve">（七）如有需要，基金管理人应每季度向基金托管人提供基金业绩比较基准的基础数据和编制结果。   </w:t>
      </w:r>
    </w:p>
    <w:p w14:paraId="6244CA96">
      <w:pPr>
        <w:pStyle w:val="8"/>
        <w:spacing w:before="0" w:beforeAutospacing="0" w:after="0" w:afterAutospacing="0" w:line="360" w:lineRule="auto"/>
        <w:ind w:firstLine="420"/>
        <w:rPr>
          <w:sz w:val="21"/>
          <w:szCs w:val="21"/>
        </w:rPr>
      </w:pPr>
      <w:r>
        <w:rPr>
          <w:rStyle w:val="12"/>
          <w:rFonts w:hint="eastAsia"/>
          <w:sz w:val="21"/>
          <w:szCs w:val="21"/>
        </w:rPr>
        <w:t>六、基金份额持有人名册的登记与保管</w:t>
      </w:r>
    </w:p>
    <w:p w14:paraId="6E44AC04">
      <w:pPr>
        <w:pStyle w:val="8"/>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少于15年，法律法规或监管部门另有规定的除外。如不能妥善保管，则按相关法律法规承担责任。   </w:t>
      </w:r>
    </w:p>
    <w:p w14:paraId="76F558B5">
      <w:pPr>
        <w:pStyle w:val="8"/>
        <w:spacing w:before="0" w:beforeAutospacing="0" w:after="0" w:afterAutospacing="0" w:line="360" w:lineRule="auto"/>
        <w:ind w:firstLine="420"/>
        <w:rPr>
          <w:sz w:val="21"/>
          <w:szCs w:val="21"/>
        </w:rPr>
      </w:pPr>
      <w:r>
        <w:rPr>
          <w:rFonts w:hint="eastAsia"/>
          <w:sz w:val="21"/>
          <w:szCs w:val="21"/>
        </w:rPr>
        <w:t xml:space="preserve">在基金托管人要求或编制中期报告和年报前，基金管理人应将有关资料送交基金托管人，不得无故拒绝或延误提供，并保证其的真实性、准确性和完整性。基金管理人和托管人不得将所保管的基金份额持有人名册用于基金托管业务以外的其他用途，并应遵守保密义务。                            </w:t>
      </w:r>
    </w:p>
    <w:p w14:paraId="34D7C3FD">
      <w:pPr>
        <w:pStyle w:val="8"/>
        <w:spacing w:before="0" w:beforeAutospacing="0" w:after="0" w:afterAutospacing="0" w:line="360" w:lineRule="auto"/>
        <w:ind w:firstLine="420"/>
        <w:rPr>
          <w:sz w:val="21"/>
          <w:szCs w:val="21"/>
        </w:rPr>
      </w:pPr>
      <w:r>
        <w:rPr>
          <w:rStyle w:val="12"/>
          <w:rFonts w:hint="eastAsia"/>
          <w:sz w:val="21"/>
          <w:szCs w:val="21"/>
        </w:rPr>
        <w:t>七、争议解决的方式</w:t>
      </w:r>
    </w:p>
    <w:p w14:paraId="7ACA2DA2">
      <w:pPr>
        <w:pStyle w:val="8"/>
        <w:spacing w:before="0" w:beforeAutospacing="0" w:after="0" w:afterAutospacing="0" w:line="360" w:lineRule="auto"/>
        <w:ind w:firstLine="420"/>
        <w:rPr>
          <w:sz w:val="21"/>
          <w:szCs w:val="21"/>
        </w:rPr>
      </w:pPr>
      <w:r>
        <w:rPr>
          <w:rFonts w:hint="eastAsia"/>
          <w:sz w:val="21"/>
          <w:szCs w:val="21"/>
        </w:rPr>
        <w:t xml:space="preserve">各方当事人同意，因本托管协议而产生的或与本托管协议有关的一切争议，如经友好协商未能解决的，任何一方均有权将争议提交华南国际经济贸易仲裁委员会，按照华南国际经济贸易仲裁委员会届时有效的仲裁规则进行仲裁。仲裁地点为深圳市。仲裁裁决是终局的，对各方当事人均有约束力，仲裁费用由败诉方承担。   </w:t>
      </w:r>
    </w:p>
    <w:p w14:paraId="2E8159C5">
      <w:pPr>
        <w:pStyle w:val="8"/>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14:paraId="2B32FDC3">
      <w:pPr>
        <w:pStyle w:val="8"/>
        <w:spacing w:before="0" w:beforeAutospacing="0" w:after="0" w:afterAutospacing="0" w:line="360" w:lineRule="auto"/>
        <w:ind w:firstLine="420"/>
        <w:rPr>
          <w:sz w:val="21"/>
          <w:szCs w:val="21"/>
        </w:rPr>
      </w:pPr>
      <w:r>
        <w:rPr>
          <w:rFonts w:hint="eastAsia"/>
          <w:sz w:val="21"/>
          <w:szCs w:val="21"/>
        </w:rPr>
        <w:t xml:space="preserve">本协议受中国法律（为本协议之目的，在此不包括香港、澳门特别行政区和台湾地区法律）管辖。   </w:t>
      </w:r>
    </w:p>
    <w:p w14:paraId="03145B59">
      <w:pPr>
        <w:pStyle w:val="8"/>
        <w:spacing w:before="0" w:beforeAutospacing="0" w:after="0" w:afterAutospacing="0" w:line="360" w:lineRule="auto"/>
        <w:ind w:firstLine="420"/>
        <w:rPr>
          <w:sz w:val="21"/>
          <w:szCs w:val="21"/>
        </w:rPr>
      </w:pPr>
      <w:r>
        <w:rPr>
          <w:rStyle w:val="12"/>
          <w:rFonts w:hint="eastAsia"/>
          <w:sz w:val="21"/>
          <w:szCs w:val="21"/>
        </w:rPr>
        <w:t>八、基金托管协议的变更、终止与基金财产的清算</w:t>
      </w:r>
    </w:p>
    <w:p w14:paraId="1F5A5608">
      <w:pPr>
        <w:pStyle w:val="8"/>
        <w:spacing w:before="0" w:beforeAutospacing="0" w:after="0" w:afterAutospacing="0" w:line="360" w:lineRule="auto"/>
        <w:ind w:firstLine="420"/>
        <w:rPr>
          <w:sz w:val="21"/>
          <w:szCs w:val="21"/>
        </w:rPr>
      </w:pPr>
      <w:r>
        <w:rPr>
          <w:rFonts w:hint="eastAsia"/>
          <w:sz w:val="21"/>
          <w:szCs w:val="21"/>
        </w:rPr>
        <w:t xml:space="preserve">（一）托管协议的变更程序   </w:t>
      </w:r>
    </w:p>
    <w:p w14:paraId="3C46227F">
      <w:pPr>
        <w:pStyle w:val="8"/>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本协议双方当事人经协商一致，可以对协议进行修改。修改后的新协议，其内容不得与基金合同的规定有任何冲突。基金托管协议的变更应报中国证监会备案。   </w:t>
      </w:r>
    </w:p>
    <w:p w14:paraId="544560DB">
      <w:pPr>
        <w:pStyle w:val="8"/>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14:paraId="7BAA6CC9">
      <w:pPr>
        <w:pStyle w:val="8"/>
        <w:spacing w:before="0" w:beforeAutospacing="0" w:after="0" w:afterAutospacing="0" w:line="360" w:lineRule="auto"/>
        <w:ind w:firstLine="420"/>
        <w:rPr>
          <w:sz w:val="21"/>
          <w:szCs w:val="21"/>
        </w:rPr>
      </w:pPr>
      <w:r>
        <w:rPr>
          <w:rFonts w:hint="eastAsia"/>
          <w:sz w:val="21"/>
          <w:szCs w:val="21"/>
        </w:rPr>
        <w:t xml:space="preserve">1、《基金合同》终止；   </w:t>
      </w:r>
    </w:p>
    <w:p w14:paraId="38031EE5">
      <w:pPr>
        <w:pStyle w:val="8"/>
        <w:spacing w:before="0" w:beforeAutospacing="0" w:after="0" w:afterAutospacing="0" w:line="360" w:lineRule="auto"/>
        <w:ind w:firstLine="420"/>
        <w:rPr>
          <w:sz w:val="21"/>
          <w:szCs w:val="21"/>
        </w:rPr>
      </w:pPr>
      <w:r>
        <w:rPr>
          <w:rFonts w:hint="eastAsia"/>
          <w:sz w:val="21"/>
          <w:szCs w:val="21"/>
        </w:rPr>
        <w:t xml:space="preserve">2、基金托管人因解散、破产、撤销等事由，不能继续担任基金托管人的职务，而在6个月内无其他适当的托管机构承接其原有权利义务；   </w:t>
      </w:r>
    </w:p>
    <w:p w14:paraId="56DADA59">
      <w:pPr>
        <w:pStyle w:val="8"/>
        <w:spacing w:before="0" w:beforeAutospacing="0" w:after="0" w:afterAutospacing="0" w:line="360" w:lineRule="auto"/>
        <w:ind w:firstLine="420"/>
        <w:rPr>
          <w:sz w:val="21"/>
          <w:szCs w:val="21"/>
        </w:rPr>
      </w:pPr>
      <w:r>
        <w:rPr>
          <w:rFonts w:hint="eastAsia"/>
          <w:sz w:val="21"/>
          <w:szCs w:val="21"/>
        </w:rPr>
        <w:t xml:space="preserve">3、基金管理人因解散、破产、撤销等事由，不能继续担任基金管理人的职务，而在6个月内无其他适当的基金管理人承接其原有权利义务；   </w:t>
      </w:r>
    </w:p>
    <w:p w14:paraId="17AB0935">
      <w:pPr>
        <w:pStyle w:val="8"/>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14:paraId="6D70AD92">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14:paraId="055F6693">
      <w:pPr>
        <w:pStyle w:val="8"/>
        <w:spacing w:before="0" w:beforeAutospacing="0" w:after="0" w:afterAutospacing="0" w:line="360" w:lineRule="auto"/>
        <w:ind w:firstLine="420"/>
        <w:rPr>
          <w:sz w:val="21"/>
          <w:szCs w:val="21"/>
        </w:rPr>
      </w:pPr>
      <w:bookmarkStart w:id="210" w:name="chapter_level1_23_72_section_1_end"/>
      <w:bookmarkEnd w:id="210"/>
      <w:r>
        <w:rPr>
          <w:rFonts w:hint="eastAsia"/>
          <w:sz w:val="21"/>
          <w:szCs w:val="21"/>
        </w:rPr>
        <w:t xml:space="preserve">基金管理人与基金托管人按照《基金合同》的约定处理基金财产的清算。  </w:t>
      </w:r>
    </w:p>
    <w:p w14:paraId="1750F713">
      <w:pPr>
        <w:widowControl/>
        <w:jc w:val="left"/>
        <w:rPr>
          <w:rFonts w:ascii="宋体" w:hAnsi="宋体" w:eastAsia="宋体"/>
        </w:rPr>
      </w:pPr>
      <w:r>
        <w:rPr>
          <w:rFonts w:ascii="宋体" w:hAnsi="宋体" w:eastAsia="宋体"/>
        </w:rPr>
        <w:br w:type="page"/>
      </w:r>
    </w:p>
    <w:p w14:paraId="75FF7067">
      <w:pPr>
        <w:pStyle w:val="2"/>
        <w:jc w:val="center"/>
        <w:rPr>
          <w:rFonts w:ascii="宋体" w:hAnsi="宋体" w:eastAsia="宋体"/>
          <w:sz w:val="30"/>
        </w:rPr>
      </w:pPr>
      <w:bookmarkStart w:id="211" w:name="chapter_level1_24_75"/>
      <w:bookmarkStart w:id="212" w:name="_Toc239208857"/>
      <w:r>
        <w:rPr>
          <w:rFonts w:hint="eastAsia" w:ascii="宋体" w:hAnsi="宋体" w:eastAsia="宋体"/>
          <w:sz w:val="30"/>
        </w:rPr>
        <w:t>第二十一部分  对基金份额持有人的服务</w:t>
      </w:r>
      <w:bookmarkEnd w:id="211"/>
      <w:bookmarkEnd w:id="212"/>
    </w:p>
    <w:p w14:paraId="10B18BB5">
      <w:pPr>
        <w:pStyle w:val="8"/>
        <w:spacing w:before="0" w:beforeAutospacing="0" w:after="0" w:afterAutospacing="0" w:line="360" w:lineRule="auto"/>
        <w:ind w:firstLine="420"/>
        <w:rPr>
          <w:sz w:val="21"/>
          <w:szCs w:val="21"/>
        </w:rPr>
      </w:pPr>
      <w:bookmarkStart w:id="213" w:name="chapter_level1_24_75_section_1"/>
      <w:bookmarkEnd w:id="213"/>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76CEC1C5">
      <w:pPr>
        <w:pStyle w:val="8"/>
        <w:spacing w:before="0" w:beforeAutospacing="0" w:after="0" w:afterAutospacing="0" w:line="360" w:lineRule="auto"/>
        <w:ind w:firstLine="420"/>
        <w:rPr>
          <w:sz w:val="21"/>
          <w:szCs w:val="21"/>
        </w:rPr>
      </w:pPr>
      <w:r>
        <w:rPr>
          <w:rStyle w:val="12"/>
          <w:rFonts w:hint="eastAsia"/>
          <w:sz w:val="21"/>
          <w:szCs w:val="21"/>
        </w:rPr>
        <w:t>一、持有人交易资料的寄送服务</w:t>
      </w:r>
    </w:p>
    <w:p w14:paraId="783EE6D1">
      <w:pPr>
        <w:pStyle w:val="8"/>
        <w:spacing w:before="0" w:beforeAutospacing="0" w:after="0" w:afterAutospacing="0" w:line="360" w:lineRule="auto"/>
        <w:ind w:firstLine="420"/>
        <w:rPr>
          <w:sz w:val="21"/>
          <w:szCs w:val="21"/>
        </w:rPr>
      </w:pPr>
      <w:r>
        <w:rPr>
          <w:rFonts w:hint="eastAsia"/>
          <w:sz w:val="21"/>
          <w:szCs w:val="21"/>
        </w:rPr>
        <w:t xml:space="preserve">1、交易确认单 </w:t>
      </w:r>
    </w:p>
    <w:p w14:paraId="796610DF">
      <w:pPr>
        <w:pStyle w:val="8"/>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5E9582B2">
      <w:pPr>
        <w:pStyle w:val="8"/>
        <w:spacing w:before="0" w:beforeAutospacing="0" w:after="0" w:afterAutospacing="0" w:line="360" w:lineRule="auto"/>
        <w:ind w:firstLine="420"/>
        <w:rPr>
          <w:sz w:val="21"/>
          <w:szCs w:val="21"/>
        </w:rPr>
      </w:pPr>
      <w:r>
        <w:rPr>
          <w:rFonts w:hint="eastAsia"/>
          <w:sz w:val="21"/>
          <w:szCs w:val="21"/>
        </w:rPr>
        <w:t xml:space="preserve">2、电子对账单 </w:t>
      </w:r>
    </w:p>
    <w:p w14:paraId="46B7B089">
      <w:pPr>
        <w:pStyle w:val="8"/>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4D8985D4">
      <w:pPr>
        <w:pStyle w:val="8"/>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r>
        <w:rPr>
          <w:rFonts w:hint="eastAsia"/>
          <w:sz w:val="21"/>
          <w:szCs w:val="21"/>
        </w:rPr>
        <w:t xml:space="preserve">；也可直接拨打博时一线通95105568（免长途话费）订阅。 </w:t>
      </w:r>
    </w:p>
    <w:p w14:paraId="080F7FCA">
      <w:pPr>
        <w:pStyle w:val="8"/>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53BB6E34">
      <w:pPr>
        <w:pStyle w:val="8"/>
        <w:spacing w:before="0" w:beforeAutospacing="0" w:after="0" w:afterAutospacing="0" w:line="360" w:lineRule="auto"/>
        <w:ind w:firstLine="420"/>
        <w:rPr>
          <w:sz w:val="21"/>
          <w:szCs w:val="21"/>
        </w:rPr>
      </w:pPr>
      <w:r>
        <w:rPr>
          <w:rStyle w:val="12"/>
          <w:rFonts w:hint="eastAsia"/>
          <w:sz w:val="21"/>
          <w:szCs w:val="21"/>
        </w:rPr>
        <w:t>二、网上理财服务</w:t>
      </w:r>
    </w:p>
    <w:p w14:paraId="26A72E6E">
      <w:pPr>
        <w:pStyle w:val="8"/>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2542A619">
      <w:pPr>
        <w:pStyle w:val="8"/>
        <w:spacing w:before="0" w:beforeAutospacing="0" w:after="0" w:afterAutospacing="0" w:line="360" w:lineRule="auto"/>
        <w:ind w:firstLine="420"/>
        <w:rPr>
          <w:sz w:val="21"/>
          <w:szCs w:val="21"/>
        </w:rPr>
      </w:pPr>
      <w:r>
        <w:rPr>
          <w:rFonts w:hint="eastAsia"/>
          <w:sz w:val="21"/>
          <w:szCs w:val="21"/>
        </w:rPr>
        <w:t xml:space="preserve">1、自助开户交易 </w:t>
      </w:r>
    </w:p>
    <w:p w14:paraId="5FB91A8D">
      <w:pPr>
        <w:pStyle w:val="8"/>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12321E3A">
      <w:pPr>
        <w:pStyle w:val="8"/>
        <w:spacing w:before="0" w:beforeAutospacing="0" w:after="0" w:afterAutospacing="0" w:line="360" w:lineRule="auto"/>
        <w:ind w:firstLine="420"/>
        <w:rPr>
          <w:sz w:val="21"/>
          <w:szCs w:val="21"/>
        </w:rPr>
      </w:pPr>
      <w:r>
        <w:rPr>
          <w:rFonts w:hint="eastAsia"/>
          <w:sz w:val="21"/>
          <w:szCs w:val="21"/>
        </w:rPr>
        <w:t xml:space="preserve">2、查询服务 </w:t>
      </w:r>
    </w:p>
    <w:p w14:paraId="1B2D74DB">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20479221">
      <w:pPr>
        <w:pStyle w:val="8"/>
        <w:spacing w:before="0" w:beforeAutospacing="0" w:after="0" w:afterAutospacing="0" w:line="360" w:lineRule="auto"/>
        <w:ind w:firstLine="420"/>
        <w:rPr>
          <w:sz w:val="21"/>
          <w:szCs w:val="21"/>
        </w:rPr>
      </w:pPr>
      <w:r>
        <w:rPr>
          <w:rFonts w:hint="eastAsia"/>
          <w:sz w:val="21"/>
          <w:szCs w:val="21"/>
        </w:rPr>
        <w:t xml:space="preserve">3、信息资讯服务 </w:t>
      </w:r>
    </w:p>
    <w:p w14:paraId="3A9AC079">
      <w:pPr>
        <w:pStyle w:val="8"/>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4D5D51A1">
      <w:pPr>
        <w:pStyle w:val="8"/>
        <w:spacing w:before="0" w:beforeAutospacing="0" w:after="0" w:afterAutospacing="0" w:line="360" w:lineRule="auto"/>
        <w:ind w:firstLine="420"/>
        <w:rPr>
          <w:sz w:val="21"/>
          <w:szCs w:val="21"/>
        </w:rPr>
      </w:pPr>
      <w:r>
        <w:rPr>
          <w:rFonts w:hint="eastAsia"/>
          <w:sz w:val="21"/>
          <w:szCs w:val="21"/>
        </w:rPr>
        <w:t xml:space="preserve">4、在线客服 </w:t>
      </w:r>
    </w:p>
    <w:p w14:paraId="2700F640">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5DCC599B">
      <w:pPr>
        <w:pStyle w:val="8"/>
        <w:spacing w:before="0" w:beforeAutospacing="0" w:after="0" w:afterAutospacing="0" w:line="360" w:lineRule="auto"/>
        <w:ind w:firstLine="420"/>
        <w:rPr>
          <w:sz w:val="21"/>
          <w:szCs w:val="21"/>
        </w:rPr>
      </w:pPr>
      <w:r>
        <w:rPr>
          <w:rStyle w:val="12"/>
          <w:rFonts w:hint="eastAsia"/>
          <w:sz w:val="21"/>
          <w:szCs w:val="21"/>
        </w:rPr>
        <w:t>三、短信服务</w:t>
      </w:r>
    </w:p>
    <w:p w14:paraId="1CD87182">
      <w:pPr>
        <w:pStyle w:val="8"/>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1CD6E9CC">
      <w:pPr>
        <w:pStyle w:val="8"/>
        <w:spacing w:before="0" w:beforeAutospacing="0" w:after="0" w:afterAutospacing="0" w:line="360" w:lineRule="auto"/>
        <w:ind w:firstLine="420"/>
        <w:rPr>
          <w:sz w:val="21"/>
          <w:szCs w:val="21"/>
        </w:rPr>
      </w:pPr>
      <w:r>
        <w:rPr>
          <w:rStyle w:val="12"/>
          <w:rFonts w:hint="eastAsia"/>
          <w:sz w:val="21"/>
          <w:szCs w:val="21"/>
        </w:rPr>
        <w:t>四、电子邮件服务</w:t>
      </w:r>
    </w:p>
    <w:p w14:paraId="47CB1110">
      <w:pPr>
        <w:pStyle w:val="8"/>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6E496F4D">
      <w:pPr>
        <w:pStyle w:val="8"/>
        <w:spacing w:before="0" w:beforeAutospacing="0" w:after="0" w:afterAutospacing="0" w:line="360" w:lineRule="auto"/>
        <w:ind w:firstLine="420"/>
        <w:rPr>
          <w:sz w:val="21"/>
          <w:szCs w:val="21"/>
        </w:rPr>
      </w:pPr>
      <w:r>
        <w:rPr>
          <w:rStyle w:val="12"/>
          <w:rFonts w:hint="eastAsia"/>
          <w:sz w:val="21"/>
          <w:szCs w:val="21"/>
        </w:rPr>
        <w:t>五、手机理财服务</w:t>
      </w:r>
    </w:p>
    <w:p w14:paraId="36F06F30">
      <w:pPr>
        <w:pStyle w:val="8"/>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560EB352">
      <w:pPr>
        <w:pStyle w:val="8"/>
        <w:spacing w:before="0" w:beforeAutospacing="0" w:after="0" w:afterAutospacing="0" w:line="360" w:lineRule="auto"/>
        <w:ind w:firstLine="420"/>
        <w:rPr>
          <w:sz w:val="21"/>
          <w:szCs w:val="21"/>
        </w:rPr>
      </w:pPr>
      <w:r>
        <w:rPr>
          <w:rStyle w:val="12"/>
          <w:rFonts w:hint="eastAsia"/>
          <w:sz w:val="21"/>
          <w:szCs w:val="21"/>
        </w:rPr>
        <w:t>六、信息订阅服务</w:t>
      </w:r>
    </w:p>
    <w:p w14:paraId="14418754">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581F78C6">
      <w:pPr>
        <w:pStyle w:val="8"/>
        <w:spacing w:before="0" w:beforeAutospacing="0" w:after="0" w:afterAutospacing="0" w:line="360" w:lineRule="auto"/>
        <w:ind w:firstLine="420"/>
        <w:rPr>
          <w:sz w:val="21"/>
          <w:szCs w:val="21"/>
        </w:rPr>
      </w:pPr>
      <w:r>
        <w:rPr>
          <w:rStyle w:val="12"/>
          <w:rFonts w:hint="eastAsia"/>
          <w:sz w:val="21"/>
          <w:szCs w:val="21"/>
        </w:rPr>
        <w:t>七、电话理财服务</w:t>
      </w:r>
    </w:p>
    <w:p w14:paraId="19389038">
      <w:pPr>
        <w:pStyle w:val="8"/>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23C3DA4F">
      <w:pPr>
        <w:pStyle w:val="8"/>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4E3F1646">
      <w:pPr>
        <w:pStyle w:val="8"/>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3F8C5735">
      <w:pPr>
        <w:pStyle w:val="8"/>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31AFD155">
      <w:pPr>
        <w:pStyle w:val="8"/>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3B16A99E">
      <w:pPr>
        <w:pStyle w:val="8"/>
        <w:spacing w:before="0" w:beforeAutospacing="0" w:after="0" w:afterAutospacing="0" w:line="360" w:lineRule="auto"/>
        <w:ind w:firstLine="420"/>
        <w:rPr>
          <w:sz w:val="21"/>
          <w:szCs w:val="21"/>
        </w:rPr>
      </w:pPr>
      <w:r>
        <w:rPr>
          <w:rStyle w:val="12"/>
          <w:rFonts w:hint="eastAsia"/>
          <w:sz w:val="21"/>
          <w:szCs w:val="21"/>
        </w:rPr>
        <w:t>八、基金管理人联系方式</w:t>
      </w:r>
    </w:p>
    <w:p w14:paraId="5E947EC6">
      <w:pPr>
        <w:pStyle w:val="8"/>
        <w:spacing w:before="0" w:beforeAutospacing="0" w:after="0" w:afterAutospacing="0" w:line="360" w:lineRule="auto"/>
        <w:ind w:firstLine="420"/>
        <w:rPr>
          <w:sz w:val="21"/>
          <w:szCs w:val="21"/>
        </w:rPr>
      </w:pPr>
      <w:r>
        <w:rPr>
          <w:rFonts w:hint="eastAsia"/>
          <w:sz w:val="21"/>
          <w:szCs w:val="21"/>
        </w:rPr>
        <w:t xml:space="preserve">公司网址：www.bosera.com </w:t>
      </w:r>
    </w:p>
    <w:p w14:paraId="0AA2862E">
      <w:pPr>
        <w:pStyle w:val="8"/>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p>
    <w:p w14:paraId="6ABBFA0E">
      <w:pPr>
        <w:pStyle w:val="8"/>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48DA0E69">
      <w:pPr>
        <w:pStyle w:val="8"/>
        <w:spacing w:before="0" w:beforeAutospacing="0" w:after="0" w:afterAutospacing="0" w:line="360" w:lineRule="auto"/>
        <w:ind w:firstLine="420"/>
        <w:rPr>
          <w:sz w:val="21"/>
          <w:szCs w:val="21"/>
        </w:rPr>
      </w:pPr>
      <w:r>
        <w:rPr>
          <w:rStyle w:val="12"/>
          <w:rFonts w:hint="eastAsia"/>
          <w:sz w:val="21"/>
          <w:szCs w:val="21"/>
        </w:rPr>
        <w:t>九、如本招募说明书存在任何您/贵机构无法理解的内容，请通过上述方式联系基金管</w:t>
      </w:r>
      <w:bookmarkStart w:id="214" w:name="chapter_level1_24_75_section_1_end"/>
      <w:bookmarkEnd w:id="214"/>
      <w:r>
        <w:rPr>
          <w:rStyle w:val="12"/>
          <w:rFonts w:hint="eastAsia"/>
          <w:sz w:val="21"/>
          <w:szCs w:val="21"/>
        </w:rPr>
        <w:t>理人。请确保投资前，您/贵机构已经全面理解了本招募说明书。</w:t>
      </w:r>
    </w:p>
    <w:p w14:paraId="1CEAFBD3">
      <w:pPr>
        <w:widowControl/>
        <w:jc w:val="left"/>
        <w:rPr>
          <w:rFonts w:ascii="宋体" w:hAnsi="宋体" w:eastAsia="宋体"/>
        </w:rPr>
      </w:pPr>
      <w:r>
        <w:rPr>
          <w:rFonts w:ascii="宋体" w:hAnsi="宋体" w:eastAsia="宋体"/>
        </w:rPr>
        <w:br w:type="page"/>
      </w:r>
    </w:p>
    <w:p w14:paraId="22024352">
      <w:pPr>
        <w:pStyle w:val="2"/>
        <w:jc w:val="center"/>
        <w:rPr>
          <w:rFonts w:ascii="宋体" w:hAnsi="宋体" w:eastAsia="宋体"/>
          <w:sz w:val="30"/>
        </w:rPr>
      </w:pPr>
      <w:bookmarkStart w:id="215" w:name="_Toc239208858"/>
      <w:bookmarkStart w:id="216" w:name="chapter_level1_25_3499"/>
      <w:r>
        <w:rPr>
          <w:rFonts w:hint="eastAsia" w:ascii="宋体" w:hAnsi="宋体" w:eastAsia="宋体"/>
          <w:sz w:val="30"/>
        </w:rPr>
        <w:t>第二十二部分 其他应披露的事项</w:t>
      </w:r>
      <w:bookmarkEnd w:id="215"/>
      <w:bookmarkEnd w:id="216"/>
    </w:p>
    <w:p w14:paraId="650E90B4">
      <w:pPr>
        <w:pStyle w:val="8"/>
        <w:spacing w:before="0" w:beforeAutospacing="0" w:after="0" w:afterAutospacing="0" w:line="360" w:lineRule="auto"/>
        <w:ind w:firstLine="420"/>
        <w:rPr>
          <w:sz w:val="21"/>
          <w:szCs w:val="21"/>
        </w:rPr>
      </w:pPr>
      <w:bookmarkStart w:id="217" w:name="chapter_level1_25_3499_section_1"/>
      <w:bookmarkEnd w:id="217"/>
      <w:bookmarkStart w:id="218" w:name="field_0_bsrevealinfo_1_start"/>
      <w:bookmarkEnd w:id="218"/>
      <w:r>
        <w:rPr>
          <w:rFonts w:hint="eastAsia"/>
          <w:sz w:val="21"/>
          <w:szCs w:val="21"/>
        </w:rPr>
        <w:t>（一）、2026年8月31日，我公司公告了《博时裕利纯债债券型证券投资基金2026年中期报告》；</w:t>
      </w:r>
    </w:p>
    <w:p w14:paraId="1A5983B9">
      <w:pPr>
        <w:pStyle w:val="8"/>
        <w:spacing w:before="0" w:beforeAutospacing="0" w:after="0" w:afterAutospacing="0" w:line="360" w:lineRule="auto"/>
        <w:ind w:firstLine="420"/>
        <w:rPr>
          <w:sz w:val="21"/>
          <w:szCs w:val="21"/>
        </w:rPr>
      </w:pPr>
      <w:r>
        <w:rPr>
          <w:rFonts w:hint="eastAsia"/>
          <w:sz w:val="21"/>
          <w:szCs w:val="21"/>
        </w:rPr>
        <w:t>（二）、2026年7月27日，我公司公告了《博时裕利纯债债券型证券投资基金更新招募说明书》、《博时裕利纯债债券型证券投资基金（博时裕利纯债债券A）基金产品资料概要更新》、《博时裕利纯债债券型证券投资基金（博时裕利纯债债券C）基金产品资料概要更新》；</w:t>
      </w:r>
    </w:p>
    <w:p w14:paraId="0F501071">
      <w:pPr>
        <w:pStyle w:val="8"/>
        <w:spacing w:before="0" w:beforeAutospacing="0" w:after="0" w:afterAutospacing="0" w:line="360" w:lineRule="auto"/>
        <w:ind w:firstLine="420"/>
        <w:rPr>
          <w:sz w:val="21"/>
          <w:szCs w:val="21"/>
        </w:rPr>
      </w:pPr>
      <w:r>
        <w:rPr>
          <w:rFonts w:hint="eastAsia"/>
          <w:sz w:val="21"/>
          <w:szCs w:val="21"/>
        </w:rPr>
        <w:t>（三）、2026年7月21日，我公司公告了《博时基金管理有限公司关于运用公司固有资金投资旗下混合基金的公告》、《博时裕利纯债债券型证券投资基金2026年第2季度报告》；</w:t>
      </w:r>
    </w:p>
    <w:p w14:paraId="064E47E9">
      <w:pPr>
        <w:pStyle w:val="8"/>
        <w:spacing w:before="0" w:beforeAutospacing="0" w:after="0" w:afterAutospacing="0" w:line="360" w:lineRule="auto"/>
        <w:ind w:firstLine="420"/>
        <w:rPr>
          <w:sz w:val="21"/>
          <w:szCs w:val="21"/>
        </w:rPr>
      </w:pPr>
      <w:r>
        <w:rPr>
          <w:rFonts w:hint="eastAsia"/>
          <w:sz w:val="21"/>
          <w:szCs w:val="21"/>
        </w:rPr>
        <w:t>（四）、2026年7月20日，我公司公告了《博时基金管理有限公司关于运用公司固有资金投资旗下权益类公募基金的公告》；</w:t>
      </w:r>
    </w:p>
    <w:p w14:paraId="2BBBB447">
      <w:pPr>
        <w:pStyle w:val="8"/>
        <w:spacing w:before="0" w:beforeAutospacing="0" w:after="0" w:afterAutospacing="0" w:line="360" w:lineRule="auto"/>
        <w:ind w:firstLine="420"/>
        <w:rPr>
          <w:sz w:val="21"/>
          <w:szCs w:val="21"/>
        </w:rPr>
      </w:pPr>
      <w:r>
        <w:rPr>
          <w:rFonts w:hint="eastAsia"/>
          <w:sz w:val="21"/>
          <w:szCs w:val="21"/>
        </w:rPr>
        <w:t>（五）、2026年7月14日，我公司公告了《博时基金管理有限公司关于旗下基金持有的长期停牌股票调整估值方法的公告》；</w:t>
      </w:r>
    </w:p>
    <w:p w14:paraId="60914849">
      <w:pPr>
        <w:pStyle w:val="8"/>
        <w:spacing w:before="0" w:beforeAutospacing="0" w:after="0" w:afterAutospacing="0" w:line="360" w:lineRule="auto"/>
        <w:ind w:firstLine="420"/>
        <w:rPr>
          <w:sz w:val="21"/>
          <w:szCs w:val="21"/>
        </w:rPr>
      </w:pPr>
      <w:r>
        <w:rPr>
          <w:rFonts w:hint="eastAsia"/>
          <w:sz w:val="21"/>
          <w:szCs w:val="21"/>
        </w:rPr>
        <w:t>（六）、2026年6月26日，我公司公告了《博时裕利纯债债券型证券投资基金基金合同》、《博时基金管理有限公司关于旗下部分基金调整业绩比较基准并修订基金合同等法律文件的公告》、《博时裕利纯债债券型证券投资基金（博时裕利纯债债券A）基金产品资料概要更新》、《博时裕利纯债债券型证券投资基金（博时裕利纯债债券C）基金产品资料概要更新》；</w:t>
      </w:r>
    </w:p>
    <w:p w14:paraId="637AF5C4">
      <w:pPr>
        <w:pStyle w:val="8"/>
        <w:spacing w:before="0" w:beforeAutospacing="0" w:after="0" w:afterAutospacing="0" w:line="360" w:lineRule="auto"/>
        <w:ind w:firstLine="420"/>
        <w:rPr>
          <w:sz w:val="21"/>
          <w:szCs w:val="21"/>
        </w:rPr>
      </w:pPr>
      <w:r>
        <w:rPr>
          <w:rFonts w:hint="eastAsia"/>
          <w:sz w:val="21"/>
          <w:szCs w:val="21"/>
        </w:rPr>
        <w:t>（七）、2026年5月29日，我公司公告了《博时基金管理有限公司关于终止中证金牛（北京）基金销售有限公司办理旗下基金销售业务的公告》；</w:t>
      </w:r>
    </w:p>
    <w:p w14:paraId="1D2F4F9F">
      <w:pPr>
        <w:pStyle w:val="8"/>
        <w:spacing w:before="0" w:beforeAutospacing="0" w:after="0" w:afterAutospacing="0" w:line="360" w:lineRule="auto"/>
        <w:ind w:firstLine="420"/>
        <w:rPr>
          <w:sz w:val="21"/>
          <w:szCs w:val="21"/>
        </w:rPr>
      </w:pPr>
      <w:r>
        <w:rPr>
          <w:rFonts w:hint="eastAsia"/>
          <w:sz w:val="21"/>
          <w:szCs w:val="21"/>
        </w:rPr>
        <w:t>（八）、2026年4月30日，我公司公告了《2025年度博时基金以股东身份（通过公募基金持股）参与股东大会投票信息披露》；</w:t>
      </w:r>
    </w:p>
    <w:p w14:paraId="0D40E9A8">
      <w:pPr>
        <w:pStyle w:val="8"/>
        <w:spacing w:before="0" w:beforeAutospacing="0" w:after="0" w:afterAutospacing="0" w:line="360" w:lineRule="auto"/>
        <w:ind w:firstLine="420"/>
        <w:rPr>
          <w:sz w:val="21"/>
          <w:szCs w:val="21"/>
        </w:rPr>
      </w:pPr>
      <w:r>
        <w:rPr>
          <w:rFonts w:hint="eastAsia"/>
          <w:sz w:val="21"/>
          <w:szCs w:val="21"/>
        </w:rPr>
        <w:t>（九）、2026年4月22日，我公司公告了《博时裕利纯债债券型证券投资基金2026年第1季度报告》；</w:t>
      </w:r>
    </w:p>
    <w:p w14:paraId="68ACEEA6">
      <w:pPr>
        <w:pStyle w:val="8"/>
        <w:spacing w:before="0" w:beforeAutospacing="0" w:after="0" w:afterAutospacing="0" w:line="360" w:lineRule="auto"/>
        <w:ind w:firstLine="420"/>
        <w:rPr>
          <w:sz w:val="21"/>
          <w:szCs w:val="21"/>
        </w:rPr>
      </w:pPr>
      <w:r>
        <w:rPr>
          <w:rFonts w:hint="eastAsia"/>
          <w:sz w:val="21"/>
          <w:szCs w:val="21"/>
        </w:rPr>
        <w:t>（十）、2026年3月31日，我公司公告了《博时基金管理有限公司旗下公募基金通过证券公司证券交易及佣金支付情况（2025年度）》、《博时裕利纯债债券型证券投资基金2025年年度报告》；</w:t>
      </w:r>
    </w:p>
    <w:p w14:paraId="775100BE">
      <w:pPr>
        <w:pStyle w:val="8"/>
        <w:spacing w:before="0" w:beforeAutospacing="0" w:after="0" w:afterAutospacing="0" w:line="360" w:lineRule="auto"/>
        <w:ind w:firstLine="420"/>
        <w:rPr>
          <w:sz w:val="21"/>
          <w:szCs w:val="21"/>
        </w:rPr>
      </w:pPr>
      <w:r>
        <w:rPr>
          <w:rFonts w:hint="eastAsia"/>
          <w:sz w:val="21"/>
          <w:szCs w:val="21"/>
        </w:rPr>
        <w:t>（十一）、2026年3月25日，我公司公告了《博时裕利纯债债券型证券投资基金（博时裕利纯债债券C）基金产品资料概要更新》、《博时裕利纯债债券型证券投资基金（博时裕利纯债债券A）基金产品资料概要更新》；</w:t>
      </w:r>
    </w:p>
    <w:p w14:paraId="616920C8">
      <w:pPr>
        <w:pStyle w:val="8"/>
        <w:spacing w:before="0" w:beforeAutospacing="0" w:after="0" w:afterAutospacing="0" w:line="360" w:lineRule="auto"/>
        <w:ind w:firstLine="420"/>
        <w:rPr>
          <w:sz w:val="21"/>
          <w:szCs w:val="21"/>
        </w:rPr>
      </w:pPr>
      <w:r>
        <w:rPr>
          <w:rFonts w:hint="eastAsia"/>
          <w:sz w:val="21"/>
          <w:szCs w:val="21"/>
        </w:rPr>
        <w:t>（十二）、2026年3月24日，我公司公告了《博时裕利纯债债券型证券投资基金更新招募说明书》、《博时基金管理有限公司关于博时裕利纯债债券型证券投资基金的基金经理变更的公告》；</w:t>
      </w:r>
    </w:p>
    <w:p w14:paraId="4DFE042B">
      <w:pPr>
        <w:pStyle w:val="8"/>
        <w:spacing w:before="0" w:beforeAutospacing="0" w:after="0" w:afterAutospacing="0" w:line="360" w:lineRule="auto"/>
        <w:ind w:firstLine="420"/>
        <w:rPr>
          <w:sz w:val="21"/>
          <w:szCs w:val="21"/>
        </w:rPr>
      </w:pPr>
      <w:r>
        <w:rPr>
          <w:rFonts w:hint="eastAsia"/>
          <w:sz w:val="21"/>
          <w:szCs w:val="21"/>
        </w:rPr>
        <w:t>（十三）、2026年3月19日，我公司公告了《博时裕利纯债债券型证券投资基金托管协议》、《博时裕利纯债债券型证券投资基金基金合同》、《博时基金管理有限公司关于博时裕利纯债债券型证券投资基金基金份额持有人大会表决结果暨决议生效的公告》、《博时裕利纯债债券型证券投资基金更新招募说明书》、《博时裕利纯债债券型证券投资基金分红公告》；</w:t>
      </w:r>
    </w:p>
    <w:p w14:paraId="26527EC4">
      <w:pPr>
        <w:pStyle w:val="8"/>
        <w:spacing w:before="0" w:beforeAutospacing="0" w:after="0" w:afterAutospacing="0" w:line="360" w:lineRule="auto"/>
        <w:ind w:firstLine="420"/>
        <w:rPr>
          <w:sz w:val="21"/>
          <w:szCs w:val="21"/>
        </w:rPr>
      </w:pPr>
      <w:r>
        <w:rPr>
          <w:rFonts w:hint="eastAsia"/>
          <w:sz w:val="21"/>
          <w:szCs w:val="21"/>
        </w:rPr>
        <w:t>（十四）、2026年2月26日，我公司公告了《博时基金管理有限公司关于旗下基金持有的长期停牌股票调整估值方法的公告》；</w:t>
      </w:r>
    </w:p>
    <w:p w14:paraId="3C1856E0">
      <w:pPr>
        <w:pStyle w:val="8"/>
        <w:spacing w:before="0" w:beforeAutospacing="0" w:after="0" w:afterAutospacing="0" w:line="360" w:lineRule="auto"/>
        <w:ind w:firstLine="420"/>
        <w:rPr>
          <w:sz w:val="21"/>
          <w:szCs w:val="21"/>
        </w:rPr>
      </w:pPr>
      <w:r>
        <w:rPr>
          <w:rFonts w:hint="eastAsia"/>
          <w:sz w:val="21"/>
          <w:szCs w:val="21"/>
        </w:rPr>
        <w:t>（十五）、2026年2月25日，我公司公告了《博时基金管理有限公司关于以通讯方式召开博时裕利纯债债券型证券投资基金基金份额持有人大会的第二次提示性公告》；</w:t>
      </w:r>
    </w:p>
    <w:p w14:paraId="1C113FF4">
      <w:pPr>
        <w:pStyle w:val="8"/>
        <w:spacing w:before="0" w:beforeAutospacing="0" w:after="0" w:afterAutospacing="0" w:line="360" w:lineRule="auto"/>
        <w:ind w:firstLine="420"/>
        <w:rPr>
          <w:sz w:val="21"/>
          <w:szCs w:val="21"/>
        </w:rPr>
      </w:pPr>
      <w:r>
        <w:rPr>
          <w:rFonts w:hint="eastAsia"/>
          <w:sz w:val="21"/>
          <w:szCs w:val="21"/>
        </w:rPr>
        <w:t>（十六）、2026年2月24日，我公司公告了《博时基金管理有限公司关于以通讯方式召开博时裕利纯债债券型证券投资基金基金份额持有人大会的第一次提示性公告》；</w:t>
      </w:r>
    </w:p>
    <w:p w14:paraId="55AAA0B0">
      <w:pPr>
        <w:pStyle w:val="8"/>
        <w:spacing w:before="0" w:beforeAutospacing="0" w:after="0" w:afterAutospacing="0" w:line="360" w:lineRule="auto"/>
        <w:ind w:firstLine="420"/>
        <w:rPr>
          <w:sz w:val="21"/>
          <w:szCs w:val="21"/>
        </w:rPr>
      </w:pPr>
      <w:r>
        <w:rPr>
          <w:rFonts w:hint="eastAsia"/>
          <w:sz w:val="21"/>
          <w:szCs w:val="21"/>
        </w:rPr>
        <w:t>（十七）、2026年2月14日，我公司公告了《博时基金管理有限公司关于高级管理人员变更的公告》；</w:t>
      </w:r>
    </w:p>
    <w:p w14:paraId="6DDA5E70">
      <w:pPr>
        <w:pStyle w:val="8"/>
        <w:spacing w:before="0" w:beforeAutospacing="0" w:after="0" w:afterAutospacing="0" w:line="360" w:lineRule="auto"/>
        <w:ind w:firstLine="420"/>
        <w:rPr>
          <w:sz w:val="21"/>
          <w:szCs w:val="21"/>
        </w:rPr>
      </w:pPr>
      <w:r>
        <w:rPr>
          <w:rFonts w:hint="eastAsia"/>
          <w:sz w:val="21"/>
          <w:szCs w:val="21"/>
        </w:rPr>
        <w:t>（十八）、2026年2月13日，我公司公告了《博时基金管理有限公司关于以通讯方式召开博时裕利纯债债券型证券投资基金基金份额持有人大会的公告》；</w:t>
      </w:r>
    </w:p>
    <w:p w14:paraId="2CBDF458">
      <w:pPr>
        <w:pStyle w:val="8"/>
        <w:spacing w:before="0" w:beforeAutospacing="0" w:after="0" w:afterAutospacing="0" w:line="360" w:lineRule="auto"/>
        <w:ind w:firstLine="420"/>
        <w:rPr>
          <w:sz w:val="21"/>
          <w:szCs w:val="21"/>
        </w:rPr>
      </w:pPr>
      <w:r>
        <w:rPr>
          <w:rFonts w:hint="eastAsia"/>
          <w:sz w:val="21"/>
          <w:szCs w:val="21"/>
        </w:rPr>
        <w:t>（十九）、2026年1月24日，我公司公告了《博时基金管理有限公司关于旗下基金持有的长期停牌股票调整估值方法的公告-20260124》；</w:t>
      </w:r>
    </w:p>
    <w:p w14:paraId="78D1475A">
      <w:pPr>
        <w:pStyle w:val="8"/>
        <w:spacing w:before="0" w:beforeAutospacing="0" w:after="0" w:afterAutospacing="0" w:line="360" w:lineRule="auto"/>
        <w:ind w:firstLine="420"/>
        <w:rPr>
          <w:sz w:val="21"/>
          <w:szCs w:val="21"/>
        </w:rPr>
      </w:pPr>
      <w:r>
        <w:rPr>
          <w:rFonts w:hint="eastAsia"/>
          <w:sz w:val="21"/>
          <w:szCs w:val="21"/>
        </w:rPr>
        <w:t>（二十）、2026年1月22日，我公司公告了《博时裕利纯债债券型证券投资基金2025年第4季度报告》；</w:t>
      </w:r>
    </w:p>
    <w:p w14:paraId="37956F00">
      <w:pPr>
        <w:pStyle w:val="8"/>
        <w:spacing w:before="0" w:beforeAutospacing="0" w:after="0" w:afterAutospacing="0" w:line="360" w:lineRule="auto"/>
        <w:ind w:firstLine="420"/>
        <w:rPr>
          <w:sz w:val="21"/>
          <w:szCs w:val="21"/>
        </w:rPr>
      </w:pPr>
      <w:r>
        <w:rPr>
          <w:rFonts w:hint="eastAsia"/>
          <w:sz w:val="21"/>
          <w:szCs w:val="21"/>
        </w:rPr>
        <w:t>（二十一）、2025年12月31日，我公司公告了《博时基金管理有限公司关于暂停使用富友支付提供的快捷支付通道办理直销网上交易部分业务的公告》；</w:t>
      </w:r>
    </w:p>
    <w:p w14:paraId="00230616">
      <w:pPr>
        <w:pStyle w:val="8"/>
        <w:spacing w:before="0" w:beforeAutospacing="0" w:after="0" w:afterAutospacing="0" w:line="360" w:lineRule="auto"/>
        <w:ind w:firstLine="420"/>
        <w:rPr>
          <w:sz w:val="21"/>
          <w:szCs w:val="21"/>
        </w:rPr>
      </w:pPr>
      <w:r>
        <w:rPr>
          <w:rFonts w:hint="eastAsia"/>
          <w:sz w:val="21"/>
          <w:szCs w:val="21"/>
        </w:rPr>
        <w:t>（二十二）、2025年12月11日，我公司公告了《博时裕利纯债债券型证券投资基金分红公告》；</w:t>
      </w:r>
    </w:p>
    <w:p w14:paraId="6C810FC9">
      <w:pPr>
        <w:pStyle w:val="8"/>
        <w:spacing w:before="0" w:beforeAutospacing="0" w:after="0" w:afterAutospacing="0" w:line="360" w:lineRule="auto"/>
        <w:ind w:firstLine="420"/>
        <w:rPr>
          <w:sz w:val="21"/>
          <w:szCs w:val="21"/>
        </w:rPr>
      </w:pPr>
      <w:r>
        <w:rPr>
          <w:rFonts w:hint="eastAsia"/>
          <w:sz w:val="21"/>
          <w:szCs w:val="21"/>
        </w:rPr>
        <w:t>（二十三）、2025年12月6日，我公司公告了《博时基金管理有限公司关于终止北京微动利基金销售有限公司办理旗下基金相关销售业务的公告》；</w:t>
      </w:r>
    </w:p>
    <w:p w14:paraId="26087505">
      <w:pPr>
        <w:pStyle w:val="8"/>
        <w:spacing w:before="0" w:beforeAutospacing="0" w:after="0" w:afterAutospacing="0" w:line="360" w:lineRule="auto"/>
        <w:ind w:firstLine="420"/>
        <w:rPr>
          <w:sz w:val="21"/>
          <w:szCs w:val="21"/>
        </w:rPr>
      </w:pPr>
      <w:r>
        <w:rPr>
          <w:rFonts w:hint="eastAsia"/>
          <w:sz w:val="21"/>
          <w:szCs w:val="21"/>
        </w:rPr>
        <w:t>（二十四）、2025年11月12日，我公司公告了《博时基金管理有限公司关于高级管理人员变更的公告》；</w:t>
      </w:r>
    </w:p>
    <w:p w14:paraId="668B9F70">
      <w:pPr>
        <w:pStyle w:val="8"/>
        <w:spacing w:before="0" w:beforeAutospacing="0" w:after="0" w:afterAutospacing="0" w:line="360" w:lineRule="auto"/>
        <w:ind w:firstLine="420"/>
        <w:rPr>
          <w:sz w:val="21"/>
          <w:szCs w:val="21"/>
        </w:rPr>
      </w:pPr>
      <w:r>
        <w:rPr>
          <w:rFonts w:hint="eastAsia"/>
          <w:sz w:val="21"/>
          <w:szCs w:val="21"/>
        </w:rPr>
        <w:t>（二十五）、2025年10月28日，我公司公告了《博时裕利纯债债券型证券投资基金2025年第3季度报告》；</w:t>
      </w:r>
    </w:p>
    <w:p w14:paraId="551F1BF6">
      <w:pPr>
        <w:pStyle w:val="8"/>
        <w:spacing w:before="0" w:beforeAutospacing="0" w:after="0" w:afterAutospacing="0" w:line="360" w:lineRule="auto"/>
        <w:ind w:firstLine="420"/>
        <w:rPr>
          <w:sz w:val="21"/>
          <w:szCs w:val="21"/>
        </w:rPr>
      </w:pPr>
      <w:r>
        <w:rPr>
          <w:rFonts w:hint="eastAsia"/>
          <w:sz w:val="21"/>
          <w:szCs w:val="21"/>
        </w:rPr>
        <w:t>（二十六）、2025年10月16日，我公司公告了《博时基金管理有限公司关于高级管理人员变更的公告》；</w:t>
      </w:r>
    </w:p>
    <w:p w14:paraId="16FA6255">
      <w:pPr>
        <w:pStyle w:val="8"/>
        <w:spacing w:before="0" w:beforeAutospacing="0" w:after="0" w:afterAutospacing="0" w:line="360" w:lineRule="auto"/>
        <w:ind w:firstLine="420"/>
        <w:rPr>
          <w:sz w:val="21"/>
          <w:szCs w:val="21"/>
        </w:rPr>
      </w:pPr>
      <w:r>
        <w:rPr>
          <w:rFonts w:hint="eastAsia"/>
          <w:sz w:val="21"/>
          <w:szCs w:val="21"/>
        </w:rPr>
        <w:t>（二十七）、2025年9月30日，我公司公告了《博时裕利纯债债券型证券投资基金更新招募说明书》；</w:t>
      </w:r>
    </w:p>
    <w:p w14:paraId="2A7BB54E">
      <w:pPr>
        <w:pStyle w:val="8"/>
        <w:spacing w:before="0" w:beforeAutospacing="0" w:after="0" w:afterAutospacing="0" w:line="360" w:lineRule="auto"/>
        <w:ind w:firstLine="420"/>
        <w:rPr>
          <w:sz w:val="21"/>
          <w:szCs w:val="21"/>
        </w:rPr>
      </w:pPr>
      <w:r>
        <w:rPr>
          <w:rFonts w:hint="eastAsia"/>
          <w:sz w:val="21"/>
          <w:szCs w:val="21"/>
        </w:rPr>
        <w:t>（二十八）、2025年9月19日，我公司公告了《博时裕利纯债债券型证券投资基金调整大额申购、转换转入、定期定额投资业务的公告》；</w:t>
      </w:r>
    </w:p>
    <w:p w14:paraId="67FE7299">
      <w:pPr>
        <w:pStyle w:val="8"/>
        <w:spacing w:before="0" w:beforeAutospacing="0" w:after="0" w:afterAutospacing="0" w:line="360" w:lineRule="auto"/>
        <w:ind w:firstLine="420"/>
        <w:rPr>
          <w:sz w:val="21"/>
          <w:szCs w:val="21"/>
        </w:rPr>
      </w:pPr>
      <w:r>
        <w:rPr>
          <w:rFonts w:hint="eastAsia"/>
          <w:sz w:val="21"/>
          <w:szCs w:val="21"/>
        </w:rPr>
        <w:t>（二十九）、2025年9月4日，我公司公告了《博时基金管理有限公司关于旗下基金</w:t>
      </w:r>
      <w:bookmarkStart w:id="219" w:name="chapter_level1_25_3499_section_1_end"/>
      <w:bookmarkEnd w:id="219"/>
      <w:r>
        <w:rPr>
          <w:rFonts w:hint="eastAsia"/>
          <w:sz w:val="21"/>
          <w:szCs w:val="21"/>
        </w:rPr>
        <w:t>持有的长期停牌股票调整估值方法的公告》。</w:t>
      </w:r>
      <w:bookmarkStart w:id="220" w:name="field_0_bsrevealinfo_1_end"/>
      <w:bookmarkEnd w:id="220"/>
      <w:r>
        <w:rPr>
          <w:rFonts w:hint="eastAsia"/>
          <w:sz w:val="21"/>
          <w:szCs w:val="21"/>
        </w:rPr>
        <w:t xml:space="preserve">  </w:t>
      </w:r>
    </w:p>
    <w:p w14:paraId="7437F9FC">
      <w:pPr>
        <w:widowControl/>
        <w:jc w:val="left"/>
        <w:rPr>
          <w:rFonts w:ascii="宋体" w:hAnsi="宋体" w:eastAsia="宋体"/>
        </w:rPr>
      </w:pPr>
      <w:r>
        <w:rPr>
          <w:rFonts w:ascii="宋体" w:hAnsi="宋体" w:eastAsia="宋体"/>
        </w:rPr>
        <w:br w:type="page"/>
      </w:r>
    </w:p>
    <w:p w14:paraId="51E4C95C">
      <w:pPr>
        <w:pStyle w:val="2"/>
        <w:jc w:val="center"/>
        <w:rPr>
          <w:rFonts w:ascii="宋体" w:hAnsi="宋体" w:eastAsia="宋体"/>
          <w:sz w:val="30"/>
        </w:rPr>
      </w:pPr>
      <w:bookmarkStart w:id="221" w:name="_Toc239208859"/>
      <w:bookmarkStart w:id="222" w:name="chapter_level1_26_77"/>
      <w:r>
        <w:rPr>
          <w:rFonts w:hint="eastAsia" w:ascii="宋体" w:hAnsi="宋体" w:eastAsia="宋体"/>
          <w:sz w:val="30"/>
        </w:rPr>
        <w:t>第二十三部分  招募说明书存放及查阅方式</w:t>
      </w:r>
      <w:bookmarkEnd w:id="221"/>
      <w:bookmarkEnd w:id="222"/>
    </w:p>
    <w:p w14:paraId="111981A8">
      <w:pPr>
        <w:pStyle w:val="8"/>
        <w:spacing w:before="0" w:beforeAutospacing="0" w:after="0" w:afterAutospacing="0" w:line="360" w:lineRule="auto"/>
        <w:ind w:firstLine="420"/>
        <w:rPr>
          <w:sz w:val="21"/>
          <w:szCs w:val="21"/>
        </w:rPr>
      </w:pPr>
      <w:bookmarkStart w:id="223" w:name="chapter_level1_26_77_section_1"/>
      <w:bookmarkEnd w:id="223"/>
      <w:r>
        <w:rPr>
          <w:rFonts w:hint="eastAsia"/>
          <w:sz w:val="21"/>
          <w:szCs w:val="21"/>
        </w:rPr>
        <w:t xml:space="preserve">依法必须披露的信息发布后，基金管理人、基金托管人应当按照相关法律法规规定将信息置备于各自住所， 供社会公众查阅、复制；投资人在支付工本费后，可在合理时间内取得上述文件复制件或复印件。对投资人按此种方式所获得的文件及其复印件，基金管理人保证文本的内容与所公告的内容完全一致。    </w:t>
      </w:r>
    </w:p>
    <w:p w14:paraId="0E6FEBD7">
      <w:pPr>
        <w:pStyle w:val="8"/>
        <w:spacing w:before="0" w:beforeAutospacing="0" w:after="0" w:afterAutospacing="0" w:line="360" w:lineRule="auto"/>
        <w:ind w:firstLine="420"/>
        <w:rPr>
          <w:sz w:val="21"/>
          <w:szCs w:val="21"/>
        </w:rPr>
      </w:pPr>
      <w:bookmarkStart w:id="224" w:name="chapter_level1_26_77_section_1_end"/>
      <w:bookmarkEnd w:id="224"/>
      <w:r>
        <w:rPr>
          <w:rFonts w:hint="eastAsia"/>
          <w:sz w:val="21"/>
          <w:szCs w:val="21"/>
        </w:rPr>
        <w:t xml:space="preserve">投资人还可以直接登录基金管理人的网站（www.bosera.com）查阅和下载招募说明书。 </w:t>
      </w:r>
    </w:p>
    <w:p w14:paraId="37CB8B53">
      <w:pPr>
        <w:widowControl/>
        <w:jc w:val="left"/>
        <w:rPr>
          <w:rFonts w:ascii="宋体" w:hAnsi="宋体" w:eastAsia="宋体"/>
        </w:rPr>
      </w:pPr>
      <w:r>
        <w:rPr>
          <w:rFonts w:ascii="宋体" w:hAnsi="宋体" w:eastAsia="宋体"/>
        </w:rPr>
        <w:br w:type="page"/>
      </w:r>
    </w:p>
    <w:p w14:paraId="7797A905">
      <w:pPr>
        <w:pStyle w:val="2"/>
        <w:jc w:val="center"/>
        <w:rPr>
          <w:rFonts w:ascii="宋体" w:hAnsi="宋体" w:eastAsia="宋体"/>
          <w:sz w:val="30"/>
        </w:rPr>
      </w:pPr>
      <w:bookmarkStart w:id="225" w:name="chapter_level1_27_332"/>
      <w:bookmarkStart w:id="226" w:name="_Toc239208860"/>
      <w:r>
        <w:rPr>
          <w:rFonts w:hint="eastAsia" w:ascii="宋体" w:hAnsi="宋体" w:eastAsia="宋体"/>
          <w:sz w:val="30"/>
        </w:rPr>
        <w:t>第二十四部分  备查文件</w:t>
      </w:r>
      <w:bookmarkEnd w:id="225"/>
      <w:bookmarkEnd w:id="226"/>
    </w:p>
    <w:p w14:paraId="4FCB9394">
      <w:pPr>
        <w:pStyle w:val="8"/>
        <w:spacing w:before="0" w:beforeAutospacing="0" w:after="0" w:afterAutospacing="0" w:line="360" w:lineRule="auto"/>
        <w:ind w:firstLine="420"/>
        <w:rPr>
          <w:sz w:val="21"/>
          <w:szCs w:val="21"/>
        </w:rPr>
      </w:pPr>
      <w:bookmarkStart w:id="227" w:name="chapter_level1_27_332_section_1"/>
      <w:bookmarkEnd w:id="227"/>
      <w:r>
        <w:rPr>
          <w:rFonts w:hint="eastAsia"/>
          <w:sz w:val="21"/>
          <w:szCs w:val="21"/>
        </w:rPr>
        <w:t xml:space="preserve">以下备查文件存放在基金管理人的办公场所，在办公时间可供免费查阅。  </w:t>
      </w:r>
    </w:p>
    <w:p w14:paraId="2822D79B">
      <w:pPr>
        <w:pStyle w:val="8"/>
        <w:spacing w:before="0" w:beforeAutospacing="0" w:after="0" w:afterAutospacing="0" w:line="360" w:lineRule="auto"/>
        <w:ind w:firstLine="420"/>
        <w:rPr>
          <w:sz w:val="21"/>
          <w:szCs w:val="21"/>
        </w:rPr>
      </w:pPr>
      <w:r>
        <w:rPr>
          <w:rFonts w:hint="eastAsia"/>
          <w:sz w:val="21"/>
          <w:szCs w:val="21"/>
        </w:rPr>
        <w:t>（一）中国证监会准予</w:t>
      </w:r>
      <w:bookmarkStart w:id="228" w:name="field_0_productfullname_12"/>
      <w:r>
        <w:rPr>
          <w:rFonts w:hint="eastAsia"/>
          <w:sz w:val="21"/>
          <w:szCs w:val="21"/>
        </w:rPr>
        <w:t>博时裕利纯债债券型证券投资基金</w:t>
      </w:r>
      <w:bookmarkEnd w:id="228"/>
      <w:r>
        <w:rPr>
          <w:rFonts w:hint="eastAsia"/>
          <w:sz w:val="21"/>
          <w:szCs w:val="21"/>
        </w:rPr>
        <w:t xml:space="preserve">注册的文件 </w:t>
      </w:r>
    </w:p>
    <w:p w14:paraId="7C647BF9">
      <w:pPr>
        <w:pStyle w:val="8"/>
        <w:spacing w:before="0" w:beforeAutospacing="0" w:after="0" w:afterAutospacing="0" w:line="360" w:lineRule="auto"/>
        <w:ind w:firstLine="420"/>
        <w:rPr>
          <w:sz w:val="21"/>
          <w:szCs w:val="21"/>
        </w:rPr>
      </w:pPr>
      <w:r>
        <w:rPr>
          <w:rFonts w:hint="eastAsia"/>
          <w:sz w:val="21"/>
          <w:szCs w:val="21"/>
        </w:rPr>
        <w:t>（二）《</w:t>
      </w:r>
      <w:bookmarkStart w:id="229" w:name="field_0_productfullname_13"/>
      <w:r>
        <w:rPr>
          <w:rFonts w:hint="eastAsia"/>
          <w:sz w:val="21"/>
          <w:szCs w:val="21"/>
        </w:rPr>
        <w:t>博时裕利纯债债券型证券投资基金</w:t>
      </w:r>
      <w:bookmarkEnd w:id="229"/>
      <w:r>
        <w:rPr>
          <w:rFonts w:hint="eastAsia"/>
          <w:sz w:val="21"/>
          <w:szCs w:val="21"/>
        </w:rPr>
        <w:t xml:space="preserve">基金合同》 </w:t>
      </w:r>
    </w:p>
    <w:p w14:paraId="706F9D03">
      <w:pPr>
        <w:pStyle w:val="8"/>
        <w:spacing w:before="0" w:beforeAutospacing="0" w:after="0" w:afterAutospacing="0" w:line="360" w:lineRule="auto"/>
        <w:ind w:firstLine="420"/>
        <w:rPr>
          <w:sz w:val="21"/>
          <w:szCs w:val="21"/>
        </w:rPr>
      </w:pPr>
      <w:r>
        <w:rPr>
          <w:rFonts w:hint="eastAsia"/>
          <w:sz w:val="21"/>
          <w:szCs w:val="21"/>
        </w:rPr>
        <w:t>（三）《</w:t>
      </w:r>
      <w:bookmarkStart w:id="230" w:name="field_0_productfullname_14"/>
      <w:r>
        <w:rPr>
          <w:rFonts w:hint="eastAsia"/>
          <w:sz w:val="21"/>
          <w:szCs w:val="21"/>
        </w:rPr>
        <w:t>博时裕利纯债债券型证券投资基金</w:t>
      </w:r>
      <w:bookmarkEnd w:id="230"/>
      <w:r>
        <w:rPr>
          <w:rFonts w:hint="eastAsia"/>
          <w:sz w:val="21"/>
          <w:szCs w:val="21"/>
        </w:rPr>
        <w:t xml:space="preserve">托管协议》 </w:t>
      </w:r>
    </w:p>
    <w:p w14:paraId="7634B9FD">
      <w:pPr>
        <w:pStyle w:val="8"/>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2A7FF651">
      <w:pPr>
        <w:pStyle w:val="8"/>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38B88F5D">
      <w:pPr>
        <w:pStyle w:val="8"/>
        <w:spacing w:before="0" w:beforeAutospacing="0" w:after="0" w:afterAutospacing="0" w:line="360" w:lineRule="auto"/>
        <w:ind w:firstLine="420"/>
        <w:rPr>
          <w:sz w:val="21"/>
          <w:szCs w:val="21"/>
        </w:rPr>
      </w:pPr>
      <w:r>
        <w:rPr>
          <w:rFonts w:hint="eastAsia"/>
          <w:sz w:val="21"/>
          <w:szCs w:val="21"/>
        </w:rPr>
        <w:t>（六）关于申请募集</w:t>
      </w:r>
      <w:bookmarkStart w:id="231" w:name="field_0_productfullname_15"/>
      <w:r>
        <w:rPr>
          <w:rFonts w:hint="eastAsia"/>
          <w:sz w:val="21"/>
          <w:szCs w:val="21"/>
        </w:rPr>
        <w:t>博时裕利纯债债券型证券投资基金</w:t>
      </w:r>
      <w:bookmarkEnd w:id="231"/>
      <w:r>
        <w:rPr>
          <w:rFonts w:hint="eastAsia"/>
          <w:sz w:val="21"/>
          <w:szCs w:val="21"/>
        </w:rPr>
        <w:t xml:space="preserve">之法律意见书 </w:t>
      </w:r>
    </w:p>
    <w:p w14:paraId="5FAD1F59">
      <w:pPr>
        <w:pStyle w:val="8"/>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1591246A">
      <w:pPr>
        <w:pStyle w:val="8"/>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15F87EDA">
      <w:pPr>
        <w:pStyle w:val="8"/>
        <w:spacing w:before="0" w:beforeAutospacing="0" w:after="0" w:afterAutospacing="0" w:line="360" w:lineRule="auto"/>
        <w:ind w:firstLine="420"/>
        <w:rPr>
          <w:sz w:val="21"/>
          <w:szCs w:val="21"/>
        </w:rPr>
      </w:pPr>
    </w:p>
    <w:p w14:paraId="3095A98F">
      <w:pPr>
        <w:pStyle w:val="8"/>
        <w:spacing w:before="0" w:beforeAutospacing="0" w:after="0" w:afterAutospacing="0" w:line="360" w:lineRule="auto"/>
        <w:ind w:firstLine="420"/>
        <w:rPr>
          <w:sz w:val="21"/>
          <w:szCs w:val="21"/>
        </w:rPr>
      </w:pPr>
    </w:p>
    <w:p w14:paraId="2CCB47B2">
      <w:pPr>
        <w:pStyle w:val="8"/>
        <w:spacing w:before="0" w:beforeAutospacing="0" w:after="0" w:afterAutospacing="0" w:line="360" w:lineRule="auto"/>
        <w:ind w:firstLine="420"/>
        <w:rPr>
          <w:sz w:val="21"/>
          <w:szCs w:val="21"/>
        </w:rPr>
      </w:pPr>
    </w:p>
    <w:p w14:paraId="7F90EB94">
      <w:pPr>
        <w:pStyle w:val="8"/>
        <w:spacing w:before="0" w:beforeAutospacing="0" w:after="0" w:afterAutospacing="0" w:line="360" w:lineRule="auto"/>
        <w:ind w:firstLine="420"/>
        <w:jc w:val="right"/>
        <w:rPr>
          <w:sz w:val="21"/>
          <w:szCs w:val="21"/>
        </w:rPr>
      </w:pPr>
      <w:bookmarkStart w:id="232" w:name="field_0_managerorgfullname_7"/>
      <w:r>
        <w:rPr>
          <w:rFonts w:hint="eastAsia"/>
          <w:sz w:val="21"/>
          <w:szCs w:val="21"/>
        </w:rPr>
        <w:t>博时基金管理有限公司</w:t>
      </w:r>
      <w:bookmarkEnd w:id="232"/>
      <w:r>
        <w:rPr>
          <w:rFonts w:hint="eastAsia"/>
          <w:sz w:val="21"/>
          <w:szCs w:val="21"/>
        </w:rPr>
        <w:t xml:space="preserve">  </w:t>
      </w:r>
    </w:p>
    <w:p w14:paraId="301D8099">
      <w:pPr>
        <w:pStyle w:val="8"/>
        <w:spacing w:before="0" w:beforeAutospacing="0" w:after="0" w:afterAutospacing="0" w:line="360" w:lineRule="auto"/>
        <w:ind w:firstLine="420"/>
        <w:jc w:val="right"/>
        <w:rPr>
          <w:sz w:val="21"/>
          <w:szCs w:val="21"/>
        </w:rPr>
      </w:pPr>
      <w:bookmarkStart w:id="233" w:name="chapter_level1_27_332_section_1_end"/>
      <w:bookmarkEnd w:id="233"/>
      <w:bookmarkStart w:id="234" w:name="field_0_commitmenttime_1"/>
      <w:r>
        <w:rPr>
          <w:sz w:val="21"/>
          <w:szCs w:val="21"/>
        </w:rPr>
        <w:t>2026年</w:t>
      </w:r>
      <w:r>
        <w:rPr>
          <w:rFonts w:hint="eastAsia"/>
          <w:sz w:val="21"/>
          <w:szCs w:val="21"/>
          <w:lang w:val="en-US" w:eastAsia="zh-CN"/>
        </w:rPr>
        <w:t>10</w:t>
      </w:r>
      <w:r>
        <w:rPr>
          <w:sz w:val="21"/>
          <w:szCs w:val="21"/>
        </w:rPr>
        <w:t>月</w:t>
      </w:r>
      <w:r>
        <w:rPr>
          <w:rFonts w:hint="eastAsia"/>
          <w:sz w:val="21"/>
          <w:szCs w:val="21"/>
          <w:lang w:val="en-US" w:eastAsia="zh-CN"/>
        </w:rPr>
        <w:t>23</w:t>
      </w:r>
      <w:r>
        <w:rPr>
          <w:sz w:val="21"/>
          <w:szCs w:val="21"/>
        </w:rPr>
        <w:t>日</w:t>
      </w:r>
      <w:bookmarkEnd w:id="234"/>
      <w:r>
        <w:rPr>
          <w:rFonts w:hint="eastAsia"/>
          <w:sz w:val="21"/>
          <w:szCs w:val="21"/>
        </w:rPr>
        <w:t xml:space="preserve">  </w:t>
      </w:r>
    </w:p>
    <w:p w14:paraId="1ACA13F9">
      <w:pPr>
        <w:rPr>
          <w:rFonts w:ascii="宋体" w:hAnsi="宋体" w:eastAsia="宋体"/>
        </w:rPr>
      </w:pPr>
      <w:bookmarkStart w:id="235" w:name="end"/>
      <w:bookmarkEnd w:id="235"/>
      <w:bookmarkStart w:id="236" w:name="_GoBack"/>
    </w:p>
    <w:bookmarkEnd w:id="236"/>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4B242">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130</w:t>
    </w:r>
    <w:r>
      <w:fldChar w:fldCharType="end"/>
    </w:r>
    <w:r>
      <w:rPr>
        <w:rFonts w:hint="eastAsia"/>
      </w:rPr>
      <w:t>页 共</w:t>
    </w:r>
    <w:r>
      <w:fldChar w:fldCharType="begin"/>
    </w:r>
    <w:r>
      <w:instrText xml:space="preserve"> NumPages \* MERGEFORMAT </w:instrText>
    </w:r>
    <w:r>
      <w:fldChar w:fldCharType="separate"/>
    </w:r>
    <w:r>
      <w:t>130</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E4007">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51C0D481">
    <w:pPr>
      <w:pStyle w:val="6"/>
      <w:jc w:val="right"/>
    </w:pPr>
    <w:r>
      <w:rPr>
        <w:rFonts w:hint="eastAsia"/>
      </w:rPr>
      <w:t>博时裕利纯债债券型证券投资基金更新招募说明书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432"/>
    <w:rsid w:val="00AC755B"/>
    <w:rsid w:val="00DD2BA1"/>
    <w:rsid w:val="00F72432"/>
    <w:rsid w:val="030550D1"/>
    <w:rsid w:val="046324BF"/>
    <w:rsid w:val="10965C3A"/>
    <w:rsid w:val="143607BE"/>
    <w:rsid w:val="19334345"/>
    <w:rsid w:val="38D82555"/>
    <w:rsid w:val="3BAB43EC"/>
    <w:rsid w:val="3FFD91C8"/>
    <w:rsid w:val="40C1716C"/>
    <w:rsid w:val="48491D92"/>
    <w:rsid w:val="5A820BA4"/>
    <w:rsid w:val="5B6A68ED"/>
    <w:rsid w:val="5BCFC4AF"/>
    <w:rsid w:val="677F0CC0"/>
    <w:rsid w:val="6DDBCF33"/>
    <w:rsid w:val="6FEFA590"/>
    <w:rsid w:val="7FBE7CAC"/>
    <w:rsid w:val="ACF8195E"/>
    <w:rsid w:val="BFBEB815"/>
    <w:rsid w:val="DDFFDFF8"/>
    <w:rsid w:val="EFEFEA5D"/>
    <w:rsid w:val="F79FAB15"/>
    <w:rsid w:val="FFFFD532"/>
    <w:rsid w:val="FFFFEB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autoRedefine/>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u w:val="single"/>
    </w:rPr>
  </w:style>
  <w:style w:type="character" w:customStyle="1" w:styleId="14">
    <w:name w:val="标题 2 Char"/>
    <w:basedOn w:val="11"/>
    <w:link w:val="2"/>
    <w:qFormat/>
    <w:uiPriority w:val="9"/>
    <w:rPr>
      <w:rFonts w:asciiTheme="majorHAnsi" w:hAnsiTheme="majorHAnsi" w:eastAsiaTheme="majorEastAsia" w:cstheme="majorBidi"/>
      <w:b/>
      <w:bCs/>
      <w:sz w:val="32"/>
      <w:szCs w:val="32"/>
    </w:rPr>
  </w:style>
  <w:style w:type="character" w:customStyle="1" w:styleId="15">
    <w:name w:val="页眉 Char"/>
    <w:basedOn w:val="11"/>
    <w:link w:val="6"/>
    <w:qFormat/>
    <w:uiPriority w:val="99"/>
    <w:rPr>
      <w:sz w:val="18"/>
      <w:szCs w:val="18"/>
    </w:rPr>
  </w:style>
  <w:style w:type="character" w:customStyle="1" w:styleId="16">
    <w:name w:val="页脚 Char"/>
    <w:basedOn w:val="11"/>
    <w:link w:val="5"/>
    <w:qFormat/>
    <w:uiPriority w:val="99"/>
    <w:rPr>
      <w:sz w:val="18"/>
      <w:szCs w:val="18"/>
    </w:rPr>
  </w:style>
  <w:style w:type="character" w:customStyle="1" w:styleId="17">
    <w:name w:val="批注框文本 Char"/>
    <w:basedOn w:val="11"/>
    <w:link w:val="4"/>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128</Pages>
  <Words>14926</Words>
  <Characters>85080</Characters>
  <Lines>709</Lines>
  <Paragraphs>199</Paragraphs>
  <TotalTime>1</TotalTime>
  <ScaleCrop>false</ScaleCrop>
  <LinksUpToDate>false</LinksUpToDate>
  <CharactersWithSpaces>99807</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2026-09-04T10:33:00Z</dcterms:created>
  <dc:creator>BSKMadminDev</dc:creator>
  <cp:lastModifiedBy>chenjy814</cp:lastModifiedBy>
  <dcterms:modified xsi:type="dcterms:W3CDTF">2026-10-22T14:46:29Z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D6B31E05E4760266AF3EC76A789A77D4_43</vt:lpwstr>
  </property>
</Properties>
</file>