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27A0F5">
      <w:pPr>
        <w:widowControl/>
        <w:jc w:val="left"/>
        <w:rPr>
          <w:rFonts w:ascii="宋体" w:hAnsi="宋体" w:eastAsia="宋体"/>
          <w:sz w:val="30"/>
        </w:rPr>
      </w:pPr>
      <w:bookmarkStart w:id="234" w:name="_GoBack"/>
      <w:bookmarkEnd w:id="234"/>
    </w:p>
    <w:p w14:paraId="19FBAF48">
      <w:pPr>
        <w:widowControl/>
        <w:jc w:val="left"/>
        <w:rPr>
          <w:rFonts w:ascii="宋体" w:hAnsi="宋体" w:eastAsia="宋体"/>
          <w:sz w:val="30"/>
        </w:rPr>
      </w:pPr>
    </w:p>
    <w:p w14:paraId="5B2EF674">
      <w:pPr>
        <w:widowControl/>
        <w:jc w:val="left"/>
        <w:rPr>
          <w:rFonts w:ascii="宋体" w:hAnsi="宋体" w:eastAsia="宋体"/>
          <w:sz w:val="30"/>
        </w:rPr>
      </w:pPr>
    </w:p>
    <w:p w14:paraId="7E8569B1">
      <w:pPr>
        <w:widowControl/>
        <w:jc w:val="left"/>
        <w:rPr>
          <w:rFonts w:ascii="宋体" w:hAnsi="宋体" w:eastAsia="宋体"/>
          <w:sz w:val="30"/>
        </w:rPr>
      </w:pPr>
    </w:p>
    <w:p w14:paraId="1902ECDA">
      <w:pPr>
        <w:widowControl/>
        <w:spacing w:line="800" w:lineRule="exact"/>
        <w:jc w:val="center"/>
        <w:rPr>
          <w:rFonts w:ascii="宋体" w:hAnsi="宋体" w:eastAsia="宋体"/>
          <w:b/>
          <w:sz w:val="52"/>
        </w:rPr>
      </w:pPr>
      <w:r>
        <w:rPr>
          <w:rFonts w:hint="eastAsia" w:ascii="宋体" w:hAnsi="宋体" w:eastAsia="宋体"/>
          <w:b/>
          <w:sz w:val="52"/>
        </w:rPr>
        <w:t>博时恒盈稳健一年持有期混合型证券投资基金</w:t>
      </w:r>
    </w:p>
    <w:p w14:paraId="5A85EFC3">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2B907799">
      <w:pPr>
        <w:widowControl/>
        <w:spacing w:line="800" w:lineRule="exact"/>
        <w:jc w:val="center"/>
        <w:rPr>
          <w:rFonts w:ascii="宋体" w:hAnsi="宋体" w:eastAsia="宋体"/>
          <w:b/>
          <w:sz w:val="52"/>
        </w:rPr>
      </w:pPr>
    </w:p>
    <w:p w14:paraId="0D1C43F3">
      <w:pPr>
        <w:widowControl/>
        <w:spacing w:line="800" w:lineRule="exact"/>
        <w:jc w:val="center"/>
        <w:rPr>
          <w:rFonts w:ascii="宋体" w:hAnsi="宋体" w:eastAsia="宋体"/>
          <w:b/>
          <w:sz w:val="52"/>
        </w:rPr>
      </w:pPr>
    </w:p>
    <w:p w14:paraId="24B1624A">
      <w:pPr>
        <w:widowControl/>
        <w:spacing w:line="800" w:lineRule="exact"/>
        <w:jc w:val="center"/>
        <w:rPr>
          <w:rFonts w:ascii="宋体" w:hAnsi="宋体" w:eastAsia="宋体"/>
          <w:b/>
          <w:sz w:val="52"/>
        </w:rPr>
      </w:pPr>
    </w:p>
    <w:p w14:paraId="06564654">
      <w:pPr>
        <w:widowControl/>
        <w:spacing w:line="800" w:lineRule="exact"/>
        <w:jc w:val="center"/>
        <w:rPr>
          <w:rFonts w:ascii="宋体" w:hAnsi="宋体" w:eastAsia="宋体"/>
          <w:b/>
          <w:sz w:val="52"/>
        </w:rPr>
      </w:pPr>
    </w:p>
    <w:p w14:paraId="3308EAF4">
      <w:pPr>
        <w:widowControl/>
        <w:spacing w:line="800" w:lineRule="exact"/>
        <w:jc w:val="center"/>
        <w:rPr>
          <w:rFonts w:ascii="宋体" w:hAnsi="宋体" w:eastAsia="宋体"/>
          <w:b/>
          <w:sz w:val="52"/>
        </w:rPr>
      </w:pPr>
    </w:p>
    <w:p w14:paraId="6FED02C9">
      <w:pPr>
        <w:widowControl/>
        <w:spacing w:line="800" w:lineRule="exact"/>
        <w:jc w:val="center"/>
        <w:rPr>
          <w:rFonts w:ascii="宋体" w:hAnsi="宋体" w:eastAsia="宋体"/>
          <w:b/>
          <w:sz w:val="52"/>
        </w:rPr>
      </w:pPr>
    </w:p>
    <w:p w14:paraId="1C20C547">
      <w:pPr>
        <w:widowControl/>
        <w:spacing w:line="800" w:lineRule="exact"/>
        <w:jc w:val="center"/>
        <w:rPr>
          <w:rFonts w:ascii="宋体" w:hAnsi="宋体" w:eastAsia="宋体"/>
          <w:b/>
          <w:sz w:val="52"/>
        </w:rPr>
      </w:pPr>
    </w:p>
    <w:p w14:paraId="3A2DBD98">
      <w:pPr>
        <w:widowControl/>
        <w:spacing w:line="800" w:lineRule="exact"/>
        <w:jc w:val="center"/>
        <w:rPr>
          <w:rFonts w:ascii="宋体" w:hAnsi="宋体" w:eastAsia="宋体"/>
          <w:b/>
          <w:sz w:val="52"/>
        </w:rPr>
      </w:pPr>
    </w:p>
    <w:p w14:paraId="3819F35A">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5C55AED7">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中国民生银行股份有限公司</w:t>
      </w:r>
      <w:r>
        <w:rPr>
          <w:rFonts w:ascii="宋体" w:hAnsi="宋体" w:eastAsia="宋体"/>
          <w:b/>
          <w:sz w:val="30"/>
        </w:rPr>
        <w:br w:type="page"/>
      </w:r>
    </w:p>
    <w:p w14:paraId="2E4200B2">
      <w:pPr>
        <w:pStyle w:val="2"/>
        <w:jc w:val="center"/>
        <w:rPr>
          <w:rFonts w:ascii="宋体" w:hAnsi="宋体" w:eastAsia="宋体"/>
          <w:sz w:val="30"/>
        </w:rPr>
      </w:pPr>
      <w:bookmarkStart w:id="0" w:name="_Toc209538267"/>
      <w:r>
        <w:rPr>
          <w:rFonts w:hint="eastAsia" w:ascii="宋体" w:hAnsi="宋体" w:eastAsia="宋体"/>
          <w:sz w:val="30"/>
        </w:rPr>
        <w:t>【重要提示】</w:t>
      </w:r>
      <w:bookmarkEnd w:id="0"/>
    </w:p>
    <w:p w14:paraId="5E778B82">
      <w:pPr>
        <w:pStyle w:val="7"/>
        <w:spacing w:before="0" w:beforeAutospacing="0" w:after="0" w:afterAutospacing="0" w:line="360" w:lineRule="auto"/>
        <w:ind w:firstLine="420"/>
        <w:rPr>
          <w:sz w:val="21"/>
          <w:szCs w:val="21"/>
        </w:rPr>
      </w:pPr>
      <w:r>
        <w:rPr>
          <w:rFonts w:hint="eastAsia"/>
          <w:sz w:val="21"/>
          <w:szCs w:val="21"/>
        </w:rPr>
        <w:t>1、本基金根据</w:t>
      </w:r>
      <w:bookmarkStart w:id="1" w:name="field_2343_approveddate_1"/>
      <w:r>
        <w:rPr>
          <w:sz w:val="21"/>
          <w:szCs w:val="21"/>
        </w:rPr>
        <w:t>2021年3月30日</w:t>
      </w:r>
      <w:bookmarkEnd w:id="1"/>
      <w:r>
        <w:rPr>
          <w:rFonts w:hint="eastAsia"/>
          <w:sz w:val="21"/>
          <w:szCs w:val="21"/>
        </w:rPr>
        <w:t>中国证券监督管理委员会（以下简称“中国证监会”）《关于准予</w:t>
      </w:r>
      <w:bookmarkStart w:id="2" w:name="field_0_productfullname_1"/>
      <w:r>
        <w:rPr>
          <w:rFonts w:hint="eastAsia"/>
          <w:sz w:val="21"/>
          <w:szCs w:val="21"/>
        </w:rPr>
        <w:t>博时恒盈稳健一年持有期混合型证券投资基金</w:t>
      </w:r>
      <w:bookmarkEnd w:id="2"/>
      <w:r>
        <w:rPr>
          <w:rFonts w:hint="eastAsia"/>
          <w:sz w:val="21"/>
          <w:szCs w:val="21"/>
        </w:rPr>
        <w:t>  注册的批复》（证监许可</w:t>
      </w:r>
      <w:bookmarkStart w:id="3" w:name="field_2343_lotnumber_1"/>
      <w:r>
        <w:rPr>
          <w:rFonts w:hint="eastAsia"/>
          <w:sz w:val="21"/>
          <w:szCs w:val="21"/>
        </w:rPr>
        <w:t>【</w:t>
      </w:r>
      <w:r>
        <w:rPr>
          <w:sz w:val="21"/>
          <w:szCs w:val="21"/>
        </w:rPr>
        <w:t>2021】1060</w:t>
      </w:r>
      <w:bookmarkEnd w:id="3"/>
      <w:r>
        <w:rPr>
          <w:rFonts w:hint="eastAsia"/>
          <w:sz w:val="21"/>
          <w:szCs w:val="21"/>
        </w:rPr>
        <w:t xml:space="preserve">号）进行募集。  </w:t>
      </w:r>
    </w:p>
    <w:p w14:paraId="55B42BDE">
      <w:pPr>
        <w:pStyle w:val="7"/>
        <w:spacing w:before="0" w:beforeAutospacing="0" w:after="0" w:afterAutospacing="0" w:line="360" w:lineRule="auto"/>
        <w:ind w:firstLine="420"/>
        <w:rPr>
          <w:sz w:val="21"/>
          <w:szCs w:val="21"/>
        </w:rPr>
      </w:pPr>
      <w:r>
        <w:rPr>
          <w:rFonts w:hint="eastAsia"/>
          <w:sz w:val="21"/>
          <w:szCs w:val="21"/>
        </w:rPr>
        <w:t xml:space="preserve">2、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481B8E9C">
      <w:pPr>
        <w:pStyle w:val="7"/>
        <w:spacing w:before="0" w:beforeAutospacing="0" w:after="0" w:afterAutospacing="0" w:line="360" w:lineRule="auto"/>
        <w:ind w:firstLine="420"/>
        <w:rPr>
          <w:sz w:val="21"/>
          <w:szCs w:val="21"/>
        </w:rPr>
      </w:pPr>
      <w:r>
        <w:rPr>
          <w:rFonts w:hint="eastAsia"/>
          <w:sz w:val="21"/>
          <w:szCs w:val="21"/>
        </w:rPr>
        <w:t xml:space="preserve">3、投资有风险，投资者认购（或申购）基金份额时应认真阅读基金合同、本招募说明书、基金产品资料概要等信息披露文件，自主判断基金的投资价值，全面认识本基金产品的风险收益特征，应充分考虑投资者自身的风险承受能力，并对认购（或申购）基金的意愿、时机、数量等投资行为作出独立决策。基金管理人提醒投资者基金投资的“买者自负”原则，在投资者作出投资决策后，基金运营状况与基金净值变化导致的投资风险，由投资者自行负担。 </w:t>
      </w:r>
    </w:p>
    <w:p w14:paraId="5115D197">
      <w:pPr>
        <w:pStyle w:val="7"/>
        <w:spacing w:before="0" w:beforeAutospacing="0" w:after="0" w:afterAutospacing="0" w:line="360" w:lineRule="auto"/>
        <w:ind w:firstLine="420"/>
        <w:rPr>
          <w:sz w:val="21"/>
          <w:szCs w:val="21"/>
        </w:rPr>
      </w:pPr>
      <w:r>
        <w:rPr>
          <w:rFonts w:hint="eastAsia"/>
          <w:sz w:val="21"/>
          <w:szCs w:val="21"/>
        </w:rPr>
        <w:t xml:space="preserve">4、本基金投资于证券市场，基金净值会因为证券市场波动等因素产生波动，投资者在投资本基金前，应全面了解本基金的产品特性，理性判断市场，并承担基金投资中出现的各类风险，包括：因政治、经济、社会等环境因素对证券价格产生影响而形成的系统性风险、个别证券特有的非系统性风险、基金管理人在基金管理实施过程中产生的基金管理风险、本基金的特定风险等等。 </w:t>
      </w:r>
    </w:p>
    <w:p w14:paraId="4B507CA8">
      <w:pPr>
        <w:pStyle w:val="7"/>
        <w:spacing w:before="0" w:beforeAutospacing="0" w:after="0" w:afterAutospacing="0" w:line="360" w:lineRule="auto"/>
        <w:ind w:firstLine="420"/>
        <w:rPr>
          <w:sz w:val="21"/>
          <w:szCs w:val="21"/>
        </w:rPr>
      </w:pPr>
      <w:r>
        <w:rPr>
          <w:rFonts w:hint="eastAsia"/>
          <w:sz w:val="21"/>
          <w:szCs w:val="21"/>
        </w:rPr>
        <w:t xml:space="preserve">5、本基金是混合型证券投资基金，其预期收益和预期风险水平高于债券型基金和货币市场基金，低于股票型基金。本基金如果投资港股通标的股票，需承担汇率风险以及境外市场的风险。 </w:t>
      </w:r>
    </w:p>
    <w:p w14:paraId="0F30B511">
      <w:pPr>
        <w:pStyle w:val="7"/>
        <w:spacing w:before="0" w:beforeAutospacing="0" w:after="0" w:afterAutospacing="0" w:line="360" w:lineRule="auto"/>
        <w:ind w:firstLine="420"/>
        <w:rPr>
          <w:sz w:val="21"/>
          <w:szCs w:val="21"/>
        </w:rPr>
      </w:pPr>
      <w:r>
        <w:rPr>
          <w:rFonts w:hint="eastAsia"/>
          <w:sz w:val="21"/>
          <w:szCs w:val="21"/>
        </w:rPr>
        <w:t xml:space="preserve">6、本基金的投资范围主要为具有良好流动性的金融工具，包括国内依法发行或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的纯债部分）、可交换债、公开发行的次级债、可续期公司债等）、资产支持证券、货币市场工具、银行存款、同业存单、债券回购、股指期货、国债期货、股票期权、信用衍生品以及法律法规或中国证监会允许基金投资的其他金融工具（但须符合中国证监会的相关规定）。本基金可根据相关法律法规和基金合同的约定参与融资业务。如法律法规或中国证监会以后允许基金投资其他品种，本基金管理人在履行适当程序后，可以将其纳入本基金的投资范围。 </w:t>
      </w:r>
    </w:p>
    <w:p w14:paraId="0BC9AF86">
      <w:pPr>
        <w:pStyle w:val="7"/>
        <w:spacing w:before="0" w:beforeAutospacing="0" w:after="0" w:afterAutospacing="0" w:line="360" w:lineRule="auto"/>
        <w:ind w:firstLine="420"/>
        <w:rPr>
          <w:sz w:val="21"/>
          <w:szCs w:val="21"/>
        </w:rPr>
      </w:pPr>
      <w:r>
        <w:rPr>
          <w:rFonts w:hint="eastAsia"/>
          <w:sz w:val="21"/>
          <w:szCs w:val="21"/>
        </w:rPr>
        <w:t xml:space="preserve">本基金基金资产可以投资于港股，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7AD5D4CF">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793E3A96">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3656169">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29C8A2D7">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609EC7C6">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为对冲信用风险，本基金可能投资于信用衍生品，信用衍生品投资可能面临流动性风险、偿付风险以及价格波动风险。 </w:t>
      </w:r>
    </w:p>
    <w:p w14:paraId="354E2BCD">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287E5FE">
      <w:pPr>
        <w:pStyle w:val="7"/>
        <w:spacing w:before="0" w:beforeAutospacing="0" w:after="0" w:afterAutospacing="0" w:line="360" w:lineRule="auto"/>
        <w:ind w:firstLine="420"/>
        <w:rPr>
          <w:sz w:val="21"/>
          <w:szCs w:val="21"/>
        </w:rPr>
      </w:pPr>
      <w:r>
        <w:rPr>
          <w:rFonts w:hint="eastAsia"/>
          <w:sz w:val="21"/>
          <w:szCs w:val="21"/>
        </w:rPr>
        <w:t xml:space="preserve">7、本基金对每份基金份额设置一年的最短持有期。在基金份额的最短持有期到期日之前（不含当日），投资者不能提出赎回申请，最短持有期期满后（含最短持有期到期日当日）投资者可以申请赎回。因此，对于基金份额持有人而言，存在投资本基金后，一年内无法赎回的风险。 </w:t>
      </w:r>
    </w:p>
    <w:p w14:paraId="2FDCF488">
      <w:pPr>
        <w:pStyle w:val="7"/>
        <w:spacing w:before="0" w:beforeAutospacing="0" w:after="0" w:afterAutospacing="0" w:line="360" w:lineRule="auto"/>
        <w:ind w:firstLine="420"/>
        <w:rPr>
          <w:sz w:val="21"/>
          <w:szCs w:val="21"/>
        </w:rPr>
      </w:pPr>
      <w:r>
        <w:rPr>
          <w:rFonts w:hint="eastAsia"/>
          <w:sz w:val="21"/>
          <w:szCs w:val="21"/>
        </w:rPr>
        <w:t xml:space="preserve">8、本基金的投资组合比例为：本基金的股票资产（含存托凭证）占基金资产的0%-30%，港股通标的股票的投资比例为股票资产的0%-50%；投资于同业存单的比例不超过基金资产的20%；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53EF4DE7">
      <w:pPr>
        <w:pStyle w:val="7"/>
        <w:spacing w:before="0" w:beforeAutospacing="0" w:after="0" w:afterAutospacing="0" w:line="360" w:lineRule="auto"/>
        <w:ind w:firstLine="420"/>
        <w:rPr>
          <w:sz w:val="21"/>
          <w:szCs w:val="21"/>
        </w:rPr>
      </w:pPr>
      <w:r>
        <w:rPr>
          <w:rFonts w:hint="eastAsia"/>
          <w:sz w:val="21"/>
          <w:szCs w:val="21"/>
        </w:rPr>
        <w:t xml:space="preserve">9、基金存续期内，连续50个工作日出现基金份额持有人数量不满二百人或者基金资产净值低于五千万元情形的，基金合同终止，不需召开基金份额持有人大会。因此本基金有面临自动清算的风险。 </w:t>
      </w:r>
    </w:p>
    <w:p w14:paraId="0B691EE6">
      <w:pPr>
        <w:pStyle w:val="7"/>
        <w:spacing w:before="0" w:beforeAutospacing="0" w:after="0" w:afterAutospacing="0" w:line="360" w:lineRule="auto"/>
        <w:ind w:firstLine="420"/>
        <w:rPr>
          <w:sz w:val="21"/>
          <w:szCs w:val="21"/>
        </w:rPr>
      </w:pPr>
      <w:r>
        <w:rPr>
          <w:rFonts w:hint="eastAsia"/>
          <w:sz w:val="21"/>
          <w:szCs w:val="21"/>
        </w:rPr>
        <w:t xml:space="preserve">10、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68075D5F">
      <w:pPr>
        <w:pStyle w:val="7"/>
        <w:spacing w:before="0" w:beforeAutospacing="0" w:after="0" w:afterAutospacing="0" w:line="360" w:lineRule="auto"/>
        <w:ind w:firstLine="420"/>
        <w:rPr>
          <w:sz w:val="21"/>
          <w:szCs w:val="21"/>
        </w:rPr>
      </w:pPr>
      <w:r>
        <w:rPr>
          <w:rFonts w:hint="eastAsia"/>
          <w:sz w:val="21"/>
          <w:szCs w:val="21"/>
        </w:rPr>
        <w:t xml:space="preserve">11、本基金发售面值为人民币1.00元。在市场波动因素影响下，本基金净值可能低于发售面值，本基金投资者有可能出现亏损。 </w:t>
      </w:r>
    </w:p>
    <w:p w14:paraId="23841F2E">
      <w:pPr>
        <w:pStyle w:val="7"/>
        <w:spacing w:before="0" w:beforeAutospacing="0" w:after="0" w:afterAutospacing="0" w:line="360" w:lineRule="auto"/>
        <w:ind w:firstLine="420"/>
        <w:rPr>
          <w:sz w:val="21"/>
          <w:szCs w:val="21"/>
        </w:rPr>
      </w:pPr>
      <w:r>
        <w:rPr>
          <w:rFonts w:hint="eastAsia"/>
          <w:sz w:val="21"/>
          <w:szCs w:val="21"/>
        </w:rPr>
        <w:t xml:space="preserve">12、基金的过往业绩并不预示其未来表现，基金管理人管理的其他基金的业绩也不构成对本基金业绩表现的保证。 </w:t>
      </w:r>
    </w:p>
    <w:p w14:paraId="1A9AB4A0">
      <w:pPr>
        <w:pStyle w:val="7"/>
        <w:spacing w:before="0" w:beforeAutospacing="0" w:after="0" w:afterAutospacing="0" w:line="360" w:lineRule="auto"/>
        <w:ind w:firstLine="420"/>
        <w:rPr>
          <w:sz w:val="21"/>
          <w:szCs w:val="21"/>
        </w:rPr>
      </w:pPr>
      <w:r>
        <w:rPr>
          <w:rFonts w:hint="eastAsia"/>
          <w:sz w:val="21"/>
          <w:szCs w:val="21"/>
        </w:rPr>
        <w:t xml:space="preserve">13、基金管理人依照恪尽职守、诚实信用、谨慎勤勉的原则管理和运用基金财产，但不保证基金一定盈利，也不保证最低收益。 </w:t>
      </w:r>
    </w:p>
    <w:p w14:paraId="705D8B54">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4" w:name="field_2343_infoendday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4"/>
      <w:r>
        <w:rPr>
          <w:rFonts w:hint="eastAsia"/>
          <w:sz w:val="21"/>
          <w:szCs w:val="21"/>
        </w:rPr>
        <w:t>，有关财务数据和净值表现截止日为</w:t>
      </w:r>
      <w:bookmarkStart w:id="5" w:name="field_2343_financeendday_1"/>
      <w:r>
        <w:rPr>
          <w:sz w:val="21"/>
          <w:szCs w:val="21"/>
        </w:rPr>
        <w:t>2025年6月30日</w:t>
      </w:r>
      <w:bookmarkEnd w:id="5"/>
      <w:r>
        <w:rPr>
          <w:rFonts w:hint="eastAsia"/>
          <w:sz w:val="21"/>
          <w:szCs w:val="21"/>
        </w:rPr>
        <w:t xml:space="preserve">（财务数据未经审计）。 </w:t>
      </w:r>
      <w:r>
        <w:rPr>
          <w:sz w:val="30"/>
        </w:rPr>
        <w:br w:type="page"/>
      </w:r>
    </w:p>
    <w:p w14:paraId="704D077A">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20E2C38E">
      <w:pPr>
        <w:pStyle w:val="6"/>
        <w:tabs>
          <w:tab w:val="right" w:leader="dot" w:pos="8290"/>
        </w:tabs>
        <w:spacing w:line="360" w:lineRule="auto"/>
        <w:rPr>
          <w:rFonts w:ascii="宋体" w:hAnsi="宋体" w:eastAsia="宋体"/>
        </w:rPr>
      </w:pPr>
      <w:r>
        <w:fldChar w:fldCharType="begin"/>
      </w:r>
      <w:r>
        <w:instrText xml:space="preserve"> HYPERLINK \l "_Toc209538267"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_Toc209538267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34FDE91D">
      <w:pPr>
        <w:pStyle w:val="6"/>
        <w:tabs>
          <w:tab w:val="right" w:leader="dot" w:pos="8290"/>
        </w:tabs>
        <w:spacing w:line="360" w:lineRule="auto"/>
        <w:rPr>
          <w:rFonts w:ascii="宋体" w:hAnsi="宋体" w:eastAsia="宋体"/>
        </w:rPr>
      </w:pPr>
      <w:r>
        <w:fldChar w:fldCharType="begin"/>
      </w:r>
      <w:r>
        <w:instrText xml:space="preserve"> HYPERLINK \l "_Toc209538268"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_Toc209538268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4A97378E">
      <w:pPr>
        <w:pStyle w:val="6"/>
        <w:tabs>
          <w:tab w:val="right" w:leader="dot" w:pos="8290"/>
        </w:tabs>
        <w:spacing w:line="360" w:lineRule="auto"/>
        <w:rPr>
          <w:rFonts w:ascii="宋体" w:hAnsi="宋体" w:eastAsia="宋体"/>
        </w:rPr>
      </w:pPr>
      <w:r>
        <w:fldChar w:fldCharType="begin"/>
      </w:r>
      <w:r>
        <w:instrText xml:space="preserve"> HYPERLINK \l "_Toc209538269"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_Toc209538269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5952C9D6">
      <w:pPr>
        <w:pStyle w:val="6"/>
        <w:tabs>
          <w:tab w:val="right" w:leader="dot" w:pos="8290"/>
        </w:tabs>
        <w:spacing w:line="360" w:lineRule="auto"/>
        <w:rPr>
          <w:rFonts w:ascii="宋体" w:hAnsi="宋体" w:eastAsia="宋体"/>
        </w:rPr>
      </w:pPr>
      <w:r>
        <w:fldChar w:fldCharType="begin"/>
      </w:r>
      <w:r>
        <w:instrText xml:space="preserve"> HYPERLINK \l "_Toc209538270"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_Toc209538270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14:paraId="0A7DD36B">
      <w:pPr>
        <w:pStyle w:val="6"/>
        <w:tabs>
          <w:tab w:val="right" w:leader="dot" w:pos="8290"/>
        </w:tabs>
        <w:spacing w:line="360" w:lineRule="auto"/>
        <w:rPr>
          <w:rFonts w:ascii="宋体" w:hAnsi="宋体" w:eastAsia="宋体"/>
        </w:rPr>
      </w:pPr>
      <w:r>
        <w:fldChar w:fldCharType="begin"/>
      </w:r>
      <w:r>
        <w:instrText xml:space="preserve"> HYPERLINK \l "_Toc209538271"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_Toc209538271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774F750E">
      <w:pPr>
        <w:pStyle w:val="6"/>
        <w:tabs>
          <w:tab w:val="right" w:leader="dot" w:pos="8290"/>
        </w:tabs>
        <w:spacing w:line="360" w:lineRule="auto"/>
        <w:rPr>
          <w:rFonts w:ascii="宋体" w:hAnsi="宋体" w:eastAsia="宋体"/>
        </w:rPr>
      </w:pPr>
      <w:r>
        <w:fldChar w:fldCharType="begin"/>
      </w:r>
      <w:r>
        <w:instrText xml:space="preserve"> HYPERLINK \l "_Toc209538272"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_Toc209538272 \h </w:instrText>
      </w:r>
      <w:r>
        <w:rPr>
          <w:rFonts w:ascii="宋体" w:hAnsi="宋体" w:eastAsia="宋体"/>
        </w:rPr>
        <w:fldChar w:fldCharType="separate"/>
      </w:r>
      <w:r>
        <w:rPr>
          <w:rFonts w:ascii="宋体" w:hAnsi="宋体" w:eastAsia="宋体"/>
        </w:rPr>
        <w:t>29</w:t>
      </w:r>
      <w:r>
        <w:rPr>
          <w:rFonts w:ascii="宋体" w:hAnsi="宋体" w:eastAsia="宋体"/>
        </w:rPr>
        <w:fldChar w:fldCharType="end"/>
      </w:r>
      <w:r>
        <w:rPr>
          <w:rFonts w:ascii="宋体" w:hAnsi="宋体" w:eastAsia="宋体"/>
        </w:rPr>
        <w:fldChar w:fldCharType="end"/>
      </w:r>
    </w:p>
    <w:p w14:paraId="70427C63">
      <w:pPr>
        <w:pStyle w:val="6"/>
        <w:tabs>
          <w:tab w:val="right" w:leader="dot" w:pos="8290"/>
        </w:tabs>
        <w:spacing w:line="360" w:lineRule="auto"/>
        <w:rPr>
          <w:rFonts w:ascii="宋体" w:hAnsi="宋体" w:eastAsia="宋体"/>
        </w:rPr>
      </w:pPr>
      <w:r>
        <w:fldChar w:fldCharType="begin"/>
      </w:r>
      <w:r>
        <w:instrText xml:space="preserve"> HYPERLINK \l "_Toc209538273"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_Toc209538273 \h </w:instrText>
      </w:r>
      <w:r>
        <w:rPr>
          <w:rFonts w:ascii="宋体" w:hAnsi="宋体" w:eastAsia="宋体"/>
        </w:rPr>
        <w:fldChar w:fldCharType="separate"/>
      </w:r>
      <w:r>
        <w:rPr>
          <w:rFonts w:ascii="宋体" w:hAnsi="宋体" w:eastAsia="宋体"/>
        </w:rPr>
        <w:t>32</w:t>
      </w:r>
      <w:r>
        <w:rPr>
          <w:rFonts w:ascii="宋体" w:hAnsi="宋体" w:eastAsia="宋体"/>
        </w:rPr>
        <w:fldChar w:fldCharType="end"/>
      </w:r>
      <w:r>
        <w:rPr>
          <w:rFonts w:ascii="宋体" w:hAnsi="宋体" w:eastAsia="宋体"/>
        </w:rPr>
        <w:fldChar w:fldCharType="end"/>
      </w:r>
    </w:p>
    <w:p w14:paraId="5E223ECF">
      <w:pPr>
        <w:pStyle w:val="6"/>
        <w:tabs>
          <w:tab w:val="right" w:leader="dot" w:pos="8290"/>
        </w:tabs>
        <w:spacing w:line="360" w:lineRule="auto"/>
        <w:rPr>
          <w:rFonts w:ascii="宋体" w:hAnsi="宋体" w:eastAsia="宋体"/>
        </w:rPr>
      </w:pPr>
      <w:r>
        <w:fldChar w:fldCharType="begin"/>
      </w:r>
      <w:r>
        <w:instrText xml:space="preserve"> HYPERLINK \l "_Toc209538274"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_Toc209538274 \h </w:instrText>
      </w:r>
      <w:r>
        <w:rPr>
          <w:rFonts w:ascii="宋体" w:hAnsi="宋体" w:eastAsia="宋体"/>
        </w:rPr>
        <w:fldChar w:fldCharType="separate"/>
      </w:r>
      <w:r>
        <w:rPr>
          <w:rFonts w:ascii="宋体" w:hAnsi="宋体" w:eastAsia="宋体"/>
        </w:rPr>
        <w:t>33</w:t>
      </w:r>
      <w:r>
        <w:rPr>
          <w:rFonts w:ascii="宋体" w:hAnsi="宋体" w:eastAsia="宋体"/>
        </w:rPr>
        <w:fldChar w:fldCharType="end"/>
      </w:r>
      <w:r>
        <w:rPr>
          <w:rFonts w:ascii="宋体" w:hAnsi="宋体" w:eastAsia="宋体"/>
        </w:rPr>
        <w:fldChar w:fldCharType="end"/>
      </w:r>
    </w:p>
    <w:p w14:paraId="70E13468">
      <w:pPr>
        <w:pStyle w:val="6"/>
        <w:tabs>
          <w:tab w:val="right" w:leader="dot" w:pos="8290"/>
        </w:tabs>
        <w:spacing w:line="360" w:lineRule="auto"/>
        <w:rPr>
          <w:rFonts w:ascii="宋体" w:hAnsi="宋体" w:eastAsia="宋体"/>
        </w:rPr>
      </w:pPr>
      <w:r>
        <w:fldChar w:fldCharType="begin"/>
      </w:r>
      <w:r>
        <w:instrText xml:space="preserve"> HYPERLINK \l "_Toc209538275"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_Toc209538275 \h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fldChar w:fldCharType="end"/>
      </w:r>
    </w:p>
    <w:p w14:paraId="71227194">
      <w:pPr>
        <w:pStyle w:val="6"/>
        <w:tabs>
          <w:tab w:val="right" w:leader="dot" w:pos="8290"/>
        </w:tabs>
        <w:spacing w:line="360" w:lineRule="auto"/>
        <w:rPr>
          <w:rFonts w:ascii="宋体" w:hAnsi="宋体" w:eastAsia="宋体"/>
        </w:rPr>
      </w:pPr>
      <w:r>
        <w:fldChar w:fldCharType="begin"/>
      </w:r>
      <w:r>
        <w:instrText xml:space="preserve"> HYPERLINK \l "_Toc209538276"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_Toc209538276 \h </w:instrText>
      </w:r>
      <w:r>
        <w:rPr>
          <w:rFonts w:ascii="宋体" w:hAnsi="宋体" w:eastAsia="宋体"/>
        </w:rPr>
        <w:fldChar w:fldCharType="separate"/>
      </w:r>
      <w:r>
        <w:rPr>
          <w:rFonts w:ascii="宋体" w:hAnsi="宋体" w:eastAsia="宋体"/>
        </w:rPr>
        <w:t>58</w:t>
      </w:r>
      <w:r>
        <w:rPr>
          <w:rFonts w:ascii="宋体" w:hAnsi="宋体" w:eastAsia="宋体"/>
        </w:rPr>
        <w:fldChar w:fldCharType="end"/>
      </w:r>
      <w:r>
        <w:rPr>
          <w:rFonts w:ascii="宋体" w:hAnsi="宋体" w:eastAsia="宋体"/>
        </w:rPr>
        <w:fldChar w:fldCharType="end"/>
      </w:r>
    </w:p>
    <w:p w14:paraId="6A105E50">
      <w:pPr>
        <w:pStyle w:val="6"/>
        <w:tabs>
          <w:tab w:val="right" w:leader="dot" w:pos="8290"/>
        </w:tabs>
        <w:spacing w:line="360" w:lineRule="auto"/>
        <w:rPr>
          <w:rFonts w:ascii="宋体" w:hAnsi="宋体" w:eastAsia="宋体"/>
        </w:rPr>
      </w:pPr>
      <w:r>
        <w:fldChar w:fldCharType="begin"/>
      </w:r>
      <w:r>
        <w:instrText xml:space="preserve"> HYPERLINK \l "_Toc209538277"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_Toc209538277 \h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fldChar w:fldCharType="end"/>
      </w:r>
    </w:p>
    <w:p w14:paraId="593F3D7B">
      <w:pPr>
        <w:pStyle w:val="6"/>
        <w:tabs>
          <w:tab w:val="right" w:leader="dot" w:pos="8290"/>
        </w:tabs>
        <w:spacing w:line="360" w:lineRule="auto"/>
        <w:rPr>
          <w:rFonts w:ascii="宋体" w:hAnsi="宋体" w:eastAsia="宋体"/>
        </w:rPr>
      </w:pPr>
      <w:r>
        <w:fldChar w:fldCharType="begin"/>
      </w:r>
      <w:r>
        <w:instrText xml:space="preserve"> HYPERLINK \l "_Toc209538278"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_Toc209538278 \h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fldChar w:fldCharType="end"/>
      </w:r>
    </w:p>
    <w:p w14:paraId="41771C42">
      <w:pPr>
        <w:pStyle w:val="6"/>
        <w:tabs>
          <w:tab w:val="right" w:leader="dot" w:pos="8290"/>
        </w:tabs>
        <w:spacing w:line="360" w:lineRule="auto"/>
        <w:rPr>
          <w:rFonts w:ascii="宋体" w:hAnsi="宋体" w:eastAsia="宋体"/>
        </w:rPr>
      </w:pPr>
      <w:r>
        <w:fldChar w:fldCharType="begin"/>
      </w:r>
      <w:r>
        <w:instrText xml:space="preserve"> HYPERLINK \l "_Toc209538279"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_Toc209538279 \h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fldChar w:fldCharType="end"/>
      </w:r>
    </w:p>
    <w:p w14:paraId="370B2DD7">
      <w:pPr>
        <w:pStyle w:val="6"/>
        <w:tabs>
          <w:tab w:val="right" w:leader="dot" w:pos="8290"/>
        </w:tabs>
        <w:spacing w:line="360" w:lineRule="auto"/>
        <w:rPr>
          <w:rFonts w:ascii="宋体" w:hAnsi="宋体" w:eastAsia="宋体"/>
        </w:rPr>
      </w:pPr>
      <w:r>
        <w:fldChar w:fldCharType="begin"/>
      </w:r>
      <w:r>
        <w:instrText xml:space="preserve"> HYPERLINK \l "_Toc209538280"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_Toc209538280 \h </w:instrText>
      </w:r>
      <w:r>
        <w:rPr>
          <w:rFonts w:ascii="宋体" w:hAnsi="宋体" w:eastAsia="宋体"/>
        </w:rPr>
        <w:fldChar w:fldCharType="separate"/>
      </w:r>
      <w:r>
        <w:rPr>
          <w:rFonts w:ascii="宋体" w:hAnsi="宋体" w:eastAsia="宋体"/>
        </w:rPr>
        <w:t>69</w:t>
      </w:r>
      <w:r>
        <w:rPr>
          <w:rFonts w:ascii="宋体" w:hAnsi="宋体" w:eastAsia="宋体"/>
        </w:rPr>
        <w:fldChar w:fldCharType="end"/>
      </w:r>
      <w:r>
        <w:rPr>
          <w:rFonts w:ascii="宋体" w:hAnsi="宋体" w:eastAsia="宋体"/>
        </w:rPr>
        <w:fldChar w:fldCharType="end"/>
      </w:r>
    </w:p>
    <w:p w14:paraId="2DA31990">
      <w:pPr>
        <w:pStyle w:val="6"/>
        <w:tabs>
          <w:tab w:val="right" w:leader="dot" w:pos="8290"/>
        </w:tabs>
        <w:spacing w:line="360" w:lineRule="auto"/>
        <w:rPr>
          <w:rFonts w:ascii="宋体" w:hAnsi="宋体" w:eastAsia="宋体"/>
        </w:rPr>
      </w:pPr>
      <w:r>
        <w:fldChar w:fldCharType="begin"/>
      </w:r>
      <w:r>
        <w:instrText xml:space="preserve"> HYPERLINK \l "_Toc209538281"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_Toc209538281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74637FD3">
      <w:pPr>
        <w:pStyle w:val="6"/>
        <w:tabs>
          <w:tab w:val="right" w:leader="dot" w:pos="8290"/>
        </w:tabs>
        <w:spacing w:line="360" w:lineRule="auto"/>
        <w:rPr>
          <w:rFonts w:ascii="宋体" w:hAnsi="宋体" w:eastAsia="宋体"/>
        </w:rPr>
      </w:pPr>
      <w:r>
        <w:fldChar w:fldCharType="begin"/>
      </w:r>
      <w:r>
        <w:instrText xml:space="preserve"> HYPERLINK \l "_Toc209538282"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_Toc209538282 \h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fldChar w:fldCharType="end"/>
      </w:r>
    </w:p>
    <w:p w14:paraId="250E816D">
      <w:pPr>
        <w:pStyle w:val="6"/>
        <w:tabs>
          <w:tab w:val="right" w:leader="dot" w:pos="8290"/>
        </w:tabs>
        <w:spacing w:line="360" w:lineRule="auto"/>
        <w:rPr>
          <w:rFonts w:ascii="宋体" w:hAnsi="宋体" w:eastAsia="宋体"/>
        </w:rPr>
      </w:pPr>
      <w:r>
        <w:fldChar w:fldCharType="begin"/>
      </w:r>
      <w:r>
        <w:instrText xml:space="preserve"> HYPERLINK \l "_Toc209538283"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_Toc209538283 \h </w:instrText>
      </w:r>
      <w:r>
        <w:rPr>
          <w:rFonts w:ascii="宋体" w:hAnsi="宋体" w:eastAsia="宋体"/>
        </w:rPr>
        <w:fldChar w:fldCharType="separate"/>
      </w:r>
      <w:r>
        <w:rPr>
          <w:rFonts w:ascii="宋体" w:hAnsi="宋体" w:eastAsia="宋体"/>
        </w:rPr>
        <w:t>80</w:t>
      </w:r>
      <w:r>
        <w:rPr>
          <w:rFonts w:ascii="宋体" w:hAnsi="宋体" w:eastAsia="宋体"/>
        </w:rPr>
        <w:fldChar w:fldCharType="end"/>
      </w:r>
      <w:r>
        <w:rPr>
          <w:rFonts w:ascii="宋体" w:hAnsi="宋体" w:eastAsia="宋体"/>
        </w:rPr>
        <w:fldChar w:fldCharType="end"/>
      </w:r>
    </w:p>
    <w:p w14:paraId="0C899BFF">
      <w:pPr>
        <w:pStyle w:val="6"/>
        <w:tabs>
          <w:tab w:val="right" w:leader="dot" w:pos="8290"/>
        </w:tabs>
        <w:spacing w:line="360" w:lineRule="auto"/>
        <w:rPr>
          <w:rFonts w:ascii="宋体" w:hAnsi="宋体" w:eastAsia="宋体"/>
        </w:rPr>
      </w:pPr>
      <w:r>
        <w:fldChar w:fldCharType="begin"/>
      </w:r>
      <w:r>
        <w:instrText xml:space="preserve"> HYPERLINK \l "_Toc209538284"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_Toc209538284 \h </w:instrText>
      </w:r>
      <w:r>
        <w:rPr>
          <w:rFonts w:ascii="宋体" w:hAnsi="宋体" w:eastAsia="宋体"/>
        </w:rPr>
        <w:fldChar w:fldCharType="separate"/>
      </w:r>
      <w:r>
        <w:rPr>
          <w:rFonts w:ascii="宋体" w:hAnsi="宋体" w:eastAsia="宋体"/>
        </w:rPr>
        <w:t>83</w:t>
      </w:r>
      <w:r>
        <w:rPr>
          <w:rFonts w:ascii="宋体" w:hAnsi="宋体" w:eastAsia="宋体"/>
        </w:rPr>
        <w:fldChar w:fldCharType="end"/>
      </w:r>
      <w:r>
        <w:rPr>
          <w:rFonts w:ascii="宋体" w:hAnsi="宋体" w:eastAsia="宋体"/>
        </w:rPr>
        <w:fldChar w:fldCharType="end"/>
      </w:r>
    </w:p>
    <w:p w14:paraId="0D81C666">
      <w:pPr>
        <w:pStyle w:val="6"/>
        <w:tabs>
          <w:tab w:val="right" w:leader="dot" w:pos="8290"/>
        </w:tabs>
        <w:spacing w:line="360" w:lineRule="auto"/>
        <w:rPr>
          <w:rFonts w:ascii="宋体" w:hAnsi="宋体" w:eastAsia="宋体"/>
        </w:rPr>
      </w:pPr>
      <w:r>
        <w:fldChar w:fldCharType="begin"/>
      </w:r>
      <w:r>
        <w:instrText xml:space="preserve"> HYPERLINK \l "_Toc209538285"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_Toc209538285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7557A1B5">
      <w:pPr>
        <w:pStyle w:val="6"/>
        <w:tabs>
          <w:tab w:val="right" w:leader="dot" w:pos="8290"/>
        </w:tabs>
        <w:spacing w:line="360" w:lineRule="auto"/>
        <w:rPr>
          <w:rFonts w:ascii="宋体" w:hAnsi="宋体" w:eastAsia="宋体"/>
        </w:rPr>
      </w:pPr>
      <w:r>
        <w:fldChar w:fldCharType="begin"/>
      </w:r>
      <w:r>
        <w:instrText xml:space="preserve"> HYPERLINK \l "_Toc209538286"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_Toc209538286 \h </w:instrText>
      </w:r>
      <w:r>
        <w:rPr>
          <w:rFonts w:ascii="宋体" w:hAnsi="宋体" w:eastAsia="宋体"/>
        </w:rPr>
        <w:fldChar w:fldCharType="separate"/>
      </w:r>
      <w:r>
        <w:rPr>
          <w:rFonts w:ascii="宋体" w:hAnsi="宋体" w:eastAsia="宋体"/>
        </w:rPr>
        <w:t>93</w:t>
      </w:r>
      <w:r>
        <w:rPr>
          <w:rFonts w:ascii="宋体" w:hAnsi="宋体" w:eastAsia="宋体"/>
        </w:rPr>
        <w:fldChar w:fldCharType="end"/>
      </w:r>
      <w:r>
        <w:rPr>
          <w:rFonts w:ascii="宋体" w:hAnsi="宋体" w:eastAsia="宋体"/>
        </w:rPr>
        <w:fldChar w:fldCharType="end"/>
      </w:r>
    </w:p>
    <w:p w14:paraId="3B7E4CA1">
      <w:pPr>
        <w:pStyle w:val="6"/>
        <w:tabs>
          <w:tab w:val="right" w:leader="dot" w:pos="8290"/>
        </w:tabs>
        <w:spacing w:line="360" w:lineRule="auto"/>
        <w:rPr>
          <w:rFonts w:ascii="宋体" w:hAnsi="宋体" w:eastAsia="宋体"/>
        </w:rPr>
      </w:pPr>
      <w:r>
        <w:fldChar w:fldCharType="begin"/>
      </w:r>
      <w:r>
        <w:instrText xml:space="preserve"> HYPERLINK \l "_Toc209538287"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_Toc209538287 \h </w:instrText>
      </w:r>
      <w:r>
        <w:rPr>
          <w:rFonts w:ascii="宋体" w:hAnsi="宋体" w:eastAsia="宋体"/>
        </w:rPr>
        <w:fldChar w:fldCharType="separate"/>
      </w:r>
      <w:r>
        <w:rPr>
          <w:rFonts w:ascii="宋体" w:hAnsi="宋体" w:eastAsia="宋体"/>
        </w:rPr>
        <w:t>109</w:t>
      </w:r>
      <w:r>
        <w:rPr>
          <w:rFonts w:ascii="宋体" w:hAnsi="宋体" w:eastAsia="宋体"/>
        </w:rPr>
        <w:fldChar w:fldCharType="end"/>
      </w:r>
      <w:r>
        <w:rPr>
          <w:rFonts w:ascii="宋体" w:hAnsi="宋体" w:eastAsia="宋体"/>
        </w:rPr>
        <w:fldChar w:fldCharType="end"/>
      </w:r>
    </w:p>
    <w:p w14:paraId="59A998AD">
      <w:pPr>
        <w:pStyle w:val="6"/>
        <w:tabs>
          <w:tab w:val="right" w:leader="dot" w:pos="8290"/>
        </w:tabs>
        <w:spacing w:line="360" w:lineRule="auto"/>
        <w:rPr>
          <w:rFonts w:ascii="宋体" w:hAnsi="宋体" w:eastAsia="宋体"/>
        </w:rPr>
      </w:pPr>
      <w:r>
        <w:fldChar w:fldCharType="begin"/>
      </w:r>
      <w:r>
        <w:instrText xml:space="preserve"> HYPERLINK \l "_Toc209538288"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_Toc209538288 \h </w:instrText>
      </w:r>
      <w:r>
        <w:rPr>
          <w:rFonts w:ascii="宋体" w:hAnsi="宋体" w:eastAsia="宋体"/>
        </w:rPr>
        <w:fldChar w:fldCharType="separate"/>
      </w:r>
      <w:r>
        <w:rPr>
          <w:rFonts w:ascii="宋体" w:hAnsi="宋体" w:eastAsia="宋体"/>
        </w:rPr>
        <w:t>129</w:t>
      </w:r>
      <w:r>
        <w:rPr>
          <w:rFonts w:ascii="宋体" w:hAnsi="宋体" w:eastAsia="宋体"/>
        </w:rPr>
        <w:fldChar w:fldCharType="end"/>
      </w:r>
      <w:r>
        <w:rPr>
          <w:rFonts w:ascii="宋体" w:hAnsi="宋体" w:eastAsia="宋体"/>
        </w:rPr>
        <w:fldChar w:fldCharType="end"/>
      </w:r>
    </w:p>
    <w:p w14:paraId="2197FE80">
      <w:pPr>
        <w:pStyle w:val="6"/>
        <w:tabs>
          <w:tab w:val="right" w:leader="dot" w:pos="8290"/>
        </w:tabs>
        <w:spacing w:line="360" w:lineRule="auto"/>
        <w:rPr>
          <w:rFonts w:ascii="宋体" w:hAnsi="宋体" w:eastAsia="宋体"/>
        </w:rPr>
      </w:pPr>
      <w:r>
        <w:fldChar w:fldCharType="begin"/>
      </w:r>
      <w:r>
        <w:instrText xml:space="preserve"> HYPERLINK \l "_Toc209538289"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_Toc209538289 \h </w:instrText>
      </w:r>
      <w:r>
        <w:rPr>
          <w:rFonts w:ascii="宋体" w:hAnsi="宋体" w:eastAsia="宋体"/>
        </w:rPr>
        <w:fldChar w:fldCharType="separate"/>
      </w:r>
      <w:r>
        <w:rPr>
          <w:rFonts w:ascii="宋体" w:hAnsi="宋体" w:eastAsia="宋体"/>
        </w:rPr>
        <w:t>132</w:t>
      </w:r>
      <w:r>
        <w:rPr>
          <w:rFonts w:ascii="宋体" w:hAnsi="宋体" w:eastAsia="宋体"/>
        </w:rPr>
        <w:fldChar w:fldCharType="end"/>
      </w:r>
      <w:r>
        <w:rPr>
          <w:rFonts w:ascii="宋体" w:hAnsi="宋体" w:eastAsia="宋体"/>
        </w:rPr>
        <w:fldChar w:fldCharType="end"/>
      </w:r>
    </w:p>
    <w:p w14:paraId="1D5C68D3">
      <w:pPr>
        <w:pStyle w:val="6"/>
        <w:tabs>
          <w:tab w:val="right" w:leader="dot" w:pos="8290"/>
        </w:tabs>
        <w:spacing w:line="360" w:lineRule="auto"/>
        <w:rPr>
          <w:rFonts w:ascii="宋体" w:hAnsi="宋体" w:eastAsia="宋体"/>
        </w:rPr>
      </w:pPr>
      <w:r>
        <w:fldChar w:fldCharType="begin"/>
      </w:r>
      <w:r>
        <w:instrText xml:space="preserve"> HYPERLINK \l "_Toc209538290"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_Toc209538290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14C6E913">
      <w:pPr>
        <w:pStyle w:val="6"/>
        <w:tabs>
          <w:tab w:val="right" w:leader="dot" w:pos="8290"/>
        </w:tabs>
        <w:spacing w:line="360" w:lineRule="auto"/>
        <w:rPr>
          <w:rFonts w:ascii="宋体" w:hAnsi="宋体" w:eastAsia="宋体"/>
        </w:rPr>
      </w:pPr>
      <w:r>
        <w:fldChar w:fldCharType="begin"/>
      </w:r>
      <w:r>
        <w:instrText xml:space="preserve"> HYPERLINK \l "_Toc209538291"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_Toc209538291 \h </w:instrText>
      </w:r>
      <w:r>
        <w:rPr>
          <w:rFonts w:ascii="宋体" w:hAnsi="宋体" w:eastAsia="宋体"/>
        </w:rPr>
        <w:fldChar w:fldCharType="separate"/>
      </w:r>
      <w:r>
        <w:rPr>
          <w:rFonts w:ascii="宋体" w:hAnsi="宋体" w:eastAsia="宋体"/>
        </w:rPr>
        <w:t>135</w:t>
      </w:r>
      <w:r>
        <w:rPr>
          <w:rFonts w:ascii="宋体" w:hAnsi="宋体" w:eastAsia="宋体"/>
        </w:rPr>
        <w:fldChar w:fldCharType="end"/>
      </w:r>
      <w:r>
        <w:rPr>
          <w:rFonts w:ascii="宋体" w:hAnsi="宋体" w:eastAsia="宋体"/>
        </w:rPr>
        <w:fldChar w:fldCharType="end"/>
      </w:r>
    </w:p>
    <w:p w14:paraId="7D1F21FC">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7956147A">
      <w:pPr>
        <w:pStyle w:val="2"/>
        <w:jc w:val="center"/>
        <w:rPr>
          <w:rFonts w:ascii="宋体" w:hAnsi="宋体" w:eastAsia="宋体"/>
          <w:sz w:val="30"/>
        </w:rPr>
      </w:pPr>
      <w:bookmarkStart w:id="6" w:name="_Toc209538268"/>
      <w:bookmarkStart w:id="7" w:name="chapter_level1_3_2344"/>
      <w:r>
        <w:rPr>
          <w:rFonts w:hint="eastAsia" w:ascii="宋体" w:hAnsi="宋体" w:eastAsia="宋体"/>
          <w:sz w:val="30"/>
        </w:rPr>
        <w:t>第一部分  绪言</w:t>
      </w:r>
      <w:bookmarkEnd w:id="6"/>
      <w:bookmarkEnd w:id="7"/>
    </w:p>
    <w:p w14:paraId="489B391A">
      <w:pPr>
        <w:pStyle w:val="7"/>
        <w:spacing w:before="0" w:beforeAutospacing="0" w:after="0" w:afterAutospacing="0" w:line="360" w:lineRule="auto"/>
        <w:ind w:firstLine="420"/>
        <w:rPr>
          <w:sz w:val="21"/>
          <w:szCs w:val="21"/>
        </w:rPr>
      </w:pPr>
      <w:bookmarkStart w:id="8" w:name="chapter_level1_3_2344_section_1"/>
      <w:bookmarkEnd w:id="8"/>
      <w:r>
        <w:rPr>
          <w:rFonts w:hint="eastAsia"/>
          <w:sz w:val="21"/>
          <w:szCs w:val="21"/>
        </w:rPr>
        <w:t>《</w:t>
      </w:r>
      <w:bookmarkStart w:id="9" w:name="field_0_productfullname_2"/>
      <w:r>
        <w:rPr>
          <w:rFonts w:hint="eastAsia"/>
          <w:sz w:val="21"/>
          <w:szCs w:val="21"/>
        </w:rPr>
        <w:t>博时恒盈稳健一年持有期混合型证券投资基金</w:t>
      </w:r>
      <w:bookmarkEnd w:id="9"/>
      <w:r>
        <w:rPr>
          <w:rFonts w:hint="eastAsia"/>
          <w:sz w:val="21"/>
          <w:szCs w:val="21"/>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有关法律法规以及《</w:t>
      </w:r>
      <w:bookmarkStart w:id="10" w:name="field_0_productfullname_3"/>
      <w:r>
        <w:rPr>
          <w:rFonts w:hint="eastAsia"/>
          <w:sz w:val="21"/>
          <w:szCs w:val="21"/>
        </w:rPr>
        <w:t>博时恒盈稳健一年持有期混合型证券投资基金</w:t>
      </w:r>
      <w:bookmarkEnd w:id="10"/>
      <w:r>
        <w:rPr>
          <w:rFonts w:hint="eastAsia"/>
          <w:sz w:val="21"/>
          <w:szCs w:val="21"/>
        </w:rPr>
        <w:t xml:space="preserve">基金合同》（以下简称“基金合同”）编写。 </w:t>
      </w:r>
    </w:p>
    <w:p w14:paraId="582297D9">
      <w:pPr>
        <w:pStyle w:val="7"/>
        <w:spacing w:before="0" w:beforeAutospacing="0" w:after="0" w:afterAutospacing="0" w:line="360" w:lineRule="auto"/>
        <w:ind w:firstLine="420"/>
        <w:rPr>
          <w:sz w:val="21"/>
          <w:szCs w:val="21"/>
        </w:rPr>
      </w:pPr>
      <w:r>
        <w:rPr>
          <w:rFonts w:hint="eastAsia"/>
          <w:sz w:val="21"/>
          <w:szCs w:val="21"/>
        </w:rPr>
        <w:t>本招募说明书阐述了</w:t>
      </w:r>
      <w:bookmarkStart w:id="11" w:name="field_0_productfullname_4"/>
      <w:r>
        <w:rPr>
          <w:rFonts w:hint="eastAsia"/>
          <w:sz w:val="21"/>
          <w:szCs w:val="21"/>
        </w:rPr>
        <w:t>博时恒盈稳健一年持有期混合型证券投资基金</w:t>
      </w:r>
      <w:bookmarkEnd w:id="11"/>
      <w:r>
        <w:rPr>
          <w:rFonts w:hint="eastAsia"/>
          <w:sz w:val="21"/>
          <w:szCs w:val="21"/>
        </w:rPr>
        <w:t xml:space="preserve">的投资目标、策略、风险、费率等与投资人投资决策有关的必要事项，投资人在作出投资决策前应仔细阅读本招募说明书。 </w:t>
      </w:r>
    </w:p>
    <w:p w14:paraId="4742A08E">
      <w:pPr>
        <w:pStyle w:val="7"/>
        <w:spacing w:before="0" w:beforeAutospacing="0" w:after="0" w:afterAutospacing="0" w:line="360" w:lineRule="auto"/>
        <w:ind w:firstLine="420"/>
        <w:rPr>
          <w:sz w:val="21"/>
          <w:szCs w:val="21"/>
        </w:rPr>
      </w:pPr>
      <w:r>
        <w:rPr>
          <w:rFonts w:hint="eastAsia"/>
          <w:sz w:val="21"/>
          <w:szCs w:val="21"/>
        </w:rPr>
        <w:t xml:space="preserve">基金管理人承诺本招募说明书不存在任何虚假记载、误导性陈述或重大遗漏，并对其真实性、准确性、完整性承担法律责任。 </w:t>
      </w:r>
    </w:p>
    <w:p w14:paraId="727AA5E4">
      <w:pPr>
        <w:pStyle w:val="7"/>
        <w:spacing w:before="0" w:beforeAutospacing="0" w:after="0" w:afterAutospacing="0" w:line="360" w:lineRule="auto"/>
        <w:ind w:firstLine="420"/>
        <w:rPr>
          <w:sz w:val="21"/>
          <w:szCs w:val="21"/>
        </w:rPr>
      </w:pPr>
      <w:bookmarkStart w:id="12" w:name="field_0_productfullname_5"/>
      <w:r>
        <w:rPr>
          <w:rFonts w:hint="eastAsia"/>
          <w:sz w:val="21"/>
          <w:szCs w:val="21"/>
        </w:rPr>
        <w:t>博时恒盈稳健一年持有期混合型证券投资基金</w:t>
      </w:r>
      <w:bookmarkEnd w:id="12"/>
      <w:r>
        <w:rPr>
          <w:rFonts w:hint="eastAsia"/>
          <w:sz w:val="21"/>
          <w:szCs w:val="21"/>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124773EB">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w:t>
      </w:r>
      <w:bookmarkStart w:id="13" w:name="chapter_level1_3_2344_section_1_end"/>
      <w:bookmarkEnd w:id="13"/>
      <w:r>
        <w:rPr>
          <w:rFonts w:hint="eastAsia"/>
          <w:sz w:val="21"/>
          <w:szCs w:val="21"/>
        </w:rPr>
        <w:t xml:space="preserve">了解基金份额持有人的权利和义务，应详细查阅基金合同。 </w:t>
      </w:r>
    </w:p>
    <w:p w14:paraId="7213227C">
      <w:pPr>
        <w:widowControl/>
        <w:jc w:val="left"/>
        <w:rPr>
          <w:rFonts w:ascii="宋体" w:hAnsi="宋体" w:eastAsia="宋体"/>
        </w:rPr>
      </w:pPr>
      <w:r>
        <w:rPr>
          <w:rFonts w:ascii="宋体" w:hAnsi="宋体" w:eastAsia="宋体"/>
        </w:rPr>
        <w:br w:type="page"/>
      </w:r>
    </w:p>
    <w:p w14:paraId="5BA55CA3">
      <w:pPr>
        <w:pStyle w:val="2"/>
        <w:jc w:val="center"/>
        <w:rPr>
          <w:rFonts w:ascii="宋体" w:hAnsi="宋体" w:eastAsia="宋体"/>
          <w:sz w:val="30"/>
        </w:rPr>
      </w:pPr>
      <w:bookmarkStart w:id="14" w:name="_Toc209538269"/>
      <w:bookmarkStart w:id="15" w:name="chapter_level1_4_49"/>
      <w:r>
        <w:rPr>
          <w:rFonts w:hint="eastAsia" w:ascii="宋体" w:hAnsi="宋体" w:eastAsia="宋体"/>
          <w:sz w:val="30"/>
        </w:rPr>
        <w:t>第二部分  释义</w:t>
      </w:r>
      <w:bookmarkEnd w:id="14"/>
      <w:bookmarkEnd w:id="15"/>
    </w:p>
    <w:p w14:paraId="46D7EDC3">
      <w:pPr>
        <w:pStyle w:val="7"/>
        <w:spacing w:before="0" w:beforeAutospacing="0" w:after="0" w:afterAutospacing="0" w:line="360" w:lineRule="auto"/>
        <w:ind w:firstLine="420"/>
        <w:rPr>
          <w:sz w:val="21"/>
          <w:szCs w:val="21"/>
        </w:rPr>
      </w:pPr>
      <w:bookmarkStart w:id="16" w:name="chapter_level1_4_49_section_1"/>
      <w:bookmarkEnd w:id="16"/>
      <w:r>
        <w:rPr>
          <w:rFonts w:hint="eastAsia"/>
          <w:sz w:val="21"/>
          <w:szCs w:val="21"/>
        </w:rPr>
        <w:t xml:space="preserve">在本招募说明书中，除非文意另有所指，下列词语或简称具有如下含义：  </w:t>
      </w:r>
    </w:p>
    <w:p w14:paraId="3D44C113">
      <w:pPr>
        <w:pStyle w:val="7"/>
        <w:spacing w:before="0" w:beforeAutospacing="0" w:after="0" w:afterAutospacing="0" w:line="360" w:lineRule="auto"/>
        <w:ind w:firstLine="420"/>
        <w:rPr>
          <w:sz w:val="21"/>
          <w:szCs w:val="21"/>
        </w:rPr>
      </w:pPr>
      <w:r>
        <w:rPr>
          <w:rFonts w:hint="eastAsia"/>
          <w:sz w:val="21"/>
          <w:szCs w:val="21"/>
        </w:rPr>
        <w:t>1、基金或本基金：指</w:t>
      </w:r>
      <w:bookmarkStart w:id="17" w:name="field_0_productfullname_6"/>
      <w:r>
        <w:rPr>
          <w:rFonts w:hint="eastAsia"/>
          <w:sz w:val="21"/>
          <w:szCs w:val="21"/>
        </w:rPr>
        <w:t>博时恒盈稳健一年持有期混合型证券投资基金</w:t>
      </w:r>
      <w:bookmarkEnd w:id="17"/>
      <w:r>
        <w:rPr>
          <w:rFonts w:hint="eastAsia"/>
          <w:sz w:val="21"/>
          <w:szCs w:val="21"/>
        </w:rPr>
        <w:t xml:space="preserve"> </w:t>
      </w:r>
    </w:p>
    <w:p w14:paraId="43096F9E">
      <w:pPr>
        <w:pStyle w:val="7"/>
        <w:spacing w:before="0" w:beforeAutospacing="0" w:after="0" w:afterAutospacing="0" w:line="360" w:lineRule="auto"/>
        <w:ind w:firstLine="420"/>
        <w:rPr>
          <w:sz w:val="21"/>
          <w:szCs w:val="21"/>
        </w:rPr>
      </w:pPr>
      <w:r>
        <w:rPr>
          <w:rFonts w:hint="eastAsia"/>
          <w:sz w:val="21"/>
          <w:szCs w:val="21"/>
        </w:rPr>
        <w:t>2、基金管理人：指</w:t>
      </w:r>
      <w:bookmarkStart w:id="18" w:name="field_0_managerorgfullname_1"/>
      <w:r>
        <w:rPr>
          <w:rFonts w:hint="eastAsia"/>
          <w:sz w:val="21"/>
          <w:szCs w:val="21"/>
        </w:rPr>
        <w:t>博时基金管理有限公司</w:t>
      </w:r>
      <w:bookmarkEnd w:id="18"/>
      <w:r>
        <w:rPr>
          <w:rFonts w:hint="eastAsia"/>
          <w:sz w:val="21"/>
          <w:szCs w:val="21"/>
        </w:rPr>
        <w:t xml:space="preserve"> </w:t>
      </w:r>
    </w:p>
    <w:p w14:paraId="748E1836">
      <w:pPr>
        <w:pStyle w:val="7"/>
        <w:spacing w:before="0" w:beforeAutospacing="0" w:after="0" w:afterAutospacing="0" w:line="360" w:lineRule="auto"/>
        <w:ind w:firstLine="420"/>
        <w:rPr>
          <w:sz w:val="21"/>
          <w:szCs w:val="21"/>
        </w:rPr>
      </w:pPr>
      <w:r>
        <w:rPr>
          <w:rFonts w:hint="eastAsia"/>
          <w:sz w:val="21"/>
          <w:szCs w:val="21"/>
        </w:rPr>
        <w:t>3、基金托管人：指</w:t>
      </w:r>
      <w:bookmarkStart w:id="19" w:name="field_0_trustorgfullname_1"/>
      <w:r>
        <w:rPr>
          <w:rFonts w:hint="eastAsia"/>
          <w:sz w:val="21"/>
          <w:szCs w:val="21"/>
        </w:rPr>
        <w:t>中国民生银行股份有限公司</w:t>
      </w:r>
      <w:bookmarkEnd w:id="19"/>
      <w:r>
        <w:rPr>
          <w:rFonts w:hint="eastAsia"/>
          <w:sz w:val="21"/>
          <w:szCs w:val="21"/>
        </w:rPr>
        <w:t xml:space="preserve"> </w:t>
      </w:r>
    </w:p>
    <w:p w14:paraId="0F0EB355">
      <w:pPr>
        <w:pStyle w:val="7"/>
        <w:spacing w:before="0" w:beforeAutospacing="0" w:after="0" w:afterAutospacing="0" w:line="360" w:lineRule="auto"/>
        <w:ind w:firstLine="420"/>
        <w:rPr>
          <w:sz w:val="21"/>
          <w:szCs w:val="21"/>
        </w:rPr>
      </w:pPr>
      <w:r>
        <w:rPr>
          <w:rFonts w:hint="eastAsia"/>
          <w:sz w:val="21"/>
          <w:szCs w:val="21"/>
        </w:rPr>
        <w:t>4、基金合同：指《</w:t>
      </w:r>
      <w:bookmarkStart w:id="20" w:name="field_0_productfullname_7"/>
      <w:r>
        <w:rPr>
          <w:rFonts w:hint="eastAsia"/>
          <w:sz w:val="21"/>
          <w:szCs w:val="21"/>
        </w:rPr>
        <w:t>博时恒盈稳健一年持有期混合型证券投资基金</w:t>
      </w:r>
      <w:bookmarkEnd w:id="20"/>
      <w:r>
        <w:rPr>
          <w:rFonts w:hint="eastAsia"/>
          <w:sz w:val="21"/>
          <w:szCs w:val="21"/>
        </w:rPr>
        <w:t xml:space="preserve">基金合同》及对基金合同的任何有效修订和补充 </w:t>
      </w:r>
    </w:p>
    <w:p w14:paraId="3A40C012">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21" w:name="field_0_productfullname_8"/>
      <w:r>
        <w:rPr>
          <w:rFonts w:hint="eastAsia"/>
          <w:sz w:val="21"/>
          <w:szCs w:val="21"/>
        </w:rPr>
        <w:t>博时恒盈稳健一年持有期混合型证券投资基金</w:t>
      </w:r>
      <w:bookmarkEnd w:id="21"/>
      <w:r>
        <w:rPr>
          <w:rFonts w:hint="eastAsia"/>
          <w:sz w:val="21"/>
          <w:szCs w:val="21"/>
        </w:rPr>
        <w:t xml:space="preserve">托管协议》及对该托管协议的任何有效修订和补充 </w:t>
      </w:r>
    </w:p>
    <w:p w14:paraId="6F6ADF26">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22" w:name="field_0_productfullname_9"/>
      <w:r>
        <w:rPr>
          <w:rFonts w:hint="eastAsia"/>
          <w:sz w:val="21"/>
          <w:szCs w:val="21"/>
        </w:rPr>
        <w:t>博时恒盈稳健一年持有期混合型证券投资基金</w:t>
      </w:r>
      <w:bookmarkEnd w:id="22"/>
      <w:r>
        <w:rPr>
          <w:rFonts w:hint="eastAsia"/>
          <w:sz w:val="21"/>
          <w:szCs w:val="21"/>
        </w:rPr>
        <w:t xml:space="preserve">招募说明书》及其更新 </w:t>
      </w:r>
    </w:p>
    <w:p w14:paraId="3F0093A2">
      <w:pPr>
        <w:pStyle w:val="7"/>
        <w:spacing w:before="0" w:beforeAutospacing="0" w:after="0" w:afterAutospacing="0" w:line="360" w:lineRule="auto"/>
        <w:ind w:firstLine="420"/>
        <w:rPr>
          <w:sz w:val="21"/>
          <w:szCs w:val="21"/>
        </w:rPr>
      </w:pPr>
      <w:r>
        <w:rPr>
          <w:rFonts w:hint="eastAsia"/>
          <w:sz w:val="21"/>
          <w:szCs w:val="21"/>
        </w:rPr>
        <w:t>7、基金产品资料概要：指《</w:t>
      </w:r>
      <w:bookmarkStart w:id="23" w:name="field_0_productfullname_10"/>
      <w:r>
        <w:rPr>
          <w:rFonts w:hint="eastAsia"/>
          <w:sz w:val="21"/>
          <w:szCs w:val="21"/>
        </w:rPr>
        <w:t>博时恒盈稳健一年持有期混合型证券投资基金</w:t>
      </w:r>
      <w:bookmarkEnd w:id="23"/>
      <w:r>
        <w:rPr>
          <w:rFonts w:hint="eastAsia"/>
          <w:sz w:val="21"/>
          <w:szCs w:val="21"/>
        </w:rPr>
        <w:t xml:space="preserve">基金产品资料概要》及其更新 </w:t>
      </w:r>
    </w:p>
    <w:p w14:paraId="7A42BE37">
      <w:pPr>
        <w:pStyle w:val="7"/>
        <w:spacing w:before="0" w:beforeAutospacing="0" w:after="0" w:afterAutospacing="0" w:line="360" w:lineRule="auto"/>
        <w:ind w:firstLine="420"/>
        <w:rPr>
          <w:sz w:val="21"/>
          <w:szCs w:val="21"/>
        </w:rPr>
      </w:pPr>
      <w:r>
        <w:rPr>
          <w:rFonts w:hint="eastAsia"/>
          <w:sz w:val="21"/>
          <w:szCs w:val="21"/>
        </w:rPr>
        <w:t>8、基金份额发售公告：指《</w:t>
      </w:r>
      <w:bookmarkStart w:id="24" w:name="field_0_productfullname_11"/>
      <w:r>
        <w:rPr>
          <w:rFonts w:hint="eastAsia"/>
          <w:sz w:val="21"/>
          <w:szCs w:val="21"/>
        </w:rPr>
        <w:t>博时恒盈稳健一年持有期混合型证券投资基金</w:t>
      </w:r>
      <w:bookmarkEnd w:id="24"/>
      <w:r>
        <w:rPr>
          <w:rFonts w:hint="eastAsia"/>
          <w:sz w:val="21"/>
          <w:szCs w:val="21"/>
        </w:rPr>
        <w:t xml:space="preserve">基金份额发售公告》 </w:t>
      </w:r>
    </w:p>
    <w:p w14:paraId="57781D8D">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398D00AD">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17DFDC79">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437A579B">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12、《信息披露办法》：指中国证监会2019年7月26日颁布、同年9月1日实施，并经2020 年 3 月 20 日中国证监会《关于修改部分证券期货规章的决定》修改的《公开募集证券投资基金信息披露管理办法》及颁布机关对其不时做出的修订 </w:t>
      </w:r>
    </w:p>
    <w:p w14:paraId="67F721FC">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7629C2CD">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7DE978DF">
      <w:pPr>
        <w:pStyle w:val="7"/>
        <w:spacing w:before="0" w:beforeAutospacing="0" w:after="0" w:afterAutospacing="0" w:line="360" w:lineRule="auto"/>
        <w:ind w:firstLine="420"/>
        <w:rPr>
          <w:sz w:val="21"/>
          <w:szCs w:val="21"/>
        </w:rPr>
      </w:pPr>
      <w:r>
        <w:rPr>
          <w:rFonts w:hint="eastAsia"/>
          <w:sz w:val="21"/>
          <w:szCs w:val="21"/>
        </w:rPr>
        <w:t xml:space="preserve">15、中国证监会：指中国证券监督管理委员会 </w:t>
      </w:r>
    </w:p>
    <w:p w14:paraId="5F5C9448">
      <w:pPr>
        <w:pStyle w:val="7"/>
        <w:spacing w:before="0" w:beforeAutospacing="0" w:after="0" w:afterAutospacing="0" w:line="360" w:lineRule="auto"/>
        <w:ind w:firstLine="420"/>
        <w:rPr>
          <w:sz w:val="21"/>
          <w:szCs w:val="21"/>
        </w:rPr>
      </w:pPr>
      <w:r>
        <w:rPr>
          <w:rFonts w:hint="eastAsia"/>
          <w:sz w:val="21"/>
          <w:szCs w:val="21"/>
        </w:rPr>
        <w:t xml:space="preserve">16、银行业监督管理机构：指中国人民银行和/或中国银行保险监督管理委员会 </w:t>
      </w:r>
    </w:p>
    <w:p w14:paraId="5BBCB8F7">
      <w:pPr>
        <w:pStyle w:val="7"/>
        <w:spacing w:before="0" w:beforeAutospacing="0" w:after="0" w:afterAutospacing="0" w:line="360" w:lineRule="auto"/>
        <w:ind w:firstLine="420"/>
        <w:rPr>
          <w:sz w:val="21"/>
          <w:szCs w:val="21"/>
        </w:rPr>
      </w:pPr>
      <w:r>
        <w:rPr>
          <w:rFonts w:hint="eastAsia"/>
          <w:sz w:val="21"/>
          <w:szCs w:val="21"/>
        </w:rPr>
        <w:t xml:space="preserve">17、基金合同当事人：指受基金合同约束，根据基金合同享有权利并承担义务的法律主体，包括基金管理人、基金托管人和基金份额持有人 </w:t>
      </w:r>
    </w:p>
    <w:p w14:paraId="2CA597DA">
      <w:pPr>
        <w:pStyle w:val="7"/>
        <w:spacing w:before="0" w:beforeAutospacing="0" w:after="0" w:afterAutospacing="0" w:line="360" w:lineRule="auto"/>
        <w:ind w:firstLine="420"/>
        <w:rPr>
          <w:sz w:val="21"/>
          <w:szCs w:val="21"/>
        </w:rPr>
      </w:pPr>
      <w:r>
        <w:rPr>
          <w:rFonts w:hint="eastAsia"/>
          <w:sz w:val="21"/>
          <w:szCs w:val="21"/>
        </w:rPr>
        <w:t xml:space="preserve">18、个人投资者：指依据有关法律法规规定可投资于证券投资基金的自然人 </w:t>
      </w:r>
    </w:p>
    <w:p w14:paraId="6AFB4D5F">
      <w:pPr>
        <w:pStyle w:val="7"/>
        <w:spacing w:before="0" w:beforeAutospacing="0" w:after="0" w:afterAutospacing="0" w:line="360" w:lineRule="auto"/>
        <w:ind w:firstLine="420"/>
        <w:rPr>
          <w:sz w:val="21"/>
          <w:szCs w:val="21"/>
        </w:rPr>
      </w:pPr>
      <w:r>
        <w:rPr>
          <w:rFonts w:hint="eastAsia"/>
          <w:sz w:val="21"/>
          <w:szCs w:val="21"/>
        </w:rPr>
        <w:t xml:space="preserve">19、机构投资者：指依法可以投资证券投资基金的、在中华人民共和国境内合法登记并存续或经有关政府部门批准设立并存续的企业法人、事业法人、社会团体或其他组织 </w:t>
      </w:r>
    </w:p>
    <w:p w14:paraId="7B3069BF">
      <w:pPr>
        <w:pStyle w:val="7"/>
        <w:spacing w:before="0" w:beforeAutospacing="0" w:after="0" w:afterAutospacing="0" w:line="360" w:lineRule="auto"/>
        <w:ind w:firstLine="420"/>
        <w:rPr>
          <w:sz w:val="21"/>
          <w:szCs w:val="21"/>
        </w:rPr>
      </w:pPr>
      <w:r>
        <w:rPr>
          <w:rFonts w:hint="eastAsia"/>
          <w:sz w:val="21"/>
          <w:szCs w:val="21"/>
        </w:rPr>
        <w:t xml:space="preserve">20、合格境外机构投资者：指符合《合格境外机构投资者和人民币合格境外机构投资者境内证券期货投资管理办法》及相关法律法规规定可以投资于在中国境内依法募集的证券投资基金的中国境外的机构投资者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14786569">
      <w:pPr>
        <w:pStyle w:val="7"/>
        <w:spacing w:before="0" w:beforeAutospacing="0" w:after="0" w:afterAutospacing="0" w:line="360" w:lineRule="auto"/>
        <w:ind w:firstLine="420"/>
        <w:rPr>
          <w:sz w:val="21"/>
          <w:szCs w:val="21"/>
        </w:rPr>
      </w:pPr>
      <w:r>
        <w:rPr>
          <w:rFonts w:hint="eastAsia"/>
          <w:sz w:val="21"/>
          <w:szCs w:val="21"/>
        </w:rPr>
        <w:t xml:space="preserve">21、人民币合格境外机构投资者：指按照《合格境外机构投资者和人民币合格境外机构投资者境内证券期货投资管理办法》及相关法律法规规定，运用来自境外的人民币资金进行境内证券投资的境外法人 </w:t>
      </w:r>
    </w:p>
    <w:p w14:paraId="696CAF8F">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22、投资人、投资者：指个人投资者、机构投资者、合格境外机构投资者和人民币合格境外机构投资者以及法律法规或中国证监会允许购买证券投资基金的其他投资人的合称 </w:t>
      </w:r>
    </w:p>
    <w:p w14:paraId="4F7AD9B6">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544F8FB1">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46A11896">
      <w:pPr>
        <w:pStyle w:val="7"/>
        <w:spacing w:before="0" w:beforeAutospacing="0" w:after="0" w:afterAutospacing="0" w:line="360" w:lineRule="auto"/>
        <w:ind w:firstLine="420"/>
        <w:rPr>
          <w:sz w:val="21"/>
          <w:szCs w:val="21"/>
        </w:rPr>
      </w:pPr>
      <w:bookmarkStart w:id="25" w:name="chapter_level1_4_49_section_1_end"/>
      <w:bookmarkEnd w:id="25"/>
      <w:r>
        <w:rPr>
          <w:rFonts w:hint="eastAsia"/>
          <w:sz w:val="21"/>
          <w:szCs w:val="21"/>
        </w:rPr>
        <w:t xml:space="preserve">25、销售机构：指直销机构和代销机构 </w:t>
      </w:r>
    </w:p>
    <w:p w14:paraId="66239D58">
      <w:pPr>
        <w:pStyle w:val="7"/>
        <w:spacing w:before="0" w:beforeAutospacing="0" w:after="0" w:afterAutospacing="0" w:line="360" w:lineRule="auto"/>
        <w:ind w:firstLine="420"/>
        <w:rPr>
          <w:sz w:val="21"/>
          <w:szCs w:val="21"/>
        </w:rPr>
      </w:pPr>
      <w:bookmarkStart w:id="26" w:name="chapter_level1_4_49_section_2"/>
      <w:bookmarkEnd w:id="26"/>
      <w:r>
        <w:rPr>
          <w:rFonts w:hint="eastAsia"/>
          <w:sz w:val="21"/>
          <w:szCs w:val="21"/>
        </w:rPr>
        <w:t>26、直销机构：指</w:t>
      </w:r>
      <w:bookmarkStart w:id="27" w:name="field_0_managerorgfullname_2"/>
      <w:r>
        <w:rPr>
          <w:rFonts w:hint="eastAsia"/>
          <w:sz w:val="21"/>
          <w:szCs w:val="21"/>
        </w:rPr>
        <w:t>博时基金管理有限公司</w:t>
      </w:r>
      <w:bookmarkEnd w:id="27"/>
      <w:r>
        <w:rPr>
          <w:rFonts w:hint="eastAsia"/>
          <w:sz w:val="21"/>
          <w:szCs w:val="21"/>
        </w:rPr>
        <w:t xml:space="preserve">  </w:t>
      </w:r>
    </w:p>
    <w:p w14:paraId="1B289B60">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4C79560B">
      <w:pPr>
        <w:pStyle w:val="7"/>
        <w:spacing w:before="0" w:beforeAutospacing="0" w:after="0" w:afterAutospacing="0" w:line="360" w:lineRule="auto"/>
        <w:ind w:firstLine="420"/>
        <w:rPr>
          <w:sz w:val="21"/>
          <w:szCs w:val="21"/>
        </w:rPr>
      </w:pPr>
      <w:r>
        <w:rPr>
          <w:rFonts w:hint="eastAsia"/>
          <w:sz w:val="21"/>
          <w:szCs w:val="21"/>
        </w:rPr>
        <w:t xml:space="preserve">28、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6DF7B547">
      <w:pPr>
        <w:pStyle w:val="7"/>
        <w:spacing w:before="0" w:beforeAutospacing="0" w:after="0" w:afterAutospacing="0" w:line="360" w:lineRule="auto"/>
        <w:ind w:firstLine="420"/>
        <w:rPr>
          <w:sz w:val="21"/>
          <w:szCs w:val="21"/>
        </w:rPr>
      </w:pPr>
      <w:r>
        <w:rPr>
          <w:rFonts w:hint="eastAsia"/>
          <w:sz w:val="21"/>
          <w:szCs w:val="21"/>
        </w:rPr>
        <w:t>29、登记机构：指办理登记业务的机构。基金的登记机构为</w:t>
      </w:r>
      <w:bookmarkStart w:id="28" w:name="field_0_managerorgfullname_3"/>
      <w:r>
        <w:rPr>
          <w:rFonts w:hint="eastAsia"/>
          <w:sz w:val="21"/>
          <w:szCs w:val="21"/>
        </w:rPr>
        <w:t>博时基金管理有限公司</w:t>
      </w:r>
      <w:bookmarkEnd w:id="28"/>
      <w:r>
        <w:rPr>
          <w:rFonts w:hint="eastAsia"/>
          <w:sz w:val="21"/>
          <w:szCs w:val="21"/>
        </w:rPr>
        <w:t>或接受</w:t>
      </w:r>
      <w:bookmarkStart w:id="29" w:name="field_0_managerorgfullname_4"/>
      <w:r>
        <w:rPr>
          <w:rFonts w:hint="eastAsia"/>
          <w:sz w:val="21"/>
          <w:szCs w:val="21"/>
        </w:rPr>
        <w:t>博时基金管理有限公司</w:t>
      </w:r>
      <w:bookmarkEnd w:id="29"/>
      <w:r>
        <w:rPr>
          <w:rFonts w:hint="eastAsia"/>
          <w:sz w:val="21"/>
          <w:szCs w:val="21"/>
        </w:rPr>
        <w:t xml:space="preserve">委托代为办理登记业务的机构 </w:t>
      </w:r>
    </w:p>
    <w:p w14:paraId="6FD00E9A">
      <w:pPr>
        <w:pStyle w:val="7"/>
        <w:spacing w:before="0" w:beforeAutospacing="0" w:after="0" w:afterAutospacing="0" w:line="360" w:lineRule="auto"/>
        <w:ind w:firstLine="420"/>
        <w:rPr>
          <w:sz w:val="21"/>
          <w:szCs w:val="21"/>
        </w:rPr>
      </w:pPr>
      <w:r>
        <w:rPr>
          <w:rFonts w:hint="eastAsia"/>
          <w:sz w:val="21"/>
          <w:szCs w:val="21"/>
        </w:rPr>
        <w:t xml:space="preserve">30、基金账户：指登记机构为投资人开立的、记录其持有的、基金管理人所管理的基金份额余额及其变动情况的账户 </w:t>
      </w:r>
    </w:p>
    <w:p w14:paraId="2463472C">
      <w:pPr>
        <w:pStyle w:val="7"/>
        <w:spacing w:before="0" w:beforeAutospacing="0" w:after="0" w:afterAutospacing="0" w:line="360" w:lineRule="auto"/>
        <w:ind w:firstLine="420"/>
        <w:rPr>
          <w:sz w:val="21"/>
          <w:szCs w:val="21"/>
        </w:rPr>
      </w:pPr>
      <w:r>
        <w:rPr>
          <w:rFonts w:hint="eastAsia"/>
          <w:sz w:val="21"/>
          <w:szCs w:val="21"/>
        </w:rPr>
        <w:t xml:space="preserve">31、基金交易账户：指销售机构为投资人开立的、记录投资人通过该销售机构办理认购、申购、赎回、转换、转托管及定期定额投资等业务而引起的基金份额变动及结余情况的账户 </w:t>
      </w:r>
    </w:p>
    <w:p w14:paraId="0C2A8D47">
      <w:pPr>
        <w:pStyle w:val="7"/>
        <w:spacing w:before="0" w:beforeAutospacing="0" w:after="0" w:afterAutospacing="0" w:line="360" w:lineRule="auto"/>
        <w:ind w:firstLine="420"/>
        <w:rPr>
          <w:sz w:val="21"/>
          <w:szCs w:val="21"/>
        </w:rPr>
      </w:pPr>
      <w:r>
        <w:rPr>
          <w:rFonts w:hint="eastAsia"/>
          <w:sz w:val="21"/>
          <w:szCs w:val="21"/>
        </w:rPr>
        <w:t xml:space="preserve">32、基金合同生效日：指基金募集达到法律法规规定及基金合同规定的条件，基金管理人向中国证监会办理基金备案手续完毕，并获得中国证监会书面确认的日期 </w:t>
      </w:r>
    </w:p>
    <w:p w14:paraId="79336AE1">
      <w:pPr>
        <w:pStyle w:val="7"/>
        <w:spacing w:before="0" w:beforeAutospacing="0" w:after="0" w:afterAutospacing="0" w:line="360" w:lineRule="auto"/>
        <w:ind w:firstLine="420"/>
        <w:rPr>
          <w:sz w:val="21"/>
          <w:szCs w:val="21"/>
        </w:rPr>
      </w:pPr>
      <w:r>
        <w:rPr>
          <w:rFonts w:hint="eastAsia"/>
          <w:sz w:val="21"/>
          <w:szCs w:val="21"/>
        </w:rPr>
        <w:t xml:space="preserve">33、基金合同终止日：指基金合同规定的基金合同终止事由出现后，基金财产清算完毕，清算结果报中国证监会备案并予以公告的日期 </w:t>
      </w:r>
    </w:p>
    <w:p w14:paraId="1AAECAD0">
      <w:pPr>
        <w:pStyle w:val="7"/>
        <w:spacing w:before="0" w:beforeAutospacing="0" w:after="0" w:afterAutospacing="0" w:line="360" w:lineRule="auto"/>
        <w:ind w:firstLine="420"/>
        <w:rPr>
          <w:sz w:val="21"/>
          <w:szCs w:val="21"/>
        </w:rPr>
      </w:pPr>
      <w:r>
        <w:rPr>
          <w:rFonts w:hint="eastAsia"/>
          <w:sz w:val="21"/>
          <w:szCs w:val="21"/>
        </w:rPr>
        <w:t xml:space="preserve">34、基金募集期：指自基金份额发售之日起至发售结束之日止的期间，最长不得超过3个月 </w:t>
      </w:r>
    </w:p>
    <w:p w14:paraId="7086FD2F">
      <w:pPr>
        <w:pStyle w:val="7"/>
        <w:spacing w:before="0" w:beforeAutospacing="0" w:after="0" w:afterAutospacing="0" w:line="360" w:lineRule="auto"/>
        <w:ind w:firstLine="420"/>
        <w:rPr>
          <w:sz w:val="21"/>
          <w:szCs w:val="21"/>
        </w:rPr>
      </w:pPr>
      <w:r>
        <w:rPr>
          <w:rFonts w:hint="eastAsia"/>
          <w:sz w:val="21"/>
          <w:szCs w:val="21"/>
        </w:rPr>
        <w:t xml:space="preserve">35、存续期：指基金合同生效至终止之间的不定期期限 </w:t>
      </w:r>
    </w:p>
    <w:p w14:paraId="335DC86C">
      <w:pPr>
        <w:pStyle w:val="7"/>
        <w:spacing w:before="0" w:beforeAutospacing="0" w:after="0" w:afterAutospacing="0" w:line="360" w:lineRule="auto"/>
        <w:ind w:firstLine="420"/>
        <w:rPr>
          <w:sz w:val="21"/>
          <w:szCs w:val="21"/>
        </w:rPr>
      </w:pPr>
      <w:r>
        <w:rPr>
          <w:rFonts w:hint="eastAsia"/>
          <w:sz w:val="21"/>
          <w:szCs w:val="21"/>
        </w:rPr>
        <w:t xml:space="preserve">36、工作日：指上海证券交易所、深圳证券交易所及相关期货交易所的正常交易日 </w:t>
      </w:r>
    </w:p>
    <w:p w14:paraId="53C6B5F3">
      <w:pPr>
        <w:pStyle w:val="7"/>
        <w:spacing w:before="0" w:beforeAutospacing="0" w:after="0" w:afterAutospacing="0" w:line="360" w:lineRule="auto"/>
        <w:ind w:firstLine="420"/>
        <w:rPr>
          <w:sz w:val="21"/>
          <w:szCs w:val="21"/>
        </w:rPr>
      </w:pPr>
      <w:r>
        <w:rPr>
          <w:rFonts w:hint="eastAsia"/>
          <w:sz w:val="21"/>
          <w:szCs w:val="21"/>
        </w:rPr>
        <w:t xml:space="preserve">37、T日：指销售机构在规定时间受理投资人申购、赎回或其他业务申请的开放日 </w:t>
      </w:r>
    </w:p>
    <w:p w14:paraId="74D82C93">
      <w:pPr>
        <w:pStyle w:val="7"/>
        <w:spacing w:before="0" w:beforeAutospacing="0" w:after="0" w:afterAutospacing="0" w:line="360" w:lineRule="auto"/>
        <w:ind w:firstLine="420"/>
        <w:rPr>
          <w:sz w:val="21"/>
          <w:szCs w:val="21"/>
        </w:rPr>
      </w:pPr>
      <w:r>
        <w:rPr>
          <w:rFonts w:hint="eastAsia"/>
          <w:sz w:val="21"/>
          <w:szCs w:val="21"/>
        </w:rPr>
        <w:t xml:space="preserve">38、T+n日：指自T日起第n个工作日(不包含T日) </w:t>
      </w:r>
    </w:p>
    <w:p w14:paraId="0B82EE19">
      <w:pPr>
        <w:pStyle w:val="7"/>
        <w:spacing w:before="0" w:beforeAutospacing="0" w:after="0" w:afterAutospacing="0" w:line="360" w:lineRule="auto"/>
        <w:ind w:firstLine="420"/>
        <w:rPr>
          <w:sz w:val="21"/>
          <w:szCs w:val="21"/>
        </w:rPr>
      </w:pPr>
      <w:r>
        <w:rPr>
          <w:rFonts w:hint="eastAsia"/>
          <w:sz w:val="21"/>
          <w:szCs w:val="21"/>
        </w:rPr>
        <w:t xml:space="preserve">39、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 </w:t>
      </w:r>
    </w:p>
    <w:p w14:paraId="6B85670E">
      <w:pPr>
        <w:pStyle w:val="7"/>
        <w:spacing w:before="0" w:beforeAutospacing="0" w:after="0" w:afterAutospacing="0" w:line="360" w:lineRule="auto"/>
        <w:ind w:firstLine="420"/>
        <w:rPr>
          <w:sz w:val="21"/>
          <w:szCs w:val="21"/>
        </w:rPr>
      </w:pPr>
      <w:r>
        <w:rPr>
          <w:rFonts w:hint="eastAsia"/>
          <w:sz w:val="21"/>
          <w:szCs w:val="21"/>
        </w:rPr>
        <w:t xml:space="preserve">40、开放时间：指开放日基金接受申购、赎回或其他交易的时间段 </w:t>
      </w:r>
    </w:p>
    <w:p w14:paraId="037E5304">
      <w:pPr>
        <w:pStyle w:val="7"/>
        <w:spacing w:before="0" w:beforeAutospacing="0" w:after="0" w:afterAutospacing="0" w:line="360" w:lineRule="auto"/>
        <w:ind w:firstLine="420"/>
        <w:rPr>
          <w:sz w:val="21"/>
          <w:szCs w:val="21"/>
        </w:rPr>
      </w:pPr>
      <w:r>
        <w:rPr>
          <w:rFonts w:hint="eastAsia"/>
          <w:sz w:val="21"/>
          <w:szCs w:val="21"/>
        </w:rPr>
        <w:t xml:space="preserve">41、最短持有期：指本基金对每份基金份额设置一年的最短持有期。在最短持有期到期日之前（不含当日），投资者不能提出赎回申请；最短持有期期满后（含最短持有期到期日当日）投资者可以申请赎回 </w:t>
      </w:r>
    </w:p>
    <w:p w14:paraId="54E68F3A">
      <w:pPr>
        <w:pStyle w:val="7"/>
        <w:spacing w:before="0" w:beforeAutospacing="0" w:after="0" w:afterAutospacing="0" w:line="360" w:lineRule="auto"/>
        <w:ind w:firstLine="420"/>
        <w:rPr>
          <w:sz w:val="21"/>
          <w:szCs w:val="21"/>
        </w:rPr>
      </w:pPr>
      <w:r>
        <w:rPr>
          <w:rFonts w:hint="eastAsia"/>
          <w:sz w:val="21"/>
          <w:szCs w:val="21"/>
        </w:rPr>
        <w:t xml:space="preserve">42、最短持有期起始日：每份认购份额的最短持有期起始日指基金合同生效日，每份申购份额的最短持有期起始日指该基金份额申购申请的确认日 </w:t>
      </w:r>
    </w:p>
    <w:p w14:paraId="5ADF725B">
      <w:pPr>
        <w:pStyle w:val="7"/>
        <w:spacing w:before="0" w:beforeAutospacing="0" w:after="0" w:afterAutospacing="0" w:line="360" w:lineRule="auto"/>
        <w:ind w:firstLine="420"/>
        <w:rPr>
          <w:sz w:val="21"/>
          <w:szCs w:val="21"/>
        </w:rPr>
      </w:pPr>
      <w:r>
        <w:rPr>
          <w:rFonts w:hint="eastAsia"/>
          <w:sz w:val="21"/>
          <w:szCs w:val="21"/>
        </w:rPr>
        <w:t xml:space="preserve">43、最短持有期到期日：指最短持有期起始日起一年后的对应日，如无对应日或该对应日为非工作日，则顺延至下一工作日。因不可抗力或基金合同约定的其他情形致使基金管理人无法在该基金份额的最短持有期到期日按时开放办理该基金份额的赎回业务的，该基金份额的最短持有期到期日顺延至不可抗力或基金合同约定的其他情形的影响因素消除之日起的下一个工作日 </w:t>
      </w:r>
    </w:p>
    <w:p w14:paraId="3B9F6C40">
      <w:pPr>
        <w:pStyle w:val="7"/>
        <w:spacing w:before="0" w:beforeAutospacing="0" w:after="0" w:afterAutospacing="0" w:line="360" w:lineRule="auto"/>
        <w:ind w:firstLine="420"/>
        <w:rPr>
          <w:sz w:val="21"/>
          <w:szCs w:val="21"/>
        </w:rPr>
      </w:pPr>
      <w:r>
        <w:rPr>
          <w:rFonts w:hint="eastAsia"/>
          <w:sz w:val="21"/>
          <w:szCs w:val="21"/>
        </w:rPr>
        <w:t>44、《业务规则》：指《</w:t>
      </w:r>
      <w:bookmarkStart w:id="30" w:name="field_0_managerorgfullname_5"/>
      <w:r>
        <w:rPr>
          <w:rFonts w:hint="eastAsia"/>
          <w:sz w:val="21"/>
          <w:szCs w:val="21"/>
        </w:rPr>
        <w:t>博时基金管理有限公司</w:t>
      </w:r>
      <w:bookmarkEnd w:id="30"/>
      <w:r>
        <w:rPr>
          <w:rFonts w:hint="eastAsia"/>
          <w:sz w:val="21"/>
          <w:szCs w:val="21"/>
        </w:rPr>
        <w:t xml:space="preserve">开放式基金业务规则》，是规范基金管理人所管理的开放式证券投资基金登记方面的业务规则，由基金管理人和投资人共同遵守 </w:t>
      </w:r>
    </w:p>
    <w:p w14:paraId="31FDBF42">
      <w:pPr>
        <w:pStyle w:val="7"/>
        <w:spacing w:before="0" w:beforeAutospacing="0" w:after="0" w:afterAutospacing="0" w:line="360" w:lineRule="auto"/>
        <w:ind w:firstLine="420"/>
        <w:rPr>
          <w:sz w:val="21"/>
          <w:szCs w:val="21"/>
        </w:rPr>
      </w:pPr>
      <w:r>
        <w:rPr>
          <w:rFonts w:hint="eastAsia"/>
          <w:sz w:val="21"/>
          <w:szCs w:val="21"/>
        </w:rPr>
        <w:t xml:space="preserve">45、认购：指在基金募集期内，投资人根据基金合同和招募说明书的规定申请购买基金份额的行为 </w:t>
      </w:r>
    </w:p>
    <w:p w14:paraId="1FA7B560">
      <w:pPr>
        <w:pStyle w:val="7"/>
        <w:spacing w:before="0" w:beforeAutospacing="0" w:after="0" w:afterAutospacing="0" w:line="360" w:lineRule="auto"/>
        <w:ind w:firstLine="420"/>
        <w:rPr>
          <w:sz w:val="21"/>
          <w:szCs w:val="21"/>
        </w:rPr>
      </w:pPr>
      <w:r>
        <w:rPr>
          <w:rFonts w:hint="eastAsia"/>
          <w:sz w:val="21"/>
          <w:szCs w:val="21"/>
        </w:rPr>
        <w:t xml:space="preserve">46、申购：指基金合同生效后，投资人根据基金合同和招募说明书的规定申请购买基金份额的行为 </w:t>
      </w:r>
    </w:p>
    <w:p w14:paraId="6CD29912">
      <w:pPr>
        <w:pStyle w:val="7"/>
        <w:spacing w:before="0" w:beforeAutospacing="0" w:after="0" w:afterAutospacing="0" w:line="360" w:lineRule="auto"/>
        <w:ind w:firstLine="420"/>
        <w:rPr>
          <w:sz w:val="21"/>
          <w:szCs w:val="21"/>
        </w:rPr>
      </w:pPr>
      <w:r>
        <w:rPr>
          <w:rFonts w:hint="eastAsia"/>
          <w:sz w:val="21"/>
          <w:szCs w:val="21"/>
        </w:rPr>
        <w:t xml:space="preserve">47、赎回：指基金合同生效后，基金份额持有人按基金合同和招募说明书规定的条件要求将基金份额兑换为现金的行为 </w:t>
      </w:r>
    </w:p>
    <w:p w14:paraId="56097B14">
      <w:pPr>
        <w:pStyle w:val="7"/>
        <w:spacing w:before="0" w:beforeAutospacing="0" w:after="0" w:afterAutospacing="0" w:line="360" w:lineRule="auto"/>
        <w:ind w:firstLine="420"/>
        <w:rPr>
          <w:sz w:val="21"/>
          <w:szCs w:val="21"/>
        </w:rPr>
      </w:pPr>
      <w:r>
        <w:rPr>
          <w:rFonts w:hint="eastAsia"/>
          <w:sz w:val="21"/>
          <w:szCs w:val="21"/>
        </w:rPr>
        <w:t xml:space="preserve">48、基金转换：指基金份额持有人按照基金合同和基金管理人届时有效公告规定的条件，申请将其持有基金管理人管理的、某一基金的基金份额转换为基金管理人管理的其他基金基金份额的行为 </w:t>
      </w:r>
    </w:p>
    <w:p w14:paraId="2FD00953">
      <w:pPr>
        <w:pStyle w:val="7"/>
        <w:spacing w:before="0" w:beforeAutospacing="0" w:after="0" w:afterAutospacing="0" w:line="360" w:lineRule="auto"/>
        <w:ind w:firstLine="420"/>
        <w:rPr>
          <w:sz w:val="21"/>
          <w:szCs w:val="21"/>
        </w:rPr>
      </w:pPr>
      <w:r>
        <w:rPr>
          <w:rFonts w:hint="eastAsia"/>
          <w:sz w:val="21"/>
          <w:szCs w:val="21"/>
        </w:rPr>
        <w:t xml:space="preserve">49、转托管：指基金份额持有人在本基金的不同销售机构之间实施的变更所持基金份额销售机构的操作 </w:t>
      </w:r>
    </w:p>
    <w:p w14:paraId="0549C0A0">
      <w:pPr>
        <w:pStyle w:val="7"/>
        <w:spacing w:before="0" w:beforeAutospacing="0" w:after="0" w:afterAutospacing="0" w:line="360" w:lineRule="auto"/>
        <w:ind w:firstLine="420"/>
        <w:rPr>
          <w:sz w:val="21"/>
          <w:szCs w:val="21"/>
        </w:rPr>
      </w:pPr>
      <w:r>
        <w:rPr>
          <w:rFonts w:hint="eastAsia"/>
          <w:sz w:val="21"/>
          <w:szCs w:val="21"/>
        </w:rPr>
        <w:t xml:space="preserve">50、定期定额投资计划：指投资人通过有关销售机构提出申请，约定每期申购日、扣款金额及扣款方式，由销售机构于每期约定扣款日在投资人指定银行账户内自动完成扣款及受理基金申购申请的一种投资方式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75589EA6">
      <w:pPr>
        <w:pStyle w:val="7"/>
        <w:spacing w:before="0" w:beforeAutospacing="0" w:after="0" w:afterAutospacing="0" w:line="360" w:lineRule="auto"/>
        <w:ind w:firstLine="420"/>
        <w:rPr>
          <w:sz w:val="21"/>
          <w:szCs w:val="21"/>
        </w:rPr>
      </w:pPr>
      <w:r>
        <w:rPr>
          <w:rFonts w:hint="eastAsia"/>
          <w:sz w:val="21"/>
          <w:szCs w:val="21"/>
        </w:rPr>
        <w:t>51、巨额赎回：指本基金单个开放日，基金净赎回申请(赎回申请份额总数加上基金转换中转出申请份额总数后扣除申购申请份额总数及基金转换中转入申请份额总数后的余额)超过上一开放日基金总份额的 </w:t>
      </w:r>
      <w:bookmarkStart w:id="31" w:name="field_49_mintredeemscale_1"/>
      <w:r>
        <w:rPr>
          <w:sz w:val="21"/>
          <w:szCs w:val="21"/>
        </w:rPr>
        <w:t>10</w:t>
      </w:r>
      <w:bookmarkEnd w:id="31"/>
      <w:r>
        <w:rPr>
          <w:rFonts w:hint="eastAsia"/>
          <w:sz w:val="21"/>
          <w:szCs w:val="21"/>
        </w:rPr>
        <w:t xml:space="preserve">% </w:t>
      </w:r>
    </w:p>
    <w:p w14:paraId="0983A2C0">
      <w:pPr>
        <w:pStyle w:val="7"/>
        <w:spacing w:before="0" w:beforeAutospacing="0" w:after="0" w:afterAutospacing="0" w:line="360" w:lineRule="auto"/>
        <w:ind w:firstLine="420"/>
        <w:rPr>
          <w:sz w:val="21"/>
          <w:szCs w:val="21"/>
        </w:rPr>
      </w:pPr>
      <w:r>
        <w:rPr>
          <w:rFonts w:hint="eastAsia"/>
          <w:sz w:val="21"/>
          <w:szCs w:val="21"/>
        </w:rPr>
        <w:t xml:space="preserve">52、元：指人民币元 </w:t>
      </w:r>
    </w:p>
    <w:p w14:paraId="7EEF0BB0">
      <w:pPr>
        <w:pStyle w:val="7"/>
        <w:spacing w:before="0" w:beforeAutospacing="0" w:after="0" w:afterAutospacing="0" w:line="360" w:lineRule="auto"/>
        <w:ind w:firstLine="420"/>
        <w:rPr>
          <w:sz w:val="21"/>
          <w:szCs w:val="21"/>
        </w:rPr>
      </w:pPr>
      <w:r>
        <w:rPr>
          <w:rFonts w:hint="eastAsia"/>
          <w:sz w:val="21"/>
          <w:szCs w:val="21"/>
        </w:rPr>
        <w:t xml:space="preserve">53、基金收益：指基金投资所得红利、股息、债券利息、买卖证券价差、银行存款利息、已实现的其他合法收入及因运用基金财产带来的成本和费用的节约 </w:t>
      </w:r>
    </w:p>
    <w:p w14:paraId="43F6A1AC">
      <w:pPr>
        <w:pStyle w:val="7"/>
        <w:spacing w:before="0" w:beforeAutospacing="0" w:after="0" w:afterAutospacing="0" w:line="360" w:lineRule="auto"/>
        <w:ind w:firstLine="420"/>
        <w:rPr>
          <w:sz w:val="21"/>
          <w:szCs w:val="21"/>
        </w:rPr>
      </w:pPr>
      <w:r>
        <w:rPr>
          <w:rFonts w:hint="eastAsia"/>
          <w:sz w:val="21"/>
          <w:szCs w:val="21"/>
        </w:rPr>
        <w:t xml:space="preserve">54、基金资产总值：指基金拥有的各类有价证券、银行存款本息、基金应收款项及其他资产的价值总和 </w:t>
      </w:r>
    </w:p>
    <w:p w14:paraId="1650362B">
      <w:pPr>
        <w:pStyle w:val="7"/>
        <w:spacing w:before="0" w:beforeAutospacing="0" w:after="0" w:afterAutospacing="0" w:line="360" w:lineRule="auto"/>
        <w:ind w:firstLine="420"/>
        <w:rPr>
          <w:sz w:val="21"/>
          <w:szCs w:val="21"/>
        </w:rPr>
      </w:pPr>
      <w:r>
        <w:rPr>
          <w:rFonts w:hint="eastAsia"/>
          <w:sz w:val="21"/>
          <w:szCs w:val="21"/>
        </w:rPr>
        <w:t xml:space="preserve">55、基金资产净值：指基金资产总值减去基金负债后的价值 </w:t>
      </w:r>
    </w:p>
    <w:p w14:paraId="79818070">
      <w:pPr>
        <w:pStyle w:val="7"/>
        <w:spacing w:before="0" w:beforeAutospacing="0" w:after="0" w:afterAutospacing="0" w:line="360" w:lineRule="auto"/>
        <w:ind w:firstLine="420"/>
        <w:rPr>
          <w:sz w:val="21"/>
          <w:szCs w:val="21"/>
        </w:rPr>
      </w:pPr>
      <w:r>
        <w:rPr>
          <w:rFonts w:hint="eastAsia"/>
          <w:sz w:val="21"/>
          <w:szCs w:val="21"/>
        </w:rPr>
        <w:t xml:space="preserve">56、基金份额净值：指计算日基金资产净值除以计算日该类基金份额总数 </w:t>
      </w:r>
    </w:p>
    <w:p w14:paraId="474A3371">
      <w:pPr>
        <w:pStyle w:val="7"/>
        <w:spacing w:before="0" w:beforeAutospacing="0" w:after="0" w:afterAutospacing="0" w:line="360" w:lineRule="auto"/>
        <w:ind w:firstLine="420"/>
        <w:rPr>
          <w:sz w:val="21"/>
          <w:szCs w:val="21"/>
        </w:rPr>
      </w:pPr>
      <w:r>
        <w:rPr>
          <w:rFonts w:hint="eastAsia"/>
          <w:sz w:val="21"/>
          <w:szCs w:val="21"/>
        </w:rPr>
        <w:t xml:space="preserve">57、基金资产估值：指计算评估基金资产和负债的价值，以确定基金资产净值和基金份额净值的过程 </w:t>
      </w:r>
    </w:p>
    <w:p w14:paraId="1B4D95C6">
      <w:pPr>
        <w:pStyle w:val="7"/>
        <w:spacing w:before="0" w:beforeAutospacing="0" w:after="0" w:afterAutospacing="0" w:line="360" w:lineRule="auto"/>
        <w:ind w:firstLine="420"/>
        <w:rPr>
          <w:sz w:val="21"/>
          <w:szCs w:val="21"/>
        </w:rPr>
      </w:pPr>
      <w:r>
        <w:rPr>
          <w:rFonts w:hint="eastAsia"/>
          <w:sz w:val="21"/>
          <w:szCs w:val="21"/>
        </w:rPr>
        <w:t xml:space="preserve">58、基金份额分类：指本基金分设两类基金份额，即A类基金份额和C类基金份额。两类基金份额分设不同的基金代码，分别计算基金份额净值，计算公式为计算日各类别基金资产净值除以计算日发售在外的该类别基金份额总数 </w:t>
      </w:r>
    </w:p>
    <w:p w14:paraId="5F5DEEEC">
      <w:pPr>
        <w:pStyle w:val="7"/>
        <w:spacing w:before="0" w:beforeAutospacing="0" w:after="0" w:afterAutospacing="0" w:line="360" w:lineRule="auto"/>
        <w:ind w:firstLine="420"/>
        <w:rPr>
          <w:sz w:val="21"/>
          <w:szCs w:val="21"/>
        </w:rPr>
      </w:pPr>
      <w:r>
        <w:rPr>
          <w:rFonts w:hint="eastAsia"/>
          <w:sz w:val="21"/>
          <w:szCs w:val="21"/>
        </w:rPr>
        <w:t xml:space="preserve">59、A类基金份额：指在投资者认购、申购时收取认购、申购费用，不从本类别基金资产中计提销售服务费的基金份额 </w:t>
      </w:r>
    </w:p>
    <w:p w14:paraId="68CD97FC">
      <w:pPr>
        <w:pStyle w:val="7"/>
        <w:spacing w:before="0" w:beforeAutospacing="0" w:after="0" w:afterAutospacing="0" w:line="360" w:lineRule="auto"/>
        <w:ind w:firstLine="420"/>
        <w:rPr>
          <w:sz w:val="21"/>
          <w:szCs w:val="21"/>
        </w:rPr>
      </w:pPr>
      <w:r>
        <w:rPr>
          <w:rFonts w:hint="eastAsia"/>
          <w:sz w:val="21"/>
          <w:szCs w:val="21"/>
        </w:rPr>
        <w:t xml:space="preserve">60、C类基金份额：指在投资者认购、申购时不收取认购、申购费用，但从本类别基金资产中计提销售服务费的基金份额 </w:t>
      </w:r>
    </w:p>
    <w:p w14:paraId="37CC2584">
      <w:pPr>
        <w:pStyle w:val="7"/>
        <w:spacing w:before="0" w:beforeAutospacing="0" w:after="0" w:afterAutospacing="0" w:line="360" w:lineRule="auto"/>
        <w:ind w:firstLine="420"/>
        <w:rPr>
          <w:sz w:val="21"/>
          <w:szCs w:val="21"/>
        </w:rPr>
      </w:pPr>
      <w:r>
        <w:rPr>
          <w:rFonts w:hint="eastAsia"/>
          <w:sz w:val="21"/>
          <w:szCs w:val="21"/>
        </w:rPr>
        <w:t xml:space="preserve">61、规定媒介：指符合中国证监会规定条件的用以进行信息披露的全国性报刊及《信息披露办法》规定的互联网网站（包括基金管理人网站、基金托管人网站、中国证监会基金电子披露网站）等媒介 </w:t>
      </w:r>
    </w:p>
    <w:p w14:paraId="0408F218">
      <w:pPr>
        <w:pStyle w:val="7"/>
        <w:spacing w:before="0" w:beforeAutospacing="0" w:after="0" w:afterAutospacing="0" w:line="360" w:lineRule="auto"/>
        <w:ind w:firstLine="420"/>
        <w:rPr>
          <w:sz w:val="21"/>
          <w:szCs w:val="21"/>
        </w:rPr>
      </w:pPr>
      <w:r>
        <w:rPr>
          <w:rFonts w:hint="eastAsia"/>
          <w:sz w:val="21"/>
          <w:szCs w:val="21"/>
        </w:rPr>
        <w:t xml:space="preserve">62、销售服务费：指从基金财产中计提的，用于本基金市场推广、销售以及基金份额持有人服务的费用 </w:t>
      </w:r>
    </w:p>
    <w:p w14:paraId="5BA4263E">
      <w:pPr>
        <w:pStyle w:val="7"/>
        <w:spacing w:before="0" w:beforeAutospacing="0" w:after="0" w:afterAutospacing="0" w:line="360" w:lineRule="auto"/>
        <w:ind w:firstLine="420"/>
        <w:rPr>
          <w:sz w:val="21"/>
          <w:szCs w:val="21"/>
        </w:rPr>
      </w:pPr>
      <w:r>
        <w:rPr>
          <w:rFonts w:hint="eastAsia"/>
          <w:sz w:val="21"/>
          <w:szCs w:val="21"/>
        </w:rPr>
        <w:t xml:space="preserve">63、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2229AE3B">
      <w:pPr>
        <w:pStyle w:val="7"/>
        <w:spacing w:before="0" w:beforeAutospacing="0" w:after="0" w:afterAutospacing="0" w:line="360" w:lineRule="auto"/>
        <w:ind w:firstLine="420"/>
        <w:rPr>
          <w:sz w:val="21"/>
          <w:szCs w:val="21"/>
        </w:rPr>
      </w:pPr>
      <w:r>
        <w:rPr>
          <w:rFonts w:hint="eastAsia"/>
          <w:sz w:val="21"/>
          <w:szCs w:val="21"/>
        </w:rPr>
        <w:t xml:space="preserve">64、信用衍生品：指符合证券交易所或银行间市场相关业务规则，专门用于管理信用风险的信用衍生工具 </w:t>
      </w:r>
    </w:p>
    <w:p w14:paraId="505BB90D">
      <w:pPr>
        <w:pStyle w:val="7"/>
        <w:spacing w:before="0" w:beforeAutospacing="0" w:after="0" w:afterAutospacing="0" w:line="360" w:lineRule="auto"/>
        <w:ind w:firstLine="420"/>
        <w:rPr>
          <w:sz w:val="21"/>
          <w:szCs w:val="21"/>
        </w:rPr>
      </w:pPr>
      <w:r>
        <w:rPr>
          <w:rFonts w:hint="eastAsia"/>
          <w:sz w:val="21"/>
          <w:szCs w:val="21"/>
        </w:rPr>
        <w:t xml:space="preserve">65、信用保护买方：亦称信用保护购买方，指接受信用风险保护的一方 </w:t>
      </w:r>
    </w:p>
    <w:p w14:paraId="66B01D9D">
      <w:pPr>
        <w:pStyle w:val="7"/>
        <w:spacing w:before="0" w:beforeAutospacing="0" w:after="0" w:afterAutospacing="0" w:line="360" w:lineRule="auto"/>
        <w:ind w:firstLine="420"/>
        <w:rPr>
          <w:sz w:val="21"/>
          <w:szCs w:val="21"/>
        </w:rPr>
      </w:pPr>
      <w:r>
        <w:rPr>
          <w:rFonts w:hint="eastAsia"/>
          <w:sz w:val="21"/>
          <w:szCs w:val="21"/>
        </w:rPr>
        <w:t xml:space="preserve">66、信用保护卖方：亦称信用保护提供方，指提供信用风险保护的一方 </w:t>
      </w:r>
    </w:p>
    <w:p w14:paraId="605ADC8C">
      <w:pPr>
        <w:pStyle w:val="7"/>
        <w:spacing w:before="0" w:beforeAutospacing="0" w:after="0" w:afterAutospacing="0" w:line="360" w:lineRule="auto"/>
        <w:ind w:firstLine="420"/>
        <w:rPr>
          <w:sz w:val="21"/>
          <w:szCs w:val="21"/>
        </w:rPr>
      </w:pPr>
      <w:r>
        <w:rPr>
          <w:rFonts w:hint="eastAsia"/>
          <w:sz w:val="21"/>
          <w:szCs w:val="21"/>
        </w:rPr>
        <w:t xml:space="preserve">67、名义本金：亦称交易名义本金，是一笔信用衍生产品交易提供信用风险保护的金额，各项支付和结算以此金额为计算基准 </w:t>
      </w:r>
    </w:p>
    <w:p w14:paraId="2BD8B845">
      <w:pPr>
        <w:pStyle w:val="7"/>
        <w:spacing w:before="0" w:beforeAutospacing="0" w:after="0" w:afterAutospacing="0" w:line="360" w:lineRule="auto"/>
        <w:ind w:firstLine="420"/>
        <w:rPr>
          <w:sz w:val="21"/>
          <w:szCs w:val="21"/>
        </w:rPr>
      </w:pPr>
      <w:r>
        <w:rPr>
          <w:rFonts w:hint="eastAsia"/>
          <w:sz w:val="21"/>
          <w:szCs w:val="21"/>
        </w:rPr>
        <w:t xml:space="preserve">68、摆动定价机制：指当本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7C8F57FE">
      <w:pPr>
        <w:pStyle w:val="7"/>
        <w:spacing w:before="0" w:beforeAutospacing="0" w:after="0" w:afterAutospacing="0" w:line="360" w:lineRule="auto"/>
        <w:ind w:firstLine="420"/>
        <w:rPr>
          <w:sz w:val="21"/>
          <w:szCs w:val="21"/>
        </w:rPr>
      </w:pPr>
      <w:r>
        <w:rPr>
          <w:rFonts w:hint="eastAsia"/>
          <w:sz w:val="21"/>
          <w:szCs w:val="21"/>
        </w:rPr>
        <w:t xml:space="preserve">69、港股通：是指内地投资者委托内地证券公司，经由上海证券交易所和深圳证券交易所设立的证券交易服务公司，向香港联合交易所进行申报，买卖规定范围内的香港联合交易所上市的股票的交易机制 </w:t>
      </w:r>
    </w:p>
    <w:p w14:paraId="5BDE591E">
      <w:pPr>
        <w:pStyle w:val="7"/>
        <w:spacing w:before="0" w:beforeAutospacing="0" w:after="0" w:afterAutospacing="0" w:line="360" w:lineRule="auto"/>
        <w:ind w:firstLine="420"/>
        <w:rPr>
          <w:sz w:val="21"/>
          <w:szCs w:val="21"/>
        </w:rPr>
      </w:pPr>
      <w:r>
        <w:rPr>
          <w:rFonts w:hint="eastAsia"/>
          <w:sz w:val="21"/>
          <w:szCs w:val="21"/>
        </w:rPr>
        <w:t xml:space="preserve">70、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 </w:t>
      </w:r>
    </w:p>
    <w:p w14:paraId="73CBB169">
      <w:pPr>
        <w:pStyle w:val="7"/>
        <w:spacing w:before="0" w:beforeAutospacing="0" w:after="0" w:afterAutospacing="0" w:line="360" w:lineRule="auto"/>
        <w:ind w:firstLine="420"/>
        <w:rPr>
          <w:sz w:val="21"/>
          <w:szCs w:val="21"/>
        </w:rPr>
      </w:pPr>
      <w:r>
        <w:rPr>
          <w:rFonts w:hint="eastAsia"/>
          <w:sz w:val="21"/>
          <w:szCs w:val="21"/>
        </w:rPr>
        <w:t xml:space="preserve">71、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0E151DC5">
      <w:pPr>
        <w:pStyle w:val="7"/>
        <w:spacing w:before="0" w:beforeAutospacing="0" w:after="0" w:afterAutospacing="0" w:line="360" w:lineRule="auto"/>
        <w:ind w:firstLine="420"/>
        <w:rPr>
          <w:sz w:val="21"/>
          <w:szCs w:val="21"/>
        </w:rPr>
      </w:pPr>
      <w:bookmarkStart w:id="32" w:name="chapter_level1_4_49_section_2_end"/>
      <w:bookmarkEnd w:id="32"/>
      <w:r>
        <w:rPr>
          <w:rFonts w:hint="eastAsia"/>
          <w:sz w:val="21"/>
          <w:szCs w:val="21"/>
        </w:rPr>
        <w:t xml:space="preserve">72、不可抗力：指基金合同当事人不能预见、不能避免且不能克服的客观事件 </w:t>
      </w:r>
    </w:p>
    <w:p w14:paraId="10AC7D49">
      <w:pPr>
        <w:widowControl/>
        <w:jc w:val="left"/>
        <w:rPr>
          <w:rFonts w:ascii="宋体" w:hAnsi="宋体" w:eastAsia="宋体"/>
        </w:rPr>
      </w:pPr>
      <w:r>
        <w:rPr>
          <w:rFonts w:ascii="宋体" w:hAnsi="宋体" w:eastAsia="宋体"/>
        </w:rPr>
        <w:br w:type="page"/>
      </w:r>
    </w:p>
    <w:p w14:paraId="7BC7E364">
      <w:pPr>
        <w:pStyle w:val="2"/>
        <w:jc w:val="center"/>
        <w:rPr>
          <w:rFonts w:ascii="宋体" w:hAnsi="宋体" w:eastAsia="宋体"/>
          <w:sz w:val="30"/>
        </w:rPr>
      </w:pPr>
      <w:bookmarkStart w:id="33" w:name="chapter_level1_5_53"/>
      <w:bookmarkStart w:id="34" w:name="_Toc209538270"/>
      <w:r>
        <w:rPr>
          <w:rFonts w:hint="eastAsia" w:ascii="宋体" w:hAnsi="宋体" w:eastAsia="宋体"/>
          <w:sz w:val="30"/>
        </w:rPr>
        <w:t>第三部分  基金管理人</w:t>
      </w:r>
      <w:bookmarkEnd w:id="33"/>
      <w:bookmarkEnd w:id="34"/>
    </w:p>
    <w:p w14:paraId="0B0A6269">
      <w:pPr>
        <w:pStyle w:val="7"/>
        <w:spacing w:before="0" w:beforeAutospacing="0" w:after="0" w:afterAutospacing="0" w:line="360" w:lineRule="auto"/>
        <w:ind w:firstLine="420"/>
        <w:rPr>
          <w:sz w:val="21"/>
          <w:szCs w:val="21"/>
          <w:highlight w:val="none"/>
        </w:rPr>
      </w:pPr>
      <w:bookmarkStart w:id="35" w:name="chapter_level1_5_53_section_1"/>
      <w:bookmarkEnd w:id="35"/>
      <w:r>
        <w:rPr>
          <w:rStyle w:val="11"/>
          <w:rFonts w:hint="eastAsia"/>
          <w:sz w:val="21"/>
          <w:szCs w:val="21"/>
          <w:highlight w:val="none"/>
        </w:rPr>
        <w:t>一、基金管理人概况</w:t>
      </w:r>
    </w:p>
    <w:p w14:paraId="496F83B2">
      <w:pPr>
        <w:pStyle w:val="7"/>
        <w:spacing w:before="0" w:beforeAutospacing="0" w:after="0" w:afterAutospacing="0" w:line="360" w:lineRule="auto"/>
        <w:ind w:firstLine="420"/>
        <w:rPr>
          <w:sz w:val="21"/>
          <w:szCs w:val="21"/>
          <w:highlight w:val="none"/>
        </w:rPr>
      </w:pPr>
      <w:r>
        <w:rPr>
          <w:rFonts w:hint="eastAsia"/>
          <w:sz w:val="21"/>
          <w:szCs w:val="21"/>
          <w:highlight w:val="none"/>
        </w:rPr>
        <w:t>名称：</w:t>
      </w:r>
      <w:r>
        <w:rPr>
          <w:rFonts w:hint="eastAsia"/>
          <w:sz w:val="21"/>
          <w:szCs w:val="21"/>
          <w:highlight w:val="none"/>
        </w:rPr>
        <w:tab/>
      </w:r>
      <w:r>
        <w:rPr>
          <w:rFonts w:hint="eastAsia"/>
          <w:sz w:val="21"/>
          <w:szCs w:val="21"/>
          <w:highlight w:val="none"/>
        </w:rPr>
        <w:t>博时基金管理有限公司</w:t>
      </w:r>
    </w:p>
    <w:p w14:paraId="14B06620">
      <w:pPr>
        <w:pStyle w:val="7"/>
        <w:spacing w:before="0" w:beforeAutospacing="0" w:after="0" w:afterAutospacing="0" w:line="360" w:lineRule="auto"/>
        <w:ind w:firstLine="420"/>
        <w:rPr>
          <w:sz w:val="21"/>
          <w:szCs w:val="21"/>
          <w:highlight w:val="none"/>
        </w:rPr>
      </w:pPr>
      <w:r>
        <w:rPr>
          <w:rFonts w:hint="eastAsia"/>
          <w:sz w:val="21"/>
          <w:szCs w:val="21"/>
          <w:highlight w:val="none"/>
        </w:rPr>
        <w:t>住所：</w:t>
      </w:r>
      <w:r>
        <w:rPr>
          <w:rFonts w:hint="eastAsia"/>
          <w:sz w:val="21"/>
          <w:szCs w:val="21"/>
          <w:highlight w:val="none"/>
        </w:rPr>
        <w:tab/>
      </w:r>
      <w:r>
        <w:rPr>
          <w:rFonts w:hint="eastAsia"/>
          <w:sz w:val="21"/>
          <w:szCs w:val="21"/>
          <w:highlight w:val="none"/>
        </w:rPr>
        <w:t>深圳市福田区莲花街道福新社区益田路5999号基金大厦21层</w:t>
      </w:r>
    </w:p>
    <w:p w14:paraId="0EC4005C">
      <w:pPr>
        <w:pStyle w:val="7"/>
        <w:spacing w:before="0" w:beforeAutospacing="0" w:after="0" w:afterAutospacing="0" w:line="360" w:lineRule="auto"/>
        <w:ind w:firstLine="420"/>
        <w:rPr>
          <w:sz w:val="21"/>
          <w:szCs w:val="21"/>
          <w:highlight w:val="none"/>
        </w:rPr>
      </w:pPr>
      <w:r>
        <w:rPr>
          <w:rFonts w:hint="eastAsia"/>
          <w:sz w:val="21"/>
          <w:szCs w:val="21"/>
          <w:highlight w:val="none"/>
        </w:rPr>
        <w:t>办公地址：</w:t>
      </w:r>
      <w:r>
        <w:rPr>
          <w:rFonts w:hint="eastAsia"/>
          <w:sz w:val="21"/>
          <w:szCs w:val="21"/>
          <w:highlight w:val="none"/>
        </w:rPr>
        <w:tab/>
      </w:r>
      <w:r>
        <w:rPr>
          <w:rFonts w:hint="eastAsia"/>
          <w:sz w:val="21"/>
          <w:szCs w:val="21"/>
          <w:highlight w:val="none"/>
        </w:rPr>
        <w:t>广东省深圳市福田区益田路5999号基金大厦21层</w:t>
      </w:r>
    </w:p>
    <w:p w14:paraId="36F6D8E2">
      <w:pPr>
        <w:pStyle w:val="7"/>
        <w:spacing w:before="0" w:beforeAutospacing="0" w:after="0" w:afterAutospacing="0" w:line="360" w:lineRule="auto"/>
        <w:ind w:firstLine="420"/>
        <w:rPr>
          <w:rFonts w:hint="eastAsia" w:eastAsia="宋体"/>
          <w:sz w:val="21"/>
          <w:szCs w:val="21"/>
          <w:highlight w:val="none"/>
          <w:lang w:eastAsia="zh-CN"/>
        </w:rPr>
      </w:pPr>
      <w:r>
        <w:rPr>
          <w:rFonts w:hint="eastAsia"/>
          <w:sz w:val="21"/>
          <w:szCs w:val="21"/>
          <w:highlight w:val="none"/>
        </w:rPr>
        <w:t>法定代表人：</w:t>
      </w:r>
      <w:r>
        <w:rPr>
          <w:rFonts w:hint="eastAsia"/>
          <w:sz w:val="21"/>
          <w:szCs w:val="21"/>
          <w:highlight w:val="none"/>
          <w:lang w:val="en-US" w:eastAsia="zh-CN"/>
        </w:rPr>
        <w:t>张东</w:t>
      </w:r>
    </w:p>
    <w:p w14:paraId="1DA05604">
      <w:pPr>
        <w:pStyle w:val="7"/>
        <w:spacing w:before="0" w:beforeAutospacing="0" w:after="0" w:afterAutospacing="0" w:line="360" w:lineRule="auto"/>
        <w:ind w:firstLine="420"/>
        <w:rPr>
          <w:sz w:val="21"/>
          <w:szCs w:val="21"/>
          <w:highlight w:val="none"/>
        </w:rPr>
      </w:pPr>
      <w:r>
        <w:rPr>
          <w:rFonts w:hint="eastAsia"/>
          <w:sz w:val="21"/>
          <w:szCs w:val="21"/>
          <w:highlight w:val="none"/>
        </w:rPr>
        <w:t>成立时间：</w:t>
      </w:r>
      <w:r>
        <w:rPr>
          <w:rFonts w:hint="eastAsia"/>
          <w:sz w:val="21"/>
          <w:szCs w:val="21"/>
          <w:highlight w:val="none"/>
        </w:rPr>
        <w:tab/>
      </w:r>
      <w:r>
        <w:rPr>
          <w:rFonts w:hint="eastAsia"/>
          <w:sz w:val="21"/>
          <w:szCs w:val="21"/>
          <w:highlight w:val="none"/>
        </w:rPr>
        <w:t>1998年7月13日</w:t>
      </w:r>
    </w:p>
    <w:p w14:paraId="5123DF30">
      <w:pPr>
        <w:pStyle w:val="7"/>
        <w:spacing w:before="0" w:beforeAutospacing="0" w:after="0" w:afterAutospacing="0" w:line="360" w:lineRule="auto"/>
        <w:ind w:firstLine="420"/>
        <w:rPr>
          <w:sz w:val="21"/>
          <w:szCs w:val="21"/>
          <w:highlight w:val="none"/>
        </w:rPr>
      </w:pPr>
      <w:r>
        <w:rPr>
          <w:rFonts w:hint="eastAsia"/>
          <w:sz w:val="21"/>
          <w:szCs w:val="21"/>
          <w:highlight w:val="none"/>
        </w:rPr>
        <w:t>注册资本：</w:t>
      </w:r>
      <w:r>
        <w:rPr>
          <w:rFonts w:hint="eastAsia"/>
          <w:sz w:val="21"/>
          <w:szCs w:val="21"/>
          <w:highlight w:val="none"/>
        </w:rPr>
        <w:tab/>
      </w:r>
      <w:r>
        <w:rPr>
          <w:rFonts w:hint="eastAsia"/>
          <w:sz w:val="21"/>
          <w:szCs w:val="21"/>
          <w:highlight w:val="none"/>
        </w:rPr>
        <w:t>2.5亿元人民币</w:t>
      </w:r>
    </w:p>
    <w:p w14:paraId="6D9CE739">
      <w:pPr>
        <w:pStyle w:val="7"/>
        <w:spacing w:before="0" w:beforeAutospacing="0" w:after="0" w:afterAutospacing="0" w:line="360" w:lineRule="auto"/>
        <w:ind w:firstLine="420"/>
        <w:rPr>
          <w:sz w:val="21"/>
          <w:szCs w:val="21"/>
          <w:highlight w:val="none"/>
        </w:rPr>
      </w:pPr>
      <w:r>
        <w:rPr>
          <w:rFonts w:hint="eastAsia"/>
          <w:sz w:val="21"/>
          <w:szCs w:val="21"/>
          <w:highlight w:val="none"/>
        </w:rPr>
        <w:t>存续期间：</w:t>
      </w:r>
      <w:r>
        <w:rPr>
          <w:rFonts w:hint="eastAsia"/>
          <w:sz w:val="21"/>
          <w:szCs w:val="21"/>
          <w:highlight w:val="none"/>
        </w:rPr>
        <w:tab/>
      </w:r>
      <w:r>
        <w:rPr>
          <w:rFonts w:hint="eastAsia"/>
          <w:sz w:val="21"/>
          <w:szCs w:val="21"/>
          <w:highlight w:val="none"/>
        </w:rPr>
        <w:t>持续经营</w:t>
      </w:r>
    </w:p>
    <w:p w14:paraId="47CF96DD">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 xml:space="preserve">联系人：    </w:t>
      </w:r>
      <w:r>
        <w:rPr>
          <w:rFonts w:hint="eastAsia"/>
          <w:sz w:val="21"/>
          <w:szCs w:val="21"/>
          <w:highlight w:val="none"/>
          <w:lang w:val="en-US" w:eastAsia="zh-CN"/>
        </w:rPr>
        <w:t>杜松岭</w:t>
      </w:r>
    </w:p>
    <w:p w14:paraId="51685117">
      <w:pPr>
        <w:pStyle w:val="7"/>
        <w:spacing w:before="0" w:beforeAutospacing="0" w:after="0" w:afterAutospacing="0" w:line="360" w:lineRule="auto"/>
        <w:ind w:firstLine="420"/>
        <w:rPr>
          <w:sz w:val="21"/>
          <w:szCs w:val="21"/>
          <w:highlight w:val="none"/>
        </w:rPr>
      </w:pPr>
      <w:r>
        <w:rPr>
          <w:rFonts w:hint="eastAsia"/>
          <w:sz w:val="21"/>
          <w:szCs w:val="21"/>
          <w:highlight w:val="none"/>
        </w:rPr>
        <w:t>联系电话：  （0755）8316 9999</w:t>
      </w:r>
    </w:p>
    <w:p w14:paraId="41EC776B">
      <w:pPr>
        <w:pStyle w:val="7"/>
        <w:spacing w:before="0" w:beforeAutospacing="0" w:after="0" w:afterAutospacing="0" w:line="360" w:lineRule="auto"/>
        <w:ind w:firstLine="420"/>
        <w:rPr>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60DFC347">
      <w:pPr>
        <w:pStyle w:val="7"/>
        <w:spacing w:before="0" w:beforeAutospacing="0" w:after="0" w:afterAutospacing="0" w:line="360" w:lineRule="auto"/>
        <w:ind w:firstLine="420"/>
        <w:rPr>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6328B3C0">
      <w:pPr>
        <w:pStyle w:val="7"/>
        <w:spacing w:before="0" w:beforeAutospacing="0" w:after="0" w:afterAutospacing="0" w:line="360" w:lineRule="auto"/>
        <w:ind w:firstLine="420"/>
        <w:rPr>
          <w:sz w:val="21"/>
          <w:szCs w:val="21"/>
          <w:highlight w:val="none"/>
        </w:rPr>
      </w:pPr>
      <w:r>
        <w:rPr>
          <w:rFonts w:hint="eastAsia"/>
          <w:sz w:val="21"/>
          <w:szCs w:val="21"/>
          <w:highlight w:val="none"/>
        </w:rPr>
        <w:t xml:space="preserve">公司已经建立健全投资管理制度、风险控制制度、内部监察制度、财务管理制度、人事管理制度、信息披露制度和员工行为准则等公司管理制度体系。   </w:t>
      </w:r>
    </w:p>
    <w:p w14:paraId="743B7FAD">
      <w:pPr>
        <w:pStyle w:val="7"/>
        <w:spacing w:before="0" w:beforeAutospacing="0" w:after="0" w:afterAutospacing="0" w:line="360" w:lineRule="auto"/>
        <w:ind w:firstLine="420"/>
        <w:rPr>
          <w:sz w:val="21"/>
          <w:szCs w:val="21"/>
          <w:highlight w:val="none"/>
        </w:rPr>
      </w:pPr>
      <w:r>
        <w:rPr>
          <w:rStyle w:val="11"/>
          <w:rFonts w:hint="eastAsia"/>
          <w:sz w:val="21"/>
          <w:szCs w:val="21"/>
          <w:highlight w:val="none"/>
        </w:rPr>
        <w:t>二、主要成员情况</w:t>
      </w:r>
    </w:p>
    <w:p w14:paraId="41088B20">
      <w:pPr>
        <w:pStyle w:val="7"/>
        <w:spacing w:before="0" w:beforeAutospacing="0" w:after="0" w:afterAutospacing="0" w:line="360" w:lineRule="auto"/>
        <w:ind w:firstLine="420"/>
        <w:rPr>
          <w:sz w:val="21"/>
          <w:szCs w:val="21"/>
          <w:highlight w:val="none"/>
        </w:rPr>
      </w:pPr>
      <w:r>
        <w:rPr>
          <w:rFonts w:hint="eastAsia"/>
          <w:sz w:val="21"/>
          <w:szCs w:val="21"/>
          <w:highlight w:val="none"/>
        </w:rPr>
        <w:t>1、基金管理人董事会成员</w:t>
      </w:r>
    </w:p>
    <w:p w14:paraId="7CF59D71">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eastAsia="zh-CN"/>
        </w:rPr>
        <w:t>张东先生，硕士，</w:t>
      </w:r>
      <w:r>
        <w:rPr>
          <w:rFonts w:hint="eastAsia"/>
          <w:sz w:val="21"/>
          <w:szCs w:val="21"/>
          <w:highlight w:val="none"/>
          <w:lang w:val="en-US" w:eastAsia="zh-CN"/>
        </w:rPr>
        <w:t>董事长</w:t>
      </w:r>
      <w:r>
        <w:rPr>
          <w:rFonts w:hint="eastAsia"/>
          <w:sz w:val="21"/>
          <w:szCs w:val="21"/>
          <w:highlight w:val="none"/>
          <w:lang w:eastAsia="zh-CN"/>
        </w:rPr>
        <w:t>。1989年至</w:t>
      </w:r>
      <w:r>
        <w:rPr>
          <w:rFonts w:hint="eastAsia"/>
          <w:sz w:val="21"/>
          <w:szCs w:val="21"/>
          <w:highlight w:val="none"/>
          <w:lang w:val="en-US" w:eastAsia="zh-CN"/>
        </w:rPr>
        <w:t>2024年先后在中国银行、招商银行从事零售金融、财富业务和财务会计等工作。2024年加入博时基金管理有限公司，2024年5月至2025年10月任公司总经理。</w:t>
      </w:r>
      <w:r>
        <w:rPr>
          <w:rFonts w:hint="eastAsia"/>
          <w:sz w:val="21"/>
          <w:szCs w:val="21"/>
          <w:highlight w:val="none"/>
        </w:rPr>
        <w:t>自202</w:t>
      </w:r>
      <w:r>
        <w:rPr>
          <w:rFonts w:hint="eastAsia"/>
          <w:sz w:val="21"/>
          <w:szCs w:val="21"/>
          <w:highlight w:val="none"/>
          <w:lang w:val="en-US" w:eastAsia="zh-CN"/>
        </w:rPr>
        <w:t>4</w:t>
      </w:r>
      <w:r>
        <w:rPr>
          <w:rFonts w:hint="eastAsia"/>
          <w:sz w:val="21"/>
          <w:szCs w:val="21"/>
          <w:highlight w:val="none"/>
        </w:rPr>
        <w:t>年</w:t>
      </w:r>
      <w:r>
        <w:rPr>
          <w:rFonts w:hint="eastAsia"/>
          <w:sz w:val="21"/>
          <w:szCs w:val="21"/>
          <w:highlight w:val="none"/>
          <w:lang w:val="en-US" w:eastAsia="zh-CN"/>
        </w:rPr>
        <w:t>7</w:t>
      </w:r>
      <w:r>
        <w:rPr>
          <w:rFonts w:hint="eastAsia"/>
          <w:sz w:val="21"/>
          <w:szCs w:val="21"/>
          <w:highlight w:val="none"/>
        </w:rPr>
        <w:t>月</w:t>
      </w:r>
      <w:r>
        <w:rPr>
          <w:rFonts w:hint="eastAsia"/>
          <w:sz w:val="21"/>
          <w:szCs w:val="21"/>
          <w:highlight w:val="none"/>
          <w:lang w:val="en-US" w:eastAsia="zh-CN"/>
        </w:rPr>
        <w:t>5日</w:t>
      </w:r>
      <w:r>
        <w:rPr>
          <w:rFonts w:hint="eastAsia"/>
          <w:sz w:val="21"/>
          <w:szCs w:val="21"/>
          <w:highlight w:val="none"/>
        </w:rPr>
        <w:t>起，任博时基金管理有限公司董事。</w:t>
      </w:r>
      <w:r>
        <w:rPr>
          <w:rFonts w:hint="eastAsia"/>
          <w:sz w:val="21"/>
          <w:szCs w:val="21"/>
          <w:highlight w:val="none"/>
          <w:lang w:val="en-US" w:eastAsia="zh-CN"/>
        </w:rPr>
        <w:t>2025年10月15日至2025年11月10日</w:t>
      </w:r>
      <w:r>
        <w:rPr>
          <w:rFonts w:hint="eastAsia"/>
          <w:sz w:val="21"/>
          <w:szCs w:val="21"/>
          <w:highlight w:val="none"/>
        </w:rPr>
        <w:t>代为履行博时基金管理有限公司总经理职务。</w:t>
      </w:r>
      <w:r>
        <w:rPr>
          <w:rFonts w:hint="eastAsia"/>
          <w:sz w:val="21"/>
          <w:szCs w:val="21"/>
          <w:highlight w:val="none"/>
          <w:lang w:val="en-US" w:eastAsia="zh-CN"/>
        </w:rPr>
        <w:t>自2025年10月15日起，</w:t>
      </w:r>
      <w:r>
        <w:rPr>
          <w:rFonts w:hint="eastAsia"/>
          <w:sz w:val="21"/>
          <w:szCs w:val="21"/>
          <w:highlight w:val="none"/>
        </w:rPr>
        <w:t>任博时基金管理有限公司董事长。</w:t>
      </w:r>
      <w:r>
        <w:rPr>
          <w:rFonts w:hint="eastAsia"/>
          <w:sz w:val="21"/>
          <w:szCs w:val="21"/>
          <w:highlight w:val="none"/>
          <w:lang w:val="en-US" w:eastAsia="zh-CN"/>
        </w:rPr>
        <w:t>自2026年2月12日起代为履行</w:t>
      </w:r>
      <w:r>
        <w:rPr>
          <w:rFonts w:hint="eastAsia"/>
          <w:sz w:val="21"/>
          <w:szCs w:val="21"/>
          <w:highlight w:val="none"/>
        </w:rPr>
        <w:t>博时基金管理有限公司</w:t>
      </w:r>
      <w:r>
        <w:rPr>
          <w:rFonts w:hint="eastAsia"/>
          <w:sz w:val="21"/>
          <w:szCs w:val="21"/>
          <w:highlight w:val="none"/>
          <w:lang w:val="en-US" w:eastAsia="zh-CN"/>
        </w:rPr>
        <w:t>首席信息官职责。</w:t>
      </w:r>
    </w:p>
    <w:p w14:paraId="76E6300E">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02C72A4">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A17AF1E">
      <w:pPr>
        <w:pStyle w:val="7"/>
        <w:spacing w:before="0" w:beforeAutospacing="0" w:after="0" w:afterAutospacing="0" w:line="360" w:lineRule="auto"/>
        <w:ind w:firstLine="420"/>
        <w:rPr>
          <w:rFonts w:hint="eastAsia" w:ascii="宋体" w:hAnsi="宋体" w:eastAsia="宋体" w:cs="宋体"/>
          <w:kern w:val="0"/>
          <w:sz w:val="21"/>
          <w:szCs w:val="21"/>
          <w:highlight w:val="none"/>
          <w:lang w:val="en-US" w:eastAsia="zh-CN" w:bidi="ar-SA"/>
        </w:rPr>
      </w:pPr>
      <w:r>
        <w:rPr>
          <w:rFonts w:hint="eastAsia" w:ascii="宋体" w:hAnsi="宋体" w:eastAsia="宋体" w:cs="宋体"/>
          <w:b w:val="0"/>
          <w:bCs w:val="0"/>
          <w:kern w:val="0"/>
          <w:sz w:val="21"/>
          <w:szCs w:val="21"/>
          <w:highlight w:val="none"/>
          <w:lang w:val="en-US" w:eastAsia="zh-CN"/>
        </w:rPr>
        <w:t>郝宇</w:t>
      </w:r>
      <w:r>
        <w:rPr>
          <w:rFonts w:hint="eastAsia" w:ascii="宋体" w:hAnsi="宋体" w:eastAsia="宋体" w:cs="宋体"/>
          <w:kern w:val="0"/>
          <w:sz w:val="21"/>
          <w:szCs w:val="21"/>
          <w:highlight w:val="none"/>
          <w:lang w:val="en-US" w:eastAsia="zh-CN"/>
        </w:rPr>
        <w:t>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4808936C">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14CAB049">
      <w:pPr>
        <w:pStyle w:val="7"/>
        <w:spacing w:before="0" w:beforeAutospacing="0" w:after="0" w:afterAutospacing="0" w:line="360" w:lineRule="auto"/>
        <w:ind w:firstLine="420"/>
        <w:rPr>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353EB183">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05F8D2B6">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3E577BD7">
      <w:pPr>
        <w:pStyle w:val="7"/>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4F5C26D7">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方芳</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，上海财经大学国民经济学专业博士、</w:t>
      </w:r>
      <w:r>
        <w:rPr>
          <w:rFonts w:hint="eastAsia" w:ascii="宋体" w:hAnsi="宋体" w:eastAsia="宋体" w:cs="宋体"/>
          <w:kern w:val="0"/>
          <w:sz w:val="21"/>
          <w:szCs w:val="21"/>
          <w:highlight w:val="none"/>
        </w:rPr>
        <w:t>加拿大不列颠哥伦比亚大学</w:t>
      </w:r>
      <w:r>
        <w:rPr>
          <w:rFonts w:hint="eastAsia" w:ascii="宋体" w:hAnsi="宋体" w:eastAsia="宋体" w:cs="宋体"/>
          <w:kern w:val="0"/>
          <w:sz w:val="21"/>
          <w:szCs w:val="21"/>
          <w:highlight w:val="none"/>
          <w:lang w:val="en-US" w:eastAsia="zh-CN"/>
        </w:rPr>
        <w:t>访问学者。1985年7月至今，就职于上海财经大学。历任</w:t>
      </w:r>
      <w:r>
        <w:rPr>
          <w:rFonts w:hint="eastAsia" w:ascii="宋体" w:hAnsi="宋体" w:eastAsia="宋体" w:cs="宋体"/>
          <w:kern w:val="0"/>
          <w:sz w:val="21"/>
          <w:szCs w:val="21"/>
          <w:highlight w:val="none"/>
          <w:lang w:eastAsia="zh-CN"/>
        </w:rPr>
        <w:t>上海财经大学公共经济与管理学院副院长 、上海财经大学公共经济与管理学院党委书记。</w:t>
      </w:r>
      <w:r>
        <w:rPr>
          <w:rFonts w:hint="eastAsia" w:ascii="宋体" w:hAnsi="宋体" w:eastAsia="宋体" w:cs="宋体"/>
          <w:kern w:val="0"/>
          <w:sz w:val="21"/>
          <w:szCs w:val="21"/>
          <w:highlight w:val="none"/>
          <w:lang w:val="en-US" w:eastAsia="zh-CN"/>
        </w:rPr>
        <w:t>2023年2月至今，任上海财经大学财税投资学院投资发展研究院院长、金融硕士（首席投资官）教育项目中心主任。同时，任世界华人不动产学会副秘书长、</w:t>
      </w:r>
      <w:r>
        <w:rPr>
          <w:rFonts w:hint="eastAsia" w:ascii="宋体" w:hAnsi="宋体" w:eastAsia="宋体" w:cs="宋体"/>
          <w:kern w:val="0"/>
          <w:sz w:val="21"/>
          <w:szCs w:val="21"/>
          <w:highlight w:val="none"/>
          <w:lang w:eastAsia="zh-CN"/>
        </w:rPr>
        <w:t>中国基本建设优化研究会理事、</w:t>
      </w:r>
      <w:r>
        <w:rPr>
          <w:rFonts w:hint="eastAsia" w:ascii="宋体" w:hAnsi="宋体" w:eastAsia="宋体" w:cs="宋体"/>
          <w:kern w:val="0"/>
          <w:sz w:val="21"/>
          <w:szCs w:val="21"/>
          <w:highlight w:val="none"/>
          <w:lang w:val="en-US" w:eastAsia="zh-CN"/>
        </w:rPr>
        <w:t>上海市投资学会会员等社会职务。</w:t>
      </w:r>
    </w:p>
    <w:p w14:paraId="1D0527EA">
      <w:pPr>
        <w:spacing w:line="360" w:lineRule="auto"/>
        <w:ind w:firstLine="420"/>
        <w:rPr>
          <w:rFonts w:hint="eastAsia" w:ascii="宋体" w:hAnsi="宋体" w:eastAsia="宋体" w:cs="宋体"/>
          <w:kern w:val="0"/>
          <w:sz w:val="21"/>
          <w:szCs w:val="21"/>
          <w:highlight w:val="none"/>
          <w:lang w:val="en-US" w:eastAsia="zh-CN"/>
        </w:rPr>
      </w:pPr>
      <w:r>
        <w:rPr>
          <w:rFonts w:hint="eastAsia" w:ascii="宋体" w:hAnsi="宋体" w:eastAsia="宋体" w:cs="宋体"/>
          <w:b w:val="0"/>
          <w:bCs w:val="0"/>
          <w:kern w:val="0"/>
          <w:sz w:val="21"/>
          <w:szCs w:val="21"/>
          <w:highlight w:val="none"/>
          <w:lang w:val="en-US" w:eastAsia="zh-CN"/>
        </w:rPr>
        <w:t>贺春临</w:t>
      </w:r>
      <w:r>
        <w:rPr>
          <w:rFonts w:hint="eastAsia" w:ascii="宋体" w:hAnsi="宋体" w:eastAsia="宋体" w:cs="宋体"/>
          <w:kern w:val="0"/>
          <w:sz w:val="21"/>
          <w:szCs w:val="21"/>
          <w:highlight w:val="none"/>
          <w:lang w:val="en-US" w:eastAsia="zh-CN"/>
        </w:rPr>
        <w:t>女士</w:t>
      </w:r>
      <w:r>
        <w:rPr>
          <w:rFonts w:hint="eastAsia" w:ascii="宋体" w:hAnsi="宋体" w:eastAsia="宋体" w:cs="宋体"/>
          <w:kern w:val="0"/>
          <w:sz w:val="21"/>
          <w:szCs w:val="21"/>
          <w:highlight w:val="none"/>
          <w:lang w:eastAsia="zh-CN"/>
        </w:rPr>
        <w:t>，</w:t>
      </w:r>
      <w:r>
        <w:rPr>
          <w:rFonts w:hint="eastAsia" w:ascii="宋体" w:hAnsi="宋体" w:eastAsia="宋体" w:cs="宋体"/>
          <w:kern w:val="0"/>
          <w:sz w:val="21"/>
          <w:szCs w:val="21"/>
          <w:highlight w:val="none"/>
          <w:lang w:val="en-US" w:eastAsia="zh-CN"/>
        </w:rPr>
        <w:t>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67F75C97">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2</w:t>
      </w:r>
      <w:r>
        <w:rPr>
          <w:rFonts w:hint="eastAsia"/>
          <w:sz w:val="21"/>
          <w:szCs w:val="21"/>
          <w:highlight w:val="none"/>
        </w:rPr>
        <w:t>、高级管理人员</w:t>
      </w:r>
    </w:p>
    <w:p w14:paraId="4719599B">
      <w:pPr>
        <w:pStyle w:val="7"/>
        <w:spacing w:before="0" w:beforeAutospacing="0" w:after="0" w:afterAutospacing="0" w:line="360" w:lineRule="auto"/>
        <w:ind w:firstLine="420"/>
        <w:rPr>
          <w:rFonts w:hint="eastAsia"/>
          <w:sz w:val="21"/>
          <w:szCs w:val="21"/>
          <w:highlight w:val="none"/>
        </w:rPr>
      </w:pPr>
      <w:bookmarkStart w:id="36" w:name="OLE_LINK3"/>
      <w:r>
        <w:rPr>
          <w:rFonts w:hint="eastAsia"/>
          <w:sz w:val="21"/>
          <w:szCs w:val="21"/>
          <w:highlight w:val="none"/>
          <w:lang w:eastAsia="zh-CN"/>
        </w:rPr>
        <w:t>张东先生，</w:t>
      </w:r>
      <w:r>
        <w:rPr>
          <w:rFonts w:hint="eastAsia"/>
          <w:sz w:val="21"/>
          <w:szCs w:val="21"/>
          <w:highlight w:val="none"/>
        </w:rPr>
        <w:t>简历同上。</w:t>
      </w:r>
    </w:p>
    <w:p w14:paraId="2C9DD89A">
      <w:pPr>
        <w:pStyle w:val="7"/>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lang w:val="en-US" w:eastAsia="zh-CN"/>
        </w:rPr>
        <w:t>陈宇先生，</w:t>
      </w:r>
      <w:r>
        <w:rPr>
          <w:rFonts w:hint="eastAsia"/>
          <w:sz w:val="21"/>
          <w:szCs w:val="21"/>
          <w:highlight w:val="none"/>
        </w:rPr>
        <w:t>简历同上</w:t>
      </w:r>
      <w:r>
        <w:rPr>
          <w:rFonts w:hint="eastAsia"/>
          <w:sz w:val="21"/>
          <w:szCs w:val="21"/>
          <w:highlight w:val="none"/>
          <w:lang w:val="en-US" w:eastAsia="zh-CN"/>
        </w:rPr>
        <w:t>。</w:t>
      </w:r>
    </w:p>
    <w:bookmarkEnd w:id="36"/>
    <w:p w14:paraId="0CC59169">
      <w:pPr>
        <w:pStyle w:val="7"/>
        <w:spacing w:before="0" w:beforeAutospacing="0" w:after="0" w:afterAutospacing="0" w:line="360" w:lineRule="auto"/>
        <w:ind w:firstLine="420"/>
        <w:rPr>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w:t>
      </w:r>
      <w:r>
        <w:rPr>
          <w:rFonts w:hint="eastAsia"/>
          <w:sz w:val="21"/>
          <w:szCs w:val="21"/>
          <w:highlight w:val="none"/>
          <w:lang w:eastAsia="zh-CN"/>
        </w:rPr>
        <w:t>，</w:t>
      </w:r>
      <w:r>
        <w:rPr>
          <w:rFonts w:hint="eastAsia"/>
          <w:sz w:val="21"/>
          <w:szCs w:val="21"/>
          <w:highlight w:val="none"/>
        </w:rPr>
        <w:t>兼任博时资本管理有限公司董事</w:t>
      </w:r>
      <w:r>
        <w:rPr>
          <w:rFonts w:hint="eastAsia"/>
          <w:sz w:val="21"/>
          <w:szCs w:val="21"/>
          <w:highlight w:val="none"/>
          <w:lang w:val="en-US" w:eastAsia="zh-CN"/>
        </w:rPr>
        <w:t>长和</w:t>
      </w:r>
      <w:r>
        <w:rPr>
          <w:rFonts w:hint="eastAsia"/>
          <w:sz w:val="21"/>
          <w:szCs w:val="21"/>
          <w:highlight w:val="none"/>
        </w:rPr>
        <w:t>博时财富基金销售有限公司</w:t>
      </w:r>
      <w:r>
        <w:rPr>
          <w:rFonts w:hint="eastAsia"/>
          <w:sz w:val="21"/>
          <w:szCs w:val="21"/>
          <w:highlight w:val="none"/>
          <w:lang w:val="en-US" w:eastAsia="zh-CN"/>
        </w:rPr>
        <w:t>董事</w:t>
      </w:r>
      <w:r>
        <w:rPr>
          <w:rFonts w:hint="eastAsia"/>
          <w:sz w:val="21"/>
          <w:szCs w:val="21"/>
          <w:highlight w:val="none"/>
        </w:rPr>
        <w:t>。</w:t>
      </w:r>
    </w:p>
    <w:p w14:paraId="6AD3F18B">
      <w:pPr>
        <w:pStyle w:val="7"/>
        <w:spacing w:before="0" w:beforeAutospacing="0" w:after="0" w:afterAutospacing="0" w:line="360" w:lineRule="auto"/>
        <w:ind w:firstLine="420"/>
        <w:rPr>
          <w:sz w:val="21"/>
          <w:szCs w:val="21"/>
          <w:highlight w:val="none"/>
        </w:rPr>
      </w:pPr>
      <w:r>
        <w:rPr>
          <w:rFonts w:hint="eastAsia"/>
          <w:sz w:val="21"/>
          <w:szCs w:val="21"/>
          <w:highlight w:val="none"/>
          <w:lang w:val="en-US" w:eastAsia="zh-CN"/>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w:t>
      </w:r>
      <w:r>
        <w:rPr>
          <w:rFonts w:hint="eastAsia"/>
          <w:sz w:val="21"/>
          <w:szCs w:val="21"/>
          <w:highlight w:val="none"/>
        </w:rPr>
        <w:t xml:space="preserve">  </w:t>
      </w:r>
    </w:p>
    <w:p w14:paraId="0D82DCBF">
      <w:pPr>
        <w:pStyle w:val="7"/>
        <w:spacing w:before="0" w:beforeAutospacing="0" w:after="0" w:afterAutospacing="0" w:line="360" w:lineRule="auto"/>
        <w:ind w:firstLine="420"/>
        <w:rPr>
          <w:sz w:val="21"/>
          <w:szCs w:val="21"/>
        </w:rPr>
      </w:pPr>
      <w:r>
        <w:rPr>
          <w:rFonts w:hint="eastAsia"/>
          <w:sz w:val="21"/>
          <w:szCs w:val="21"/>
          <w:highlight w:val="none"/>
          <w:lang w:val="en-US" w:eastAsia="zh-CN"/>
        </w:rPr>
        <w:t>3</w:t>
      </w:r>
      <w:r>
        <w:rPr>
          <w:rFonts w:hint="eastAsia"/>
          <w:sz w:val="21"/>
          <w:szCs w:val="21"/>
          <w:highlight w:val="none"/>
        </w:rPr>
        <w:t>、本基金基金经理</w:t>
      </w:r>
      <w:r>
        <w:rPr>
          <w:rFonts w:hint="eastAsia"/>
          <w:sz w:val="21"/>
          <w:szCs w:val="21"/>
        </w:rPr>
        <w:t xml:space="preserve"> </w:t>
      </w:r>
    </w:p>
    <w:p w14:paraId="15598543">
      <w:pPr>
        <w:pStyle w:val="7"/>
        <w:spacing w:before="0" w:beforeAutospacing="0" w:after="0" w:afterAutospacing="0" w:line="360" w:lineRule="auto"/>
        <w:ind w:firstLine="420"/>
        <w:rPr>
          <w:rFonts w:hint="eastAsia"/>
          <w:sz w:val="21"/>
          <w:szCs w:val="21"/>
        </w:rPr>
      </w:pPr>
      <w:bookmarkStart w:id="37" w:name="field_0_fundmanagerresume_1_start"/>
      <w:bookmarkEnd w:id="37"/>
      <w:r>
        <w:rPr>
          <w:rFonts w:hint="eastAsia"/>
          <w:sz w:val="21"/>
          <w:szCs w:val="21"/>
        </w:rPr>
        <w:t>谢泽林先生，硕士。2009年起在嘉实基金工作。2024年加入博时基金。现任博时博盈稳健6个月持有期混合型证券投资基金(2024年8月16日—至今)、博时恒盈稳健一年持有期混合型证券投资基金(2024年9月24日—至今)、博时恒享债券型证券投资基金(2026年1月23日—至今)的基金经理。</w:t>
      </w:r>
    </w:p>
    <w:p w14:paraId="51931665">
      <w:pPr>
        <w:pStyle w:val="7"/>
        <w:spacing w:before="0" w:beforeAutospacing="0" w:after="0" w:afterAutospacing="0" w:line="360" w:lineRule="auto"/>
        <w:ind w:firstLine="420"/>
        <w:rPr>
          <w:rFonts w:hint="eastAsia" w:eastAsia="宋体"/>
          <w:sz w:val="21"/>
          <w:szCs w:val="21"/>
          <w:lang w:eastAsia="zh-CN"/>
        </w:rPr>
      </w:pPr>
      <w:r>
        <w:rPr>
          <w:rFonts w:hint="eastAsia"/>
          <w:sz w:val="21"/>
          <w:szCs w:val="21"/>
        </w:rPr>
        <w:t>郭子琪女士，硕士。2018年从清华大学研究生毕业后加入博时基金管理有限公司。</w:t>
      </w:r>
      <w:r>
        <w:rPr>
          <w:rFonts w:hint="eastAsia"/>
          <w:sz w:val="21"/>
          <w:szCs w:val="21"/>
          <w:lang w:eastAsia="zh-CN"/>
        </w:rPr>
        <w:t>现任博时博盈稳健6个月持有期混合型证券投资基金（</w:t>
      </w:r>
      <w:r>
        <w:rPr>
          <w:rFonts w:hint="eastAsia"/>
          <w:sz w:val="21"/>
          <w:szCs w:val="21"/>
          <w:lang w:val="en-US" w:eastAsia="zh-CN"/>
        </w:rPr>
        <w:t>2026年7月24日—至今</w:t>
      </w:r>
      <w:r>
        <w:rPr>
          <w:rFonts w:hint="eastAsia"/>
          <w:sz w:val="21"/>
          <w:szCs w:val="21"/>
          <w:lang w:eastAsia="zh-CN"/>
        </w:rPr>
        <w:t>）、博时恒盈稳健一年持有期混合型证券投资基金（</w:t>
      </w:r>
      <w:r>
        <w:rPr>
          <w:rFonts w:hint="eastAsia"/>
          <w:sz w:val="21"/>
          <w:szCs w:val="21"/>
          <w:lang w:val="en-US" w:eastAsia="zh-CN"/>
        </w:rPr>
        <w:t>2026年7月24日—至今</w:t>
      </w:r>
      <w:r>
        <w:rPr>
          <w:rFonts w:hint="eastAsia"/>
          <w:sz w:val="21"/>
          <w:szCs w:val="21"/>
          <w:lang w:eastAsia="zh-CN"/>
        </w:rPr>
        <w:t>）的基金经理。</w:t>
      </w:r>
    </w:p>
    <w:p w14:paraId="6B51911D">
      <w:pPr>
        <w:pStyle w:val="7"/>
        <w:spacing w:before="0" w:beforeAutospacing="0" w:after="0" w:afterAutospacing="0" w:line="360" w:lineRule="auto"/>
        <w:ind w:firstLine="420"/>
        <w:rPr>
          <w:sz w:val="21"/>
          <w:szCs w:val="21"/>
        </w:rPr>
      </w:pPr>
      <w:bookmarkStart w:id="38" w:name="field_0_fundmanagershis_1_start"/>
      <w:bookmarkEnd w:id="38"/>
      <w:r>
        <w:rPr>
          <w:rFonts w:hint="eastAsia"/>
          <w:sz w:val="21"/>
          <w:szCs w:val="21"/>
        </w:rPr>
        <w:t>本基金历任基金经理：王申（2021年10月11日-2024年1月18</w:t>
      </w:r>
      <w:bookmarkStart w:id="39" w:name="chapter_level1_5_53_section_2_end"/>
      <w:bookmarkEnd w:id="39"/>
      <w:r>
        <w:rPr>
          <w:rFonts w:hint="eastAsia"/>
          <w:sz w:val="21"/>
          <w:szCs w:val="21"/>
        </w:rPr>
        <w:t>日）、杨永光（2024年1月18日-2025年3月13日）。</w:t>
      </w:r>
      <w:bookmarkStart w:id="40" w:name="field_0_fundmanagershis_1_end"/>
      <w:bookmarkEnd w:id="40"/>
      <w:r>
        <w:rPr>
          <w:rFonts w:hint="eastAsia"/>
          <w:sz w:val="21"/>
          <w:szCs w:val="21"/>
        </w:rPr>
        <w:t xml:space="preserve">  </w:t>
      </w:r>
    </w:p>
    <w:p w14:paraId="6E8EC38D">
      <w:pPr>
        <w:pStyle w:val="7"/>
        <w:spacing w:before="0" w:beforeAutospacing="0" w:after="0" w:afterAutospacing="0" w:line="360" w:lineRule="auto"/>
        <w:ind w:firstLine="420"/>
        <w:rPr>
          <w:rFonts w:hint="eastAsia"/>
          <w:sz w:val="21"/>
          <w:szCs w:val="21"/>
        </w:rPr>
      </w:pPr>
      <w:bookmarkStart w:id="41" w:name="chapter_level1_5_53_section_3"/>
      <w:bookmarkEnd w:id="41"/>
      <w:bookmarkStart w:id="42" w:name="field_0_managerpersoninfo2_1_start"/>
      <w:bookmarkEnd w:id="42"/>
      <w:r>
        <w:rPr>
          <w:rFonts w:hint="eastAsia"/>
          <w:sz w:val="21"/>
          <w:szCs w:val="21"/>
        </w:rPr>
        <w:t xml:space="preserve">4、投资决策委员会成员 </w:t>
      </w:r>
    </w:p>
    <w:p w14:paraId="08490048">
      <w:pPr>
        <w:pStyle w:val="7"/>
        <w:spacing w:before="0" w:beforeAutospacing="0" w:after="0" w:afterAutospacing="0" w:line="360" w:lineRule="auto"/>
        <w:ind w:firstLine="420"/>
        <w:rPr>
          <w:rFonts w:hint="eastAsia"/>
          <w:sz w:val="21"/>
          <w:szCs w:val="21"/>
        </w:rPr>
      </w:pPr>
      <w:r>
        <w:rPr>
          <w:rFonts w:hint="eastAsia"/>
          <w:sz w:val="21"/>
          <w:szCs w:val="21"/>
        </w:rPr>
        <w:t>公司首席资产配置官黄健斌先生。</w:t>
      </w:r>
    </w:p>
    <w:p w14:paraId="24ECBA48">
      <w:pPr>
        <w:pStyle w:val="7"/>
        <w:spacing w:before="0" w:beforeAutospacing="0" w:after="0" w:afterAutospacing="0" w:line="360" w:lineRule="auto"/>
        <w:ind w:firstLine="420"/>
        <w:rPr>
          <w:rFonts w:hint="eastAsia"/>
          <w:sz w:val="21"/>
          <w:szCs w:val="21"/>
        </w:rPr>
      </w:pPr>
      <w:r>
        <w:rPr>
          <w:rFonts w:hint="eastAsia"/>
          <w:sz w:val="21"/>
          <w:szCs w:val="21"/>
        </w:rPr>
        <w:t>公司投资决策委员会专职委员兼年金投资部总经理于善辉先生。</w:t>
      </w:r>
    </w:p>
    <w:p w14:paraId="779B3A67">
      <w:pPr>
        <w:pStyle w:val="7"/>
        <w:spacing w:before="0" w:beforeAutospacing="0" w:after="0" w:afterAutospacing="0" w:line="360" w:lineRule="auto"/>
        <w:ind w:firstLine="420"/>
        <w:rPr>
          <w:rFonts w:hint="eastAsia"/>
          <w:sz w:val="21"/>
          <w:szCs w:val="21"/>
        </w:rPr>
      </w:pPr>
      <w:r>
        <w:rPr>
          <w:rFonts w:hint="eastAsia"/>
          <w:sz w:val="21"/>
          <w:szCs w:val="21"/>
        </w:rPr>
        <w:t xml:space="preserve">首席基金经理过钧先生。 </w:t>
      </w:r>
    </w:p>
    <w:p w14:paraId="0423D566">
      <w:pPr>
        <w:pStyle w:val="7"/>
        <w:spacing w:before="0" w:beforeAutospacing="0" w:after="0" w:afterAutospacing="0" w:line="360" w:lineRule="auto"/>
        <w:ind w:firstLine="420"/>
        <w:rPr>
          <w:rFonts w:hint="eastAsia"/>
          <w:sz w:val="21"/>
          <w:szCs w:val="21"/>
        </w:rPr>
      </w:pPr>
      <w:r>
        <w:rPr>
          <w:rFonts w:hint="eastAsia"/>
          <w:sz w:val="21"/>
          <w:szCs w:val="21"/>
        </w:rPr>
        <w:t xml:space="preserve">首席投资官兼权益投研一体化总监、境外投资部总经理曾鹏先生。 </w:t>
      </w:r>
    </w:p>
    <w:p w14:paraId="6AABD4F3">
      <w:pPr>
        <w:pStyle w:val="7"/>
        <w:spacing w:before="0" w:beforeAutospacing="0" w:after="0" w:afterAutospacing="0" w:line="360" w:lineRule="auto"/>
        <w:ind w:firstLine="420"/>
        <w:rPr>
          <w:rFonts w:hint="eastAsia"/>
          <w:sz w:val="21"/>
          <w:szCs w:val="21"/>
        </w:rPr>
      </w:pPr>
      <w:r>
        <w:rPr>
          <w:rFonts w:hint="eastAsia"/>
          <w:sz w:val="21"/>
          <w:szCs w:val="21"/>
        </w:rPr>
        <w:t xml:space="preserve">董事总经理兼权益投资三部总经理、权益投资三部投资总监蔡滨先生。 </w:t>
      </w:r>
    </w:p>
    <w:p w14:paraId="46551CF7">
      <w:pPr>
        <w:pStyle w:val="7"/>
        <w:spacing w:before="0" w:beforeAutospacing="0" w:after="0" w:afterAutospacing="0" w:line="360" w:lineRule="auto"/>
        <w:ind w:firstLine="420"/>
        <w:rPr>
          <w:rFonts w:hint="eastAsia"/>
          <w:sz w:val="21"/>
          <w:szCs w:val="21"/>
        </w:rPr>
      </w:pPr>
      <w:r>
        <w:rPr>
          <w:rFonts w:hint="eastAsia"/>
          <w:sz w:val="21"/>
          <w:szCs w:val="21"/>
        </w:rPr>
        <w:t xml:space="preserve">行业研究部总经理魏立先生。 </w:t>
      </w:r>
    </w:p>
    <w:p w14:paraId="3C935BF1">
      <w:pPr>
        <w:pStyle w:val="7"/>
        <w:spacing w:before="0" w:beforeAutospacing="0" w:after="0" w:afterAutospacing="0" w:line="360" w:lineRule="auto"/>
        <w:ind w:firstLine="420"/>
        <w:rPr>
          <w:rFonts w:hint="eastAsia"/>
          <w:sz w:val="21"/>
          <w:szCs w:val="21"/>
        </w:rPr>
      </w:pPr>
      <w:r>
        <w:rPr>
          <w:rFonts w:hint="eastAsia"/>
          <w:sz w:val="21"/>
          <w:szCs w:val="21"/>
        </w:rPr>
        <w:t xml:space="preserve">宏观策略部首席策略分析师陈显顺先生。 </w:t>
      </w:r>
    </w:p>
    <w:p w14:paraId="283EB2B7">
      <w:pPr>
        <w:pStyle w:val="7"/>
        <w:spacing w:before="0" w:beforeAutospacing="0" w:after="0" w:afterAutospacing="0" w:line="360" w:lineRule="auto"/>
        <w:ind w:firstLine="420"/>
        <w:rPr>
          <w:rFonts w:hint="eastAsia"/>
          <w:sz w:val="21"/>
          <w:szCs w:val="21"/>
        </w:rPr>
      </w:pPr>
      <w:r>
        <w:rPr>
          <w:rFonts w:hint="eastAsia"/>
          <w:sz w:val="21"/>
          <w:szCs w:val="21"/>
        </w:rPr>
        <w:t xml:space="preserve">指数与量化投资部总经理兼指数与量化投资部投资总监赵云阳先生。  </w:t>
      </w:r>
    </w:p>
    <w:p w14:paraId="37B6F873">
      <w:pPr>
        <w:pStyle w:val="7"/>
        <w:spacing w:before="0" w:beforeAutospacing="0" w:after="0" w:afterAutospacing="0" w:line="360" w:lineRule="auto"/>
        <w:ind w:firstLine="420"/>
        <w:rPr>
          <w:sz w:val="21"/>
          <w:szCs w:val="21"/>
        </w:rPr>
      </w:pPr>
      <w:r>
        <w:rPr>
          <w:rFonts w:hint="eastAsia"/>
          <w:sz w:val="21"/>
          <w:szCs w:val="21"/>
        </w:rPr>
        <w:t>5、上述人员之间均不存在近亲属关系。 </w:t>
      </w:r>
      <w:bookmarkStart w:id="43" w:name="field_0_managerpersoninfo2_1_end"/>
      <w:bookmarkEnd w:id="43"/>
      <w:r>
        <w:rPr>
          <w:rFonts w:hint="eastAsia"/>
          <w:sz w:val="21"/>
          <w:szCs w:val="21"/>
        </w:rPr>
        <w:t xml:space="preserve">  </w:t>
      </w:r>
    </w:p>
    <w:p w14:paraId="718173BA">
      <w:pPr>
        <w:pStyle w:val="7"/>
        <w:spacing w:before="0" w:beforeAutospacing="0" w:after="0" w:afterAutospacing="0" w:line="360" w:lineRule="auto"/>
        <w:ind w:firstLine="420"/>
        <w:rPr>
          <w:sz w:val="21"/>
          <w:szCs w:val="21"/>
        </w:rPr>
      </w:pPr>
      <w:bookmarkStart w:id="44" w:name="chapter_level1_5_53_section_4"/>
      <w:bookmarkEnd w:id="44"/>
      <w:r>
        <w:rPr>
          <w:rStyle w:val="11"/>
          <w:rFonts w:hint="eastAsia"/>
          <w:sz w:val="21"/>
          <w:szCs w:val="21"/>
        </w:rPr>
        <w:t>三、基金管理人的职责</w:t>
      </w:r>
    </w:p>
    <w:p w14:paraId="593726C5">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F84296F">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C2C9EE9">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6BA2ABB1">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4276CB2B">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401C9915">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8037C3C">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334C7D0">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4072DDB5">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415C45DF">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3690E105">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1C4F650">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317D0A58">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2615BB67">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0A305B36">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748F5AF">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16、按规定保存基金财产管理业务活动的会计账册、报表、记录和其他相关资料不低于法律法规规定的最低期限； </w:t>
      </w:r>
    </w:p>
    <w:p w14:paraId="6240D42C">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47B3CB14">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2396AFBB">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6CEC5BC4">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13819EE">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7ED92C79">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9B4B878">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2418E72A">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4CD07FBF">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ECEDD1F">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5F76A112">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830F0EF">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02C7B5A0">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20D53AFF">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4D536E3F">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20F275D7">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0A5693CD">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43A33656">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2DD1E7F7">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49C5F8D6">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7BF721E7">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4F5E7953">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3FE81FA2">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3EA2CE44">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73D97B40">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376B3767">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41958ACE">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2C3E7464">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3E845552">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02193E86">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39267B37">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527883AC">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369CF92B">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1D21F19A">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0C109E96">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6F851DB1">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公司设立独立的法律合规部，法律合规部保持高度的独立性和权威性，负责对公司各部门风险控制工作进行监督和检查。 </w:t>
      </w:r>
    </w:p>
    <w:p w14:paraId="4064EF1A">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0749FA95">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26E762D1">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232A3BA0">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0E41C11E">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0A0D72AB">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监督和检查公司的风险管理措施的执行。具体而言，包括如下组成部分： </w:t>
      </w:r>
    </w:p>
    <w:p w14:paraId="1F26EE07">
      <w:pPr>
        <w:pStyle w:val="7"/>
        <w:spacing w:before="0" w:beforeAutospacing="0" w:after="0" w:afterAutospacing="0" w:line="360" w:lineRule="auto"/>
        <w:ind w:firstLine="420"/>
        <w:rPr>
          <w:sz w:val="21"/>
          <w:szCs w:val="21"/>
        </w:rPr>
      </w:pPr>
      <w:r>
        <w:rPr>
          <w:rFonts w:hint="eastAsia"/>
          <w:sz w:val="21"/>
          <w:szCs w:val="21"/>
        </w:rPr>
        <w:t xml:space="preserve">（1）董事会  </w:t>
      </w:r>
    </w:p>
    <w:p w14:paraId="7E357121">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2BC154ED">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33695EB7">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5A746742">
      <w:pPr>
        <w:pStyle w:val="7"/>
        <w:spacing w:before="0" w:beforeAutospacing="0" w:after="0" w:afterAutospacing="0" w:line="360" w:lineRule="auto"/>
        <w:ind w:firstLine="420"/>
        <w:rPr>
          <w:sz w:val="21"/>
          <w:szCs w:val="21"/>
        </w:rPr>
      </w:pPr>
      <w:r>
        <w:rPr>
          <w:rFonts w:hint="eastAsia"/>
          <w:sz w:val="21"/>
          <w:szCs w:val="21"/>
        </w:rPr>
        <w:t xml:space="preserve">（3）督察长  </w:t>
      </w:r>
    </w:p>
    <w:p w14:paraId="5FCDC6BC">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218CE5CC">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15ADFD5F">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法律合规部负责对公司风险管理政策和措施的执行情况进行监督和检查，并为每一个部门的风险管理系统的发展提供协助，使公司在一种风险管理和控制的环境中实现业务目标。 </w:t>
      </w:r>
    </w:p>
    <w:p w14:paraId="49244D5C">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5C411CE0">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28719FE5">
      <w:pPr>
        <w:pStyle w:val="7"/>
        <w:spacing w:before="0" w:beforeAutospacing="0" w:after="0" w:afterAutospacing="0" w:line="360" w:lineRule="auto"/>
        <w:ind w:firstLine="420"/>
        <w:rPr>
          <w:sz w:val="21"/>
          <w:szCs w:val="21"/>
        </w:rPr>
      </w:pPr>
      <w:r>
        <w:rPr>
          <w:rFonts w:hint="eastAsia"/>
          <w:sz w:val="21"/>
          <w:szCs w:val="21"/>
        </w:rPr>
        <w:t xml:space="preserve">（6）业务部门  </w:t>
      </w:r>
    </w:p>
    <w:p w14:paraId="31F0C699">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330E6E93">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0A4AD547">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E88F6AF">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2740BF79">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6BC8C00D">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4DD980DB">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04E78F1F">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53F905D4">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702D3B0A">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0636EC90">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4E21D142">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4445D235">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1FE95AC7">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361F541D">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5B0193C8">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45" w:name="chapter_level1_5_53_section_4_end"/>
      <w:bookmarkEnd w:id="45"/>
      <w:r>
        <w:rPr>
          <w:rFonts w:hint="eastAsia"/>
          <w:sz w:val="21"/>
          <w:szCs w:val="21"/>
        </w:rPr>
        <w:t xml:space="preserve">控制风险。 </w:t>
      </w:r>
    </w:p>
    <w:p w14:paraId="414387D6">
      <w:pPr>
        <w:widowControl/>
        <w:jc w:val="left"/>
        <w:rPr>
          <w:rFonts w:ascii="宋体" w:hAnsi="宋体" w:eastAsia="宋体"/>
        </w:rPr>
      </w:pPr>
      <w:r>
        <w:rPr>
          <w:rFonts w:ascii="宋体" w:hAnsi="宋体" w:eastAsia="宋体"/>
        </w:rPr>
        <w:br w:type="page"/>
      </w:r>
    </w:p>
    <w:p w14:paraId="411C8143">
      <w:pPr>
        <w:pStyle w:val="2"/>
        <w:jc w:val="center"/>
        <w:rPr>
          <w:rFonts w:ascii="宋体" w:hAnsi="宋体" w:eastAsia="宋体"/>
          <w:sz w:val="30"/>
        </w:rPr>
      </w:pPr>
      <w:bookmarkStart w:id="46" w:name="chapter_level1_6_55"/>
      <w:bookmarkStart w:id="47" w:name="_Toc209538271"/>
      <w:r>
        <w:rPr>
          <w:rFonts w:hint="eastAsia" w:ascii="宋体" w:hAnsi="宋体" w:eastAsia="宋体"/>
          <w:sz w:val="30"/>
        </w:rPr>
        <w:t>第四部分  基金托管人</w:t>
      </w:r>
      <w:bookmarkEnd w:id="46"/>
      <w:bookmarkEnd w:id="47"/>
    </w:p>
    <w:p w14:paraId="402B0280">
      <w:pPr>
        <w:pStyle w:val="7"/>
        <w:spacing w:before="0" w:beforeAutospacing="0" w:after="0" w:afterAutospacing="0" w:line="360" w:lineRule="auto"/>
        <w:ind w:firstLine="420"/>
        <w:rPr>
          <w:sz w:val="21"/>
          <w:szCs w:val="21"/>
        </w:rPr>
      </w:pPr>
      <w:bookmarkStart w:id="48" w:name="field_0_trustcompanyinfo_1_start"/>
      <w:bookmarkEnd w:id="48"/>
      <w:bookmarkStart w:id="49" w:name="chapter_level1_6_55_section_1"/>
      <w:bookmarkEnd w:id="49"/>
      <w:r>
        <w:rPr>
          <w:rFonts w:hint="eastAsia"/>
          <w:sz w:val="21"/>
          <w:szCs w:val="21"/>
        </w:rPr>
        <w:t xml:space="preserve">(一)基金托管人概况 </w:t>
      </w:r>
    </w:p>
    <w:p w14:paraId="4F92FC2D">
      <w:pPr>
        <w:pStyle w:val="7"/>
        <w:spacing w:before="0" w:beforeAutospacing="0" w:after="0" w:afterAutospacing="0" w:line="360" w:lineRule="auto"/>
        <w:ind w:firstLine="420"/>
        <w:rPr>
          <w:sz w:val="21"/>
          <w:szCs w:val="21"/>
        </w:rPr>
      </w:pPr>
      <w:r>
        <w:rPr>
          <w:rFonts w:hint="eastAsia"/>
          <w:sz w:val="21"/>
          <w:szCs w:val="21"/>
        </w:rPr>
        <w:t xml:space="preserve">1. 基本情况 </w:t>
      </w:r>
    </w:p>
    <w:p w14:paraId="3A12363A">
      <w:pPr>
        <w:pStyle w:val="7"/>
        <w:spacing w:before="0" w:beforeAutospacing="0" w:after="0" w:afterAutospacing="0" w:line="360" w:lineRule="auto"/>
        <w:ind w:firstLine="420"/>
        <w:rPr>
          <w:sz w:val="21"/>
          <w:szCs w:val="21"/>
        </w:rPr>
      </w:pPr>
      <w:r>
        <w:rPr>
          <w:rFonts w:hint="eastAsia"/>
          <w:sz w:val="21"/>
          <w:szCs w:val="21"/>
        </w:rPr>
        <w:t xml:space="preserve">名称：中国民生银行股份有限公司（以下简称“中国民生银行”） </w:t>
      </w:r>
    </w:p>
    <w:p w14:paraId="441509B6">
      <w:pPr>
        <w:pStyle w:val="7"/>
        <w:spacing w:before="0" w:beforeAutospacing="0" w:after="0" w:afterAutospacing="0" w:line="360" w:lineRule="auto"/>
        <w:ind w:firstLine="420"/>
        <w:rPr>
          <w:sz w:val="21"/>
          <w:szCs w:val="21"/>
        </w:rPr>
      </w:pPr>
      <w:r>
        <w:rPr>
          <w:rFonts w:hint="eastAsia"/>
          <w:sz w:val="21"/>
          <w:szCs w:val="21"/>
        </w:rPr>
        <w:t xml:space="preserve">住所：北京市西城区复兴门内大街2号 </w:t>
      </w:r>
    </w:p>
    <w:p w14:paraId="6C2C79EC">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4E140DE1">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3A6734D7">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36BAB63A">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08221BA9">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700E2C92">
      <w:pPr>
        <w:pStyle w:val="7"/>
        <w:spacing w:before="0" w:beforeAutospacing="0" w:after="0" w:afterAutospacing="0" w:line="360" w:lineRule="auto"/>
        <w:ind w:firstLine="420"/>
        <w:rPr>
          <w:sz w:val="21"/>
          <w:szCs w:val="21"/>
        </w:rPr>
      </w:pPr>
      <w:r>
        <w:rPr>
          <w:rFonts w:hint="eastAsia"/>
          <w:sz w:val="21"/>
          <w:szCs w:val="21"/>
        </w:rPr>
        <w:t xml:space="preserve">注册资本：43,782,418,502元人民币 </w:t>
      </w:r>
    </w:p>
    <w:p w14:paraId="4B48BD18">
      <w:pPr>
        <w:pStyle w:val="7"/>
        <w:spacing w:before="0" w:beforeAutospacing="0" w:after="0" w:afterAutospacing="0" w:line="360" w:lineRule="auto"/>
        <w:ind w:firstLine="420"/>
        <w:rPr>
          <w:sz w:val="21"/>
          <w:szCs w:val="21"/>
        </w:rPr>
      </w:pPr>
      <w:r>
        <w:rPr>
          <w:rFonts w:hint="eastAsia"/>
          <w:sz w:val="21"/>
          <w:szCs w:val="21"/>
        </w:rPr>
        <w:t xml:space="preserve">电话：010-58560666  </w:t>
      </w:r>
    </w:p>
    <w:p w14:paraId="1F3C2BB3">
      <w:pPr>
        <w:pStyle w:val="7"/>
        <w:spacing w:before="0" w:beforeAutospacing="0" w:after="0" w:afterAutospacing="0" w:line="360" w:lineRule="auto"/>
        <w:ind w:firstLine="420"/>
        <w:rPr>
          <w:sz w:val="21"/>
          <w:szCs w:val="21"/>
        </w:rPr>
      </w:pPr>
      <w:r>
        <w:rPr>
          <w:rFonts w:hint="eastAsia"/>
          <w:sz w:val="21"/>
          <w:szCs w:val="21"/>
        </w:rPr>
        <w:t xml:space="preserve">联系人：罗菲菲 </w:t>
      </w:r>
    </w:p>
    <w:p w14:paraId="126E7341">
      <w:pPr>
        <w:pStyle w:val="7"/>
        <w:spacing w:before="0" w:beforeAutospacing="0" w:after="0" w:afterAutospacing="0" w:line="360" w:lineRule="auto"/>
        <w:ind w:firstLine="420"/>
        <w:rPr>
          <w:sz w:val="21"/>
          <w:szCs w:val="21"/>
        </w:rPr>
      </w:pPr>
      <w:r>
        <w:rPr>
          <w:rFonts w:hint="eastAsia"/>
          <w:sz w:val="21"/>
          <w:szCs w:val="21"/>
        </w:rPr>
        <w:t xml:space="preserve">中国民生银行成立于1996年，是中国第一家主要由民营企业发起设立的全国性股份制商业银行，也是严格按照中国《公司法》和《商业银行法》设立的一家现代金融企业。 </w:t>
      </w:r>
    </w:p>
    <w:p w14:paraId="22EC4C38">
      <w:pPr>
        <w:pStyle w:val="7"/>
        <w:spacing w:before="0" w:beforeAutospacing="0" w:after="0" w:afterAutospacing="0" w:line="360" w:lineRule="auto"/>
        <w:ind w:firstLine="420"/>
        <w:rPr>
          <w:sz w:val="21"/>
          <w:szCs w:val="21"/>
        </w:rPr>
      </w:pPr>
      <w:r>
        <w:rPr>
          <w:rFonts w:hint="eastAsia"/>
          <w:sz w:val="21"/>
          <w:szCs w:val="21"/>
        </w:rPr>
        <w:t xml:space="preserve">2000年12月19日，中国民生银行A 股股票（代码：600016）在上海证券交易所挂牌上市。2005年10月26日，中国民生银行完成股权分置改革，成为国内首家实施股权分置改革的商业银行。2009年11月26日，中国民生银行H股股票（代码：01988）在香港证券交易所挂牌上市。上市以来，中国民生银行不断完善公司治理，大力推进改革转型，持续创新商业模式和产品服务，致力于成为一家“让人信赖、受人尊敬”的上市公司。 </w:t>
      </w:r>
    </w:p>
    <w:p w14:paraId="422FD0A2">
      <w:pPr>
        <w:pStyle w:val="7"/>
        <w:spacing w:before="0" w:beforeAutospacing="0" w:after="0" w:afterAutospacing="0" w:line="360" w:lineRule="auto"/>
        <w:ind w:firstLine="420"/>
        <w:rPr>
          <w:sz w:val="21"/>
          <w:szCs w:val="21"/>
        </w:rPr>
      </w:pPr>
      <w:r>
        <w:rPr>
          <w:rFonts w:hint="eastAsia"/>
          <w:sz w:val="21"/>
          <w:szCs w:val="21"/>
        </w:rPr>
        <w:t xml:space="preserve">2、主要人员情况 </w:t>
      </w:r>
    </w:p>
    <w:p w14:paraId="4CF1CF19">
      <w:pPr>
        <w:pStyle w:val="7"/>
        <w:spacing w:before="0" w:beforeAutospacing="0" w:after="0" w:afterAutospacing="0" w:line="360" w:lineRule="auto"/>
        <w:ind w:firstLine="420"/>
        <w:rPr>
          <w:sz w:val="21"/>
          <w:szCs w:val="21"/>
        </w:rPr>
      </w:pPr>
      <w:r>
        <w:rPr>
          <w:rFonts w:hint="eastAsia"/>
          <w:sz w:val="21"/>
          <w:szCs w:val="21"/>
        </w:rPr>
        <w:t xml:space="preserve">崔岩女士，中国民生银行资产托管部负责人，博士研究生，具有基金托管人高级管理人员任职资格，从事过全球托管业务、托管业务运作、银行信息管理等工作，具有多年金融从业经历，具备扎实的总部管理经历。曾任中国工商银行总行资产托管部营销专家。 </w:t>
      </w:r>
    </w:p>
    <w:p w14:paraId="336444FF">
      <w:pPr>
        <w:pStyle w:val="7"/>
        <w:spacing w:before="0" w:beforeAutospacing="0" w:after="0" w:afterAutospacing="0" w:line="360" w:lineRule="auto"/>
        <w:ind w:firstLine="420"/>
        <w:rPr>
          <w:sz w:val="21"/>
          <w:szCs w:val="21"/>
        </w:rPr>
      </w:pPr>
      <w:r>
        <w:rPr>
          <w:rFonts w:hint="eastAsia"/>
          <w:sz w:val="21"/>
          <w:szCs w:val="21"/>
        </w:rPr>
        <w:t xml:space="preserve">3、基金托管业务经营情况 </w:t>
      </w:r>
    </w:p>
    <w:p w14:paraId="476843D5">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于2004年7月9日获得基金托管资格，成为《中华人民共和国证券投资基金法》颁布后首家获批从事基金托管业务的银行。为了更好地发挥后发优势，大力发展托管业务，中国民生银行股份有限公司资产托管部从成立伊始就本着充分保护基金持有人的利益、为客户提供高品质托管服务的原则，高起点地建立系统、完善制度、组织人员。资产托管部目前共有员工104人，平均年龄38岁，100%员工拥有大学本科以上学历，67%以上员工具有硕士以上学位。 </w:t>
      </w:r>
    </w:p>
    <w:p w14:paraId="32C8C03B">
      <w:pPr>
        <w:pStyle w:val="7"/>
        <w:spacing w:before="0" w:beforeAutospacing="0" w:after="0" w:afterAutospacing="0" w:line="360" w:lineRule="auto"/>
        <w:ind w:firstLine="420"/>
        <w:rPr>
          <w:sz w:val="21"/>
          <w:szCs w:val="21"/>
        </w:rPr>
      </w:pPr>
      <w:r>
        <w:rPr>
          <w:rFonts w:hint="eastAsia"/>
          <w:sz w:val="21"/>
          <w:szCs w:val="21"/>
        </w:rPr>
        <w:t xml:space="preserve">中国民生银行坚持以客户需求为导向，秉承“诚信、严谨、高效、务实”的经营理念，依托丰富的资产托管经验、专业的托管业务服务和先进的托管业务平台，为境内外客户提供安全、准确、及时、高效的专业托管服务。中国民生银行资产托管部于2018年2月6日发布了“爱托管”品牌，近百余家资管机构及合作客户的代表受邀参加了启动仪式。资产托管部始终坚持以客户为中心，致力于为客户提供全面的综合金融服务。对内大力整合行内资源，对外广泛搭建客户服务平台，向各类托管客户提供专业化、增值化的托管综合金融服务，得到各界的充分认可，也在市场上树立了良好品牌形象，成为市场上一家有特色的托管银行。自2021年以来，中国民生银行荣获人力资源社会保障部颁发的“2020 年度企业年金和养老金产品信息报告工作优秀管理机构”奖，连续三年蝉联中央国债登记结算有限责任公司“年度优秀资产托管机构”奖项，获评《金融理财》颁发的“第十三届金貔貅奖2022年度金牌资产托管银行”。2023年至今，本行荣获《金融时报》“年度最佳资产托管银行”，《证券时报》“2023年度杰出资产托管银行天玑奖”、“2024年度杰出资产托管银行天玑奖”，《新浪财经》“养老金融服务创新银行”奖，《每日经济新闻报》“2024年度卓越资产托管银行奖”等奖项。 </w:t>
      </w:r>
    </w:p>
    <w:p w14:paraId="65DB03A3">
      <w:pPr>
        <w:pStyle w:val="7"/>
        <w:spacing w:before="0" w:beforeAutospacing="0" w:after="0" w:afterAutospacing="0" w:line="360" w:lineRule="auto"/>
        <w:ind w:firstLine="420"/>
        <w:rPr>
          <w:sz w:val="21"/>
          <w:szCs w:val="21"/>
        </w:rPr>
      </w:pPr>
      <w:r>
        <w:rPr>
          <w:rFonts w:hint="eastAsia"/>
          <w:sz w:val="21"/>
          <w:szCs w:val="21"/>
        </w:rPr>
        <w:t>截至2025年6月30日，中国民生银行托管建信稳定得利债券型证券投资基金、中银新趋势灵活配置混合型证券投资基金、长信利盈灵活配置混合型证券投资基金等共335只证券</w:t>
      </w:r>
      <w:bookmarkStart w:id="50" w:name="chapter_level1_6_55_section_1_end"/>
      <w:bookmarkEnd w:id="50"/>
      <w:r>
        <w:rPr>
          <w:rFonts w:hint="eastAsia"/>
          <w:sz w:val="21"/>
          <w:szCs w:val="21"/>
        </w:rPr>
        <w:t>投资基金，基金托管规模13,216.71亿元。 </w:t>
      </w:r>
      <w:bookmarkStart w:id="51" w:name="field_0_trustcompanyinfo_1_end"/>
      <w:bookmarkEnd w:id="51"/>
      <w:r>
        <w:rPr>
          <w:rFonts w:hint="eastAsia"/>
          <w:sz w:val="21"/>
          <w:szCs w:val="21"/>
        </w:rPr>
        <w:t xml:space="preserve">  </w:t>
      </w:r>
    </w:p>
    <w:p w14:paraId="43CAEA70">
      <w:pPr>
        <w:pStyle w:val="7"/>
        <w:spacing w:before="0" w:beforeAutospacing="0" w:after="0" w:afterAutospacing="0" w:line="360" w:lineRule="auto"/>
        <w:ind w:firstLine="420"/>
        <w:rPr>
          <w:sz w:val="21"/>
          <w:szCs w:val="21"/>
        </w:rPr>
      </w:pPr>
      <w:bookmarkStart w:id="52" w:name="field_0_trustcontrollawinfo_1_start"/>
      <w:bookmarkEnd w:id="52"/>
      <w:bookmarkStart w:id="53" w:name="chapter_level1_6_55_section_2"/>
      <w:bookmarkEnd w:id="53"/>
      <w:r>
        <w:rPr>
          <w:rFonts w:hint="eastAsia"/>
          <w:sz w:val="21"/>
          <w:szCs w:val="21"/>
        </w:rPr>
        <w:t xml:space="preserve">(二)基金托管人的内部控制制度 </w:t>
      </w:r>
    </w:p>
    <w:p w14:paraId="3319082D">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14:paraId="1A2D8505">
      <w:pPr>
        <w:pStyle w:val="7"/>
        <w:spacing w:before="0" w:beforeAutospacing="0" w:after="0" w:afterAutospacing="0" w:line="360" w:lineRule="auto"/>
        <w:ind w:firstLine="420"/>
        <w:rPr>
          <w:sz w:val="21"/>
          <w:szCs w:val="21"/>
        </w:rPr>
      </w:pPr>
      <w:r>
        <w:rPr>
          <w:rFonts w:hint="eastAsia"/>
          <w:sz w:val="21"/>
          <w:szCs w:val="21"/>
        </w:rPr>
        <w:t xml:space="preserve">(1)建立完整、严密、高效的风险控制体系，形成科学的决策机制、执行机制和监督机制，防范和化解经营风险，保障资产托管业务的稳健运行和托管财产的安全完整。 </w:t>
      </w:r>
    </w:p>
    <w:p w14:paraId="2147AEF6">
      <w:pPr>
        <w:pStyle w:val="7"/>
        <w:spacing w:before="0" w:beforeAutospacing="0" w:after="0" w:afterAutospacing="0" w:line="360" w:lineRule="auto"/>
        <w:ind w:firstLine="420"/>
        <w:rPr>
          <w:sz w:val="21"/>
          <w:szCs w:val="21"/>
        </w:rPr>
      </w:pPr>
      <w:r>
        <w:rPr>
          <w:rFonts w:hint="eastAsia"/>
          <w:sz w:val="21"/>
          <w:szCs w:val="21"/>
        </w:rPr>
        <w:t xml:space="preserve">(2)大力培育合规文化，自觉形成守法经营、规范运作的经营思想和经营理念，严格控制合规风险，保证资产托管业务符合国家有关法律法规和行业监管规则。 </w:t>
      </w:r>
    </w:p>
    <w:p w14:paraId="1BF6B947">
      <w:pPr>
        <w:pStyle w:val="7"/>
        <w:spacing w:before="0" w:beforeAutospacing="0" w:after="0" w:afterAutospacing="0" w:line="360" w:lineRule="auto"/>
        <w:ind w:firstLine="420"/>
        <w:rPr>
          <w:sz w:val="21"/>
          <w:szCs w:val="21"/>
        </w:rPr>
      </w:pPr>
      <w:r>
        <w:rPr>
          <w:rFonts w:hint="eastAsia"/>
          <w:sz w:val="21"/>
          <w:szCs w:val="21"/>
        </w:rPr>
        <w:t xml:space="preserve">(3)以相互制衡健全有效的风控组织结构为保障，以完善健全的制度为基础，以落实到位的过程控制为着眼点，以先进的信息技术手段为依托，建立全面、系统、动态、主动、有利于差错防弊、堵塞漏洞、消除隐患、保证业务稳健运行的风险控制制度，确保托管业务信息真实、准确、完整、及时。 </w:t>
      </w:r>
    </w:p>
    <w:p w14:paraId="14D4E9E3">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14:paraId="62290574">
      <w:pPr>
        <w:pStyle w:val="7"/>
        <w:spacing w:before="0" w:beforeAutospacing="0" w:after="0" w:afterAutospacing="0" w:line="360" w:lineRule="auto"/>
        <w:ind w:firstLine="420"/>
        <w:rPr>
          <w:sz w:val="21"/>
          <w:szCs w:val="21"/>
        </w:rPr>
      </w:pPr>
      <w:r>
        <w:rPr>
          <w:rFonts w:hint="eastAsia"/>
          <w:sz w:val="21"/>
          <w:szCs w:val="21"/>
        </w:rPr>
        <w:t xml:space="preserve">总行高级管理层负责部署全行的风险管理工作。总行风险管理委员会是总行高级管理层下设的风险管理专业委员会，对高级管理层负责，支持高级管理层履行职责。资产托管业务风险控制工作在总行风险管理委员会的统一部署和指导下开展。 </w:t>
      </w:r>
    </w:p>
    <w:p w14:paraId="16BC7D53">
      <w:pPr>
        <w:pStyle w:val="7"/>
        <w:spacing w:before="0" w:beforeAutospacing="0" w:after="0" w:afterAutospacing="0" w:line="360" w:lineRule="auto"/>
        <w:ind w:firstLine="420"/>
        <w:rPr>
          <w:sz w:val="21"/>
          <w:szCs w:val="21"/>
        </w:rPr>
      </w:pPr>
      <w:r>
        <w:rPr>
          <w:rFonts w:hint="eastAsia"/>
          <w:sz w:val="21"/>
          <w:szCs w:val="21"/>
        </w:rPr>
        <w:t xml:space="preserve">总行各部门紧密配合，共同把控资产托管业务运行中的风险，具体职责与分工如下：总行风险管理部作为总行风险管理委员会秘书机构，是全行风险管理的统筹部门，对资产托管部的风险控制工作进行指导；总行法律合规部负责资产托管业务项下的相关合同、协议等法律性文件的审定，对业务开展进行合规检查并督导问题整改落实；总行审计部对全行托管业务进行内部审计，包括定期内部审计、现场和非现场检查等；总行办公室与资产托管部共同制定声誉风险应急预案。 </w:t>
      </w:r>
    </w:p>
    <w:p w14:paraId="2C4E0A92">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14:paraId="4FB158F3">
      <w:pPr>
        <w:pStyle w:val="7"/>
        <w:spacing w:before="0" w:beforeAutospacing="0" w:after="0" w:afterAutospacing="0" w:line="360" w:lineRule="auto"/>
        <w:ind w:firstLine="420"/>
        <w:rPr>
          <w:sz w:val="21"/>
          <w:szCs w:val="21"/>
        </w:rPr>
      </w:pPr>
      <w:r>
        <w:rPr>
          <w:rFonts w:hint="eastAsia"/>
          <w:sz w:val="21"/>
          <w:szCs w:val="21"/>
        </w:rPr>
        <w:t xml:space="preserve">(1)合法合规原则。风险控制应符合和体现国家法律、法规、规章和各项政策。 </w:t>
      </w:r>
    </w:p>
    <w:p w14:paraId="31652891">
      <w:pPr>
        <w:pStyle w:val="7"/>
        <w:spacing w:before="0" w:beforeAutospacing="0" w:after="0" w:afterAutospacing="0" w:line="360" w:lineRule="auto"/>
        <w:ind w:firstLine="420"/>
        <w:rPr>
          <w:sz w:val="21"/>
          <w:szCs w:val="21"/>
        </w:rPr>
      </w:pPr>
      <w:r>
        <w:rPr>
          <w:rFonts w:hint="eastAsia"/>
          <w:sz w:val="21"/>
          <w:szCs w:val="21"/>
        </w:rPr>
        <w:t xml:space="preserve">(2)全面性原则。风险控制覆盖托管部的各个业务中心、各个岗位和各级人员，并涵盖资产托管业务各环节。 </w:t>
      </w:r>
    </w:p>
    <w:p w14:paraId="54D43433">
      <w:pPr>
        <w:pStyle w:val="7"/>
        <w:spacing w:before="0" w:beforeAutospacing="0" w:after="0" w:afterAutospacing="0" w:line="360" w:lineRule="auto"/>
        <w:ind w:firstLine="420"/>
        <w:rPr>
          <w:sz w:val="21"/>
          <w:szCs w:val="21"/>
        </w:rPr>
      </w:pPr>
      <w:r>
        <w:rPr>
          <w:rFonts w:hint="eastAsia"/>
          <w:sz w:val="21"/>
          <w:szCs w:val="21"/>
        </w:rPr>
        <w:t xml:space="preserve">(3)有效性原则。资产托管业务从业人员应全力维护内部控制制度的有效执行，任何人都没有超越制度约束的权力。 </w:t>
      </w:r>
    </w:p>
    <w:p w14:paraId="422E4BC2">
      <w:pPr>
        <w:pStyle w:val="7"/>
        <w:spacing w:before="0" w:beforeAutospacing="0" w:after="0" w:afterAutospacing="0" w:line="360" w:lineRule="auto"/>
        <w:ind w:firstLine="420"/>
        <w:rPr>
          <w:sz w:val="21"/>
          <w:szCs w:val="21"/>
        </w:rPr>
      </w:pPr>
      <w:r>
        <w:rPr>
          <w:rFonts w:hint="eastAsia"/>
          <w:sz w:val="21"/>
          <w:szCs w:val="21"/>
        </w:rPr>
        <w:t xml:space="preserve">(4)预防性原则。必须树立“预防为主”的管理理念，控制资产托管业务中风险发生的源头，防患于未然，尽量避免业务操作中各种问题的产生。 </w:t>
      </w:r>
    </w:p>
    <w:p w14:paraId="08E0B51D">
      <w:pPr>
        <w:pStyle w:val="7"/>
        <w:spacing w:before="0" w:beforeAutospacing="0" w:after="0" w:afterAutospacing="0" w:line="360" w:lineRule="auto"/>
        <w:ind w:firstLine="420"/>
        <w:rPr>
          <w:sz w:val="21"/>
          <w:szCs w:val="21"/>
        </w:rPr>
      </w:pPr>
      <w:r>
        <w:rPr>
          <w:rFonts w:hint="eastAsia"/>
          <w:sz w:val="21"/>
          <w:szCs w:val="21"/>
        </w:rPr>
        <w:t xml:space="preserve">(5)及时性原则。资产托管业务风险控制制度的制定应当具有前瞻性，并且随着托管部经营战略、经营方针、经营理念等内部环境的变化和国家法律法规、政策制度等外部环境的改变进行及时的修改或完善。发现问题，要及时处理，堵塞漏洞。 </w:t>
      </w:r>
    </w:p>
    <w:p w14:paraId="13FDBBF7">
      <w:pPr>
        <w:pStyle w:val="7"/>
        <w:spacing w:before="0" w:beforeAutospacing="0" w:after="0" w:afterAutospacing="0" w:line="360" w:lineRule="auto"/>
        <w:ind w:firstLine="420"/>
        <w:rPr>
          <w:sz w:val="21"/>
          <w:szCs w:val="21"/>
        </w:rPr>
      </w:pPr>
      <w:r>
        <w:rPr>
          <w:rFonts w:hint="eastAsia"/>
          <w:sz w:val="21"/>
          <w:szCs w:val="21"/>
        </w:rPr>
        <w:t xml:space="preserve">(6)独立性原则。各业务中心、各岗位职能上保持相对独立性。风险合规管理中心是资产托管部下设的执行机构，不受其他业务中心和个人干涉。业务操作人员和检查人员严格分开，以保证风险控制机构的工作不受干扰。 </w:t>
      </w:r>
    </w:p>
    <w:p w14:paraId="485C0008">
      <w:pPr>
        <w:pStyle w:val="7"/>
        <w:spacing w:before="0" w:beforeAutospacing="0" w:after="0" w:afterAutospacing="0" w:line="360" w:lineRule="auto"/>
        <w:ind w:firstLine="420"/>
        <w:rPr>
          <w:sz w:val="21"/>
          <w:szCs w:val="21"/>
        </w:rPr>
      </w:pPr>
      <w:r>
        <w:rPr>
          <w:rFonts w:hint="eastAsia"/>
          <w:sz w:val="21"/>
          <w:szCs w:val="21"/>
        </w:rPr>
        <w:t xml:space="preserve">(7)相互制约原则。各业务中心、各岗位权责明确，相互牵制，通过切实可行的相互制衡措施来消除风险控制的盲点。 </w:t>
      </w:r>
    </w:p>
    <w:p w14:paraId="6D060AF2">
      <w:pPr>
        <w:pStyle w:val="7"/>
        <w:spacing w:before="0" w:beforeAutospacing="0" w:after="0" w:afterAutospacing="0" w:line="360" w:lineRule="auto"/>
        <w:ind w:firstLine="420"/>
        <w:rPr>
          <w:sz w:val="21"/>
          <w:szCs w:val="21"/>
        </w:rPr>
      </w:pPr>
      <w:r>
        <w:rPr>
          <w:rFonts w:hint="eastAsia"/>
          <w:sz w:val="21"/>
          <w:szCs w:val="21"/>
        </w:rPr>
        <w:t xml:space="preserve">(8)防火墙原则。托管银行自身财务与托管资产财务严格分开；托管业务日常操作部门与行政、研发和营销等部门隔离。 </w:t>
      </w:r>
    </w:p>
    <w:p w14:paraId="6D40ECB6">
      <w:pPr>
        <w:pStyle w:val="7"/>
        <w:spacing w:before="0" w:beforeAutospacing="0" w:after="0" w:afterAutospacing="0" w:line="360" w:lineRule="auto"/>
        <w:ind w:firstLine="420"/>
        <w:rPr>
          <w:sz w:val="21"/>
          <w:szCs w:val="21"/>
        </w:rPr>
      </w:pPr>
      <w:r>
        <w:rPr>
          <w:rFonts w:hint="eastAsia"/>
          <w:sz w:val="21"/>
          <w:szCs w:val="21"/>
        </w:rPr>
        <w:t xml:space="preserve">4.内部风险控制制度和措施 </w:t>
      </w:r>
    </w:p>
    <w:p w14:paraId="4ED5D0F4">
      <w:pPr>
        <w:pStyle w:val="7"/>
        <w:spacing w:before="0" w:beforeAutospacing="0" w:after="0" w:afterAutospacing="0" w:line="360" w:lineRule="auto"/>
        <w:ind w:firstLine="420"/>
        <w:rPr>
          <w:sz w:val="21"/>
          <w:szCs w:val="21"/>
        </w:rPr>
      </w:pPr>
      <w:r>
        <w:rPr>
          <w:rFonts w:hint="eastAsia"/>
          <w:sz w:val="21"/>
          <w:szCs w:val="21"/>
        </w:rPr>
        <w:t xml:space="preserve">(1)制度建设：建立了明确的岗位职责、科学的业务流程、详细的操作手册、严格的人员行为规范等一系列规章制度。 </w:t>
      </w:r>
    </w:p>
    <w:p w14:paraId="46242DCA">
      <w:pPr>
        <w:pStyle w:val="7"/>
        <w:spacing w:before="0" w:beforeAutospacing="0" w:after="0" w:afterAutospacing="0" w:line="360" w:lineRule="auto"/>
        <w:ind w:firstLine="420"/>
        <w:rPr>
          <w:sz w:val="21"/>
          <w:szCs w:val="21"/>
        </w:rPr>
      </w:pPr>
      <w:r>
        <w:rPr>
          <w:rFonts w:hint="eastAsia"/>
          <w:sz w:val="21"/>
          <w:szCs w:val="21"/>
        </w:rPr>
        <w:t xml:space="preserve">(2)建立健全的组织管理结构：前后台分离，不同部门、岗位相互牵制。 </w:t>
      </w:r>
    </w:p>
    <w:p w14:paraId="5F1D08C3">
      <w:pPr>
        <w:pStyle w:val="7"/>
        <w:spacing w:before="0" w:beforeAutospacing="0" w:after="0" w:afterAutospacing="0" w:line="360" w:lineRule="auto"/>
        <w:ind w:firstLine="420"/>
        <w:rPr>
          <w:sz w:val="21"/>
          <w:szCs w:val="21"/>
        </w:rPr>
      </w:pPr>
      <w:r>
        <w:rPr>
          <w:rFonts w:hint="eastAsia"/>
          <w:sz w:val="21"/>
          <w:szCs w:val="21"/>
        </w:rPr>
        <w:t xml:space="preserve">(3)风险识别与评估：定期组织进行风险识别、评估，制定并实施风险控制措施。 </w:t>
      </w:r>
    </w:p>
    <w:p w14:paraId="105EF474">
      <w:pPr>
        <w:pStyle w:val="7"/>
        <w:spacing w:before="0" w:beforeAutospacing="0" w:after="0" w:afterAutospacing="0" w:line="360" w:lineRule="auto"/>
        <w:ind w:firstLine="420"/>
        <w:rPr>
          <w:sz w:val="21"/>
          <w:szCs w:val="21"/>
        </w:rPr>
      </w:pPr>
      <w:r>
        <w:rPr>
          <w:rFonts w:hint="eastAsia"/>
          <w:sz w:val="21"/>
          <w:szCs w:val="21"/>
        </w:rPr>
        <w:t xml:space="preserve">(4)相对独立的业务操作空间：业务操作区相对独立，实施门禁管理和音像监控。 </w:t>
      </w:r>
    </w:p>
    <w:p w14:paraId="47167511">
      <w:pPr>
        <w:pStyle w:val="7"/>
        <w:spacing w:before="0" w:beforeAutospacing="0" w:after="0" w:afterAutospacing="0" w:line="360" w:lineRule="auto"/>
        <w:ind w:firstLine="420"/>
        <w:rPr>
          <w:sz w:val="21"/>
          <w:szCs w:val="21"/>
        </w:rPr>
      </w:pPr>
      <w:r>
        <w:rPr>
          <w:rFonts w:hint="eastAsia"/>
          <w:sz w:val="21"/>
          <w:szCs w:val="21"/>
        </w:rPr>
        <w:t xml:space="preserve">(5)人员管理：进行定期的业务与职业道德培训，使员工树立风险防范与控制理念，并签订承诺书。 </w:t>
      </w:r>
    </w:p>
    <w:p w14:paraId="611C9A36">
      <w:pPr>
        <w:pStyle w:val="7"/>
        <w:spacing w:before="0" w:beforeAutospacing="0" w:after="0" w:afterAutospacing="0" w:line="360" w:lineRule="auto"/>
        <w:ind w:firstLine="420"/>
        <w:rPr>
          <w:sz w:val="21"/>
          <w:szCs w:val="21"/>
        </w:rPr>
      </w:pPr>
      <w:r>
        <w:rPr>
          <w:rFonts w:hint="eastAsia"/>
          <w:sz w:val="21"/>
          <w:szCs w:val="21"/>
        </w:rPr>
        <w:t xml:space="preserve">(6)应急预案：制定完备的应急预案，并组织员工定期演练；建立异地灾备中心，保证业务不中断。 </w:t>
      </w:r>
    </w:p>
    <w:p w14:paraId="280837F2">
      <w:pPr>
        <w:pStyle w:val="7"/>
        <w:spacing w:before="0" w:beforeAutospacing="0" w:after="0" w:afterAutospacing="0" w:line="360" w:lineRule="auto"/>
        <w:ind w:firstLine="420"/>
        <w:rPr>
          <w:sz w:val="21"/>
          <w:szCs w:val="21"/>
        </w:rPr>
      </w:pPr>
      <w:r>
        <w:rPr>
          <w:rFonts w:hint="eastAsia"/>
          <w:sz w:val="21"/>
          <w:szCs w:val="21"/>
        </w:rPr>
        <w:t xml:space="preserve">5.资产托管部内部风险控制 </w:t>
      </w:r>
    </w:p>
    <w:p w14:paraId="357C3825">
      <w:pPr>
        <w:pStyle w:val="7"/>
        <w:spacing w:before="0" w:beforeAutospacing="0" w:after="0" w:afterAutospacing="0" w:line="360" w:lineRule="auto"/>
        <w:ind w:firstLine="420"/>
        <w:rPr>
          <w:sz w:val="21"/>
          <w:szCs w:val="21"/>
        </w:rPr>
      </w:pPr>
      <w:r>
        <w:rPr>
          <w:rFonts w:hint="eastAsia"/>
          <w:sz w:val="21"/>
          <w:szCs w:val="21"/>
        </w:rPr>
        <w:t xml:space="preserve">中国民生银行股份有限公司从控制环境、风险评估、控制活动、信息沟通、监控等五个方面构建了托管业务风险控制体系。 </w:t>
      </w:r>
    </w:p>
    <w:p w14:paraId="36F0D31B">
      <w:pPr>
        <w:pStyle w:val="7"/>
        <w:spacing w:before="0" w:beforeAutospacing="0" w:after="0" w:afterAutospacing="0" w:line="360" w:lineRule="auto"/>
        <w:ind w:firstLine="420"/>
        <w:rPr>
          <w:sz w:val="21"/>
          <w:szCs w:val="21"/>
        </w:rPr>
      </w:pPr>
      <w:r>
        <w:rPr>
          <w:rFonts w:hint="eastAsia"/>
          <w:sz w:val="21"/>
          <w:szCs w:val="21"/>
        </w:rPr>
        <w:t xml:space="preserve">(1)坚持风险管理与业务发展同等重要的理念。中国民生银行股份有限公司资产托管部从成立之日起就特别强调规范运作，一直将建立一个系统、高效的风险防范和控制体系作为工作重点。随着市场环境的变化和托管业务的快速发展，新问题新情况不断出现，我们始终将风险管理放在与业务发展同等重要的位置，视风险防范和控制为托管业务生存和发展的生命线。 </w:t>
      </w:r>
    </w:p>
    <w:p w14:paraId="4A8E04FB">
      <w:pPr>
        <w:pStyle w:val="7"/>
        <w:spacing w:before="0" w:beforeAutospacing="0" w:after="0" w:afterAutospacing="0" w:line="360" w:lineRule="auto"/>
        <w:ind w:firstLine="420"/>
        <w:rPr>
          <w:sz w:val="21"/>
          <w:szCs w:val="21"/>
        </w:rPr>
      </w:pPr>
      <w:r>
        <w:rPr>
          <w:rFonts w:hint="eastAsia"/>
          <w:sz w:val="21"/>
          <w:szCs w:val="21"/>
        </w:rPr>
        <w:t xml:space="preserve">(2)实施全员风险管理。将风险控制责任落实到具体业务中心和业务岗位，每位员工对自己岗位职责范围内的风险负责。 </w:t>
      </w:r>
    </w:p>
    <w:p w14:paraId="4A89786D">
      <w:pPr>
        <w:pStyle w:val="7"/>
        <w:spacing w:before="0" w:beforeAutospacing="0" w:after="0" w:afterAutospacing="0" w:line="360" w:lineRule="auto"/>
        <w:ind w:firstLine="420"/>
        <w:rPr>
          <w:sz w:val="21"/>
          <w:szCs w:val="21"/>
        </w:rPr>
      </w:pPr>
      <w:r>
        <w:rPr>
          <w:rFonts w:hint="eastAsia"/>
          <w:sz w:val="21"/>
          <w:szCs w:val="21"/>
        </w:rPr>
        <w:t xml:space="preserve">(3)建立分工明确、相互牵制的风险控制组织结构。我们通过建立纵向双人制，横向多中心制的内部组织结构，形成不同中心、不同岗位相互制衡的组织结构。 </w:t>
      </w:r>
    </w:p>
    <w:p w14:paraId="1C889180">
      <w:pPr>
        <w:pStyle w:val="7"/>
        <w:spacing w:before="0" w:beforeAutospacing="0" w:after="0" w:afterAutospacing="0" w:line="360" w:lineRule="auto"/>
        <w:ind w:firstLine="420"/>
        <w:rPr>
          <w:sz w:val="21"/>
          <w:szCs w:val="21"/>
        </w:rPr>
      </w:pPr>
      <w:r>
        <w:rPr>
          <w:rFonts w:hint="eastAsia"/>
          <w:sz w:val="21"/>
          <w:szCs w:val="21"/>
        </w:rPr>
        <w:t xml:space="preserve">(4)以制度建设作为风险管理的核心。我们十分重视内部控制制度的建设，已经建立了一整套内部风险控制制度，包括业务管理办法、内部控制制度、员工行为规范、岗位职责及涵括所有后台运作环节的操作手册。以上制度随着外部环境和业务的发展还会不断增加和完善。 </w:t>
      </w:r>
    </w:p>
    <w:p w14:paraId="23FF3D73">
      <w:pPr>
        <w:pStyle w:val="7"/>
        <w:spacing w:before="0" w:beforeAutospacing="0" w:after="0" w:afterAutospacing="0" w:line="360" w:lineRule="auto"/>
        <w:ind w:firstLine="420"/>
        <w:rPr>
          <w:sz w:val="21"/>
          <w:szCs w:val="21"/>
        </w:rPr>
      </w:pPr>
      <w:r>
        <w:rPr>
          <w:rFonts w:hint="eastAsia"/>
          <w:sz w:val="21"/>
          <w:szCs w:val="21"/>
        </w:rPr>
        <w:t xml:space="preserve">(5)制度的执行和监督是风险控制的关键。制度落实检查是风险控制管理的有力保证。资产托管部内部设置风险合规管理中心，依照有关法律规章，定期对业务的运行进行检查。总行审计部不定期对托管业务进行审计。 </w:t>
      </w:r>
    </w:p>
    <w:p w14:paraId="72F22323">
      <w:pPr>
        <w:pStyle w:val="7"/>
        <w:spacing w:before="0" w:beforeAutospacing="0" w:after="0" w:afterAutospacing="0" w:line="360" w:lineRule="auto"/>
        <w:ind w:firstLine="420"/>
        <w:rPr>
          <w:sz w:val="21"/>
          <w:szCs w:val="21"/>
        </w:rPr>
      </w:pPr>
      <w:r>
        <w:rPr>
          <w:rFonts w:hint="eastAsia"/>
          <w:sz w:val="21"/>
          <w:szCs w:val="21"/>
        </w:rPr>
        <w:t xml:space="preserve">(6)将先进的技术手段运用于风险控制中。托管业务系统需求不仅从业务方面而且从风险控制方面都要经过多方论证，托管业务技术系统具有较强的自动风险控制功能。 </w:t>
      </w:r>
    </w:p>
    <w:p w14:paraId="675EEEBB">
      <w:pPr>
        <w:pStyle w:val="7"/>
        <w:spacing w:before="0" w:beforeAutospacing="0" w:after="0" w:afterAutospacing="0" w:line="360" w:lineRule="auto"/>
        <w:ind w:firstLine="420"/>
        <w:rPr>
          <w:sz w:val="21"/>
          <w:szCs w:val="21"/>
        </w:rPr>
      </w:pPr>
      <w:r>
        <w:rPr>
          <w:rFonts w:hint="eastAsia"/>
          <w:sz w:val="21"/>
          <w:szCs w:val="21"/>
        </w:rPr>
        <w:t xml:space="preserve">(三)基金托管人对基金管理人运作基金进行监督的方法和程序 </w:t>
      </w:r>
    </w:p>
    <w:p w14:paraId="435E39BB">
      <w:pPr>
        <w:pStyle w:val="7"/>
        <w:spacing w:before="0" w:beforeAutospacing="0" w:after="0" w:afterAutospacing="0" w:line="360" w:lineRule="auto"/>
        <w:ind w:firstLine="420"/>
        <w:rPr>
          <w:sz w:val="21"/>
          <w:szCs w:val="21"/>
        </w:rPr>
      </w:pPr>
      <w:r>
        <w:rPr>
          <w:rFonts w:hint="eastAsia"/>
          <w:sz w:val="21"/>
          <w:szCs w:val="21"/>
        </w:rPr>
        <w:t xml:space="preserve">根据《中华人民共和国证券投资基金法》《公开募集证券投资基金运作管理办法》《公开募集证券投资基金信息披露管理办法》等有关法律法规的规定及基金合同、基金托管协议的约定，基金托管人对基金的投资范围、基金投资比例、基金资产的核算、基金资产净值的计算、基金份额净值的计算、基金管理人报酬的计提和支付、基金托管人报酬的计提和支付、基金申购资金的到账和赎回资金的划付、基金收益分配等进行监督和核查。 </w:t>
      </w:r>
    </w:p>
    <w:p w14:paraId="0386CEEF">
      <w:pPr>
        <w:pStyle w:val="7"/>
        <w:spacing w:before="0" w:beforeAutospacing="0" w:after="0" w:afterAutospacing="0" w:line="360" w:lineRule="auto"/>
        <w:ind w:firstLine="420"/>
        <w:rPr>
          <w:sz w:val="21"/>
          <w:szCs w:val="21"/>
        </w:rPr>
      </w:pPr>
      <w:r>
        <w:rPr>
          <w:rFonts w:hint="eastAsia"/>
          <w:sz w:val="21"/>
          <w:szCs w:val="21"/>
        </w:rPr>
        <w:t xml:space="preserve">基金托管人发现基金管理人违反《中华人民共和国证券投资基金法》等有关法律法规规定及基金合同、基金托管协议约定的行为，应及时以书面形式通知基金管理人限期纠正，基金管理人收到通知后应及时核对确认，并以书面形式对基金托管人发出回函。在限期内，基金托管人有权随时对通知事项进行复查，督促基金管理人改正。基金管理人对基金托管人通知的违规事项未能在限期内纠正的，基金托管人应报告中国证监会。 </w:t>
      </w:r>
    </w:p>
    <w:p w14:paraId="0753DE5F">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w:t>
      </w:r>
      <w:bookmarkStart w:id="54" w:name="chapter_level1_6_55_section_2_end"/>
      <w:bookmarkEnd w:id="54"/>
      <w:r>
        <w:rPr>
          <w:rFonts w:hint="eastAsia"/>
          <w:sz w:val="21"/>
          <w:szCs w:val="21"/>
        </w:rPr>
        <w:t>理人限期纠正。 </w:t>
      </w:r>
      <w:bookmarkStart w:id="55" w:name="field_0_trustcontrollawinfo_1_end"/>
      <w:bookmarkEnd w:id="55"/>
      <w:r>
        <w:rPr>
          <w:rFonts w:hint="eastAsia"/>
          <w:sz w:val="21"/>
          <w:szCs w:val="21"/>
        </w:rPr>
        <w:t xml:space="preserve">  </w:t>
      </w:r>
    </w:p>
    <w:p w14:paraId="3C73216A">
      <w:pPr>
        <w:widowControl/>
        <w:jc w:val="left"/>
        <w:rPr>
          <w:rFonts w:ascii="宋体" w:hAnsi="宋体" w:eastAsia="宋体"/>
        </w:rPr>
      </w:pPr>
      <w:r>
        <w:rPr>
          <w:rFonts w:ascii="宋体" w:hAnsi="宋体" w:eastAsia="宋体"/>
        </w:rPr>
        <w:br w:type="page"/>
      </w:r>
    </w:p>
    <w:p w14:paraId="3433392E">
      <w:pPr>
        <w:pStyle w:val="2"/>
        <w:jc w:val="center"/>
        <w:rPr>
          <w:rFonts w:ascii="宋体" w:hAnsi="宋体" w:eastAsia="宋体"/>
          <w:sz w:val="30"/>
        </w:rPr>
      </w:pPr>
      <w:bookmarkStart w:id="56" w:name="_Toc209538272"/>
      <w:bookmarkStart w:id="57" w:name="chapter_level1_7_56"/>
      <w:r>
        <w:rPr>
          <w:rFonts w:hint="eastAsia" w:ascii="宋体" w:hAnsi="宋体" w:eastAsia="宋体"/>
          <w:sz w:val="30"/>
        </w:rPr>
        <w:t>第五部分  相关服务机构</w:t>
      </w:r>
      <w:bookmarkEnd w:id="56"/>
      <w:bookmarkEnd w:id="57"/>
    </w:p>
    <w:p w14:paraId="7E638422">
      <w:pPr>
        <w:pStyle w:val="7"/>
        <w:spacing w:before="0" w:beforeAutospacing="0" w:after="0" w:afterAutospacing="0" w:line="360" w:lineRule="auto"/>
        <w:ind w:firstLine="420"/>
        <w:rPr>
          <w:sz w:val="21"/>
          <w:szCs w:val="21"/>
        </w:rPr>
      </w:pPr>
      <w:bookmarkStart w:id="58" w:name="chapter_level1_7_56_section_1"/>
      <w:bookmarkEnd w:id="58"/>
      <w:r>
        <w:rPr>
          <w:rStyle w:val="11"/>
          <w:rFonts w:hint="eastAsia"/>
          <w:sz w:val="21"/>
          <w:szCs w:val="21"/>
        </w:rPr>
        <w:t>一、基金份额销售机构</w:t>
      </w:r>
    </w:p>
    <w:p w14:paraId="50A959FF">
      <w:pPr>
        <w:pStyle w:val="7"/>
        <w:spacing w:before="0" w:beforeAutospacing="0" w:after="0" w:afterAutospacing="0" w:line="360" w:lineRule="auto"/>
        <w:ind w:firstLine="420"/>
        <w:rPr>
          <w:sz w:val="21"/>
          <w:szCs w:val="21"/>
        </w:rPr>
      </w:pPr>
      <w:r>
        <w:rPr>
          <w:rFonts w:hint="eastAsia"/>
          <w:sz w:val="21"/>
          <w:szCs w:val="21"/>
        </w:rPr>
        <w:t xml:space="preserve">1、直销机构 </w:t>
      </w:r>
    </w:p>
    <w:p w14:paraId="5CEFFEF4">
      <w:pPr>
        <w:pStyle w:val="7"/>
        <w:spacing w:before="0" w:beforeAutospacing="0" w:after="0" w:afterAutospacing="0" w:line="360" w:lineRule="auto"/>
        <w:ind w:firstLine="420"/>
        <w:rPr>
          <w:sz w:val="21"/>
          <w:szCs w:val="21"/>
        </w:rPr>
      </w:pPr>
      <w:bookmarkStart w:id="59" w:name="field_0_marketcompanyinfo_1_start"/>
      <w:bookmarkEnd w:id="59"/>
      <w:r>
        <w:rPr>
          <w:rFonts w:hint="eastAsia"/>
          <w:sz w:val="21"/>
          <w:szCs w:val="21"/>
        </w:rPr>
        <w:t xml:space="preserve">名称：博时基金管理有限公司北京直销中心 </w:t>
      </w:r>
    </w:p>
    <w:p w14:paraId="294C0767">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0CEECA22">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0CEB4A85">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74681006">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29E99A9F">
      <w:pPr>
        <w:pStyle w:val="7"/>
        <w:spacing w:before="0" w:beforeAutospacing="0" w:after="0" w:afterAutospacing="0" w:line="360" w:lineRule="auto"/>
        <w:ind w:firstLine="420"/>
        <w:rPr>
          <w:sz w:val="21"/>
          <w:szCs w:val="21"/>
        </w:rPr>
      </w:pPr>
      <w:bookmarkStart w:id="60" w:name="chapter_level1_7_56_section_1_end"/>
      <w:bookmarkEnd w:id="60"/>
      <w:r>
        <w:rPr>
          <w:rFonts w:hint="eastAsia"/>
          <w:sz w:val="21"/>
          <w:szCs w:val="21"/>
        </w:rPr>
        <w:t xml:space="preserve">博时一线通：95105568（免长途话费） </w:t>
      </w:r>
      <w:bookmarkStart w:id="61" w:name="field_0_marketcompanyinfo_1_end"/>
      <w:bookmarkEnd w:id="61"/>
      <w:r>
        <w:rPr>
          <w:rFonts w:hint="eastAsia"/>
          <w:sz w:val="21"/>
          <w:szCs w:val="21"/>
        </w:rPr>
        <w:t xml:space="preserve"> </w:t>
      </w:r>
    </w:p>
    <w:p w14:paraId="6A8E4E8C">
      <w:pPr>
        <w:pStyle w:val="7"/>
        <w:spacing w:before="0" w:beforeAutospacing="0" w:after="0" w:afterAutospacing="0" w:line="360" w:lineRule="auto"/>
        <w:ind w:firstLine="420"/>
        <w:rPr>
          <w:sz w:val="21"/>
          <w:szCs w:val="21"/>
        </w:rPr>
      </w:pPr>
      <w:bookmarkStart w:id="62" w:name="chapter_level1_7_56_section_2"/>
      <w:bookmarkEnd w:id="62"/>
      <w:r>
        <w:rPr>
          <w:rFonts w:hint="eastAsia"/>
          <w:sz w:val="21"/>
          <w:szCs w:val="21"/>
        </w:rPr>
        <w:t xml:space="preserve">2、代销机构 </w:t>
      </w:r>
    </w:p>
    <w:p w14:paraId="4FD89534">
      <w:pPr>
        <w:pStyle w:val="7"/>
        <w:spacing w:before="0" w:beforeAutospacing="0" w:after="0" w:afterAutospacing="0" w:line="360" w:lineRule="auto"/>
        <w:ind w:firstLine="420"/>
        <w:rPr>
          <w:sz w:val="21"/>
          <w:szCs w:val="21"/>
        </w:rPr>
      </w:pPr>
      <w:bookmarkStart w:id="63" w:name="field_0_allproxysaletables_1_start"/>
      <w:bookmarkEnd w:id="63"/>
      <w:r>
        <w:rPr>
          <w:rFonts w:hint="eastAsia"/>
          <w:b/>
          <w:bCs/>
          <w:sz w:val="21"/>
          <w:szCs w:val="21"/>
        </w:rPr>
        <w:t>(1)招商银行股份有限公司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6168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6C5E03">
            <w:pPr>
              <w:pStyle w:val="7"/>
            </w:pPr>
            <w:r>
              <w:rPr>
                <w:rFonts w:hint="eastAsia"/>
              </w:rPr>
              <w:t xml:space="preserve">注册地址： </w:t>
            </w:r>
          </w:p>
        </w:tc>
        <w:tc>
          <w:tcPr>
            <w:tcW w:w="7440" w:type="dxa"/>
            <w:shd w:val="clear" w:color="auto" w:fill="auto"/>
          </w:tcPr>
          <w:p w14:paraId="5881328A">
            <w:pPr>
              <w:pStyle w:val="7"/>
            </w:pPr>
            <w:r>
              <w:rPr>
                <w:rFonts w:hint="eastAsia"/>
              </w:rPr>
              <w:t xml:space="preserve">深圳市福田区深南大道7088号招商银行大厦 </w:t>
            </w:r>
          </w:p>
        </w:tc>
      </w:tr>
      <w:tr w14:paraId="5138D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FFF44">
            <w:pPr>
              <w:pStyle w:val="7"/>
            </w:pPr>
            <w:r>
              <w:rPr>
                <w:rFonts w:hint="eastAsia"/>
              </w:rPr>
              <w:t xml:space="preserve">办公地址： </w:t>
            </w:r>
          </w:p>
        </w:tc>
        <w:tc>
          <w:tcPr>
            <w:tcW w:w="7440" w:type="dxa"/>
            <w:shd w:val="clear" w:color="auto" w:fill="auto"/>
          </w:tcPr>
          <w:p w14:paraId="2549D683">
            <w:pPr>
              <w:pStyle w:val="7"/>
            </w:pPr>
            <w:r>
              <w:rPr>
                <w:rFonts w:hint="eastAsia"/>
              </w:rPr>
              <w:t xml:space="preserve">深圳市福田区深南大道7088号招商银行大厦 </w:t>
            </w:r>
          </w:p>
        </w:tc>
      </w:tr>
      <w:tr w14:paraId="34087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FF2D9">
            <w:pPr>
              <w:pStyle w:val="7"/>
            </w:pPr>
            <w:r>
              <w:rPr>
                <w:rFonts w:hint="eastAsia"/>
              </w:rPr>
              <w:t xml:space="preserve">法定代表人： </w:t>
            </w:r>
          </w:p>
        </w:tc>
        <w:tc>
          <w:tcPr>
            <w:tcW w:w="7440" w:type="dxa"/>
            <w:shd w:val="clear" w:color="auto" w:fill="auto"/>
          </w:tcPr>
          <w:p w14:paraId="4854D279">
            <w:pPr>
              <w:pStyle w:val="7"/>
            </w:pPr>
            <w:r>
              <w:rPr>
                <w:rFonts w:hint="eastAsia"/>
              </w:rPr>
              <w:t xml:space="preserve">缪建民 </w:t>
            </w:r>
          </w:p>
        </w:tc>
      </w:tr>
      <w:tr w14:paraId="1171C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5A3A8">
            <w:pPr>
              <w:pStyle w:val="7"/>
            </w:pPr>
            <w:r>
              <w:rPr>
                <w:rFonts w:hint="eastAsia"/>
              </w:rPr>
              <w:t xml:space="preserve">联系人： </w:t>
            </w:r>
          </w:p>
        </w:tc>
        <w:tc>
          <w:tcPr>
            <w:tcW w:w="7440" w:type="dxa"/>
            <w:shd w:val="clear" w:color="auto" w:fill="auto"/>
          </w:tcPr>
          <w:p w14:paraId="49071A64">
            <w:pPr>
              <w:pStyle w:val="7"/>
            </w:pPr>
            <w:r>
              <w:rPr>
                <w:rFonts w:hint="eastAsia"/>
              </w:rPr>
              <w:t xml:space="preserve">季平伟 </w:t>
            </w:r>
          </w:p>
        </w:tc>
      </w:tr>
      <w:tr w14:paraId="78CC2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B1FCC">
            <w:pPr>
              <w:pStyle w:val="7"/>
            </w:pPr>
            <w:r>
              <w:rPr>
                <w:rFonts w:hint="eastAsia"/>
              </w:rPr>
              <w:t xml:space="preserve">电话： </w:t>
            </w:r>
          </w:p>
        </w:tc>
        <w:tc>
          <w:tcPr>
            <w:tcW w:w="7440" w:type="dxa"/>
            <w:shd w:val="clear" w:color="auto" w:fill="auto"/>
          </w:tcPr>
          <w:p w14:paraId="7F32E02A">
            <w:pPr>
              <w:pStyle w:val="7"/>
            </w:pPr>
            <w:r>
              <w:rPr>
                <w:rFonts w:hint="eastAsia"/>
              </w:rPr>
              <w:t xml:space="preserve">0755－83198888 </w:t>
            </w:r>
          </w:p>
        </w:tc>
      </w:tr>
      <w:tr w14:paraId="7F43A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660FFF">
            <w:pPr>
              <w:pStyle w:val="7"/>
            </w:pPr>
            <w:r>
              <w:rPr>
                <w:rFonts w:hint="eastAsia"/>
              </w:rPr>
              <w:t xml:space="preserve">传真： </w:t>
            </w:r>
          </w:p>
        </w:tc>
        <w:tc>
          <w:tcPr>
            <w:tcW w:w="7440" w:type="dxa"/>
            <w:shd w:val="clear" w:color="auto" w:fill="auto"/>
          </w:tcPr>
          <w:p w14:paraId="08A62D97">
            <w:pPr>
              <w:pStyle w:val="7"/>
            </w:pPr>
            <w:r>
              <w:rPr>
                <w:rFonts w:hint="eastAsia"/>
              </w:rPr>
              <w:t xml:space="preserve">0755－83195049 </w:t>
            </w:r>
          </w:p>
        </w:tc>
      </w:tr>
      <w:tr w14:paraId="319CF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1E3A1">
            <w:pPr>
              <w:pStyle w:val="7"/>
            </w:pPr>
            <w:r>
              <w:rPr>
                <w:rFonts w:hint="eastAsia"/>
              </w:rPr>
              <w:t xml:space="preserve">客户服务电话： </w:t>
            </w:r>
          </w:p>
        </w:tc>
        <w:tc>
          <w:tcPr>
            <w:tcW w:w="7440" w:type="dxa"/>
            <w:shd w:val="clear" w:color="auto" w:fill="auto"/>
          </w:tcPr>
          <w:p w14:paraId="55F9CE35">
            <w:pPr>
              <w:pStyle w:val="7"/>
            </w:pPr>
            <w:r>
              <w:rPr>
                <w:rFonts w:hint="eastAsia"/>
              </w:rPr>
              <w:t xml:space="preserve">95555 </w:t>
            </w:r>
          </w:p>
        </w:tc>
      </w:tr>
      <w:tr w14:paraId="0A619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1511DC">
            <w:pPr>
              <w:pStyle w:val="7"/>
            </w:pPr>
            <w:r>
              <w:rPr>
                <w:rFonts w:hint="eastAsia"/>
              </w:rPr>
              <w:t xml:space="preserve">网址： </w:t>
            </w:r>
          </w:p>
        </w:tc>
        <w:tc>
          <w:tcPr>
            <w:tcW w:w="7440" w:type="dxa"/>
            <w:shd w:val="clear" w:color="auto" w:fill="auto"/>
          </w:tcPr>
          <w:p w14:paraId="20D3B34C">
            <w:pPr>
              <w:pStyle w:val="7"/>
            </w:pPr>
            <w:r>
              <w:rPr>
                <w:rFonts w:hint="eastAsia"/>
              </w:rPr>
              <w:t xml:space="preserve">http://www.cmbchina.com/ </w:t>
            </w:r>
          </w:p>
        </w:tc>
      </w:tr>
    </w:tbl>
    <w:p w14:paraId="5530D711">
      <w:pPr>
        <w:pStyle w:val="7"/>
        <w:spacing w:before="0" w:beforeAutospacing="0" w:after="0" w:afterAutospacing="0" w:line="360" w:lineRule="auto"/>
        <w:ind w:firstLine="420"/>
        <w:rPr>
          <w:sz w:val="21"/>
          <w:szCs w:val="21"/>
        </w:rPr>
      </w:pPr>
      <w:r>
        <w:rPr>
          <w:rFonts w:hint="eastAsia"/>
          <w:b/>
          <w:bCs/>
          <w:sz w:val="21"/>
          <w:szCs w:val="21"/>
        </w:rPr>
        <w:t>(2)中国民生银行股份有限公司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D289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42B17">
            <w:pPr>
              <w:pStyle w:val="7"/>
            </w:pPr>
            <w:r>
              <w:rPr>
                <w:rFonts w:hint="eastAsia"/>
              </w:rPr>
              <w:t xml:space="preserve">注册地址： </w:t>
            </w:r>
          </w:p>
        </w:tc>
        <w:tc>
          <w:tcPr>
            <w:tcW w:w="7440" w:type="dxa"/>
            <w:shd w:val="clear" w:color="auto" w:fill="auto"/>
          </w:tcPr>
          <w:p w14:paraId="5A3F48A0">
            <w:pPr>
              <w:pStyle w:val="7"/>
            </w:pPr>
            <w:r>
              <w:rPr>
                <w:rFonts w:hint="eastAsia"/>
              </w:rPr>
              <w:t xml:space="preserve">北京市西城区复兴门内大街2号 </w:t>
            </w:r>
          </w:p>
        </w:tc>
      </w:tr>
      <w:tr w14:paraId="5240D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F30A1">
            <w:pPr>
              <w:pStyle w:val="7"/>
            </w:pPr>
            <w:r>
              <w:rPr>
                <w:rFonts w:hint="eastAsia"/>
              </w:rPr>
              <w:t xml:space="preserve">办公地址： </w:t>
            </w:r>
          </w:p>
        </w:tc>
        <w:tc>
          <w:tcPr>
            <w:tcW w:w="7440" w:type="dxa"/>
            <w:shd w:val="clear" w:color="auto" w:fill="auto"/>
          </w:tcPr>
          <w:p w14:paraId="7E4581D3">
            <w:pPr>
              <w:pStyle w:val="7"/>
            </w:pPr>
            <w:r>
              <w:rPr>
                <w:rFonts w:hint="eastAsia"/>
              </w:rPr>
              <w:t xml:space="preserve">北京市西城区复兴门内大街2号 </w:t>
            </w:r>
          </w:p>
        </w:tc>
      </w:tr>
      <w:tr w14:paraId="5CE22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0CE88D">
            <w:pPr>
              <w:pStyle w:val="7"/>
            </w:pPr>
            <w:r>
              <w:rPr>
                <w:rFonts w:hint="eastAsia"/>
              </w:rPr>
              <w:t xml:space="preserve">法定代表人： </w:t>
            </w:r>
          </w:p>
        </w:tc>
        <w:tc>
          <w:tcPr>
            <w:tcW w:w="7440" w:type="dxa"/>
            <w:shd w:val="clear" w:color="auto" w:fill="auto"/>
          </w:tcPr>
          <w:p w14:paraId="0548AEB0">
            <w:pPr>
              <w:pStyle w:val="7"/>
            </w:pPr>
            <w:r>
              <w:rPr>
                <w:rFonts w:hint="eastAsia"/>
              </w:rPr>
              <w:t xml:space="preserve">高迎欣 </w:t>
            </w:r>
          </w:p>
        </w:tc>
      </w:tr>
      <w:tr w14:paraId="3C720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2AF4C">
            <w:pPr>
              <w:pStyle w:val="7"/>
            </w:pPr>
            <w:r>
              <w:rPr>
                <w:rFonts w:hint="eastAsia"/>
              </w:rPr>
              <w:t xml:space="preserve">联系人： </w:t>
            </w:r>
          </w:p>
        </w:tc>
        <w:tc>
          <w:tcPr>
            <w:tcW w:w="7440" w:type="dxa"/>
            <w:shd w:val="clear" w:color="auto" w:fill="auto"/>
          </w:tcPr>
          <w:p w14:paraId="7886543C">
            <w:pPr>
              <w:pStyle w:val="7"/>
            </w:pPr>
            <w:r>
              <w:rPr>
                <w:rFonts w:hint="eastAsia"/>
              </w:rPr>
              <w:t xml:space="preserve">王继伟 </w:t>
            </w:r>
          </w:p>
        </w:tc>
      </w:tr>
      <w:tr w14:paraId="2351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9F8070">
            <w:pPr>
              <w:pStyle w:val="7"/>
            </w:pPr>
            <w:r>
              <w:rPr>
                <w:rFonts w:hint="eastAsia"/>
              </w:rPr>
              <w:t xml:space="preserve">电话： </w:t>
            </w:r>
          </w:p>
        </w:tc>
        <w:tc>
          <w:tcPr>
            <w:tcW w:w="7440" w:type="dxa"/>
            <w:shd w:val="clear" w:color="auto" w:fill="auto"/>
          </w:tcPr>
          <w:p w14:paraId="2843C1FD">
            <w:pPr>
              <w:pStyle w:val="7"/>
            </w:pPr>
            <w:r>
              <w:rPr>
                <w:rFonts w:hint="eastAsia"/>
              </w:rPr>
              <w:t xml:space="preserve">010－58560666 </w:t>
            </w:r>
          </w:p>
        </w:tc>
      </w:tr>
      <w:tr w14:paraId="5FA3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EF0C0">
            <w:pPr>
              <w:pStyle w:val="7"/>
            </w:pPr>
            <w:r>
              <w:rPr>
                <w:rFonts w:hint="eastAsia"/>
              </w:rPr>
              <w:t xml:space="preserve">传真： </w:t>
            </w:r>
          </w:p>
        </w:tc>
        <w:tc>
          <w:tcPr>
            <w:tcW w:w="7440" w:type="dxa"/>
            <w:shd w:val="clear" w:color="auto" w:fill="auto"/>
          </w:tcPr>
          <w:p w14:paraId="519C873D">
            <w:pPr>
              <w:pStyle w:val="7"/>
            </w:pPr>
            <w:r>
              <w:rPr>
                <w:rFonts w:hint="eastAsia"/>
              </w:rPr>
              <w:t xml:space="preserve">010－57092611 </w:t>
            </w:r>
          </w:p>
        </w:tc>
      </w:tr>
      <w:tr w14:paraId="30650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881AD8">
            <w:pPr>
              <w:pStyle w:val="7"/>
            </w:pPr>
            <w:r>
              <w:rPr>
                <w:rFonts w:hint="eastAsia"/>
              </w:rPr>
              <w:t xml:space="preserve">客户服务电话： </w:t>
            </w:r>
          </w:p>
        </w:tc>
        <w:tc>
          <w:tcPr>
            <w:tcW w:w="7440" w:type="dxa"/>
            <w:shd w:val="clear" w:color="auto" w:fill="auto"/>
          </w:tcPr>
          <w:p w14:paraId="47FB27D8">
            <w:pPr>
              <w:pStyle w:val="7"/>
            </w:pPr>
            <w:r>
              <w:rPr>
                <w:rFonts w:hint="eastAsia"/>
              </w:rPr>
              <w:t xml:space="preserve">95568 </w:t>
            </w:r>
          </w:p>
        </w:tc>
      </w:tr>
      <w:tr w14:paraId="4F08D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776FA6">
            <w:pPr>
              <w:pStyle w:val="7"/>
            </w:pPr>
            <w:r>
              <w:rPr>
                <w:rFonts w:hint="eastAsia"/>
              </w:rPr>
              <w:t xml:space="preserve">网址： </w:t>
            </w:r>
          </w:p>
        </w:tc>
        <w:tc>
          <w:tcPr>
            <w:tcW w:w="7440" w:type="dxa"/>
            <w:shd w:val="clear" w:color="auto" w:fill="auto"/>
          </w:tcPr>
          <w:p w14:paraId="3DD9F64E">
            <w:pPr>
              <w:pStyle w:val="7"/>
            </w:pPr>
            <w:r>
              <w:rPr>
                <w:rFonts w:hint="eastAsia"/>
              </w:rPr>
              <w:t xml:space="preserve">http://www.cmbc.com.cn/ </w:t>
            </w:r>
          </w:p>
        </w:tc>
      </w:tr>
    </w:tbl>
    <w:p w14:paraId="33113EBC">
      <w:pPr>
        <w:pStyle w:val="7"/>
        <w:spacing w:before="0" w:beforeAutospacing="0" w:after="0" w:afterAutospacing="0" w:line="360" w:lineRule="auto"/>
        <w:ind w:firstLine="420"/>
        <w:rPr>
          <w:sz w:val="21"/>
          <w:szCs w:val="21"/>
        </w:rPr>
      </w:pPr>
      <w:r>
        <w:rPr>
          <w:rFonts w:hint="eastAsia"/>
          <w:b/>
          <w:bCs/>
          <w:sz w:val="21"/>
          <w:szCs w:val="21"/>
        </w:rPr>
        <w:t>(3)平安银行股份有限公司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F58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D5E7E">
            <w:pPr>
              <w:pStyle w:val="7"/>
            </w:pPr>
            <w:r>
              <w:rPr>
                <w:rFonts w:hint="eastAsia"/>
              </w:rPr>
              <w:t xml:space="preserve">注册地址： </w:t>
            </w:r>
          </w:p>
        </w:tc>
        <w:tc>
          <w:tcPr>
            <w:tcW w:w="7440" w:type="dxa"/>
            <w:shd w:val="clear" w:color="auto" w:fill="auto"/>
          </w:tcPr>
          <w:p w14:paraId="0806893D">
            <w:pPr>
              <w:pStyle w:val="7"/>
            </w:pPr>
            <w:r>
              <w:rPr>
                <w:rFonts w:hint="eastAsia"/>
              </w:rPr>
              <w:t xml:space="preserve">深圳市深南东路5047号 </w:t>
            </w:r>
          </w:p>
        </w:tc>
      </w:tr>
      <w:tr w14:paraId="666B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F559BE">
            <w:pPr>
              <w:pStyle w:val="7"/>
            </w:pPr>
            <w:r>
              <w:rPr>
                <w:rFonts w:hint="eastAsia"/>
              </w:rPr>
              <w:t xml:space="preserve">办公地址： </w:t>
            </w:r>
          </w:p>
        </w:tc>
        <w:tc>
          <w:tcPr>
            <w:tcW w:w="7440" w:type="dxa"/>
            <w:shd w:val="clear" w:color="auto" w:fill="auto"/>
          </w:tcPr>
          <w:p w14:paraId="437EC473">
            <w:pPr>
              <w:pStyle w:val="7"/>
            </w:pPr>
            <w:r>
              <w:rPr>
                <w:rFonts w:hint="eastAsia"/>
              </w:rPr>
              <w:t xml:space="preserve">深圳市深南东路5047号 </w:t>
            </w:r>
          </w:p>
        </w:tc>
      </w:tr>
      <w:tr w14:paraId="74AE4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06E303D">
            <w:pPr>
              <w:pStyle w:val="7"/>
            </w:pPr>
            <w:r>
              <w:rPr>
                <w:rFonts w:hint="eastAsia"/>
              </w:rPr>
              <w:t xml:space="preserve">法定代表人： </w:t>
            </w:r>
          </w:p>
        </w:tc>
        <w:tc>
          <w:tcPr>
            <w:tcW w:w="7440" w:type="dxa"/>
            <w:shd w:val="clear" w:color="auto" w:fill="auto"/>
          </w:tcPr>
          <w:p w14:paraId="20806C70">
            <w:pPr>
              <w:pStyle w:val="7"/>
            </w:pPr>
            <w:r>
              <w:rPr>
                <w:rFonts w:hint="eastAsia"/>
              </w:rPr>
              <w:t xml:space="preserve">谢永林 </w:t>
            </w:r>
          </w:p>
        </w:tc>
      </w:tr>
      <w:tr w14:paraId="58A90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C2F9A">
            <w:pPr>
              <w:pStyle w:val="7"/>
            </w:pPr>
            <w:r>
              <w:rPr>
                <w:rFonts w:hint="eastAsia"/>
              </w:rPr>
              <w:t xml:space="preserve">联系人： </w:t>
            </w:r>
          </w:p>
        </w:tc>
        <w:tc>
          <w:tcPr>
            <w:tcW w:w="7440" w:type="dxa"/>
            <w:shd w:val="clear" w:color="auto" w:fill="auto"/>
          </w:tcPr>
          <w:p w14:paraId="3323042F">
            <w:pPr>
              <w:pStyle w:val="7"/>
            </w:pPr>
            <w:r>
              <w:rPr>
                <w:rFonts w:hint="eastAsia"/>
              </w:rPr>
              <w:t xml:space="preserve">施艺帆 </w:t>
            </w:r>
          </w:p>
        </w:tc>
      </w:tr>
      <w:tr w14:paraId="39E8D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367EB9">
            <w:pPr>
              <w:pStyle w:val="7"/>
            </w:pPr>
            <w:r>
              <w:rPr>
                <w:rFonts w:hint="eastAsia"/>
              </w:rPr>
              <w:t xml:space="preserve">电话： </w:t>
            </w:r>
          </w:p>
        </w:tc>
        <w:tc>
          <w:tcPr>
            <w:tcW w:w="7440" w:type="dxa"/>
            <w:shd w:val="clear" w:color="auto" w:fill="auto"/>
          </w:tcPr>
          <w:p w14:paraId="1E3F747D">
            <w:pPr>
              <w:pStyle w:val="7"/>
            </w:pPr>
            <w:r>
              <w:rPr>
                <w:rFonts w:hint="eastAsia"/>
              </w:rPr>
              <w:t xml:space="preserve">021-50979384 </w:t>
            </w:r>
          </w:p>
        </w:tc>
      </w:tr>
      <w:tr w14:paraId="55F68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FD973">
            <w:pPr>
              <w:pStyle w:val="7"/>
            </w:pPr>
            <w:r>
              <w:rPr>
                <w:rFonts w:hint="eastAsia"/>
              </w:rPr>
              <w:t xml:space="preserve">传真： </w:t>
            </w:r>
          </w:p>
        </w:tc>
        <w:tc>
          <w:tcPr>
            <w:tcW w:w="7440" w:type="dxa"/>
            <w:shd w:val="clear" w:color="auto" w:fill="auto"/>
          </w:tcPr>
          <w:p w14:paraId="0303E6CE">
            <w:pPr>
              <w:pStyle w:val="7"/>
            </w:pPr>
            <w:r>
              <w:rPr>
                <w:rFonts w:hint="eastAsia"/>
              </w:rPr>
              <w:t xml:space="preserve">021-50979507 </w:t>
            </w:r>
          </w:p>
        </w:tc>
      </w:tr>
      <w:tr w14:paraId="60FEF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CA808A">
            <w:pPr>
              <w:pStyle w:val="7"/>
            </w:pPr>
            <w:r>
              <w:rPr>
                <w:rFonts w:hint="eastAsia"/>
              </w:rPr>
              <w:t xml:space="preserve">客户服务电话： </w:t>
            </w:r>
          </w:p>
        </w:tc>
        <w:tc>
          <w:tcPr>
            <w:tcW w:w="7440" w:type="dxa"/>
            <w:shd w:val="clear" w:color="auto" w:fill="auto"/>
          </w:tcPr>
          <w:p w14:paraId="2C9BC584">
            <w:pPr>
              <w:pStyle w:val="7"/>
            </w:pPr>
            <w:r>
              <w:rPr>
                <w:rFonts w:hint="eastAsia"/>
              </w:rPr>
              <w:t xml:space="preserve">95511-3 </w:t>
            </w:r>
          </w:p>
        </w:tc>
      </w:tr>
      <w:tr w14:paraId="7991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3AF807">
            <w:pPr>
              <w:pStyle w:val="7"/>
            </w:pPr>
            <w:r>
              <w:rPr>
                <w:rFonts w:hint="eastAsia"/>
              </w:rPr>
              <w:t xml:space="preserve">网址： </w:t>
            </w:r>
          </w:p>
        </w:tc>
        <w:tc>
          <w:tcPr>
            <w:tcW w:w="7440" w:type="dxa"/>
            <w:shd w:val="clear" w:color="auto" w:fill="auto"/>
          </w:tcPr>
          <w:p w14:paraId="378A00F7">
            <w:pPr>
              <w:pStyle w:val="7"/>
            </w:pPr>
            <w:r>
              <w:rPr>
                <w:rFonts w:hint="eastAsia"/>
              </w:rPr>
              <w:t xml:space="preserve">http://bank.pingan.com </w:t>
            </w:r>
          </w:p>
        </w:tc>
      </w:tr>
    </w:tbl>
    <w:p w14:paraId="05509DB4">
      <w:pPr>
        <w:pStyle w:val="7"/>
        <w:spacing w:before="0" w:beforeAutospacing="0" w:after="0" w:afterAutospacing="0" w:line="360" w:lineRule="auto"/>
        <w:ind w:firstLine="420"/>
        <w:rPr>
          <w:sz w:val="21"/>
          <w:szCs w:val="21"/>
        </w:rPr>
      </w:pPr>
      <w:r>
        <w:rPr>
          <w:rFonts w:hint="eastAsia"/>
          <w:b/>
          <w:bCs/>
          <w:sz w:val="21"/>
          <w:szCs w:val="21"/>
        </w:rPr>
        <w:t>(4)中信期货有限公司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8"/>
        <w:gridCol w:w="5975"/>
      </w:tblGrid>
      <w:tr w14:paraId="618C5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909AC7">
            <w:pPr>
              <w:pStyle w:val="7"/>
            </w:pPr>
            <w:r>
              <w:rPr>
                <w:rFonts w:hint="eastAsia"/>
              </w:rPr>
              <w:t xml:space="preserve">注册地址： </w:t>
            </w:r>
          </w:p>
        </w:tc>
        <w:tc>
          <w:tcPr>
            <w:tcW w:w="7440" w:type="dxa"/>
            <w:shd w:val="clear" w:color="auto" w:fill="auto"/>
          </w:tcPr>
          <w:p w14:paraId="365F2485">
            <w:pPr>
              <w:pStyle w:val="7"/>
            </w:pPr>
            <w:r>
              <w:rPr>
                <w:rFonts w:hint="eastAsia"/>
              </w:rPr>
              <w:t xml:space="preserve">深圳市福田区中心三路8号卓越时代广场（二期）北座13层1301-1305室、14层 </w:t>
            </w:r>
          </w:p>
        </w:tc>
      </w:tr>
      <w:tr w14:paraId="1097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163E4A">
            <w:pPr>
              <w:pStyle w:val="7"/>
            </w:pPr>
            <w:r>
              <w:rPr>
                <w:rFonts w:hint="eastAsia"/>
              </w:rPr>
              <w:t xml:space="preserve">办公地址： </w:t>
            </w:r>
          </w:p>
        </w:tc>
        <w:tc>
          <w:tcPr>
            <w:tcW w:w="7440" w:type="dxa"/>
            <w:shd w:val="clear" w:color="auto" w:fill="auto"/>
          </w:tcPr>
          <w:p w14:paraId="73891251">
            <w:pPr>
              <w:pStyle w:val="7"/>
            </w:pPr>
            <w:r>
              <w:rPr>
                <w:rFonts w:hint="eastAsia"/>
              </w:rPr>
              <w:t xml:space="preserve">深圳市福田区中心三路8号卓越时代广场（二期）北座13层1301-1305室、14层 </w:t>
            </w:r>
          </w:p>
        </w:tc>
      </w:tr>
      <w:tr w14:paraId="70E98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B5F16">
            <w:pPr>
              <w:pStyle w:val="7"/>
            </w:pPr>
            <w:r>
              <w:rPr>
                <w:rFonts w:hint="eastAsia"/>
              </w:rPr>
              <w:t xml:space="preserve">法定代表人： </w:t>
            </w:r>
          </w:p>
        </w:tc>
        <w:tc>
          <w:tcPr>
            <w:tcW w:w="7440" w:type="dxa"/>
            <w:shd w:val="clear" w:color="auto" w:fill="auto"/>
          </w:tcPr>
          <w:p w14:paraId="126D02DF">
            <w:pPr>
              <w:pStyle w:val="7"/>
            </w:pPr>
            <w:r>
              <w:rPr>
                <w:rFonts w:hint="eastAsia"/>
              </w:rPr>
              <w:t xml:space="preserve">张皓 </w:t>
            </w:r>
          </w:p>
        </w:tc>
      </w:tr>
      <w:tr w14:paraId="72D6F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1BB6EE">
            <w:pPr>
              <w:pStyle w:val="7"/>
            </w:pPr>
            <w:r>
              <w:rPr>
                <w:rFonts w:hint="eastAsia"/>
              </w:rPr>
              <w:t xml:space="preserve">联系人： </w:t>
            </w:r>
          </w:p>
        </w:tc>
        <w:tc>
          <w:tcPr>
            <w:tcW w:w="7440" w:type="dxa"/>
            <w:shd w:val="clear" w:color="auto" w:fill="auto"/>
          </w:tcPr>
          <w:p w14:paraId="507A7BDE">
            <w:pPr>
              <w:pStyle w:val="7"/>
            </w:pPr>
            <w:r>
              <w:rPr>
                <w:rFonts w:hint="eastAsia"/>
              </w:rPr>
              <w:t xml:space="preserve">梁美娜 </w:t>
            </w:r>
          </w:p>
        </w:tc>
      </w:tr>
      <w:tr w14:paraId="68444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CE76D8">
            <w:pPr>
              <w:pStyle w:val="7"/>
            </w:pPr>
            <w:r>
              <w:rPr>
                <w:rFonts w:hint="eastAsia"/>
              </w:rPr>
              <w:t xml:space="preserve">电话： </w:t>
            </w:r>
          </w:p>
        </w:tc>
        <w:tc>
          <w:tcPr>
            <w:tcW w:w="7440" w:type="dxa"/>
            <w:shd w:val="clear" w:color="auto" w:fill="auto"/>
          </w:tcPr>
          <w:p w14:paraId="54367FFC">
            <w:pPr>
              <w:pStyle w:val="7"/>
            </w:pPr>
            <w:r>
              <w:rPr>
                <w:rFonts w:hint="eastAsia"/>
              </w:rPr>
              <w:t xml:space="preserve">021-80365243 </w:t>
            </w:r>
          </w:p>
        </w:tc>
      </w:tr>
      <w:tr w14:paraId="6E534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769A4">
            <w:pPr>
              <w:pStyle w:val="7"/>
            </w:pPr>
            <w:r>
              <w:rPr>
                <w:rFonts w:hint="eastAsia"/>
              </w:rPr>
              <w:t xml:space="preserve">传真： </w:t>
            </w:r>
          </w:p>
        </w:tc>
        <w:tc>
          <w:tcPr>
            <w:tcW w:w="7440" w:type="dxa"/>
            <w:shd w:val="clear" w:color="auto" w:fill="auto"/>
          </w:tcPr>
          <w:p w14:paraId="7642BD7A">
            <w:pPr>
              <w:pStyle w:val="7"/>
            </w:pPr>
            <w:r>
              <w:rPr>
                <w:rFonts w:hint="eastAsia"/>
              </w:rPr>
              <w:t xml:space="preserve">021-60819988 </w:t>
            </w:r>
          </w:p>
        </w:tc>
      </w:tr>
      <w:tr w14:paraId="4701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8FB556">
            <w:pPr>
              <w:pStyle w:val="7"/>
            </w:pPr>
            <w:r>
              <w:rPr>
                <w:rFonts w:hint="eastAsia"/>
              </w:rPr>
              <w:t xml:space="preserve">客户服务电话： </w:t>
            </w:r>
          </w:p>
        </w:tc>
        <w:tc>
          <w:tcPr>
            <w:tcW w:w="7440" w:type="dxa"/>
            <w:shd w:val="clear" w:color="auto" w:fill="auto"/>
          </w:tcPr>
          <w:p w14:paraId="1EBFF7C8">
            <w:pPr>
              <w:pStyle w:val="7"/>
            </w:pPr>
            <w:r>
              <w:rPr>
                <w:rFonts w:hint="eastAsia"/>
              </w:rPr>
              <w:t xml:space="preserve">400-990-8826 </w:t>
            </w:r>
          </w:p>
        </w:tc>
      </w:tr>
      <w:tr w14:paraId="6BFDD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5A5130">
            <w:pPr>
              <w:pStyle w:val="7"/>
            </w:pPr>
            <w:r>
              <w:rPr>
                <w:rFonts w:hint="eastAsia"/>
              </w:rPr>
              <w:t xml:space="preserve">网址： </w:t>
            </w:r>
          </w:p>
        </w:tc>
        <w:tc>
          <w:tcPr>
            <w:tcW w:w="7440" w:type="dxa"/>
            <w:shd w:val="clear" w:color="auto" w:fill="auto"/>
          </w:tcPr>
          <w:p w14:paraId="0FEF8B00">
            <w:pPr>
              <w:pStyle w:val="7"/>
            </w:pPr>
            <w:r>
              <w:rPr>
                <w:rFonts w:hint="eastAsia"/>
              </w:rPr>
              <w:t xml:space="preserve">www.citicsf.com </w:t>
            </w:r>
          </w:p>
        </w:tc>
      </w:tr>
    </w:tbl>
    <w:p w14:paraId="4FBA2EA9">
      <w:pPr>
        <w:pStyle w:val="7"/>
        <w:spacing w:before="0" w:beforeAutospacing="0" w:after="0" w:afterAutospacing="0" w:line="360" w:lineRule="auto"/>
        <w:ind w:firstLine="420"/>
        <w:rPr>
          <w:sz w:val="21"/>
          <w:szCs w:val="21"/>
        </w:rPr>
      </w:pPr>
      <w:r>
        <w:rPr>
          <w:rFonts w:hint="eastAsia"/>
          <w:b/>
          <w:bCs/>
          <w:sz w:val="21"/>
          <w:szCs w:val="21"/>
        </w:rPr>
        <w:t>(5)中信证券股份有限公司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EFBB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4C2B9">
            <w:pPr>
              <w:pStyle w:val="7"/>
            </w:pPr>
            <w:r>
              <w:rPr>
                <w:rFonts w:hint="eastAsia"/>
              </w:rPr>
              <w:t xml:space="preserve">注册地址： </w:t>
            </w:r>
          </w:p>
        </w:tc>
        <w:tc>
          <w:tcPr>
            <w:tcW w:w="7440" w:type="dxa"/>
            <w:shd w:val="clear" w:color="auto" w:fill="auto"/>
          </w:tcPr>
          <w:p w14:paraId="5E842E3B">
            <w:pPr>
              <w:pStyle w:val="7"/>
            </w:pPr>
            <w:r>
              <w:rPr>
                <w:rFonts w:hint="eastAsia"/>
              </w:rPr>
              <w:t xml:space="preserve">广东省深圳市福田区中心三路8号卓越时代广场（二期）北座 </w:t>
            </w:r>
          </w:p>
        </w:tc>
      </w:tr>
      <w:tr w14:paraId="3F3A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0EA193">
            <w:pPr>
              <w:pStyle w:val="7"/>
            </w:pPr>
            <w:r>
              <w:rPr>
                <w:rFonts w:hint="eastAsia"/>
              </w:rPr>
              <w:t xml:space="preserve">办公地址： </w:t>
            </w:r>
          </w:p>
        </w:tc>
        <w:tc>
          <w:tcPr>
            <w:tcW w:w="7440" w:type="dxa"/>
            <w:shd w:val="clear" w:color="auto" w:fill="auto"/>
          </w:tcPr>
          <w:p w14:paraId="58E4FE2D">
            <w:pPr>
              <w:pStyle w:val="7"/>
            </w:pPr>
            <w:r>
              <w:rPr>
                <w:rFonts w:hint="eastAsia"/>
              </w:rPr>
              <w:t xml:space="preserve">北京朝阳区新源南路6号京城大厦 </w:t>
            </w:r>
          </w:p>
        </w:tc>
      </w:tr>
      <w:tr w14:paraId="491D1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43747">
            <w:pPr>
              <w:pStyle w:val="7"/>
            </w:pPr>
            <w:r>
              <w:rPr>
                <w:rFonts w:hint="eastAsia"/>
              </w:rPr>
              <w:t xml:space="preserve">法定代表人： </w:t>
            </w:r>
          </w:p>
        </w:tc>
        <w:tc>
          <w:tcPr>
            <w:tcW w:w="7440" w:type="dxa"/>
            <w:shd w:val="clear" w:color="auto" w:fill="auto"/>
          </w:tcPr>
          <w:p w14:paraId="357467A3">
            <w:pPr>
              <w:pStyle w:val="7"/>
            </w:pPr>
            <w:r>
              <w:rPr>
                <w:rFonts w:hint="eastAsia"/>
              </w:rPr>
              <w:t xml:space="preserve">张佑君 </w:t>
            </w:r>
          </w:p>
        </w:tc>
      </w:tr>
      <w:tr w14:paraId="2C8B1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CFDCF">
            <w:pPr>
              <w:pStyle w:val="7"/>
            </w:pPr>
            <w:r>
              <w:rPr>
                <w:rFonts w:hint="eastAsia"/>
              </w:rPr>
              <w:t xml:space="preserve">联系人： </w:t>
            </w:r>
          </w:p>
        </w:tc>
        <w:tc>
          <w:tcPr>
            <w:tcW w:w="7440" w:type="dxa"/>
            <w:shd w:val="clear" w:color="auto" w:fill="auto"/>
          </w:tcPr>
          <w:p w14:paraId="7A2120B5">
            <w:pPr>
              <w:pStyle w:val="7"/>
            </w:pPr>
            <w:r>
              <w:rPr>
                <w:rFonts w:hint="eastAsia"/>
              </w:rPr>
              <w:t xml:space="preserve">杜杰 </w:t>
            </w:r>
          </w:p>
        </w:tc>
      </w:tr>
      <w:tr w14:paraId="640F0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CFB61C">
            <w:pPr>
              <w:pStyle w:val="7"/>
            </w:pPr>
            <w:r>
              <w:rPr>
                <w:rFonts w:hint="eastAsia"/>
              </w:rPr>
              <w:t xml:space="preserve">电话： </w:t>
            </w:r>
          </w:p>
        </w:tc>
        <w:tc>
          <w:tcPr>
            <w:tcW w:w="7440" w:type="dxa"/>
            <w:shd w:val="clear" w:color="auto" w:fill="auto"/>
          </w:tcPr>
          <w:p w14:paraId="510E70AF">
            <w:pPr>
              <w:pStyle w:val="7"/>
            </w:pPr>
            <w:r>
              <w:rPr>
                <w:rFonts w:hint="eastAsia"/>
              </w:rPr>
              <w:t xml:space="preserve">010-60833889  </w:t>
            </w:r>
          </w:p>
        </w:tc>
      </w:tr>
      <w:tr w14:paraId="22AF4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222CA">
            <w:pPr>
              <w:pStyle w:val="7"/>
            </w:pPr>
            <w:r>
              <w:rPr>
                <w:rFonts w:hint="eastAsia"/>
              </w:rPr>
              <w:t xml:space="preserve">传真： </w:t>
            </w:r>
          </w:p>
        </w:tc>
        <w:tc>
          <w:tcPr>
            <w:tcW w:w="7440" w:type="dxa"/>
            <w:shd w:val="clear" w:color="auto" w:fill="auto"/>
          </w:tcPr>
          <w:p w14:paraId="72E4916A">
            <w:pPr>
              <w:pStyle w:val="7"/>
            </w:pPr>
            <w:r>
              <w:rPr>
                <w:rFonts w:hint="eastAsia"/>
              </w:rPr>
              <w:t xml:space="preserve">010－84865560 </w:t>
            </w:r>
          </w:p>
        </w:tc>
      </w:tr>
      <w:tr w14:paraId="1034F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5F86BF">
            <w:pPr>
              <w:pStyle w:val="7"/>
            </w:pPr>
            <w:r>
              <w:rPr>
                <w:rFonts w:hint="eastAsia"/>
              </w:rPr>
              <w:t xml:space="preserve">客户服务电话： </w:t>
            </w:r>
          </w:p>
        </w:tc>
        <w:tc>
          <w:tcPr>
            <w:tcW w:w="7440" w:type="dxa"/>
            <w:shd w:val="clear" w:color="auto" w:fill="auto"/>
          </w:tcPr>
          <w:p w14:paraId="4838BB0B">
            <w:pPr>
              <w:pStyle w:val="7"/>
            </w:pPr>
            <w:r>
              <w:rPr>
                <w:rFonts w:hint="eastAsia"/>
              </w:rPr>
              <w:t xml:space="preserve">95548 </w:t>
            </w:r>
          </w:p>
        </w:tc>
      </w:tr>
      <w:tr w14:paraId="32532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7DA95">
            <w:pPr>
              <w:pStyle w:val="7"/>
            </w:pPr>
            <w:r>
              <w:rPr>
                <w:rFonts w:hint="eastAsia"/>
              </w:rPr>
              <w:t xml:space="preserve">网址： </w:t>
            </w:r>
          </w:p>
        </w:tc>
        <w:tc>
          <w:tcPr>
            <w:tcW w:w="7440" w:type="dxa"/>
            <w:shd w:val="clear" w:color="auto" w:fill="auto"/>
          </w:tcPr>
          <w:p w14:paraId="32B0042B">
            <w:pPr>
              <w:pStyle w:val="7"/>
            </w:pPr>
            <w:r>
              <w:rPr>
                <w:rFonts w:hint="eastAsia"/>
              </w:rPr>
              <w:t xml:space="preserve">http://www.cs.ecitic.com/ </w:t>
            </w:r>
          </w:p>
        </w:tc>
      </w:tr>
    </w:tbl>
    <w:p w14:paraId="6F010D33">
      <w:pPr>
        <w:pStyle w:val="7"/>
        <w:spacing w:before="0" w:beforeAutospacing="0" w:after="0" w:afterAutospacing="0" w:line="360" w:lineRule="auto"/>
        <w:ind w:firstLine="420"/>
        <w:rPr>
          <w:sz w:val="21"/>
          <w:szCs w:val="21"/>
        </w:rPr>
      </w:pPr>
      <w:r>
        <w:rPr>
          <w:rFonts w:hint="eastAsia"/>
          <w:b/>
          <w:bCs/>
          <w:sz w:val="21"/>
          <w:szCs w:val="21"/>
        </w:rPr>
        <w:t>(6)中信证券（山东）有限责任公司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0880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7CCF5">
            <w:pPr>
              <w:pStyle w:val="7"/>
            </w:pPr>
            <w:r>
              <w:rPr>
                <w:rFonts w:hint="eastAsia"/>
              </w:rPr>
              <w:t xml:space="preserve">注册地址： </w:t>
            </w:r>
          </w:p>
        </w:tc>
        <w:tc>
          <w:tcPr>
            <w:tcW w:w="7440" w:type="dxa"/>
            <w:shd w:val="clear" w:color="auto" w:fill="auto"/>
          </w:tcPr>
          <w:p w14:paraId="1E248D8C">
            <w:pPr>
              <w:pStyle w:val="7"/>
            </w:pPr>
            <w:r>
              <w:rPr>
                <w:rFonts w:hint="eastAsia"/>
              </w:rPr>
              <w:t xml:space="preserve">青岛市崂山区深圳路222号1号楼2001 </w:t>
            </w:r>
          </w:p>
        </w:tc>
      </w:tr>
      <w:tr w14:paraId="0587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1DF591">
            <w:pPr>
              <w:pStyle w:val="7"/>
            </w:pPr>
            <w:r>
              <w:rPr>
                <w:rFonts w:hint="eastAsia"/>
              </w:rPr>
              <w:t xml:space="preserve">办公地址： </w:t>
            </w:r>
          </w:p>
        </w:tc>
        <w:tc>
          <w:tcPr>
            <w:tcW w:w="7440" w:type="dxa"/>
            <w:shd w:val="clear" w:color="auto" w:fill="auto"/>
          </w:tcPr>
          <w:p w14:paraId="6446D637">
            <w:pPr>
              <w:pStyle w:val="7"/>
            </w:pPr>
            <w:r>
              <w:rPr>
                <w:rFonts w:hint="eastAsia"/>
              </w:rPr>
              <w:t xml:space="preserve">青岛市市南区东海西路28号龙翔广场东座5层 </w:t>
            </w:r>
          </w:p>
        </w:tc>
      </w:tr>
      <w:tr w14:paraId="5D91F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5313E1">
            <w:pPr>
              <w:pStyle w:val="7"/>
            </w:pPr>
            <w:r>
              <w:rPr>
                <w:rFonts w:hint="eastAsia"/>
              </w:rPr>
              <w:t xml:space="preserve">法定代表人： </w:t>
            </w:r>
          </w:p>
        </w:tc>
        <w:tc>
          <w:tcPr>
            <w:tcW w:w="7440" w:type="dxa"/>
            <w:shd w:val="clear" w:color="auto" w:fill="auto"/>
          </w:tcPr>
          <w:p w14:paraId="29362E58">
            <w:pPr>
              <w:pStyle w:val="7"/>
            </w:pPr>
            <w:r>
              <w:rPr>
                <w:rFonts w:hint="eastAsia"/>
              </w:rPr>
              <w:t xml:space="preserve">肖海峰 </w:t>
            </w:r>
          </w:p>
        </w:tc>
      </w:tr>
      <w:tr w14:paraId="5291F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2CC1C9">
            <w:pPr>
              <w:pStyle w:val="7"/>
            </w:pPr>
            <w:r>
              <w:rPr>
                <w:rFonts w:hint="eastAsia"/>
              </w:rPr>
              <w:t xml:space="preserve">联系人： </w:t>
            </w:r>
          </w:p>
        </w:tc>
        <w:tc>
          <w:tcPr>
            <w:tcW w:w="7440" w:type="dxa"/>
            <w:shd w:val="clear" w:color="auto" w:fill="auto"/>
          </w:tcPr>
          <w:p w14:paraId="758AF216">
            <w:pPr>
              <w:pStyle w:val="7"/>
            </w:pPr>
            <w:r>
              <w:rPr>
                <w:rFonts w:hint="eastAsia"/>
              </w:rPr>
              <w:t xml:space="preserve">赵如意 </w:t>
            </w:r>
          </w:p>
        </w:tc>
      </w:tr>
      <w:tr w14:paraId="7FC1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92D644">
            <w:pPr>
              <w:pStyle w:val="7"/>
            </w:pPr>
            <w:r>
              <w:rPr>
                <w:rFonts w:hint="eastAsia"/>
              </w:rPr>
              <w:t xml:space="preserve">电话： </w:t>
            </w:r>
          </w:p>
        </w:tc>
        <w:tc>
          <w:tcPr>
            <w:tcW w:w="7440" w:type="dxa"/>
            <w:shd w:val="clear" w:color="auto" w:fill="auto"/>
          </w:tcPr>
          <w:p w14:paraId="3874755A">
            <w:pPr>
              <w:pStyle w:val="7"/>
            </w:pPr>
            <w:r>
              <w:rPr>
                <w:rFonts w:hint="eastAsia"/>
              </w:rPr>
              <w:t xml:space="preserve">0532-85725062 </w:t>
            </w:r>
          </w:p>
        </w:tc>
      </w:tr>
      <w:tr w14:paraId="5C0E4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F07B1">
            <w:pPr>
              <w:pStyle w:val="7"/>
            </w:pPr>
            <w:r>
              <w:rPr>
                <w:rFonts w:hint="eastAsia"/>
              </w:rPr>
              <w:t xml:space="preserve">客户服务电话： </w:t>
            </w:r>
          </w:p>
        </w:tc>
        <w:tc>
          <w:tcPr>
            <w:tcW w:w="7440" w:type="dxa"/>
            <w:shd w:val="clear" w:color="auto" w:fill="auto"/>
          </w:tcPr>
          <w:p w14:paraId="3602F134">
            <w:pPr>
              <w:pStyle w:val="7"/>
            </w:pPr>
            <w:r>
              <w:rPr>
                <w:rFonts w:hint="eastAsia"/>
              </w:rPr>
              <w:t xml:space="preserve">95548 </w:t>
            </w:r>
          </w:p>
        </w:tc>
      </w:tr>
      <w:tr w14:paraId="4778E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6649BC">
            <w:pPr>
              <w:pStyle w:val="7"/>
            </w:pPr>
            <w:r>
              <w:rPr>
                <w:rFonts w:hint="eastAsia"/>
              </w:rPr>
              <w:t xml:space="preserve">网址： </w:t>
            </w:r>
          </w:p>
        </w:tc>
        <w:tc>
          <w:tcPr>
            <w:tcW w:w="7440" w:type="dxa"/>
            <w:shd w:val="clear" w:color="auto" w:fill="auto"/>
          </w:tcPr>
          <w:p w14:paraId="6EF1DF3F">
            <w:pPr>
              <w:pStyle w:val="7"/>
            </w:pPr>
            <w:r>
              <w:rPr>
                <w:rFonts w:hint="eastAsia"/>
              </w:rPr>
              <w:t xml:space="preserve">sd.citics.com </w:t>
            </w:r>
          </w:p>
        </w:tc>
      </w:tr>
    </w:tbl>
    <w:p w14:paraId="58D719CA">
      <w:pPr>
        <w:pStyle w:val="7"/>
        <w:spacing w:before="0" w:beforeAutospacing="0" w:after="0" w:afterAutospacing="0" w:line="360" w:lineRule="auto"/>
        <w:ind w:firstLine="420"/>
        <w:rPr>
          <w:sz w:val="21"/>
          <w:szCs w:val="21"/>
        </w:rPr>
      </w:pPr>
      <w:r>
        <w:rPr>
          <w:rFonts w:hint="eastAsia"/>
          <w:b/>
          <w:bCs/>
          <w:sz w:val="21"/>
          <w:szCs w:val="21"/>
        </w:rPr>
        <w:t>(7)中信证券华南股份有限公司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24AD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4E511D">
            <w:pPr>
              <w:pStyle w:val="7"/>
            </w:pPr>
            <w:r>
              <w:rPr>
                <w:rFonts w:hint="eastAsia"/>
              </w:rPr>
              <w:t xml:space="preserve">注册地址： </w:t>
            </w:r>
          </w:p>
        </w:tc>
        <w:tc>
          <w:tcPr>
            <w:tcW w:w="7440" w:type="dxa"/>
            <w:shd w:val="clear" w:color="auto" w:fill="auto"/>
          </w:tcPr>
          <w:p w14:paraId="5B81BF08">
            <w:pPr>
              <w:pStyle w:val="7"/>
            </w:pPr>
            <w:r>
              <w:rPr>
                <w:rFonts w:hint="eastAsia"/>
              </w:rPr>
              <w:t xml:space="preserve">广州市天河区珠江西路5号广州国际金融中心主塔19层、20层 </w:t>
            </w:r>
          </w:p>
        </w:tc>
      </w:tr>
      <w:tr w14:paraId="56B1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CAF6AE">
            <w:pPr>
              <w:pStyle w:val="7"/>
            </w:pPr>
            <w:r>
              <w:rPr>
                <w:rFonts w:hint="eastAsia"/>
              </w:rPr>
              <w:t xml:space="preserve">办公地址： </w:t>
            </w:r>
          </w:p>
        </w:tc>
        <w:tc>
          <w:tcPr>
            <w:tcW w:w="7440" w:type="dxa"/>
            <w:shd w:val="clear" w:color="auto" w:fill="auto"/>
          </w:tcPr>
          <w:p w14:paraId="08BD70F2">
            <w:pPr>
              <w:pStyle w:val="7"/>
            </w:pPr>
            <w:r>
              <w:rPr>
                <w:rFonts w:hint="eastAsia"/>
              </w:rPr>
              <w:t xml:space="preserve">广州市天河区珠江西路5号广州国际金融中心主塔19层、20层 </w:t>
            </w:r>
          </w:p>
        </w:tc>
      </w:tr>
      <w:tr w14:paraId="5C117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4CCCC">
            <w:pPr>
              <w:pStyle w:val="7"/>
            </w:pPr>
            <w:r>
              <w:rPr>
                <w:rFonts w:hint="eastAsia"/>
              </w:rPr>
              <w:t xml:space="preserve">法定代表人： </w:t>
            </w:r>
          </w:p>
        </w:tc>
        <w:tc>
          <w:tcPr>
            <w:tcW w:w="7440" w:type="dxa"/>
            <w:shd w:val="clear" w:color="auto" w:fill="auto"/>
          </w:tcPr>
          <w:p w14:paraId="2CA10661">
            <w:pPr>
              <w:pStyle w:val="7"/>
            </w:pPr>
            <w:r>
              <w:rPr>
                <w:rFonts w:hint="eastAsia"/>
              </w:rPr>
              <w:t xml:space="preserve">陈可可 </w:t>
            </w:r>
          </w:p>
        </w:tc>
      </w:tr>
      <w:tr w14:paraId="5432F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A7DE4">
            <w:pPr>
              <w:pStyle w:val="7"/>
            </w:pPr>
            <w:r>
              <w:rPr>
                <w:rFonts w:hint="eastAsia"/>
              </w:rPr>
              <w:t xml:space="preserve">联系人： </w:t>
            </w:r>
          </w:p>
        </w:tc>
        <w:tc>
          <w:tcPr>
            <w:tcW w:w="7440" w:type="dxa"/>
            <w:shd w:val="clear" w:color="auto" w:fill="auto"/>
          </w:tcPr>
          <w:p w14:paraId="63066DE6">
            <w:pPr>
              <w:pStyle w:val="7"/>
            </w:pPr>
            <w:r>
              <w:rPr>
                <w:rFonts w:hint="eastAsia"/>
              </w:rPr>
              <w:t xml:space="preserve">郭杏燕 </w:t>
            </w:r>
          </w:p>
        </w:tc>
      </w:tr>
      <w:tr w14:paraId="5491F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2524D">
            <w:pPr>
              <w:pStyle w:val="7"/>
            </w:pPr>
            <w:r>
              <w:rPr>
                <w:rFonts w:hint="eastAsia"/>
              </w:rPr>
              <w:t xml:space="preserve">电话： </w:t>
            </w:r>
          </w:p>
        </w:tc>
        <w:tc>
          <w:tcPr>
            <w:tcW w:w="7440" w:type="dxa"/>
            <w:shd w:val="clear" w:color="auto" w:fill="auto"/>
          </w:tcPr>
          <w:p w14:paraId="5F72A7E8">
            <w:pPr>
              <w:pStyle w:val="7"/>
            </w:pPr>
            <w:r>
              <w:rPr>
                <w:rFonts w:hint="eastAsia"/>
              </w:rPr>
              <w:t xml:space="preserve">020-88836999 </w:t>
            </w:r>
          </w:p>
        </w:tc>
      </w:tr>
      <w:tr w14:paraId="1AFE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9C741">
            <w:pPr>
              <w:pStyle w:val="7"/>
            </w:pPr>
            <w:r>
              <w:rPr>
                <w:rFonts w:hint="eastAsia"/>
              </w:rPr>
              <w:t xml:space="preserve">传真： </w:t>
            </w:r>
          </w:p>
        </w:tc>
        <w:tc>
          <w:tcPr>
            <w:tcW w:w="7440" w:type="dxa"/>
            <w:shd w:val="clear" w:color="auto" w:fill="auto"/>
          </w:tcPr>
          <w:p w14:paraId="1AE59797">
            <w:pPr>
              <w:pStyle w:val="7"/>
            </w:pPr>
            <w:r>
              <w:rPr>
                <w:rFonts w:hint="eastAsia"/>
              </w:rPr>
              <w:t xml:space="preserve">020-88836984 </w:t>
            </w:r>
          </w:p>
        </w:tc>
      </w:tr>
      <w:tr w14:paraId="3ED65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BE127">
            <w:pPr>
              <w:pStyle w:val="7"/>
            </w:pPr>
            <w:r>
              <w:rPr>
                <w:rFonts w:hint="eastAsia"/>
              </w:rPr>
              <w:t xml:space="preserve">客户服务电话： </w:t>
            </w:r>
          </w:p>
        </w:tc>
        <w:tc>
          <w:tcPr>
            <w:tcW w:w="7440" w:type="dxa"/>
            <w:shd w:val="clear" w:color="auto" w:fill="auto"/>
          </w:tcPr>
          <w:p w14:paraId="5C91531A">
            <w:pPr>
              <w:pStyle w:val="7"/>
            </w:pPr>
            <w:r>
              <w:rPr>
                <w:rFonts w:hint="eastAsia"/>
              </w:rPr>
              <w:t xml:space="preserve">95548 </w:t>
            </w:r>
          </w:p>
        </w:tc>
      </w:tr>
      <w:tr w14:paraId="6010E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6812E2">
            <w:pPr>
              <w:pStyle w:val="7"/>
            </w:pPr>
            <w:r>
              <w:rPr>
                <w:rFonts w:hint="eastAsia"/>
              </w:rPr>
              <w:t xml:space="preserve">网址： </w:t>
            </w:r>
          </w:p>
        </w:tc>
        <w:tc>
          <w:tcPr>
            <w:tcW w:w="7440" w:type="dxa"/>
            <w:shd w:val="clear" w:color="auto" w:fill="auto"/>
          </w:tcPr>
          <w:p w14:paraId="359DC76B">
            <w:pPr>
              <w:pStyle w:val="7"/>
            </w:pPr>
            <w:r>
              <w:rPr>
                <w:rFonts w:hint="eastAsia"/>
              </w:rPr>
              <w:t xml:space="preserve">http://www.gzs.com.cn </w:t>
            </w:r>
          </w:p>
        </w:tc>
      </w:tr>
    </w:tbl>
    <w:p w14:paraId="0A971E39">
      <w:pPr>
        <w:rPr>
          <w:rFonts w:ascii="宋体" w:hAnsi="宋体" w:eastAsia="宋体"/>
          <w:sz w:val="24"/>
          <w:szCs w:val="24"/>
        </w:rPr>
      </w:pPr>
      <w:bookmarkStart w:id="64" w:name="field_0_allproxysaletables_1_end"/>
      <w:bookmarkEnd w:id="64"/>
      <w:bookmarkStart w:id="65" w:name="chapter_level1_7_56_section_2_end"/>
      <w:bookmarkEnd w:id="65"/>
      <w:r>
        <w:rPr>
          <w:rFonts w:ascii="宋体" w:hAnsi="宋体" w:eastAsia="宋体"/>
        </w:rPr>
        <w:t xml:space="preserve"> </w:t>
      </w:r>
    </w:p>
    <w:p w14:paraId="1C436043">
      <w:pPr>
        <w:pStyle w:val="7"/>
        <w:spacing w:before="0" w:beforeAutospacing="0" w:after="0" w:afterAutospacing="0" w:line="360" w:lineRule="auto"/>
        <w:ind w:firstLine="420"/>
        <w:rPr>
          <w:sz w:val="21"/>
          <w:szCs w:val="21"/>
        </w:rPr>
      </w:pPr>
      <w:bookmarkStart w:id="66" w:name="chapter_level1_7_56_section_3"/>
      <w:bookmarkEnd w:id="66"/>
      <w:r>
        <w:rPr>
          <w:rStyle w:val="11"/>
          <w:rFonts w:hint="eastAsia"/>
          <w:sz w:val="21"/>
          <w:szCs w:val="21"/>
        </w:rPr>
        <w:t>二、登记机构</w:t>
      </w:r>
    </w:p>
    <w:p w14:paraId="6C6F44A0">
      <w:pPr>
        <w:pStyle w:val="7"/>
        <w:spacing w:before="0" w:beforeAutospacing="0" w:after="0" w:afterAutospacing="0" w:line="360" w:lineRule="auto"/>
        <w:ind w:firstLine="420"/>
        <w:rPr>
          <w:sz w:val="21"/>
          <w:szCs w:val="21"/>
        </w:rPr>
      </w:pPr>
      <w:bookmarkStart w:id="67" w:name="field_0_registercompanyinfo_1_start"/>
      <w:bookmarkEnd w:id="67"/>
      <w:r>
        <w:rPr>
          <w:rFonts w:hint="eastAsia"/>
          <w:sz w:val="21"/>
          <w:szCs w:val="21"/>
        </w:rPr>
        <w:t xml:space="preserve">名称：博时基金管理有限公司 </w:t>
      </w:r>
    </w:p>
    <w:p w14:paraId="6F544F5D">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348AD400">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5F19339D">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679410A3">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21EC9B10">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6C1BCA59">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8" w:name="field_0_registercompanyinfo_1_end"/>
      <w:bookmarkEnd w:id="68"/>
      <w:r>
        <w:rPr>
          <w:rFonts w:hint="eastAsia"/>
          <w:sz w:val="21"/>
          <w:szCs w:val="21"/>
        </w:rPr>
        <w:t xml:space="preserve"> </w:t>
      </w:r>
    </w:p>
    <w:p w14:paraId="4850D25E">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3B4B71AC">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6DF69925">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2C26D5E9">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66F2BD40">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41CD6523">
      <w:pPr>
        <w:pStyle w:val="7"/>
        <w:spacing w:before="0" w:beforeAutospacing="0" w:after="0" w:afterAutospacing="0" w:line="360" w:lineRule="auto"/>
        <w:ind w:firstLine="420"/>
        <w:rPr>
          <w:sz w:val="21"/>
          <w:szCs w:val="21"/>
        </w:rPr>
      </w:pPr>
      <w:r>
        <w:rPr>
          <w:rFonts w:hint="eastAsia"/>
          <w:sz w:val="21"/>
          <w:szCs w:val="21"/>
        </w:rPr>
        <w:t xml:space="preserve">电话：021- 31358666 </w:t>
      </w:r>
    </w:p>
    <w:p w14:paraId="4CD24D6D">
      <w:pPr>
        <w:pStyle w:val="7"/>
        <w:spacing w:before="0" w:beforeAutospacing="0" w:after="0" w:afterAutospacing="0" w:line="360" w:lineRule="auto"/>
        <w:ind w:firstLine="420"/>
        <w:rPr>
          <w:sz w:val="21"/>
          <w:szCs w:val="21"/>
        </w:rPr>
      </w:pPr>
      <w:r>
        <w:rPr>
          <w:rFonts w:hint="eastAsia"/>
          <w:sz w:val="21"/>
          <w:szCs w:val="21"/>
        </w:rPr>
        <w:t xml:space="preserve">传真：021- 31358600 </w:t>
      </w:r>
    </w:p>
    <w:p w14:paraId="00C9616C">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2E398920">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7AF8E4E9">
      <w:pPr>
        <w:pStyle w:val="7"/>
        <w:spacing w:before="0" w:beforeAutospacing="0" w:after="0" w:afterAutospacing="0" w:line="360" w:lineRule="auto"/>
        <w:ind w:firstLine="420"/>
        <w:rPr>
          <w:sz w:val="21"/>
          <w:szCs w:val="21"/>
        </w:rPr>
      </w:pPr>
      <w:r>
        <w:rPr>
          <w:rStyle w:val="11"/>
          <w:rFonts w:hint="eastAsia"/>
          <w:sz w:val="21"/>
          <w:szCs w:val="21"/>
        </w:rPr>
        <w:t>四、审计基金财产的会计师事务所</w:t>
      </w:r>
    </w:p>
    <w:p w14:paraId="7D01C56D">
      <w:pPr>
        <w:pStyle w:val="7"/>
        <w:spacing w:before="0" w:beforeAutospacing="0" w:after="0" w:afterAutospacing="0" w:line="360" w:lineRule="auto"/>
        <w:ind w:firstLine="420"/>
        <w:rPr>
          <w:sz w:val="21"/>
          <w:szCs w:val="21"/>
        </w:rPr>
      </w:pPr>
      <w:bookmarkStart w:id="69" w:name="field_0_accountingcompanyinfo_1_start"/>
      <w:bookmarkEnd w:id="69"/>
      <w:r>
        <w:rPr>
          <w:rFonts w:hint="eastAsia"/>
          <w:sz w:val="21"/>
          <w:szCs w:val="21"/>
        </w:rPr>
        <w:t xml:space="preserve">名称：安永华明会计师事务所（特殊普通合伙） </w:t>
      </w:r>
    </w:p>
    <w:p w14:paraId="34FC2C2A">
      <w:pPr>
        <w:pStyle w:val="7"/>
        <w:spacing w:before="0" w:beforeAutospacing="0" w:after="0" w:afterAutospacing="0" w:line="360" w:lineRule="auto"/>
        <w:ind w:firstLine="420"/>
        <w:rPr>
          <w:sz w:val="21"/>
          <w:szCs w:val="21"/>
        </w:rPr>
      </w:pPr>
      <w:r>
        <w:rPr>
          <w:rFonts w:hint="eastAsia"/>
          <w:sz w:val="21"/>
          <w:szCs w:val="21"/>
        </w:rPr>
        <w:t xml:space="preserve">住所： 北京市东城区东长安街1号东方广场安永大楼17层01-12室  </w:t>
      </w:r>
    </w:p>
    <w:p w14:paraId="7A6702CE">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4D163D9E">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020CDBAC">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067643EE">
      <w:pPr>
        <w:pStyle w:val="7"/>
        <w:spacing w:before="0" w:beforeAutospacing="0" w:after="0" w:afterAutospacing="0" w:line="360" w:lineRule="auto"/>
        <w:ind w:firstLine="420"/>
        <w:rPr>
          <w:sz w:val="21"/>
          <w:szCs w:val="21"/>
        </w:rPr>
      </w:pPr>
      <w:r>
        <w:rPr>
          <w:rFonts w:hint="eastAsia"/>
          <w:sz w:val="21"/>
          <w:szCs w:val="21"/>
        </w:rPr>
        <w:t xml:space="preserve">传真：（010）85188298  </w:t>
      </w:r>
    </w:p>
    <w:p w14:paraId="41A6526A">
      <w:pPr>
        <w:pStyle w:val="7"/>
        <w:spacing w:before="0" w:beforeAutospacing="0" w:after="0" w:afterAutospacing="0" w:line="360" w:lineRule="auto"/>
        <w:ind w:firstLine="420"/>
        <w:rPr>
          <w:sz w:val="21"/>
          <w:szCs w:val="21"/>
        </w:rPr>
      </w:pPr>
      <w:r>
        <w:rPr>
          <w:rFonts w:hint="eastAsia"/>
          <w:sz w:val="21"/>
          <w:szCs w:val="21"/>
        </w:rPr>
        <w:t xml:space="preserve">经办注册会计师：楼坚、王海彦、朱燕 </w:t>
      </w:r>
    </w:p>
    <w:p w14:paraId="26859045">
      <w:pPr>
        <w:pStyle w:val="7"/>
        <w:spacing w:before="0" w:beforeAutospacing="0" w:after="0" w:afterAutospacing="0" w:line="360" w:lineRule="auto"/>
        <w:ind w:firstLine="420"/>
        <w:rPr>
          <w:sz w:val="21"/>
          <w:szCs w:val="21"/>
        </w:rPr>
      </w:pPr>
      <w:bookmarkStart w:id="70" w:name="chapter_level1_7_56_section_3_end"/>
      <w:bookmarkEnd w:id="70"/>
      <w:r>
        <w:rPr>
          <w:rFonts w:hint="eastAsia"/>
          <w:sz w:val="21"/>
          <w:szCs w:val="21"/>
        </w:rPr>
        <w:t xml:space="preserve">联系人：朱燕 </w:t>
      </w:r>
      <w:bookmarkStart w:id="71" w:name="field_0_accountingcompanyinfo_1_end"/>
      <w:bookmarkEnd w:id="71"/>
      <w:r>
        <w:rPr>
          <w:rFonts w:hint="eastAsia"/>
          <w:sz w:val="21"/>
          <w:szCs w:val="21"/>
        </w:rPr>
        <w:t xml:space="preserve"> </w:t>
      </w:r>
    </w:p>
    <w:p w14:paraId="3CB32E41">
      <w:pPr>
        <w:widowControl/>
        <w:jc w:val="left"/>
        <w:rPr>
          <w:rFonts w:ascii="宋体" w:hAnsi="宋体" w:eastAsia="宋体"/>
        </w:rPr>
      </w:pPr>
      <w:r>
        <w:rPr>
          <w:rFonts w:ascii="宋体" w:hAnsi="宋体" w:eastAsia="宋体"/>
        </w:rPr>
        <w:br w:type="page"/>
      </w:r>
    </w:p>
    <w:p w14:paraId="1143EEC7">
      <w:pPr>
        <w:pStyle w:val="2"/>
        <w:jc w:val="center"/>
        <w:rPr>
          <w:rFonts w:ascii="宋体" w:hAnsi="宋体" w:eastAsia="宋体"/>
          <w:sz w:val="30"/>
        </w:rPr>
      </w:pPr>
      <w:bookmarkStart w:id="72" w:name="_Toc209538273"/>
      <w:bookmarkStart w:id="73" w:name="chapter_level1_9_58"/>
      <w:r>
        <w:rPr>
          <w:rFonts w:hint="eastAsia" w:ascii="宋体" w:hAnsi="宋体" w:eastAsia="宋体"/>
          <w:sz w:val="30"/>
        </w:rPr>
        <w:t>第六部分 基金的募集与基金合同的生效</w:t>
      </w:r>
      <w:bookmarkEnd w:id="72"/>
      <w:bookmarkEnd w:id="73"/>
    </w:p>
    <w:p w14:paraId="32D52121">
      <w:pPr>
        <w:pStyle w:val="7"/>
        <w:spacing w:before="0" w:beforeAutospacing="0" w:after="0" w:afterAutospacing="0" w:line="360" w:lineRule="auto"/>
        <w:ind w:firstLine="420"/>
        <w:rPr>
          <w:sz w:val="21"/>
          <w:szCs w:val="21"/>
        </w:rPr>
      </w:pPr>
      <w:bookmarkStart w:id="74" w:name="chapter_level1_9_58_section_1"/>
      <w:bookmarkEnd w:id="74"/>
      <w:r>
        <w:rPr>
          <w:rFonts w:hint="eastAsia"/>
          <w:b/>
          <w:bCs/>
          <w:sz w:val="21"/>
          <w:szCs w:val="21"/>
        </w:rPr>
        <w:t>一．基金的募集</w:t>
      </w:r>
    </w:p>
    <w:p w14:paraId="0D9E1B5A">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5" w:name="field_2343_approveddate_2"/>
      <w:r>
        <w:rPr>
          <w:sz w:val="21"/>
          <w:szCs w:val="21"/>
        </w:rPr>
        <w:t>2021年3月30日</w:t>
      </w:r>
      <w:bookmarkEnd w:id="75"/>
      <w:r>
        <w:rPr>
          <w:rFonts w:hint="eastAsia"/>
          <w:sz w:val="21"/>
          <w:szCs w:val="21"/>
        </w:rPr>
        <w:t>证监许可</w:t>
      </w:r>
      <w:bookmarkStart w:id="76" w:name="field_2343_lotnumber_2"/>
      <w:r>
        <w:rPr>
          <w:rFonts w:hint="eastAsia"/>
          <w:sz w:val="21"/>
          <w:szCs w:val="21"/>
        </w:rPr>
        <w:t>【</w:t>
      </w:r>
      <w:r>
        <w:rPr>
          <w:sz w:val="21"/>
          <w:szCs w:val="21"/>
        </w:rPr>
        <w:t>2021】1060</w:t>
      </w:r>
      <w:bookmarkEnd w:id="76"/>
      <w:r>
        <w:rPr>
          <w:rFonts w:hint="eastAsia"/>
          <w:sz w:val="21"/>
          <w:szCs w:val="21"/>
        </w:rPr>
        <w:t xml:space="preserve">号文准予募集注册。 </w:t>
      </w:r>
    </w:p>
    <w:p w14:paraId="7F07555C">
      <w:pPr>
        <w:pStyle w:val="7"/>
        <w:spacing w:before="0" w:beforeAutospacing="0" w:after="0" w:afterAutospacing="0" w:line="360" w:lineRule="auto"/>
        <w:ind w:firstLine="420"/>
        <w:rPr>
          <w:sz w:val="21"/>
          <w:szCs w:val="21"/>
        </w:rPr>
      </w:pPr>
      <w:r>
        <w:rPr>
          <w:rFonts w:hint="eastAsia"/>
          <w:sz w:val="21"/>
          <w:szCs w:val="21"/>
        </w:rPr>
        <w:t>本基金募集期自</w:t>
      </w:r>
      <w:bookmarkStart w:id="77" w:name="field_58_raisebegindate_1"/>
      <w:r>
        <w:rPr>
          <w:sz w:val="21"/>
          <w:szCs w:val="21"/>
        </w:rPr>
        <w:t>2021年9月13日</w:t>
      </w:r>
      <w:bookmarkEnd w:id="77"/>
      <w:r>
        <w:rPr>
          <w:rFonts w:hint="eastAsia"/>
          <w:sz w:val="21"/>
          <w:szCs w:val="21"/>
        </w:rPr>
        <w:t>至</w:t>
      </w:r>
      <w:bookmarkStart w:id="78" w:name="field_58_raiseenddate_1"/>
      <w:r>
        <w:rPr>
          <w:sz w:val="21"/>
          <w:szCs w:val="21"/>
        </w:rPr>
        <w:t>2021年9月30日</w:t>
      </w:r>
      <w:bookmarkEnd w:id="78"/>
      <w:r>
        <w:rPr>
          <w:rFonts w:hint="eastAsia"/>
          <w:sz w:val="21"/>
          <w:szCs w:val="21"/>
        </w:rPr>
        <w:t>期间，基金份额共募集</w:t>
      </w:r>
      <w:bookmarkStart w:id="79" w:name="field_58_raisetotal_1"/>
      <w:r>
        <w:rPr>
          <w:sz w:val="21"/>
          <w:szCs w:val="21"/>
        </w:rPr>
        <w:t>343,962,608.80</w:t>
      </w:r>
      <w:bookmarkEnd w:id="79"/>
      <w:r>
        <w:rPr>
          <w:rFonts w:hint="eastAsia"/>
          <w:sz w:val="21"/>
          <w:szCs w:val="21"/>
        </w:rPr>
        <w:t>份（含利息结转的份额），募集有效认购总户数为</w:t>
      </w:r>
      <w:bookmarkStart w:id="80" w:name="field_58_effectivetotal_1"/>
      <w:r>
        <w:rPr>
          <w:sz w:val="21"/>
          <w:szCs w:val="21"/>
        </w:rPr>
        <w:t>1,893</w:t>
      </w:r>
      <w:bookmarkEnd w:id="80"/>
      <w:r>
        <w:rPr>
          <w:rFonts w:hint="eastAsia"/>
          <w:sz w:val="21"/>
          <w:szCs w:val="21"/>
        </w:rPr>
        <w:t xml:space="preserve">户。 </w:t>
      </w:r>
    </w:p>
    <w:p w14:paraId="45F96E4A">
      <w:pPr>
        <w:pStyle w:val="7"/>
        <w:spacing w:before="0" w:beforeAutospacing="0" w:after="0" w:afterAutospacing="0" w:line="360" w:lineRule="auto"/>
        <w:ind w:firstLine="420"/>
        <w:rPr>
          <w:sz w:val="21"/>
          <w:szCs w:val="21"/>
        </w:rPr>
      </w:pPr>
      <w:r>
        <w:rPr>
          <w:rFonts w:hint="eastAsia"/>
          <w:sz w:val="21"/>
          <w:szCs w:val="21"/>
        </w:rPr>
        <w:t>本基金的运作方式为</w:t>
      </w:r>
      <w:bookmarkStart w:id="81" w:name="field_58_operation_1"/>
      <w:r>
        <w:rPr>
          <w:rFonts w:hint="eastAsia"/>
          <w:sz w:val="21"/>
          <w:szCs w:val="21"/>
        </w:rPr>
        <w:t>契约型开放式</w:t>
      </w:r>
      <w:bookmarkEnd w:id="81"/>
      <w:r>
        <w:rPr>
          <w:rFonts w:hint="eastAsia"/>
          <w:sz w:val="21"/>
          <w:szCs w:val="21"/>
        </w:rPr>
        <w:t>，存续期间为</w:t>
      </w:r>
      <w:bookmarkStart w:id="82" w:name="field_58_duration_1"/>
      <w:r>
        <w:rPr>
          <w:rFonts w:hint="eastAsia"/>
          <w:sz w:val="21"/>
          <w:szCs w:val="21"/>
        </w:rPr>
        <w:t>不定期</w:t>
      </w:r>
      <w:bookmarkEnd w:id="82"/>
      <w:r>
        <w:rPr>
          <w:rFonts w:hint="eastAsia"/>
          <w:sz w:val="21"/>
          <w:szCs w:val="21"/>
        </w:rPr>
        <w:t xml:space="preserve">。 </w:t>
      </w:r>
    </w:p>
    <w:p w14:paraId="3AC5481B">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639D33F6">
      <w:pPr>
        <w:pStyle w:val="7"/>
        <w:spacing w:before="0" w:beforeAutospacing="0" w:after="0" w:afterAutospacing="0" w:line="360" w:lineRule="auto"/>
        <w:ind w:firstLine="420"/>
        <w:rPr>
          <w:sz w:val="21"/>
          <w:szCs w:val="21"/>
        </w:rPr>
      </w:pPr>
      <w:bookmarkStart w:id="83" w:name="chapter_level1_9_58_section_1_end"/>
      <w:bookmarkEnd w:id="83"/>
      <w:r>
        <w:rPr>
          <w:rFonts w:hint="eastAsia"/>
          <w:sz w:val="21"/>
          <w:szCs w:val="21"/>
        </w:rPr>
        <w:t>本基金的基金合同已于</w:t>
      </w:r>
      <w:bookmarkStart w:id="84" w:name="field_0_foundday_1"/>
      <w:r>
        <w:rPr>
          <w:sz w:val="21"/>
          <w:szCs w:val="21"/>
        </w:rPr>
        <w:t>2021年10月11日</w:t>
      </w:r>
      <w:bookmarkEnd w:id="84"/>
      <w:r>
        <w:rPr>
          <w:rFonts w:hint="eastAsia"/>
          <w:sz w:val="21"/>
          <w:szCs w:val="21"/>
        </w:rPr>
        <w:t xml:space="preserve">正式生效。 </w:t>
      </w:r>
    </w:p>
    <w:p w14:paraId="4221F98D">
      <w:pPr>
        <w:pStyle w:val="7"/>
        <w:spacing w:before="0" w:beforeAutospacing="0" w:after="0" w:afterAutospacing="0" w:line="360" w:lineRule="auto"/>
        <w:ind w:firstLine="420"/>
        <w:rPr>
          <w:sz w:val="21"/>
          <w:szCs w:val="21"/>
        </w:rPr>
      </w:pPr>
      <w:bookmarkStart w:id="85" w:name="chapter_level1_9_58_section_2"/>
      <w:bookmarkEnd w:id="85"/>
      <w:r>
        <w:rPr>
          <w:rStyle w:val="11"/>
          <w:rFonts w:hint="eastAsia"/>
          <w:sz w:val="21"/>
          <w:szCs w:val="21"/>
        </w:rPr>
        <w:t>三、基金存续期内的基金份额持有人数量和资产规模</w:t>
      </w:r>
    </w:p>
    <w:p w14:paraId="4320D73C">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 </w:t>
      </w:r>
    </w:p>
    <w:p w14:paraId="41FD927F">
      <w:pPr>
        <w:pStyle w:val="7"/>
        <w:spacing w:before="0" w:beforeAutospacing="0" w:after="0" w:afterAutospacing="0" w:line="360" w:lineRule="auto"/>
        <w:ind w:firstLine="420"/>
        <w:rPr>
          <w:sz w:val="21"/>
          <w:szCs w:val="21"/>
        </w:rPr>
      </w:pPr>
      <w:bookmarkStart w:id="86" w:name="chapter_level1_9_58_section_2_end"/>
      <w:bookmarkEnd w:id="86"/>
      <w:r>
        <w:rPr>
          <w:rFonts w:hint="eastAsia"/>
          <w:sz w:val="21"/>
          <w:szCs w:val="21"/>
        </w:rPr>
        <w:t xml:space="preserve">法律法规或中国证监会另有规定时，从其规定。 </w:t>
      </w:r>
    </w:p>
    <w:p w14:paraId="45C80B0A">
      <w:pPr>
        <w:widowControl/>
        <w:jc w:val="left"/>
        <w:rPr>
          <w:rFonts w:ascii="宋体" w:hAnsi="宋体" w:eastAsia="宋体"/>
        </w:rPr>
      </w:pPr>
      <w:r>
        <w:rPr>
          <w:rFonts w:ascii="宋体" w:hAnsi="宋体" w:eastAsia="宋体"/>
        </w:rPr>
        <w:br w:type="page"/>
      </w:r>
    </w:p>
    <w:p w14:paraId="4672DBEA">
      <w:pPr>
        <w:pStyle w:val="2"/>
        <w:jc w:val="center"/>
        <w:rPr>
          <w:rFonts w:ascii="宋体" w:hAnsi="宋体" w:eastAsia="宋体"/>
          <w:sz w:val="30"/>
        </w:rPr>
      </w:pPr>
      <w:bookmarkStart w:id="87" w:name="chapter_level1_10_59"/>
      <w:bookmarkStart w:id="88" w:name="_Toc209538274"/>
      <w:r>
        <w:rPr>
          <w:rFonts w:hint="eastAsia" w:ascii="宋体" w:hAnsi="宋体" w:eastAsia="宋体"/>
          <w:sz w:val="30"/>
        </w:rPr>
        <w:t>第七部分  基金份额的申购与赎回</w:t>
      </w:r>
      <w:bookmarkEnd w:id="87"/>
      <w:bookmarkEnd w:id="88"/>
    </w:p>
    <w:p w14:paraId="43BBACA6">
      <w:pPr>
        <w:pStyle w:val="7"/>
        <w:spacing w:before="0" w:beforeAutospacing="0" w:after="0" w:afterAutospacing="0" w:line="360" w:lineRule="auto"/>
        <w:ind w:firstLine="420"/>
        <w:rPr>
          <w:sz w:val="21"/>
          <w:szCs w:val="21"/>
        </w:rPr>
      </w:pPr>
      <w:bookmarkStart w:id="89" w:name="chapter_level1_10_59_section_1"/>
      <w:bookmarkEnd w:id="89"/>
      <w:r>
        <w:rPr>
          <w:rStyle w:val="11"/>
          <w:rFonts w:hint="eastAsia"/>
          <w:sz w:val="21"/>
          <w:szCs w:val="21"/>
        </w:rPr>
        <w:t>一、申购和赎回场所</w:t>
      </w:r>
    </w:p>
    <w:p w14:paraId="00EB132C">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列明。基金管理人可根据情况变更或增减销售机构。基金投资者应当在销售机构办理基金销售业务的营业场所或按销售机构提供的其他方式办理基金份额的申购</w:t>
      </w:r>
      <w:bookmarkStart w:id="90" w:name="chapter_level1_10_59_section_1_end"/>
      <w:bookmarkEnd w:id="90"/>
      <w:r>
        <w:rPr>
          <w:rFonts w:hint="eastAsia"/>
          <w:sz w:val="21"/>
          <w:szCs w:val="21"/>
        </w:rPr>
        <w:t xml:space="preserve">与赎回。 </w:t>
      </w:r>
    </w:p>
    <w:p w14:paraId="47155D6D">
      <w:pPr>
        <w:pStyle w:val="7"/>
        <w:spacing w:before="0" w:beforeAutospacing="0" w:after="0" w:afterAutospacing="0" w:line="360" w:lineRule="auto"/>
        <w:ind w:firstLine="420"/>
        <w:rPr>
          <w:sz w:val="21"/>
          <w:szCs w:val="21"/>
        </w:rPr>
      </w:pPr>
      <w:bookmarkStart w:id="91" w:name="chapter_level1_10_59_section_2"/>
      <w:bookmarkEnd w:id="91"/>
      <w:r>
        <w:rPr>
          <w:rStyle w:val="11"/>
          <w:rFonts w:hint="eastAsia"/>
          <w:sz w:val="21"/>
          <w:szCs w:val="21"/>
        </w:rPr>
        <w:t>二、申购和赎回的开放日及时间</w:t>
      </w:r>
    </w:p>
    <w:p w14:paraId="5DA62BD2">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596FA3C3">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27BB1AA8">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3101F3B5">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2C36DC55">
      <w:pPr>
        <w:pStyle w:val="7"/>
        <w:spacing w:before="0" w:beforeAutospacing="0" w:after="0" w:afterAutospacing="0" w:line="360" w:lineRule="auto"/>
        <w:ind w:firstLine="420"/>
        <w:rPr>
          <w:sz w:val="21"/>
          <w:szCs w:val="21"/>
        </w:rPr>
      </w:pPr>
      <w:bookmarkStart w:id="92" w:name="chapter_level1_10_59_section_2_end"/>
      <w:bookmarkEnd w:id="92"/>
      <w:r>
        <w:rPr>
          <w:rFonts w:hint="eastAsia"/>
          <w:sz w:val="21"/>
          <w:szCs w:val="21"/>
        </w:rPr>
        <w:t xml:space="preserve">本基金已于2022年1月11日开通申购业务。 </w:t>
      </w:r>
    </w:p>
    <w:p w14:paraId="760351C9">
      <w:pPr>
        <w:pStyle w:val="7"/>
        <w:spacing w:before="0" w:beforeAutospacing="0" w:after="0" w:afterAutospacing="0" w:line="360" w:lineRule="auto"/>
        <w:ind w:firstLine="420"/>
        <w:rPr>
          <w:sz w:val="21"/>
          <w:szCs w:val="21"/>
        </w:rPr>
      </w:pPr>
      <w:bookmarkStart w:id="93" w:name="chapter_level1_10_59_section_3"/>
      <w:bookmarkEnd w:id="93"/>
      <w:r>
        <w:rPr>
          <w:rStyle w:val="11"/>
          <w:rFonts w:hint="eastAsia"/>
          <w:sz w:val="21"/>
          <w:szCs w:val="21"/>
        </w:rPr>
        <w:t>三、申购与赎回的原则</w:t>
      </w:r>
    </w:p>
    <w:p w14:paraId="398C427F">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1、“未知价”原则，即申购、赎回价格以申请当日收市后计算的该类基金份额净值为基准进行计算； </w:t>
      </w:r>
    </w:p>
    <w:p w14:paraId="4BB619F0">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1A39496D">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01B1E15B">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1F1A1291">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5A5A5D27">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43B4A827">
      <w:pPr>
        <w:pStyle w:val="7"/>
        <w:spacing w:before="0" w:beforeAutospacing="0" w:after="0" w:afterAutospacing="0" w:line="360" w:lineRule="auto"/>
        <w:ind w:firstLine="420"/>
        <w:rPr>
          <w:sz w:val="21"/>
          <w:szCs w:val="21"/>
        </w:rPr>
      </w:pPr>
      <w:r>
        <w:rPr>
          <w:rStyle w:val="11"/>
          <w:rFonts w:hint="eastAsia"/>
          <w:sz w:val="21"/>
          <w:szCs w:val="21"/>
        </w:rPr>
        <w:t>四、申购与赎回的数额限制</w:t>
      </w:r>
    </w:p>
    <w:p w14:paraId="2F8B5DC4">
      <w:pPr>
        <w:pStyle w:val="7"/>
        <w:spacing w:before="0" w:beforeAutospacing="0" w:after="0" w:afterAutospacing="0" w:line="360" w:lineRule="auto"/>
        <w:ind w:firstLine="420"/>
        <w:rPr>
          <w:sz w:val="21"/>
          <w:szCs w:val="21"/>
        </w:rPr>
      </w:pPr>
      <w:r>
        <w:rPr>
          <w:rFonts w:hint="eastAsia"/>
          <w:sz w:val="21"/>
          <w:szCs w:val="21"/>
        </w:rPr>
        <w:t>1、投资人首次申购本基金A类基金份额或C类基金份额的最低金额为</w:t>
      </w:r>
      <w:bookmarkStart w:id="94" w:name="field_59_dealerfirstpurminamount_1"/>
      <w:r>
        <w:rPr>
          <w:sz w:val="21"/>
          <w:szCs w:val="21"/>
        </w:rPr>
        <w:t>10</w:t>
      </w:r>
      <w:bookmarkEnd w:id="94"/>
      <w:r>
        <w:rPr>
          <w:rFonts w:hint="eastAsia"/>
          <w:sz w:val="21"/>
          <w:szCs w:val="21"/>
        </w:rPr>
        <w:t>元（含申购费），追加申购最低金额为</w:t>
      </w:r>
      <w:bookmarkStart w:id="95" w:name="field_59_dealerlaterpurminamount_1"/>
      <w:r>
        <w:rPr>
          <w:sz w:val="21"/>
          <w:szCs w:val="21"/>
        </w:rPr>
        <w:t>10</w:t>
      </w:r>
      <w:bookmarkEnd w:id="95"/>
      <w:r>
        <w:rPr>
          <w:rFonts w:hint="eastAsia"/>
          <w:sz w:val="21"/>
          <w:szCs w:val="21"/>
        </w:rPr>
        <w:t xml:space="preserve">元（含申购费）；详情请见当地销售机构公告； </w:t>
      </w:r>
    </w:p>
    <w:p w14:paraId="5E79D43D">
      <w:pPr>
        <w:pStyle w:val="7"/>
        <w:spacing w:before="0" w:beforeAutospacing="0" w:after="0" w:afterAutospacing="0" w:line="360" w:lineRule="auto"/>
        <w:ind w:firstLine="420"/>
        <w:rPr>
          <w:sz w:val="21"/>
          <w:szCs w:val="21"/>
        </w:rPr>
      </w:pPr>
      <w:r>
        <w:rPr>
          <w:rFonts w:hint="eastAsia"/>
          <w:sz w:val="21"/>
          <w:szCs w:val="21"/>
        </w:rPr>
        <w:t>2、每个交易账户最低持有基金份额余额为</w:t>
      </w:r>
      <w:bookmarkStart w:id="96" w:name="field_59_minholdshare_1"/>
      <w:r>
        <w:rPr>
          <w:sz w:val="21"/>
          <w:szCs w:val="21"/>
        </w:rPr>
        <w:t>10</w:t>
      </w:r>
      <w:bookmarkEnd w:id="96"/>
      <w:r>
        <w:rPr>
          <w:rFonts w:hint="eastAsia"/>
          <w:sz w:val="21"/>
          <w:szCs w:val="21"/>
        </w:rPr>
        <w:t>份，若某笔赎回导致单个交易账户的某一类别基金份额余额少于</w:t>
      </w:r>
      <w:bookmarkStart w:id="97" w:name="field_59_minholdshare_2"/>
      <w:r>
        <w:rPr>
          <w:sz w:val="21"/>
          <w:szCs w:val="21"/>
        </w:rPr>
        <w:t>10</w:t>
      </w:r>
      <w:bookmarkEnd w:id="97"/>
      <w:r>
        <w:rPr>
          <w:rFonts w:hint="eastAsia"/>
          <w:sz w:val="21"/>
          <w:szCs w:val="21"/>
        </w:rPr>
        <w:t xml:space="preserve">份时，该类基金份额余额部分基金份额必须一同赎回； </w:t>
      </w:r>
    </w:p>
    <w:p w14:paraId="1E5CEEB3">
      <w:pPr>
        <w:pStyle w:val="7"/>
        <w:spacing w:before="0" w:beforeAutospacing="0" w:after="0" w:afterAutospacing="0" w:line="360" w:lineRule="auto"/>
        <w:ind w:firstLine="420"/>
        <w:rPr>
          <w:sz w:val="21"/>
          <w:szCs w:val="21"/>
        </w:rPr>
      </w:pPr>
      <w:r>
        <w:rPr>
          <w:rFonts w:hint="eastAsia"/>
          <w:sz w:val="21"/>
          <w:szCs w:val="21"/>
        </w:rPr>
        <w:t>3、投资人通过销售机构赎回基金份额时，本基金单笔某一类份额赎回申请不得低于10份，若投资者单个交易账户持有的某类基金份额余额不足</w:t>
      </w:r>
      <w:bookmarkStart w:id="98" w:name="field_59_minholdshare_3"/>
      <w:r>
        <w:rPr>
          <w:sz w:val="21"/>
          <w:szCs w:val="21"/>
        </w:rPr>
        <w:t>10</w:t>
      </w:r>
      <w:bookmarkEnd w:id="98"/>
      <w:r>
        <w:rPr>
          <w:rFonts w:hint="eastAsia"/>
          <w:sz w:val="21"/>
          <w:szCs w:val="21"/>
        </w:rPr>
        <w:t xml:space="preserve">份，将不受此限制，但投资者在提交赎回申请时须将该类基金份额全部赎回。各销售机构在符合上述规定的前提下，可根据自己的情况调整单笔赎回申请限制，具体以销售机构公布的为准，投资人需遵循销售机构的相关规定； </w:t>
      </w:r>
    </w:p>
    <w:p w14:paraId="1FC94674">
      <w:pPr>
        <w:pStyle w:val="7"/>
        <w:spacing w:before="0" w:beforeAutospacing="0" w:after="0" w:afterAutospacing="0" w:line="360" w:lineRule="auto"/>
        <w:ind w:firstLine="420"/>
        <w:rPr>
          <w:sz w:val="21"/>
          <w:szCs w:val="21"/>
        </w:rPr>
      </w:pPr>
      <w:r>
        <w:rPr>
          <w:rFonts w:hint="eastAsia"/>
          <w:sz w:val="21"/>
          <w:szCs w:val="21"/>
        </w:rPr>
        <w:t xml:space="preserve">4、本基金目前对单个投资人累计持有份额不设上限限制，基金管理人可以规定单个投资者累计持有的基金份额数量限制，具体规定见更新的招募说明书或相关公告，但需符合法律法规、监管机构的规定和基金合同的约定； </w:t>
      </w:r>
    </w:p>
    <w:p w14:paraId="46D5A4AE">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 </w:t>
      </w:r>
    </w:p>
    <w:p w14:paraId="491839E1">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6、基金管理人可在法律法规允许的情况下，调整上述规定申购金额和赎回份额的数量限制。基金管理人必须在调整实施前依照《信息披露办法》的有关规定在规定媒介上公告。 </w:t>
      </w:r>
    </w:p>
    <w:p w14:paraId="50CB6DA4">
      <w:pPr>
        <w:pStyle w:val="7"/>
        <w:spacing w:before="0" w:beforeAutospacing="0" w:after="0" w:afterAutospacing="0" w:line="360" w:lineRule="auto"/>
        <w:ind w:firstLine="420"/>
        <w:rPr>
          <w:sz w:val="21"/>
          <w:szCs w:val="21"/>
        </w:rPr>
      </w:pPr>
      <w:r>
        <w:rPr>
          <w:rStyle w:val="11"/>
          <w:rFonts w:hint="eastAsia"/>
          <w:sz w:val="21"/>
          <w:szCs w:val="21"/>
        </w:rPr>
        <w:t>五、申购与赎回的程序</w:t>
      </w:r>
    </w:p>
    <w:p w14:paraId="476D055E">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1D353F32">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2D81E9D2">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405757B8">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762FF1BB">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0467E5E0">
      <w:pPr>
        <w:pStyle w:val="7"/>
        <w:spacing w:before="0" w:beforeAutospacing="0" w:after="0" w:afterAutospacing="0" w:line="360" w:lineRule="auto"/>
        <w:ind w:firstLine="420"/>
        <w:rPr>
          <w:sz w:val="21"/>
          <w:szCs w:val="21"/>
        </w:rPr>
      </w:pPr>
      <w:r>
        <w:rPr>
          <w:rFonts w:hint="eastAsia"/>
          <w:sz w:val="21"/>
          <w:szCs w:val="21"/>
        </w:rPr>
        <w:t xml:space="preserve">如遇交易所或交易市场数据传输延迟、通讯系统故障、银行数据交换系统故障、港股通交易系统或港股通资金交收规则限制或其他非基金管理人及基金托管人所能控制的因素影响了业务流程，则赎回款项划付时间相应顺延至该因素消除的最近一个工作日。 </w:t>
      </w:r>
    </w:p>
    <w:p w14:paraId="58307FDE">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6FA0BE0C">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109DDE4D">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2CAF5BD9">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496D7A2F">
      <w:pPr>
        <w:pStyle w:val="7"/>
        <w:spacing w:before="0" w:beforeAutospacing="0" w:after="0" w:afterAutospacing="0" w:line="360" w:lineRule="auto"/>
        <w:ind w:firstLine="420"/>
        <w:rPr>
          <w:sz w:val="21"/>
          <w:szCs w:val="21"/>
        </w:rPr>
      </w:pPr>
      <w:r>
        <w:rPr>
          <w:rStyle w:val="11"/>
          <w:rFonts w:hint="eastAsia"/>
          <w:sz w:val="21"/>
          <w:szCs w:val="21"/>
        </w:rPr>
        <w:t>六、申购费率、赎回费率</w:t>
      </w:r>
    </w:p>
    <w:p w14:paraId="47A03226">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82"/>
        <w:gridCol w:w="2817"/>
        <w:gridCol w:w="2817"/>
      </w:tblGrid>
      <w:tr w14:paraId="517FB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4A183B">
            <w:pPr>
              <w:pStyle w:val="7"/>
            </w:pPr>
            <w:r>
              <w:rPr>
                <w:rFonts w:hint="eastAsia"/>
              </w:rPr>
              <w:t xml:space="preserve">金额（M） </w:t>
            </w:r>
          </w:p>
        </w:tc>
        <w:tc>
          <w:tcPr>
            <w:tcW w:w="0" w:type="auto"/>
            <w:shd w:val="clear" w:color="auto" w:fill="auto"/>
          </w:tcPr>
          <w:p w14:paraId="3F667280">
            <w:pPr>
              <w:pStyle w:val="7"/>
            </w:pPr>
            <w:r>
              <w:rPr>
                <w:rFonts w:hint="eastAsia"/>
              </w:rPr>
              <w:t xml:space="preserve">A类基金份额申购费率 </w:t>
            </w:r>
          </w:p>
        </w:tc>
        <w:tc>
          <w:tcPr>
            <w:tcW w:w="0" w:type="auto"/>
            <w:shd w:val="clear" w:color="auto" w:fill="auto"/>
          </w:tcPr>
          <w:p w14:paraId="4656C9E6">
            <w:pPr>
              <w:pStyle w:val="7"/>
            </w:pPr>
            <w:r>
              <w:rPr>
                <w:rFonts w:hint="eastAsia"/>
              </w:rPr>
              <w:t xml:space="preserve">C类基金份额申购费率 </w:t>
            </w:r>
          </w:p>
        </w:tc>
      </w:tr>
      <w:tr w14:paraId="2F847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6A12C6">
            <w:pPr>
              <w:pStyle w:val="7"/>
            </w:pPr>
            <w:r>
              <w:rPr>
                <w:rFonts w:hint="eastAsia"/>
              </w:rPr>
              <w:t xml:space="preserve">M＜100万元 </w:t>
            </w:r>
          </w:p>
        </w:tc>
        <w:tc>
          <w:tcPr>
            <w:tcW w:w="0" w:type="auto"/>
            <w:shd w:val="clear" w:color="auto" w:fill="auto"/>
          </w:tcPr>
          <w:p w14:paraId="35E81B3E">
            <w:pPr>
              <w:pStyle w:val="7"/>
            </w:pPr>
            <w:r>
              <w:rPr>
                <w:rFonts w:hint="eastAsia"/>
              </w:rPr>
              <w:t xml:space="preserve">1.00% </w:t>
            </w:r>
          </w:p>
        </w:tc>
        <w:tc>
          <w:tcPr>
            <w:tcW w:w="0" w:type="auto"/>
            <w:vMerge w:val="restart"/>
            <w:shd w:val="clear" w:color="auto" w:fill="auto"/>
          </w:tcPr>
          <w:p w14:paraId="56EBBCCD">
            <w:pPr>
              <w:pStyle w:val="7"/>
            </w:pPr>
            <w:r>
              <w:rPr>
                <w:rFonts w:hint="eastAsia"/>
              </w:rPr>
              <w:t xml:space="preserve">0% </w:t>
            </w:r>
          </w:p>
        </w:tc>
      </w:tr>
      <w:tr w14:paraId="72F4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234C94">
            <w:pPr>
              <w:pStyle w:val="7"/>
            </w:pPr>
            <w:r>
              <w:rPr>
                <w:rFonts w:hint="eastAsia"/>
              </w:rPr>
              <w:t xml:space="preserve">100万元≤M＜300万元 </w:t>
            </w:r>
          </w:p>
        </w:tc>
        <w:tc>
          <w:tcPr>
            <w:tcW w:w="0" w:type="auto"/>
            <w:shd w:val="clear" w:color="auto" w:fill="auto"/>
          </w:tcPr>
          <w:p w14:paraId="4F2C5B90">
            <w:pPr>
              <w:pStyle w:val="7"/>
            </w:pPr>
            <w:r>
              <w:rPr>
                <w:rFonts w:hint="eastAsia"/>
              </w:rPr>
              <w:t xml:space="preserve">0.60% </w:t>
            </w:r>
          </w:p>
        </w:tc>
        <w:tc>
          <w:tcPr>
            <w:tcW w:w="0" w:type="auto"/>
            <w:vMerge w:val="continue"/>
            <w:shd w:val="clear" w:color="auto" w:fill="auto"/>
          </w:tcPr>
          <w:p w14:paraId="75217769">
            <w:pPr>
              <w:rPr>
                <w:rFonts w:ascii="宋体" w:hAnsi="宋体" w:eastAsia="宋体" w:cs="宋体"/>
                <w:sz w:val="24"/>
                <w:szCs w:val="24"/>
              </w:rPr>
            </w:pPr>
          </w:p>
        </w:tc>
      </w:tr>
      <w:tr w14:paraId="6D48B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FE945E6">
            <w:pPr>
              <w:pStyle w:val="7"/>
            </w:pPr>
            <w:r>
              <w:rPr>
                <w:rFonts w:hint="eastAsia"/>
              </w:rPr>
              <w:t xml:space="preserve">300万元≤M＜500万元 </w:t>
            </w:r>
          </w:p>
        </w:tc>
        <w:tc>
          <w:tcPr>
            <w:tcW w:w="0" w:type="auto"/>
            <w:shd w:val="clear" w:color="auto" w:fill="auto"/>
          </w:tcPr>
          <w:p w14:paraId="2DF31C18">
            <w:pPr>
              <w:pStyle w:val="7"/>
            </w:pPr>
            <w:r>
              <w:rPr>
                <w:rFonts w:hint="eastAsia"/>
              </w:rPr>
              <w:t xml:space="preserve">0.30% </w:t>
            </w:r>
          </w:p>
        </w:tc>
        <w:tc>
          <w:tcPr>
            <w:tcW w:w="0" w:type="auto"/>
            <w:vMerge w:val="continue"/>
            <w:shd w:val="clear" w:color="auto" w:fill="auto"/>
          </w:tcPr>
          <w:p w14:paraId="1B06DDE5">
            <w:pPr>
              <w:rPr>
                <w:rFonts w:ascii="宋体" w:hAnsi="宋体" w:eastAsia="宋体" w:cs="宋体"/>
                <w:sz w:val="24"/>
                <w:szCs w:val="24"/>
              </w:rPr>
            </w:pPr>
          </w:p>
        </w:tc>
      </w:tr>
      <w:tr w14:paraId="6C3F0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D82A16">
            <w:pPr>
              <w:pStyle w:val="7"/>
            </w:pPr>
            <w:r>
              <w:rPr>
                <w:rFonts w:hint="eastAsia"/>
              </w:rPr>
              <w:t xml:space="preserve">M≥500万元 </w:t>
            </w:r>
          </w:p>
        </w:tc>
        <w:tc>
          <w:tcPr>
            <w:tcW w:w="0" w:type="auto"/>
            <w:shd w:val="clear" w:color="auto" w:fill="auto"/>
          </w:tcPr>
          <w:p w14:paraId="23DB7E1C">
            <w:pPr>
              <w:pStyle w:val="7"/>
            </w:pPr>
            <w:r>
              <w:rPr>
                <w:rFonts w:hint="eastAsia"/>
              </w:rPr>
              <w:t xml:space="preserve">1000元/笔 </w:t>
            </w:r>
          </w:p>
        </w:tc>
        <w:tc>
          <w:tcPr>
            <w:tcW w:w="0" w:type="auto"/>
            <w:vMerge w:val="continue"/>
            <w:shd w:val="clear" w:color="auto" w:fill="auto"/>
          </w:tcPr>
          <w:p w14:paraId="660FC7B4">
            <w:pPr>
              <w:rPr>
                <w:rFonts w:ascii="宋体" w:hAnsi="宋体" w:eastAsia="宋体" w:cs="宋体"/>
                <w:sz w:val="24"/>
                <w:szCs w:val="24"/>
              </w:rPr>
            </w:pPr>
          </w:p>
        </w:tc>
      </w:tr>
    </w:tbl>
    <w:p w14:paraId="52730CE3">
      <w:pPr>
        <w:pStyle w:val="7"/>
        <w:spacing w:before="0" w:beforeAutospacing="0" w:after="0" w:afterAutospacing="0" w:line="360" w:lineRule="auto"/>
        <w:ind w:firstLine="420"/>
        <w:rPr>
          <w:sz w:val="21"/>
          <w:szCs w:val="21"/>
        </w:rPr>
      </w:pPr>
      <w:r>
        <w:rPr>
          <w:rFonts w:hint="eastAsia"/>
          <w:sz w:val="21"/>
          <w:szCs w:val="21"/>
        </w:rPr>
        <w:t xml:space="preserve">本基金的申购费用由投资人承担，主要用于本基金的市场推广、销售、登记等各项费用，不列入基金财产。 </w:t>
      </w:r>
    </w:p>
    <w:p w14:paraId="00CFC4DA">
      <w:pPr>
        <w:pStyle w:val="7"/>
        <w:spacing w:before="0" w:beforeAutospacing="0" w:after="0" w:afterAutospacing="0" w:line="360" w:lineRule="auto"/>
        <w:ind w:firstLine="420"/>
        <w:rPr>
          <w:sz w:val="21"/>
          <w:szCs w:val="21"/>
        </w:rPr>
      </w:pPr>
      <w:r>
        <w:rPr>
          <w:rFonts w:hint="eastAsia"/>
          <w:sz w:val="21"/>
          <w:szCs w:val="21"/>
        </w:rPr>
        <w:t xml:space="preserve">2、本基金不收取赎回费，但每笔基金份额持有期满一年后，基金份额持有人方可就基金份额提出赎回申请。 </w:t>
      </w:r>
    </w:p>
    <w:p w14:paraId="0072ABF3">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15DD57F5">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七、申购份额与赎回金额的计算方式</w:t>
      </w:r>
    </w:p>
    <w:p w14:paraId="7C7A6C25">
      <w:pPr>
        <w:pStyle w:val="7"/>
        <w:spacing w:before="0" w:beforeAutospacing="0" w:after="0" w:afterAutospacing="0" w:line="360" w:lineRule="auto"/>
        <w:ind w:firstLine="420"/>
        <w:rPr>
          <w:sz w:val="21"/>
          <w:szCs w:val="21"/>
        </w:rPr>
      </w:pPr>
      <w:r>
        <w:rPr>
          <w:rFonts w:hint="eastAsia"/>
          <w:sz w:val="21"/>
          <w:szCs w:val="21"/>
        </w:rPr>
        <w:t xml:space="preserve">1、申购金额的计算方式： </w:t>
      </w:r>
    </w:p>
    <w:p w14:paraId="79E77AD2">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2C6A8133">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1E4F194A">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67DF5055">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7355F7A7">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7583A869">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2A3CDEB5">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1FAA710A">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0696ECEF">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58491327">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申购份额的计算结果均按照四舍五入方法，保留到小数点后两位，由此产生的收益或损失由基金财产承担。 </w:t>
      </w:r>
    </w:p>
    <w:p w14:paraId="7C310A01">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1CF10F09">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7A47436E">
      <w:pPr>
        <w:pStyle w:val="7"/>
        <w:spacing w:before="0" w:beforeAutospacing="0" w:after="0" w:afterAutospacing="0" w:line="360" w:lineRule="auto"/>
        <w:ind w:firstLine="420"/>
        <w:rPr>
          <w:sz w:val="21"/>
          <w:szCs w:val="21"/>
        </w:rPr>
      </w:pPr>
      <w:r>
        <w:rPr>
          <w:rFonts w:hint="eastAsia"/>
          <w:sz w:val="21"/>
          <w:szCs w:val="21"/>
        </w:rPr>
        <w:t xml:space="preserve">申购份额的计算结果均按照四舍五入方法，保留到小数点后两位，由此产生的收益或损失由基金财产承担。 </w:t>
      </w:r>
    </w:p>
    <w:p w14:paraId="7C14A80C">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例1：假定T日A类基金份额净值为1.0160元，某投资人本次申购本基金A类基金份额10万元，对应的本次申购费率为1.00%，该投资人可得到的A类基金份额为： </w:t>
      </w:r>
    </w:p>
    <w:p w14:paraId="7C8ED285">
      <w:pPr>
        <w:pStyle w:val="7"/>
        <w:spacing w:before="0" w:beforeAutospacing="0" w:after="0" w:afterAutospacing="0" w:line="360" w:lineRule="auto"/>
        <w:ind w:firstLine="420"/>
        <w:rPr>
          <w:sz w:val="21"/>
          <w:szCs w:val="21"/>
        </w:rPr>
      </w:pPr>
      <w:r>
        <w:rPr>
          <w:rFonts w:hint="eastAsia"/>
          <w:sz w:val="21"/>
          <w:szCs w:val="21"/>
        </w:rPr>
        <w:t xml:space="preserve">净申购金额＝100,000/(1＋1.00%)＝99,009.90元 </w:t>
      </w:r>
    </w:p>
    <w:p w14:paraId="416130BF">
      <w:pPr>
        <w:pStyle w:val="7"/>
        <w:spacing w:before="0" w:beforeAutospacing="0" w:after="0" w:afterAutospacing="0" w:line="360" w:lineRule="auto"/>
        <w:ind w:firstLine="420"/>
        <w:rPr>
          <w:sz w:val="21"/>
          <w:szCs w:val="21"/>
        </w:rPr>
      </w:pPr>
      <w:r>
        <w:rPr>
          <w:rFonts w:hint="eastAsia"/>
          <w:sz w:val="21"/>
          <w:szCs w:val="21"/>
        </w:rPr>
        <w:t xml:space="preserve">申购费用＝100,000－99,009.90＝990.10元 </w:t>
      </w:r>
    </w:p>
    <w:p w14:paraId="57E6A4AE">
      <w:pPr>
        <w:pStyle w:val="7"/>
        <w:spacing w:before="0" w:beforeAutospacing="0" w:after="0" w:afterAutospacing="0" w:line="360" w:lineRule="auto"/>
        <w:ind w:firstLine="420"/>
        <w:rPr>
          <w:sz w:val="21"/>
          <w:szCs w:val="21"/>
        </w:rPr>
      </w:pPr>
      <w:r>
        <w:rPr>
          <w:rFonts w:hint="eastAsia"/>
          <w:sz w:val="21"/>
          <w:szCs w:val="21"/>
        </w:rPr>
        <w:t xml:space="preserve">申购份额＝99,009.90/1.0160＝97,450.69份 </w:t>
      </w:r>
    </w:p>
    <w:p w14:paraId="4F329588">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457A7119">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74D83109">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59C3E4F2">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7EDEC06E">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3979EE84">
      <w:pPr>
        <w:pStyle w:val="7"/>
        <w:spacing w:before="0" w:beforeAutospacing="0" w:after="0" w:afterAutospacing="0" w:line="360" w:lineRule="auto"/>
        <w:ind w:firstLine="420"/>
        <w:rPr>
          <w:sz w:val="21"/>
          <w:szCs w:val="21"/>
        </w:rPr>
      </w:pPr>
      <w:r>
        <w:rPr>
          <w:rFonts w:hint="eastAsia"/>
          <w:sz w:val="21"/>
          <w:szCs w:val="21"/>
        </w:rPr>
        <w:t xml:space="preserve">本基金的净赎回金额为赎回金额扣减赎回费用。采用“份额赎回”方式，赎回价格以T 日的基金份额净值为基准进行计算，其中： </w:t>
      </w:r>
    </w:p>
    <w:p w14:paraId="01320037">
      <w:pPr>
        <w:pStyle w:val="7"/>
        <w:spacing w:before="0" w:beforeAutospacing="0" w:after="0" w:afterAutospacing="0" w:line="360" w:lineRule="auto"/>
        <w:ind w:firstLine="420"/>
        <w:rPr>
          <w:sz w:val="21"/>
          <w:szCs w:val="21"/>
        </w:rPr>
      </w:pPr>
      <w:r>
        <w:rPr>
          <w:rFonts w:hint="eastAsia"/>
          <w:sz w:val="21"/>
          <w:szCs w:val="21"/>
        </w:rPr>
        <w:t xml:space="preserve">赎回金额＝赎回份额×T 日该类基金份额的基金份额净值 </w:t>
      </w:r>
    </w:p>
    <w:p w14:paraId="09E47D3F">
      <w:pPr>
        <w:pStyle w:val="7"/>
        <w:spacing w:before="0" w:beforeAutospacing="0" w:after="0" w:afterAutospacing="0" w:line="360" w:lineRule="auto"/>
        <w:ind w:firstLine="420"/>
        <w:rPr>
          <w:sz w:val="21"/>
          <w:szCs w:val="21"/>
        </w:rPr>
      </w:pPr>
      <w:r>
        <w:rPr>
          <w:rFonts w:hint="eastAsia"/>
          <w:sz w:val="21"/>
          <w:szCs w:val="21"/>
        </w:rPr>
        <w:t xml:space="preserve">赎回费用＝赎回份额×T 日该类基金份额的基金份额净值×赎回费率 </w:t>
      </w:r>
    </w:p>
    <w:p w14:paraId="6D279E42">
      <w:pPr>
        <w:pStyle w:val="7"/>
        <w:spacing w:before="0" w:beforeAutospacing="0" w:after="0" w:afterAutospacing="0" w:line="360" w:lineRule="auto"/>
        <w:ind w:firstLine="420"/>
        <w:rPr>
          <w:sz w:val="21"/>
          <w:szCs w:val="21"/>
        </w:rPr>
      </w:pPr>
      <w:r>
        <w:rPr>
          <w:rFonts w:hint="eastAsia"/>
          <w:sz w:val="21"/>
          <w:szCs w:val="21"/>
        </w:rPr>
        <w:t xml:space="preserve">净赎回金额＝赎回金额－赎回费用 </w:t>
      </w:r>
    </w:p>
    <w:p w14:paraId="63AC2495">
      <w:pPr>
        <w:pStyle w:val="7"/>
        <w:spacing w:before="0" w:beforeAutospacing="0" w:after="0" w:afterAutospacing="0" w:line="360" w:lineRule="auto"/>
        <w:ind w:firstLine="420"/>
        <w:rPr>
          <w:sz w:val="21"/>
          <w:szCs w:val="21"/>
        </w:rPr>
      </w:pPr>
      <w:r>
        <w:rPr>
          <w:rFonts w:hint="eastAsia"/>
          <w:sz w:val="21"/>
          <w:szCs w:val="21"/>
        </w:rPr>
        <w:t xml:space="preserve">赎回金额单位为人民币元，计算结果按四舍五入方法，保留到小数点后两位，由此产生的收益或损失由基金财产承担。 </w:t>
      </w:r>
    </w:p>
    <w:p w14:paraId="2EAA22D7">
      <w:pPr>
        <w:pStyle w:val="7"/>
        <w:spacing w:before="0" w:beforeAutospacing="0" w:after="0" w:afterAutospacing="0" w:line="360" w:lineRule="auto"/>
        <w:ind w:firstLine="420"/>
        <w:rPr>
          <w:sz w:val="21"/>
          <w:szCs w:val="21"/>
        </w:rPr>
      </w:pPr>
      <w:r>
        <w:rPr>
          <w:rFonts w:hint="eastAsia"/>
          <w:sz w:val="21"/>
          <w:szCs w:val="21"/>
        </w:rPr>
        <w:t xml:space="preserve">例3：假设某投资者赎回A类基金份额100,000份，持有时间大于1年，则对应的赎回费率为0，假设赎回当日A类基金份额净值是1.0600元，则可得到的赎回金额为： </w:t>
      </w:r>
    </w:p>
    <w:p w14:paraId="0B34AB58">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58C18C20">
      <w:pPr>
        <w:pStyle w:val="7"/>
        <w:spacing w:before="0" w:beforeAutospacing="0" w:after="0" w:afterAutospacing="0" w:line="360" w:lineRule="auto"/>
        <w:ind w:firstLine="420"/>
        <w:rPr>
          <w:sz w:val="21"/>
          <w:szCs w:val="21"/>
        </w:rPr>
      </w:pPr>
      <w:r>
        <w:rPr>
          <w:rFonts w:hint="eastAsia"/>
          <w:sz w:val="21"/>
          <w:szCs w:val="21"/>
        </w:rPr>
        <w:t xml:space="preserve">赎回费用＝100,000×1.0600×0＝0(元) </w:t>
      </w:r>
    </w:p>
    <w:p w14:paraId="5E8A6131">
      <w:pPr>
        <w:pStyle w:val="7"/>
        <w:spacing w:before="0" w:beforeAutospacing="0" w:after="0" w:afterAutospacing="0" w:line="360" w:lineRule="auto"/>
        <w:ind w:firstLine="420"/>
        <w:rPr>
          <w:sz w:val="21"/>
          <w:szCs w:val="21"/>
        </w:rPr>
      </w:pPr>
      <w:r>
        <w:rPr>
          <w:rFonts w:hint="eastAsia"/>
          <w:sz w:val="21"/>
          <w:szCs w:val="21"/>
        </w:rPr>
        <w:t xml:space="preserve">净赎回金额＝106,000.00-0＝106,000.00(元) </w:t>
      </w:r>
    </w:p>
    <w:p w14:paraId="0BEAA14B">
      <w:pPr>
        <w:pStyle w:val="7"/>
        <w:spacing w:before="0" w:beforeAutospacing="0" w:after="0" w:afterAutospacing="0" w:line="360" w:lineRule="auto"/>
        <w:ind w:firstLine="420"/>
        <w:rPr>
          <w:sz w:val="21"/>
          <w:szCs w:val="21"/>
        </w:rPr>
      </w:pPr>
      <w:r>
        <w:rPr>
          <w:rFonts w:hint="eastAsia"/>
          <w:sz w:val="21"/>
          <w:szCs w:val="21"/>
        </w:rPr>
        <w:t xml:space="preserve">即：投资者赎回本基金10万份A类基金份额，持有时间大于1年，假设赎回当日A类基金份额净值是1.0600元，则其可得到的赎回金额为106,000.00元。 </w:t>
      </w:r>
    </w:p>
    <w:p w14:paraId="7275837C">
      <w:pPr>
        <w:pStyle w:val="7"/>
        <w:spacing w:before="0" w:beforeAutospacing="0" w:after="0" w:afterAutospacing="0" w:line="360" w:lineRule="auto"/>
        <w:ind w:firstLine="420"/>
        <w:rPr>
          <w:sz w:val="21"/>
          <w:szCs w:val="21"/>
        </w:rPr>
      </w:pPr>
      <w:r>
        <w:rPr>
          <w:rFonts w:hint="eastAsia"/>
          <w:sz w:val="21"/>
          <w:szCs w:val="21"/>
        </w:rPr>
        <w:t xml:space="preserve">例4：假设某投资者赎回C类基金份额100,000份，持有时间大于1年，则对应的赎回费率为0，假设赎回当日C类基金份额净值是1.0600元，则可得到的赎回金额为： </w:t>
      </w:r>
    </w:p>
    <w:p w14:paraId="1E0AE748">
      <w:pPr>
        <w:pStyle w:val="7"/>
        <w:spacing w:before="0" w:beforeAutospacing="0" w:after="0" w:afterAutospacing="0" w:line="360" w:lineRule="auto"/>
        <w:ind w:firstLine="420"/>
        <w:rPr>
          <w:sz w:val="21"/>
          <w:szCs w:val="21"/>
        </w:rPr>
      </w:pPr>
      <w:r>
        <w:rPr>
          <w:rFonts w:hint="eastAsia"/>
          <w:sz w:val="21"/>
          <w:szCs w:val="21"/>
        </w:rPr>
        <w:t xml:space="preserve">赎回金额＝100,000×1.0600＝106,000.00(元) </w:t>
      </w:r>
    </w:p>
    <w:p w14:paraId="6CC61EE4">
      <w:pPr>
        <w:pStyle w:val="7"/>
        <w:spacing w:before="0" w:beforeAutospacing="0" w:after="0" w:afterAutospacing="0" w:line="360" w:lineRule="auto"/>
        <w:ind w:firstLine="420"/>
        <w:rPr>
          <w:sz w:val="21"/>
          <w:szCs w:val="21"/>
        </w:rPr>
      </w:pPr>
      <w:r>
        <w:rPr>
          <w:rFonts w:hint="eastAsia"/>
          <w:sz w:val="21"/>
          <w:szCs w:val="21"/>
        </w:rPr>
        <w:t xml:space="preserve">赎回费用＝100,000×1.0600×0＝0(元) </w:t>
      </w:r>
    </w:p>
    <w:p w14:paraId="58EEFAE1">
      <w:pPr>
        <w:pStyle w:val="7"/>
        <w:spacing w:before="0" w:beforeAutospacing="0" w:after="0" w:afterAutospacing="0" w:line="360" w:lineRule="auto"/>
        <w:ind w:firstLine="420"/>
        <w:rPr>
          <w:sz w:val="21"/>
          <w:szCs w:val="21"/>
        </w:rPr>
      </w:pPr>
      <w:r>
        <w:rPr>
          <w:rFonts w:hint="eastAsia"/>
          <w:sz w:val="21"/>
          <w:szCs w:val="21"/>
        </w:rPr>
        <w:t xml:space="preserve">净赎回金额＝106,000.00-0＝106,000.00(元) </w:t>
      </w:r>
    </w:p>
    <w:p w14:paraId="25323892">
      <w:pPr>
        <w:pStyle w:val="7"/>
        <w:spacing w:before="0" w:beforeAutospacing="0" w:after="0" w:afterAutospacing="0" w:line="360" w:lineRule="auto"/>
        <w:ind w:firstLine="420"/>
        <w:rPr>
          <w:sz w:val="21"/>
          <w:szCs w:val="21"/>
        </w:rPr>
      </w:pPr>
      <w:r>
        <w:rPr>
          <w:rFonts w:hint="eastAsia"/>
          <w:sz w:val="21"/>
          <w:szCs w:val="21"/>
        </w:rPr>
        <w:t xml:space="preserve">即：投资者赎回本基金10万份C类基金份额，持有时间大于1年，假设赎回当日C类基金份额净值是1.0600元，则其可得到的赎回金额为106,000.00元。 </w:t>
      </w:r>
    </w:p>
    <w:p w14:paraId="0FAFC800">
      <w:pPr>
        <w:pStyle w:val="7"/>
        <w:spacing w:before="0" w:beforeAutospacing="0" w:after="0" w:afterAutospacing="0" w:line="360" w:lineRule="auto"/>
        <w:ind w:firstLine="420"/>
        <w:rPr>
          <w:sz w:val="21"/>
          <w:szCs w:val="21"/>
        </w:rPr>
      </w:pPr>
      <w:r>
        <w:rPr>
          <w:rFonts w:hint="eastAsia"/>
          <w:sz w:val="21"/>
          <w:szCs w:val="21"/>
        </w:rPr>
        <w:t xml:space="preserve">3、本基金各类基金份额净值的计算，均保留到小数点后4位，小数点后第5位四舍五入，由此产生的收益或损失由基金财产承担。T日的各类基金份额净值在当天收市后计算，并在T+1日内公告。遇特殊情况，经履行适当程序，可以适当延迟计算或公告。 </w:t>
      </w:r>
    </w:p>
    <w:p w14:paraId="2A21A58D">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赎回费率和销售服务费率。 </w:t>
      </w:r>
    </w:p>
    <w:p w14:paraId="672A7F55">
      <w:pPr>
        <w:pStyle w:val="7"/>
        <w:spacing w:before="0" w:beforeAutospacing="0" w:after="0" w:afterAutospacing="0" w:line="360" w:lineRule="auto"/>
        <w:ind w:firstLine="420"/>
        <w:rPr>
          <w:sz w:val="21"/>
          <w:szCs w:val="21"/>
        </w:rPr>
      </w:pPr>
      <w:r>
        <w:rPr>
          <w:rFonts w:hint="eastAsia"/>
          <w:sz w:val="21"/>
          <w:szCs w:val="21"/>
        </w:rPr>
        <w:t xml:space="preserve">5、当本基金发生大额申购或赎回情形时，基金管理人可以采用摆动定价机制以确保基金估值的公平性。具体处理原则与操作规范遵循相关法律法规以及监管部门、自律规则的规定。 </w:t>
      </w:r>
    </w:p>
    <w:p w14:paraId="52343089">
      <w:pPr>
        <w:pStyle w:val="7"/>
        <w:spacing w:before="0" w:beforeAutospacing="0" w:after="0" w:afterAutospacing="0" w:line="360" w:lineRule="auto"/>
        <w:ind w:firstLine="420"/>
        <w:rPr>
          <w:sz w:val="21"/>
          <w:szCs w:val="21"/>
        </w:rPr>
      </w:pPr>
      <w:r>
        <w:rPr>
          <w:rStyle w:val="11"/>
          <w:rFonts w:hint="eastAsia"/>
          <w:sz w:val="21"/>
          <w:szCs w:val="21"/>
        </w:rPr>
        <w:t>八、拒绝或暂停申购的情形</w:t>
      </w:r>
    </w:p>
    <w:p w14:paraId="41524463">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6B2EBE22">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185A9963">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6A3A66F9">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120EDE0C">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4、接受某笔或某些申购申请可能会影响或损害现有基金份额持有人利益或对存量基金份额持有人利益构成潜在重大不利影响。 </w:t>
      </w:r>
    </w:p>
    <w:p w14:paraId="256E7BBF">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37CAC15C">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6、基金管理人、基金托管人、销售机构或登记机构的技术故障等异常情况导致基金销售系统、基金登记系统或基金会计系统无法正常运行。 </w:t>
      </w:r>
    </w:p>
    <w:p w14:paraId="4A6A0230">
      <w:pPr>
        <w:pStyle w:val="7"/>
        <w:spacing w:before="0" w:beforeAutospacing="0" w:after="0" w:afterAutospacing="0" w:line="360" w:lineRule="auto"/>
        <w:ind w:firstLine="420"/>
        <w:rPr>
          <w:sz w:val="21"/>
          <w:szCs w:val="21"/>
        </w:rPr>
      </w:pPr>
      <w:r>
        <w:rPr>
          <w:rFonts w:hint="eastAsia"/>
          <w:sz w:val="21"/>
          <w:szCs w:val="21"/>
        </w:rPr>
        <w:t xml:space="preserve">7、当前一估值日基金资产净值50%以上的资产出现无可参考的活跃市场价格且采用估值技术仍导致公允价值存在重大不确定性时，经与基金托管人协商确认后，基金管理人应当暂停接受基金申购申请。 </w:t>
      </w:r>
    </w:p>
    <w:p w14:paraId="5A6D46E8">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 </w:t>
      </w:r>
    </w:p>
    <w:p w14:paraId="3CACFD72">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64924A7A">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申购申请时，基金管理人应当根据有关规定在规定媒介上刊登暂停申购公告。如果投资人的申购申请被拒绝，被拒绝的申购款项本金将退还给投资人。在暂停申购的情况消除时，基金管理人应及时恢复申购业务的办理。 </w:t>
      </w:r>
    </w:p>
    <w:p w14:paraId="15E93FFC">
      <w:pPr>
        <w:pStyle w:val="7"/>
        <w:spacing w:before="0" w:beforeAutospacing="0" w:after="0" w:afterAutospacing="0" w:line="360" w:lineRule="auto"/>
        <w:ind w:firstLine="420"/>
        <w:rPr>
          <w:sz w:val="21"/>
          <w:szCs w:val="21"/>
        </w:rPr>
      </w:pPr>
      <w:r>
        <w:rPr>
          <w:rStyle w:val="11"/>
          <w:rFonts w:hint="eastAsia"/>
          <w:sz w:val="21"/>
          <w:szCs w:val="21"/>
        </w:rPr>
        <w:t>九、暂停赎回或延缓支付赎回款项的情形 </w:t>
      </w:r>
    </w:p>
    <w:p w14:paraId="62E4FEC2">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369F7F20">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3FE71BEC">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362D0DE3">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61D21E69">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2C7FBF6B">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 </w:t>
      </w:r>
    </w:p>
    <w:p w14:paraId="26177F0F">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401BAF40">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4E917E8D">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78ECAC5F">
      <w:pPr>
        <w:pStyle w:val="7"/>
        <w:spacing w:before="0" w:beforeAutospacing="0" w:after="0" w:afterAutospacing="0" w:line="360" w:lineRule="auto"/>
        <w:ind w:firstLine="420"/>
        <w:rPr>
          <w:sz w:val="21"/>
          <w:szCs w:val="21"/>
        </w:rPr>
      </w:pPr>
      <w:r>
        <w:rPr>
          <w:rStyle w:val="11"/>
          <w:rFonts w:hint="eastAsia"/>
          <w:sz w:val="21"/>
          <w:szCs w:val="21"/>
        </w:rPr>
        <w:t>十、巨额赎回的情形及处理方式</w:t>
      </w:r>
    </w:p>
    <w:p w14:paraId="7ABB6250">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6D254819">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9" w:name="field_49_mintredeemscale_2"/>
      <w:r>
        <w:rPr>
          <w:sz w:val="21"/>
          <w:szCs w:val="21"/>
        </w:rPr>
        <w:t>10</w:t>
      </w:r>
      <w:bookmarkEnd w:id="99"/>
      <w:r>
        <w:rPr>
          <w:rFonts w:hint="eastAsia"/>
          <w:sz w:val="21"/>
          <w:szCs w:val="21"/>
        </w:rPr>
        <w:t xml:space="preserve">%，即认为是发生了巨额赎回。 </w:t>
      </w:r>
    </w:p>
    <w:p w14:paraId="2464B77C">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35594E31">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 </w:t>
      </w:r>
    </w:p>
    <w:p w14:paraId="0B680A3B">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0E27DAAA">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100" w:name="field_49_mintredeemscale_3"/>
      <w:r>
        <w:rPr>
          <w:sz w:val="21"/>
          <w:szCs w:val="21"/>
        </w:rPr>
        <w:t>10</w:t>
      </w:r>
      <w:bookmarkEnd w:id="100"/>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132277B6">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1" w:name="field_49_mintredeemscale_4"/>
      <w:r>
        <w:rPr>
          <w:sz w:val="21"/>
          <w:szCs w:val="21"/>
        </w:rPr>
        <w:t>10</w:t>
      </w:r>
      <w:bookmarkEnd w:id="101"/>
      <w:r>
        <w:rPr>
          <w:rFonts w:hint="eastAsia"/>
          <w:sz w:val="21"/>
          <w:szCs w:val="21"/>
        </w:rPr>
        <w:t>%以上的部分，基金管理人可以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w:t>
      </w:r>
      <w:bookmarkStart w:id="102" w:name="field_49_mintredeemscale_5"/>
      <w:r>
        <w:rPr>
          <w:sz w:val="21"/>
          <w:szCs w:val="21"/>
        </w:rPr>
        <w:t>10</w:t>
      </w:r>
      <w:bookmarkEnd w:id="102"/>
      <w:r>
        <w:rPr>
          <w:rFonts w:hint="eastAsia"/>
          <w:sz w:val="21"/>
          <w:szCs w:val="21"/>
        </w:rPr>
        <w:t xml:space="preserve">％的部分，基金管理人应在评估是否有能力支付投资人的全部赎回申请后，按照全额赎回或部分延期赎回的方式与其他基金份额持有人的赎回申请一并办理。但是，如该持有人在提交赎回申请时选择取消赎回，则其当日未获受理的部分赎回申请将被撤销。 </w:t>
      </w:r>
    </w:p>
    <w:p w14:paraId="432DF9EC">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15B91B35">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280DDC75">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当发生上述巨额赎回并延期办理时，基金管理人应当通过邮寄、传真或者招募说明书规定的其他方式在3个交易日内通知基金份额持有人，说明有关处理方法，并于两日内在规定媒介上刊登公告。 </w:t>
      </w:r>
    </w:p>
    <w:p w14:paraId="392631BE">
      <w:pPr>
        <w:pStyle w:val="7"/>
        <w:spacing w:before="0" w:beforeAutospacing="0" w:after="0" w:afterAutospacing="0" w:line="360" w:lineRule="auto"/>
        <w:ind w:firstLine="420"/>
        <w:rPr>
          <w:sz w:val="21"/>
          <w:szCs w:val="21"/>
        </w:rPr>
      </w:pPr>
      <w:r>
        <w:rPr>
          <w:rStyle w:val="11"/>
          <w:rFonts w:hint="eastAsia"/>
          <w:sz w:val="21"/>
          <w:szCs w:val="21"/>
        </w:rPr>
        <w:t>十一、暂停申购或赎回的公告和重新开放申购或赎回的公告</w:t>
      </w:r>
    </w:p>
    <w:p w14:paraId="33865BB6">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1、发生上述暂停申购或赎回情况的，基金管理人在规定期限内在规定媒介上刊登暂停公告。 </w:t>
      </w:r>
    </w:p>
    <w:p w14:paraId="791758EB">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07985F7C">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3、上述暂停申购或赎回情况消除的，基金管理人应于重新开放日公布最近1个工作日</w:t>
      </w:r>
      <w:bookmarkStart w:id="103" w:name="chapter_level1_10_59_section_3_end"/>
      <w:bookmarkEnd w:id="103"/>
      <w:r>
        <w:rPr>
          <w:rFonts w:hint="eastAsia"/>
          <w:sz w:val="21"/>
          <w:szCs w:val="21"/>
        </w:rPr>
        <w:t xml:space="preserve">各类基金份额净值。 </w:t>
      </w:r>
    </w:p>
    <w:p w14:paraId="61ECE204">
      <w:pPr>
        <w:pStyle w:val="7"/>
        <w:spacing w:before="0" w:beforeAutospacing="0" w:after="0" w:afterAutospacing="0" w:line="360" w:lineRule="auto"/>
        <w:ind w:firstLine="420"/>
        <w:rPr>
          <w:sz w:val="21"/>
          <w:szCs w:val="21"/>
        </w:rPr>
      </w:pPr>
      <w:bookmarkStart w:id="104" w:name="chapter_level1_10_59_section_4"/>
      <w:bookmarkEnd w:id="104"/>
      <w:r>
        <w:rPr>
          <w:rStyle w:val="11"/>
          <w:rFonts w:hint="eastAsia"/>
          <w:sz w:val="21"/>
          <w:szCs w:val="21"/>
        </w:rPr>
        <w:t>十二、基金转换</w:t>
      </w:r>
    </w:p>
    <w:p w14:paraId="255F3ABB">
      <w:pPr>
        <w:pStyle w:val="7"/>
        <w:spacing w:before="0" w:beforeAutospacing="0" w:after="0" w:afterAutospacing="0" w:line="360" w:lineRule="auto"/>
        <w:ind w:firstLine="420"/>
        <w:rPr>
          <w:sz w:val="21"/>
          <w:szCs w:val="21"/>
        </w:rPr>
      </w:pPr>
      <w:r>
        <w:rPr>
          <w:rFonts w:hint="eastAsia"/>
          <w:sz w:val="21"/>
          <w:szCs w:val="21"/>
        </w:rPr>
        <w:t xml:space="preserve">本基金已于2022年1月11日开通转入业务。  </w:t>
      </w:r>
    </w:p>
    <w:p w14:paraId="03CF6011">
      <w:pPr>
        <w:pStyle w:val="7"/>
        <w:spacing w:before="0" w:beforeAutospacing="0" w:after="0" w:afterAutospacing="0" w:line="360" w:lineRule="auto"/>
        <w:ind w:firstLine="420"/>
        <w:rPr>
          <w:sz w:val="21"/>
          <w:szCs w:val="21"/>
        </w:rPr>
      </w:pPr>
      <w:r>
        <w:rPr>
          <w:rFonts w:hint="eastAsia"/>
          <w:b/>
          <w:bCs/>
          <w:sz w:val="21"/>
          <w:szCs w:val="21"/>
        </w:rPr>
        <w:t>1、转换费率</w:t>
      </w:r>
    </w:p>
    <w:p w14:paraId="5A36F81E">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1395C988">
      <w:pPr>
        <w:pStyle w:val="7"/>
        <w:spacing w:before="0" w:beforeAutospacing="0" w:after="0" w:afterAutospacing="0" w:line="360" w:lineRule="auto"/>
        <w:ind w:firstLine="420"/>
        <w:rPr>
          <w:sz w:val="21"/>
          <w:szCs w:val="21"/>
        </w:rPr>
      </w:pPr>
      <w:r>
        <w:rPr>
          <w:rFonts w:hint="eastAsia"/>
          <w:b/>
          <w:bCs/>
          <w:sz w:val="21"/>
          <w:szCs w:val="21"/>
        </w:rPr>
        <w:t>2、其他与转换相关的事项</w:t>
      </w:r>
    </w:p>
    <w:p w14:paraId="63D75AC5">
      <w:pPr>
        <w:pStyle w:val="7"/>
        <w:spacing w:before="0" w:beforeAutospacing="0" w:after="0" w:afterAutospacing="0" w:line="360" w:lineRule="auto"/>
        <w:ind w:firstLine="420"/>
        <w:rPr>
          <w:sz w:val="21"/>
          <w:szCs w:val="21"/>
        </w:rPr>
      </w:pPr>
      <w:r>
        <w:rPr>
          <w:rFonts w:hint="eastAsia"/>
          <w:sz w:val="21"/>
          <w:szCs w:val="21"/>
        </w:rPr>
        <w:t xml:space="preserve">（1）业务规则 </w:t>
      </w:r>
    </w:p>
    <w:p w14:paraId="23BE2C5E">
      <w:pPr>
        <w:pStyle w:val="7"/>
        <w:spacing w:before="0" w:beforeAutospacing="0" w:after="0" w:afterAutospacing="0" w:line="360" w:lineRule="auto"/>
        <w:ind w:firstLine="420"/>
        <w:rPr>
          <w:sz w:val="21"/>
          <w:szCs w:val="21"/>
        </w:rPr>
      </w:pPr>
      <w:r>
        <w:rPr>
          <w:rFonts w:hint="eastAsia"/>
          <w:sz w:val="21"/>
          <w:szCs w:val="21"/>
        </w:rPr>
        <w:t xml:space="preserve">1）基金转换只能在同一销售机构进行。转换的两只基金必须都是该销售机构代理的同一基金管理人管理的、在同一注册登记机构处注册登记的基金。  </w:t>
      </w:r>
    </w:p>
    <w:p w14:paraId="56DFB785">
      <w:pPr>
        <w:pStyle w:val="7"/>
        <w:spacing w:before="0" w:beforeAutospacing="0" w:after="0" w:afterAutospacing="0" w:line="360" w:lineRule="auto"/>
        <w:ind w:firstLine="420"/>
        <w:rPr>
          <w:sz w:val="21"/>
          <w:szCs w:val="21"/>
        </w:rPr>
      </w:pPr>
      <w:r>
        <w:rPr>
          <w:rFonts w:hint="eastAsia"/>
          <w:sz w:val="21"/>
          <w:szCs w:val="21"/>
        </w:rPr>
        <w:t xml:space="preserve">2）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3A51E960">
      <w:pPr>
        <w:pStyle w:val="7"/>
        <w:spacing w:before="0" w:beforeAutospacing="0" w:after="0" w:afterAutospacing="0" w:line="360" w:lineRule="auto"/>
        <w:ind w:firstLine="420"/>
        <w:rPr>
          <w:sz w:val="21"/>
          <w:szCs w:val="21"/>
        </w:rPr>
      </w:pPr>
      <w:r>
        <w:rPr>
          <w:rFonts w:hint="eastAsia"/>
          <w:sz w:val="21"/>
          <w:szCs w:val="21"/>
        </w:rPr>
        <w:t xml:space="preserve">3）基金转换的目标基金份额按新交易计算持有时间。基金转出视为赎回，转入视为申购。基金转换后可赎回的时间为T＋2日。 </w:t>
      </w:r>
    </w:p>
    <w:p w14:paraId="52B5AFD7">
      <w:pPr>
        <w:pStyle w:val="7"/>
        <w:spacing w:before="0" w:beforeAutospacing="0" w:after="0" w:afterAutospacing="0" w:line="360" w:lineRule="auto"/>
        <w:ind w:firstLine="420"/>
        <w:rPr>
          <w:sz w:val="21"/>
          <w:szCs w:val="21"/>
        </w:rPr>
      </w:pPr>
      <w:r>
        <w:rPr>
          <w:rFonts w:hint="eastAsia"/>
          <w:sz w:val="21"/>
          <w:szCs w:val="21"/>
        </w:rPr>
        <w:t xml:space="preserve">4）基金分红时再投资的份额可在权益登记日的T＋2日提交基金转换申请。 </w:t>
      </w:r>
    </w:p>
    <w:p w14:paraId="52B6A748">
      <w:pPr>
        <w:pStyle w:val="7"/>
        <w:spacing w:before="0" w:beforeAutospacing="0" w:after="0" w:afterAutospacing="0" w:line="360" w:lineRule="auto"/>
        <w:ind w:firstLine="420"/>
        <w:rPr>
          <w:sz w:val="21"/>
          <w:szCs w:val="21"/>
        </w:rPr>
      </w:pPr>
      <w:r>
        <w:rPr>
          <w:rFonts w:hint="eastAsia"/>
          <w:sz w:val="21"/>
          <w:szCs w:val="21"/>
        </w:rPr>
        <w:t xml:space="preserve">5） 基金转换以申请当日基金份额净值为基础计算。投资者采用“份额转换”的原则提交申请。转出基金份额必须是可用份额，并遵循“先进先出”的原则。   </w:t>
      </w:r>
    </w:p>
    <w:p w14:paraId="342684E1">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53BCC5D8">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基金转换视同为转出基金的赎回和转入基金的申购，因此有关转出基金和转入基金暂停或拒绝申购、暂停赎回的有关规定适用于基金转换。 </w:t>
      </w:r>
    </w:p>
    <w:p w14:paraId="601397A4">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312002C2">
      <w:pPr>
        <w:pStyle w:val="7"/>
        <w:spacing w:before="0" w:beforeAutospacing="0" w:after="0" w:afterAutospacing="0" w:line="360" w:lineRule="auto"/>
        <w:ind w:firstLine="420"/>
        <w:rPr>
          <w:sz w:val="21"/>
          <w:szCs w:val="21"/>
        </w:rPr>
      </w:pPr>
      <w:r>
        <w:rPr>
          <w:rFonts w:hint="eastAsia"/>
          <w:sz w:val="21"/>
          <w:szCs w:val="21"/>
        </w:rPr>
        <w:t xml:space="preserve">（3）重要提示 </w:t>
      </w:r>
    </w:p>
    <w:p w14:paraId="7E4C6BC8">
      <w:pPr>
        <w:pStyle w:val="7"/>
        <w:spacing w:before="0" w:beforeAutospacing="0" w:after="0" w:afterAutospacing="0" w:line="360" w:lineRule="auto"/>
        <w:ind w:firstLine="420"/>
        <w:rPr>
          <w:sz w:val="21"/>
          <w:szCs w:val="21"/>
        </w:rPr>
      </w:pPr>
      <w:r>
        <w:rPr>
          <w:rFonts w:hint="eastAsia"/>
          <w:sz w:val="21"/>
          <w:szCs w:val="21"/>
        </w:rPr>
        <w:t xml:space="preserve">1）本基金转换业务适用于可以销售包括本基金在内的两只以上（含两只），且基金注册登记机构为同一机构的博时旗下基金的销售机构。 </w:t>
      </w:r>
    </w:p>
    <w:p w14:paraId="71E5A389">
      <w:pPr>
        <w:pStyle w:val="7"/>
        <w:spacing w:before="0" w:beforeAutospacing="0" w:after="0" w:afterAutospacing="0" w:line="360" w:lineRule="auto"/>
        <w:ind w:firstLine="420"/>
        <w:rPr>
          <w:sz w:val="21"/>
          <w:szCs w:val="21"/>
        </w:rPr>
      </w:pPr>
      <w:r>
        <w:rPr>
          <w:rFonts w:hint="eastAsia"/>
          <w:sz w:val="21"/>
          <w:szCs w:val="21"/>
        </w:rPr>
        <w:t xml:space="preserve">2）转换业务的收费计算公式及举例参见2010年3月16日刊登于本公司网站的《博时基金管理有限公司关于旗下开放式基金转换业务的公告》。 </w:t>
      </w:r>
    </w:p>
    <w:p w14:paraId="56DDEAEC">
      <w:pPr>
        <w:pStyle w:val="7"/>
        <w:spacing w:before="0" w:beforeAutospacing="0" w:after="0" w:afterAutospacing="0" w:line="360" w:lineRule="auto"/>
        <w:ind w:firstLine="420"/>
        <w:rPr>
          <w:sz w:val="21"/>
          <w:szCs w:val="21"/>
        </w:rPr>
      </w:pPr>
      <w:r>
        <w:rPr>
          <w:rFonts w:hint="eastAsia"/>
          <w:sz w:val="21"/>
          <w:szCs w:val="21"/>
        </w:rPr>
        <w:t xml:space="preserve">3）本公司管理基金的转换业务的解释权归本公司。 </w:t>
      </w:r>
    </w:p>
    <w:p w14:paraId="21BD1D6A">
      <w:pPr>
        <w:pStyle w:val="7"/>
        <w:spacing w:before="0" w:beforeAutospacing="0" w:after="0" w:afterAutospacing="0" w:line="360" w:lineRule="auto"/>
        <w:ind w:firstLine="420"/>
        <w:rPr>
          <w:sz w:val="21"/>
          <w:szCs w:val="21"/>
        </w:rPr>
      </w:pPr>
      <w:bookmarkStart w:id="105" w:name="chapter_level1_10_59_section_5"/>
      <w:bookmarkEnd w:id="105"/>
      <w:bookmarkStart w:id="106" w:name="chapter_level1_10_59_section_4_end"/>
      <w:bookmarkEnd w:id="106"/>
      <w:r>
        <w:rPr>
          <w:rStyle w:val="11"/>
          <w:rFonts w:hint="eastAsia"/>
          <w:sz w:val="21"/>
          <w:szCs w:val="21"/>
        </w:rPr>
        <w:t>十三、基金份额的转让</w:t>
      </w:r>
    </w:p>
    <w:p w14:paraId="35286EB4">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68A77D46">
      <w:pPr>
        <w:pStyle w:val="7"/>
        <w:spacing w:before="0" w:beforeAutospacing="0" w:after="0" w:afterAutospacing="0" w:line="360" w:lineRule="auto"/>
        <w:ind w:firstLine="420"/>
        <w:rPr>
          <w:sz w:val="21"/>
          <w:szCs w:val="21"/>
        </w:rPr>
      </w:pPr>
      <w:r>
        <w:rPr>
          <w:rStyle w:val="11"/>
          <w:rFonts w:hint="eastAsia"/>
          <w:sz w:val="21"/>
          <w:szCs w:val="21"/>
        </w:rPr>
        <w:t>十四、基金的非交易过户</w:t>
      </w:r>
    </w:p>
    <w:p w14:paraId="29045FD1">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024CB9B9">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4F46D0E5">
      <w:pPr>
        <w:pStyle w:val="7"/>
        <w:spacing w:before="0" w:beforeAutospacing="0" w:after="0" w:afterAutospacing="0" w:line="360" w:lineRule="auto"/>
        <w:ind w:firstLine="420"/>
        <w:rPr>
          <w:sz w:val="21"/>
          <w:szCs w:val="21"/>
        </w:rPr>
      </w:pPr>
      <w:r>
        <w:rPr>
          <w:rStyle w:val="11"/>
          <w:rFonts w:hint="eastAsia"/>
          <w:sz w:val="21"/>
          <w:szCs w:val="21"/>
        </w:rPr>
        <w:t>十五、基金的转托管</w:t>
      </w:r>
    </w:p>
    <w:p w14:paraId="03733126">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7" w:name="chapter_level1_10_59_section_5_end"/>
      <w:bookmarkEnd w:id="107"/>
      <w:r>
        <w:rPr>
          <w:rFonts w:hint="eastAsia"/>
          <w:sz w:val="21"/>
          <w:szCs w:val="21"/>
        </w:rPr>
        <w:t xml:space="preserve">以按照规定的标准收取转托管费。 </w:t>
      </w:r>
    </w:p>
    <w:p w14:paraId="177CFFDA">
      <w:pPr>
        <w:pStyle w:val="7"/>
        <w:spacing w:before="0" w:beforeAutospacing="0" w:after="0" w:afterAutospacing="0" w:line="360" w:lineRule="auto"/>
        <w:ind w:firstLine="420"/>
        <w:rPr>
          <w:sz w:val="21"/>
          <w:szCs w:val="21"/>
        </w:rPr>
      </w:pPr>
      <w:bookmarkStart w:id="108" w:name="chapter_level1_10_59_section_6"/>
      <w:bookmarkEnd w:id="108"/>
      <w:r>
        <w:rPr>
          <w:rStyle w:val="11"/>
          <w:rFonts w:hint="eastAsia"/>
          <w:sz w:val="21"/>
          <w:szCs w:val="21"/>
        </w:rPr>
        <w:t>十六、定期定额投资计划</w:t>
      </w:r>
    </w:p>
    <w:p w14:paraId="43CDE49C">
      <w:pPr>
        <w:pStyle w:val="7"/>
        <w:spacing w:before="0" w:beforeAutospacing="0" w:after="0" w:afterAutospacing="0" w:line="360" w:lineRule="auto"/>
        <w:ind w:firstLine="420"/>
        <w:rPr>
          <w:sz w:val="21"/>
          <w:szCs w:val="21"/>
        </w:rPr>
      </w:pPr>
      <w:r>
        <w:rPr>
          <w:rFonts w:hint="eastAsia"/>
          <w:sz w:val="21"/>
          <w:szCs w:val="21"/>
        </w:rPr>
        <w:t xml:space="preserve">本基金已于2022年1月11日开通定期定额投资业务。  </w:t>
      </w:r>
    </w:p>
    <w:p w14:paraId="2E34D900">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0271DB60">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70A90823">
      <w:pPr>
        <w:pStyle w:val="7"/>
        <w:spacing w:before="0" w:beforeAutospacing="0" w:after="0" w:afterAutospacing="0" w:line="360" w:lineRule="auto"/>
        <w:ind w:firstLine="420"/>
        <w:rPr>
          <w:sz w:val="21"/>
          <w:szCs w:val="21"/>
        </w:rPr>
      </w:pPr>
      <w:r>
        <w:rPr>
          <w:rFonts w:hint="eastAsia"/>
          <w:sz w:val="21"/>
          <w:szCs w:val="21"/>
        </w:rPr>
        <w:t xml:space="preserve">（2）申购费率  </w:t>
      </w:r>
    </w:p>
    <w:p w14:paraId="6172130C">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535C6D3E">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69ACDD42">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投资者须遵循各销售机构有关扣款日期的规定，定投金额A类基金份额每次不少于人民币10元（含10元），定投金额C类基金份额每次不少于人民币10元（含10元）。  </w:t>
      </w:r>
    </w:p>
    <w:p w14:paraId="5C53709B">
      <w:pPr>
        <w:pStyle w:val="7"/>
        <w:spacing w:before="0" w:beforeAutospacing="0" w:after="0" w:afterAutospacing="0" w:line="360" w:lineRule="auto"/>
        <w:ind w:firstLine="420"/>
        <w:rPr>
          <w:sz w:val="21"/>
          <w:szCs w:val="21"/>
        </w:rPr>
      </w:pPr>
      <w:r>
        <w:rPr>
          <w:rFonts w:hint="eastAsia"/>
          <w:sz w:val="21"/>
          <w:szCs w:val="21"/>
        </w:rPr>
        <w:t xml:space="preserve">（4）重要提示   </w:t>
      </w:r>
    </w:p>
    <w:p w14:paraId="32D2A7D0">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692337CA">
      <w:pPr>
        <w:pStyle w:val="7"/>
        <w:spacing w:before="0" w:beforeAutospacing="0" w:after="0" w:afterAutospacing="0" w:line="360" w:lineRule="auto"/>
        <w:ind w:firstLine="420"/>
        <w:rPr>
          <w:sz w:val="21"/>
          <w:szCs w:val="21"/>
        </w:rPr>
      </w:pPr>
      <w:r>
        <w:rPr>
          <w:rFonts w:hint="eastAsia"/>
          <w:sz w:val="21"/>
          <w:szCs w:val="21"/>
        </w:rPr>
        <w:t xml:space="preserve">  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在确认成功后直接计入投资者的基金账户。 </w:t>
      </w:r>
    </w:p>
    <w:p w14:paraId="1CD0953C">
      <w:pPr>
        <w:pStyle w:val="7"/>
        <w:spacing w:before="0" w:beforeAutospacing="0" w:after="0" w:afterAutospacing="0" w:line="360" w:lineRule="auto"/>
        <w:ind w:firstLine="420"/>
        <w:rPr>
          <w:sz w:val="21"/>
          <w:szCs w:val="21"/>
        </w:rPr>
      </w:pPr>
      <w:bookmarkStart w:id="109" w:name="chapter_level1_10_59_section_7"/>
      <w:bookmarkEnd w:id="109"/>
      <w:bookmarkStart w:id="110" w:name="chapter_level1_10_59_section_6_end"/>
      <w:bookmarkEnd w:id="110"/>
      <w:r>
        <w:rPr>
          <w:rStyle w:val="11"/>
          <w:rFonts w:hint="eastAsia"/>
          <w:sz w:val="21"/>
          <w:szCs w:val="21"/>
        </w:rPr>
        <w:t>十七、基金份额的冻结和解冻与质押</w:t>
      </w:r>
    </w:p>
    <w:p w14:paraId="1C30D8B5">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01DE93A7">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52231DA9">
      <w:pPr>
        <w:pStyle w:val="7"/>
        <w:spacing w:before="0" w:beforeAutospacing="0" w:after="0" w:afterAutospacing="0" w:line="360" w:lineRule="auto"/>
        <w:ind w:firstLine="420"/>
        <w:rPr>
          <w:sz w:val="21"/>
          <w:szCs w:val="21"/>
        </w:rPr>
      </w:pPr>
      <w:r>
        <w:rPr>
          <w:rStyle w:val="11"/>
          <w:rFonts w:hint="eastAsia"/>
          <w:sz w:val="21"/>
          <w:szCs w:val="21"/>
        </w:rPr>
        <w:t>十八、实施侧袋机制期间本基金的申购与赎回</w:t>
      </w:r>
    </w:p>
    <w:p w14:paraId="2CFB73E7">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本基金实施侧袋机制的，本基金的申购和赎回安排详见本招募说明书“侧袋机制”章节</w:t>
      </w:r>
      <w:bookmarkStart w:id="111" w:name="chapter_level1_10_59_section_7_end"/>
      <w:bookmarkEnd w:id="111"/>
      <w:r>
        <w:rPr>
          <w:rFonts w:hint="eastAsia"/>
          <w:sz w:val="21"/>
          <w:szCs w:val="21"/>
        </w:rPr>
        <w:t xml:space="preserve">或相关公告。 </w:t>
      </w:r>
    </w:p>
    <w:p w14:paraId="067E0E18">
      <w:pPr>
        <w:widowControl/>
        <w:jc w:val="left"/>
        <w:rPr>
          <w:rFonts w:ascii="宋体" w:hAnsi="宋体" w:eastAsia="宋体"/>
        </w:rPr>
      </w:pPr>
      <w:r>
        <w:rPr>
          <w:rFonts w:ascii="宋体" w:hAnsi="宋体" w:eastAsia="宋体"/>
        </w:rPr>
        <w:br w:type="page"/>
      </w:r>
    </w:p>
    <w:p w14:paraId="6167D0A6">
      <w:pPr>
        <w:pStyle w:val="2"/>
        <w:jc w:val="center"/>
        <w:rPr>
          <w:rFonts w:ascii="宋体" w:hAnsi="宋体" w:eastAsia="宋体"/>
          <w:sz w:val="30"/>
        </w:rPr>
      </w:pPr>
      <w:bookmarkStart w:id="112" w:name="chapter_level1_11_60"/>
      <w:bookmarkStart w:id="113" w:name="_Toc209538275"/>
      <w:r>
        <w:rPr>
          <w:rFonts w:hint="eastAsia" w:ascii="宋体" w:hAnsi="宋体" w:eastAsia="宋体"/>
          <w:sz w:val="30"/>
        </w:rPr>
        <w:t>第八部分  基金的投资</w:t>
      </w:r>
      <w:bookmarkEnd w:id="112"/>
      <w:bookmarkEnd w:id="113"/>
    </w:p>
    <w:p w14:paraId="2C76E093">
      <w:pPr>
        <w:pStyle w:val="7"/>
        <w:spacing w:before="0" w:beforeAutospacing="0" w:after="0" w:afterAutospacing="0" w:line="360" w:lineRule="auto"/>
        <w:ind w:firstLine="420"/>
        <w:rPr>
          <w:sz w:val="21"/>
          <w:szCs w:val="21"/>
        </w:rPr>
      </w:pPr>
      <w:bookmarkStart w:id="114" w:name="chapter_level1_11_60_section_1"/>
      <w:bookmarkEnd w:id="114"/>
      <w:r>
        <w:rPr>
          <w:rStyle w:val="11"/>
          <w:rFonts w:hint="eastAsia"/>
          <w:sz w:val="21"/>
          <w:szCs w:val="21"/>
        </w:rPr>
        <w:t>一、投资目标</w:t>
      </w:r>
    </w:p>
    <w:p w14:paraId="391AF867">
      <w:pPr>
        <w:pStyle w:val="7"/>
        <w:spacing w:before="0" w:beforeAutospacing="0" w:after="0" w:afterAutospacing="0" w:line="360" w:lineRule="auto"/>
        <w:ind w:firstLine="420"/>
        <w:rPr>
          <w:sz w:val="21"/>
          <w:szCs w:val="21"/>
        </w:rPr>
      </w:pPr>
      <w:bookmarkStart w:id="115" w:name="field_60_investmenttarget_1_start"/>
      <w:bookmarkEnd w:id="115"/>
      <w:r>
        <w:rPr>
          <w:rFonts w:hint="eastAsia"/>
          <w:sz w:val="21"/>
          <w:szCs w:val="21"/>
        </w:rPr>
        <w:t xml:space="preserve">本基金在控制风险的前提下，以获取绝对收益为核心投资目标，通过积极主动的投资管理，力争实现组合资产长期稳健的增值。 </w:t>
      </w:r>
      <w:bookmarkStart w:id="116" w:name="field_60_investmenttarget_1_end"/>
      <w:bookmarkEnd w:id="116"/>
      <w:r>
        <w:rPr>
          <w:rFonts w:hint="eastAsia"/>
          <w:sz w:val="21"/>
          <w:szCs w:val="21"/>
        </w:rPr>
        <w:t xml:space="preserve">  </w:t>
      </w:r>
    </w:p>
    <w:p w14:paraId="3AA71ED7">
      <w:pPr>
        <w:pStyle w:val="7"/>
        <w:spacing w:before="0" w:beforeAutospacing="0" w:after="0" w:afterAutospacing="0" w:line="360" w:lineRule="auto"/>
        <w:ind w:firstLine="420"/>
        <w:rPr>
          <w:sz w:val="21"/>
          <w:szCs w:val="21"/>
        </w:rPr>
      </w:pPr>
      <w:r>
        <w:rPr>
          <w:rStyle w:val="11"/>
          <w:rFonts w:hint="eastAsia"/>
          <w:sz w:val="21"/>
          <w:szCs w:val="21"/>
        </w:rPr>
        <w:t>二、投资范围</w:t>
      </w:r>
    </w:p>
    <w:p w14:paraId="2EC26D95">
      <w:pPr>
        <w:pStyle w:val="7"/>
        <w:spacing w:before="0" w:beforeAutospacing="0" w:after="0" w:afterAutospacing="0" w:line="360" w:lineRule="auto"/>
        <w:ind w:firstLine="420"/>
        <w:rPr>
          <w:sz w:val="21"/>
          <w:szCs w:val="21"/>
        </w:rPr>
      </w:pPr>
      <w:bookmarkStart w:id="117" w:name="field_60_investmentrange_1_start"/>
      <w:bookmarkEnd w:id="117"/>
      <w:r>
        <w:rPr>
          <w:rFonts w:hint="eastAsia"/>
          <w:sz w:val="21"/>
          <w:szCs w:val="21"/>
        </w:rPr>
        <w:t xml:space="preserve">本基金的投资范围为具有良好流动性的金融工具，包括国内依法发行或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的纯债部分）、可交换债、公开发行的次级债、可续期公司债等）、资产支持证券、货币市场工具、银行存款、同业存单、债券回购、股指期货、国债期货、股票期权、信用衍生品以及法律法规或中国证监会允许基金投资的其他金融工具（但须符合中国证监会的相关规定）。 </w:t>
      </w:r>
    </w:p>
    <w:p w14:paraId="215199EE">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0240B2CD">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35EC8138">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0%-30%，港股通标的股票的投资比例为股票资产的0%-50%；投资于同业存单的比例不超过基金资产的20%；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353BB44C">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8" w:name="field_60_investmentrange_1_end"/>
      <w:bookmarkEnd w:id="118"/>
      <w:r>
        <w:rPr>
          <w:rFonts w:hint="eastAsia"/>
          <w:sz w:val="21"/>
          <w:szCs w:val="21"/>
        </w:rPr>
        <w:t xml:space="preserve">  </w:t>
      </w:r>
    </w:p>
    <w:p w14:paraId="36B88FCE">
      <w:pPr>
        <w:pStyle w:val="7"/>
        <w:spacing w:before="0" w:beforeAutospacing="0" w:after="0" w:afterAutospacing="0" w:line="360" w:lineRule="auto"/>
        <w:ind w:firstLine="420"/>
        <w:rPr>
          <w:sz w:val="21"/>
          <w:szCs w:val="21"/>
        </w:rPr>
      </w:pPr>
      <w:r>
        <w:rPr>
          <w:rStyle w:val="11"/>
          <w:rFonts w:hint="eastAsia"/>
          <w:sz w:val="21"/>
          <w:szCs w:val="21"/>
        </w:rPr>
        <w:t>三、投资策略</w:t>
      </w:r>
    </w:p>
    <w:p w14:paraId="614C9BBD">
      <w:pPr>
        <w:pStyle w:val="7"/>
        <w:spacing w:before="0" w:beforeAutospacing="0" w:after="0" w:afterAutospacing="0" w:line="360" w:lineRule="auto"/>
        <w:ind w:firstLine="420"/>
        <w:rPr>
          <w:sz w:val="21"/>
          <w:szCs w:val="21"/>
        </w:rPr>
      </w:pPr>
      <w:bookmarkStart w:id="119" w:name="field_60_investmentstrategy_1_start"/>
      <w:bookmarkEnd w:id="119"/>
      <w:r>
        <w:rPr>
          <w:rFonts w:hint="eastAsia"/>
          <w:sz w:val="21"/>
          <w:szCs w:val="21"/>
        </w:rPr>
        <w:t xml:space="preserve">（一）资产配置策略 </w:t>
      </w:r>
    </w:p>
    <w:p w14:paraId="7C553F0A">
      <w:pPr>
        <w:pStyle w:val="7"/>
        <w:spacing w:before="0" w:beforeAutospacing="0" w:after="0" w:afterAutospacing="0" w:line="360" w:lineRule="auto"/>
        <w:ind w:firstLine="420"/>
        <w:rPr>
          <w:sz w:val="21"/>
          <w:szCs w:val="21"/>
        </w:rPr>
      </w:pPr>
      <w:r>
        <w:rPr>
          <w:rFonts w:hint="eastAsia"/>
          <w:sz w:val="21"/>
          <w:szCs w:val="21"/>
        </w:rPr>
        <w:t xml:space="preserve">本基金综合分析和持续跟踪基本面、政策面、市场面等多方面因素，结合全球宏观经济形势，研判国内外经济的发展趋势，并在严格控制投资组合风险的前提下，对组合中股票、债券、货币市场工具和法律法规或中国证监会允许基金投资的其他品种的投资比例进行战略配置和动态调整，以规避或分散市场风险，力争实现基金资产的中长期稳健增值。 </w:t>
      </w:r>
    </w:p>
    <w:p w14:paraId="3F98502F">
      <w:pPr>
        <w:pStyle w:val="7"/>
        <w:spacing w:before="0" w:beforeAutospacing="0" w:after="0" w:afterAutospacing="0" w:line="360" w:lineRule="auto"/>
        <w:ind w:firstLine="420"/>
        <w:rPr>
          <w:sz w:val="21"/>
          <w:szCs w:val="21"/>
        </w:rPr>
      </w:pPr>
      <w:r>
        <w:rPr>
          <w:rFonts w:hint="eastAsia"/>
          <w:sz w:val="21"/>
          <w:szCs w:val="21"/>
        </w:rPr>
        <w:t xml:space="preserve">（二）股票投资策略 </w:t>
      </w:r>
    </w:p>
    <w:p w14:paraId="46B170C7">
      <w:pPr>
        <w:pStyle w:val="7"/>
        <w:spacing w:before="0" w:beforeAutospacing="0" w:after="0" w:afterAutospacing="0" w:line="360" w:lineRule="auto"/>
        <w:ind w:firstLine="420"/>
        <w:rPr>
          <w:sz w:val="21"/>
          <w:szCs w:val="21"/>
        </w:rPr>
      </w:pPr>
      <w:r>
        <w:rPr>
          <w:rFonts w:hint="eastAsia"/>
          <w:sz w:val="21"/>
          <w:szCs w:val="21"/>
        </w:rPr>
        <w:t xml:space="preserve">本基金将结合定量、定性分析，考察和筛选未被充分定价的、具备增长潜力的个股，建立本基金的初选股票池。 </w:t>
      </w:r>
    </w:p>
    <w:p w14:paraId="3BE3833C">
      <w:pPr>
        <w:pStyle w:val="7"/>
        <w:spacing w:before="0" w:beforeAutospacing="0" w:after="0" w:afterAutospacing="0" w:line="360" w:lineRule="auto"/>
        <w:ind w:firstLine="420"/>
        <w:rPr>
          <w:sz w:val="21"/>
          <w:szCs w:val="21"/>
        </w:rPr>
      </w:pPr>
      <w:r>
        <w:rPr>
          <w:rFonts w:hint="eastAsia"/>
          <w:sz w:val="21"/>
          <w:szCs w:val="21"/>
        </w:rPr>
        <w:t xml:space="preserve">在股票投资上，本基金将在符合经济发展规律、有政策驱动的、推动经济结构转型的新的增长点和产业中，以自下而上的个股选择为主，重点关注公司以及所属产业的成长性与商业模式。 </w:t>
      </w:r>
    </w:p>
    <w:p w14:paraId="3AF4E51B">
      <w:pPr>
        <w:pStyle w:val="7"/>
        <w:spacing w:before="0" w:beforeAutospacing="0" w:after="0" w:afterAutospacing="0" w:line="360" w:lineRule="auto"/>
        <w:ind w:firstLine="420"/>
        <w:rPr>
          <w:sz w:val="21"/>
          <w:szCs w:val="21"/>
        </w:rPr>
      </w:pPr>
      <w:r>
        <w:rPr>
          <w:rFonts w:hint="eastAsia"/>
          <w:sz w:val="21"/>
          <w:szCs w:val="21"/>
        </w:rPr>
        <w:t xml:space="preserve">1、行业选择与配置 </w:t>
      </w:r>
    </w:p>
    <w:p w14:paraId="3811DB16">
      <w:pPr>
        <w:pStyle w:val="7"/>
        <w:spacing w:before="0" w:beforeAutospacing="0" w:after="0" w:afterAutospacing="0" w:line="360" w:lineRule="auto"/>
        <w:ind w:firstLine="420"/>
        <w:rPr>
          <w:sz w:val="21"/>
          <w:szCs w:val="21"/>
        </w:rPr>
      </w:pPr>
      <w:r>
        <w:rPr>
          <w:rFonts w:hint="eastAsia"/>
          <w:sz w:val="21"/>
          <w:szCs w:val="21"/>
        </w:rPr>
        <w:t xml:space="preserve">行业的选择与配置方面，重点关注三个问题：经济运行所处的周期、产业运行周期、行业成长空间。顺应经济结构转型的变化，寻找推动经济增长的新的驱动力，重点关注行业所处的成长周期，行业的增速以及未来的空间。 </w:t>
      </w:r>
    </w:p>
    <w:p w14:paraId="43E65995">
      <w:pPr>
        <w:pStyle w:val="7"/>
        <w:spacing w:before="0" w:beforeAutospacing="0" w:after="0" w:afterAutospacing="0" w:line="360" w:lineRule="auto"/>
        <w:ind w:firstLine="420"/>
        <w:rPr>
          <w:sz w:val="21"/>
          <w:szCs w:val="21"/>
        </w:rPr>
      </w:pPr>
      <w:r>
        <w:rPr>
          <w:rFonts w:hint="eastAsia"/>
          <w:sz w:val="21"/>
          <w:szCs w:val="21"/>
        </w:rPr>
        <w:t xml:space="preserve">2、竞争力分析 </w:t>
      </w:r>
    </w:p>
    <w:p w14:paraId="3FE32ED3">
      <w:pPr>
        <w:pStyle w:val="7"/>
        <w:spacing w:before="0" w:beforeAutospacing="0" w:after="0" w:afterAutospacing="0" w:line="360" w:lineRule="auto"/>
        <w:ind w:firstLine="420"/>
        <w:rPr>
          <w:sz w:val="21"/>
          <w:szCs w:val="21"/>
        </w:rPr>
      </w:pPr>
      <w:r>
        <w:rPr>
          <w:rFonts w:hint="eastAsia"/>
          <w:sz w:val="21"/>
          <w:szCs w:val="21"/>
        </w:rPr>
        <w:t xml:space="preserve">就公司竞争策略，基于行业分析的结果判断策略的有效性、策略的实施支持和策略的执行成果；就核心竞争力，分析公司的现有竞争优势，并判断公司能否利用现有的资源、能力和定位取得可持续竞争优势。本基金强调通过核心竞争力判断上市公司未来盈利增长的潜力。 </w:t>
      </w:r>
    </w:p>
    <w:p w14:paraId="6AF4C5B5">
      <w:pPr>
        <w:pStyle w:val="7"/>
        <w:spacing w:before="0" w:beforeAutospacing="0" w:after="0" w:afterAutospacing="0" w:line="360" w:lineRule="auto"/>
        <w:ind w:firstLine="420"/>
        <w:rPr>
          <w:sz w:val="21"/>
          <w:szCs w:val="21"/>
        </w:rPr>
      </w:pPr>
      <w:r>
        <w:rPr>
          <w:rFonts w:hint="eastAsia"/>
          <w:sz w:val="21"/>
          <w:szCs w:val="21"/>
        </w:rPr>
        <w:t xml:space="preserve">3、管理层分析 </w:t>
      </w:r>
    </w:p>
    <w:p w14:paraId="0B72DAD6">
      <w:pPr>
        <w:pStyle w:val="7"/>
        <w:spacing w:before="0" w:beforeAutospacing="0" w:after="0" w:afterAutospacing="0" w:line="360" w:lineRule="auto"/>
        <w:ind w:firstLine="420"/>
        <w:rPr>
          <w:sz w:val="21"/>
          <w:szCs w:val="21"/>
        </w:rPr>
      </w:pPr>
      <w:r>
        <w:rPr>
          <w:rFonts w:hint="eastAsia"/>
          <w:sz w:val="21"/>
          <w:szCs w:val="21"/>
        </w:rPr>
        <w:t xml:space="preserve">在国内监管体系落后、公司外部治理结构不完善的基础上，上市公司的命运对管理团队的稳定性及其能力的依赖度大大增加。由此，基金管理人在投资分析中尤其强调对管理层的经营纪录以及管理制度的考查。 </w:t>
      </w:r>
    </w:p>
    <w:p w14:paraId="29A2437F">
      <w:pPr>
        <w:pStyle w:val="7"/>
        <w:spacing w:before="0" w:beforeAutospacing="0" w:after="0" w:afterAutospacing="0" w:line="360" w:lineRule="auto"/>
        <w:ind w:firstLine="420"/>
        <w:rPr>
          <w:sz w:val="21"/>
          <w:szCs w:val="21"/>
        </w:rPr>
      </w:pPr>
      <w:r>
        <w:rPr>
          <w:rFonts w:hint="eastAsia"/>
          <w:sz w:val="21"/>
          <w:szCs w:val="21"/>
        </w:rPr>
        <w:t xml:space="preserve">4、财务指标分析 </w:t>
      </w:r>
    </w:p>
    <w:p w14:paraId="14C0D9D7">
      <w:pPr>
        <w:pStyle w:val="7"/>
        <w:spacing w:before="0" w:beforeAutospacing="0" w:after="0" w:afterAutospacing="0" w:line="360" w:lineRule="auto"/>
        <w:ind w:firstLine="420"/>
        <w:rPr>
          <w:sz w:val="21"/>
          <w:szCs w:val="21"/>
        </w:rPr>
      </w:pPr>
      <w:r>
        <w:rPr>
          <w:rFonts w:hint="eastAsia"/>
          <w:sz w:val="21"/>
          <w:szCs w:val="21"/>
        </w:rPr>
        <w:t xml:space="preserve">在财务预测的基础上，对公司盈利增长的持续性、回报率相对于资本成本的差异和公司的财务稳健性进行判断。 </w:t>
      </w:r>
    </w:p>
    <w:p w14:paraId="1AFEF61F">
      <w:pPr>
        <w:pStyle w:val="7"/>
        <w:spacing w:before="0" w:beforeAutospacing="0" w:after="0" w:afterAutospacing="0" w:line="360" w:lineRule="auto"/>
        <w:ind w:firstLine="420"/>
        <w:rPr>
          <w:sz w:val="21"/>
          <w:szCs w:val="21"/>
        </w:rPr>
      </w:pPr>
      <w:r>
        <w:rPr>
          <w:rFonts w:hint="eastAsia"/>
          <w:sz w:val="21"/>
          <w:szCs w:val="21"/>
        </w:rPr>
        <w:t xml:space="preserve">5、估值比较 </w:t>
      </w:r>
    </w:p>
    <w:p w14:paraId="425C4F4F">
      <w:pPr>
        <w:pStyle w:val="7"/>
        <w:spacing w:before="0" w:beforeAutospacing="0" w:after="0" w:afterAutospacing="0" w:line="360" w:lineRule="auto"/>
        <w:ind w:firstLine="420"/>
        <w:rPr>
          <w:sz w:val="21"/>
          <w:szCs w:val="21"/>
        </w:rPr>
      </w:pPr>
      <w:r>
        <w:rPr>
          <w:rFonts w:hint="eastAsia"/>
          <w:sz w:val="21"/>
          <w:szCs w:val="21"/>
        </w:rPr>
        <w:t xml:space="preserve">通过对估值方法的选择和估值倍数的比较，选择股价相对低估的股票。就估值方法而言，基于行业的特点确定对股价最有影响力的关键估值方法；就估值倍数而言，通过业内比较、历史比较和增长性分析，确定具有上升基础的股价水平。 </w:t>
      </w:r>
    </w:p>
    <w:p w14:paraId="4405364D">
      <w:pPr>
        <w:pStyle w:val="7"/>
        <w:spacing w:before="0" w:beforeAutospacing="0" w:after="0" w:afterAutospacing="0" w:line="360" w:lineRule="auto"/>
        <w:ind w:firstLine="420"/>
        <w:rPr>
          <w:sz w:val="21"/>
          <w:szCs w:val="21"/>
        </w:rPr>
      </w:pPr>
      <w:r>
        <w:rPr>
          <w:rFonts w:hint="eastAsia"/>
          <w:sz w:val="21"/>
          <w:szCs w:val="21"/>
        </w:rPr>
        <w:t xml:space="preserve">6、交易策略 </w:t>
      </w:r>
    </w:p>
    <w:p w14:paraId="6A7CF388">
      <w:pPr>
        <w:pStyle w:val="7"/>
        <w:spacing w:before="0" w:beforeAutospacing="0" w:after="0" w:afterAutospacing="0" w:line="360" w:lineRule="auto"/>
        <w:ind w:firstLine="420"/>
        <w:rPr>
          <w:sz w:val="21"/>
          <w:szCs w:val="21"/>
        </w:rPr>
      </w:pPr>
      <w:r>
        <w:rPr>
          <w:rFonts w:hint="eastAsia"/>
          <w:sz w:val="21"/>
          <w:szCs w:val="21"/>
        </w:rPr>
        <w:t xml:space="preserve">通过详实的基础研究以及后续追踪，合理确定投资标的交易价格区间，减少交易的随机性。 </w:t>
      </w:r>
    </w:p>
    <w:p w14:paraId="1ABF581B">
      <w:pPr>
        <w:pStyle w:val="7"/>
        <w:spacing w:before="0" w:beforeAutospacing="0" w:after="0" w:afterAutospacing="0" w:line="360" w:lineRule="auto"/>
        <w:ind w:firstLine="420"/>
        <w:rPr>
          <w:sz w:val="21"/>
          <w:szCs w:val="21"/>
        </w:rPr>
      </w:pPr>
      <w:r>
        <w:rPr>
          <w:rFonts w:hint="eastAsia"/>
          <w:sz w:val="21"/>
          <w:szCs w:val="21"/>
        </w:rPr>
        <w:t xml:space="preserve">7、港股投资策略 </w:t>
      </w:r>
    </w:p>
    <w:p w14:paraId="5136A00B">
      <w:pPr>
        <w:pStyle w:val="7"/>
        <w:spacing w:before="0" w:beforeAutospacing="0" w:after="0" w:afterAutospacing="0" w:line="360" w:lineRule="auto"/>
        <w:ind w:firstLine="420"/>
        <w:rPr>
          <w:sz w:val="21"/>
          <w:szCs w:val="21"/>
        </w:rPr>
      </w:pPr>
      <w:r>
        <w:rPr>
          <w:rFonts w:hint="eastAsia"/>
          <w:sz w:val="21"/>
          <w:szCs w:val="21"/>
        </w:rPr>
        <w:t xml:space="preserve">考虑到香港股票市场与 A 股股票市场的差异，对于香港联合交易所上市的 </w:t>
      </w:r>
    </w:p>
    <w:p w14:paraId="493CD383">
      <w:pPr>
        <w:pStyle w:val="7"/>
        <w:spacing w:before="0" w:beforeAutospacing="0" w:after="0" w:afterAutospacing="0" w:line="360" w:lineRule="auto"/>
        <w:ind w:firstLine="420"/>
        <w:rPr>
          <w:sz w:val="21"/>
          <w:szCs w:val="21"/>
        </w:rPr>
      </w:pPr>
      <w:r>
        <w:rPr>
          <w:rFonts w:hint="eastAsia"/>
          <w:sz w:val="21"/>
          <w:szCs w:val="21"/>
        </w:rPr>
        <w:t xml:space="preserve">股票，本基金除按照上述“自下而上”的个股精选策略，还将结合公司基本面、国内经济和相关行业发展前景、香港市场资金面和投资者行为，以及世界主要经 </w:t>
      </w:r>
    </w:p>
    <w:p w14:paraId="51DC433F">
      <w:pPr>
        <w:pStyle w:val="7"/>
        <w:spacing w:before="0" w:beforeAutospacing="0" w:after="0" w:afterAutospacing="0" w:line="360" w:lineRule="auto"/>
        <w:ind w:firstLine="420"/>
        <w:rPr>
          <w:sz w:val="21"/>
          <w:szCs w:val="21"/>
        </w:rPr>
      </w:pPr>
      <w:r>
        <w:rPr>
          <w:rFonts w:hint="eastAsia"/>
          <w:sz w:val="21"/>
          <w:szCs w:val="21"/>
        </w:rPr>
        <w:t xml:space="preserve">济体经济发展前景和货币政策、主流资本市场对投资者的相对吸引力等因素，精 </w:t>
      </w:r>
    </w:p>
    <w:p w14:paraId="51AC0059">
      <w:pPr>
        <w:pStyle w:val="7"/>
        <w:spacing w:before="0" w:beforeAutospacing="0" w:after="0" w:afterAutospacing="0" w:line="360" w:lineRule="auto"/>
        <w:ind w:firstLine="420"/>
        <w:rPr>
          <w:sz w:val="21"/>
          <w:szCs w:val="21"/>
        </w:rPr>
      </w:pPr>
      <w:r>
        <w:rPr>
          <w:rFonts w:hint="eastAsia"/>
          <w:sz w:val="21"/>
          <w:szCs w:val="21"/>
        </w:rPr>
        <w:t xml:space="preserve">选符合本基金投资目标的香港联合交易所上市公司股票。 </w:t>
      </w:r>
    </w:p>
    <w:p w14:paraId="61F1261C">
      <w:pPr>
        <w:pStyle w:val="7"/>
        <w:spacing w:before="0" w:beforeAutospacing="0" w:after="0" w:afterAutospacing="0" w:line="360" w:lineRule="auto"/>
        <w:ind w:firstLine="420"/>
        <w:rPr>
          <w:sz w:val="21"/>
          <w:szCs w:val="21"/>
        </w:rPr>
      </w:pPr>
      <w:r>
        <w:rPr>
          <w:rFonts w:hint="eastAsia"/>
          <w:sz w:val="21"/>
          <w:szCs w:val="21"/>
        </w:rPr>
        <w:t xml:space="preserve">本基金将持续追踪A股市场和港股市场的相对估值和市场情况，适时调整组合中港股通标的股票的投资比例。 </w:t>
      </w:r>
    </w:p>
    <w:p w14:paraId="119FCED0">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14:paraId="752E92ED">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184A0D85">
      <w:pPr>
        <w:pStyle w:val="7"/>
        <w:spacing w:before="0" w:beforeAutospacing="0" w:after="0" w:afterAutospacing="0" w:line="360" w:lineRule="auto"/>
        <w:ind w:firstLine="420"/>
        <w:rPr>
          <w:sz w:val="21"/>
          <w:szCs w:val="21"/>
        </w:rPr>
      </w:pPr>
      <w:r>
        <w:rPr>
          <w:rFonts w:hint="eastAsia"/>
          <w:sz w:val="21"/>
          <w:szCs w:val="21"/>
        </w:rPr>
        <w:t xml:space="preserve">（三）债券投资策略 </w:t>
      </w:r>
    </w:p>
    <w:p w14:paraId="41355D1D">
      <w:pPr>
        <w:pStyle w:val="7"/>
        <w:spacing w:before="0" w:beforeAutospacing="0" w:after="0" w:afterAutospacing="0" w:line="360" w:lineRule="auto"/>
        <w:ind w:firstLine="420"/>
        <w:rPr>
          <w:sz w:val="21"/>
          <w:szCs w:val="21"/>
        </w:rPr>
      </w:pPr>
      <w:r>
        <w:rPr>
          <w:rFonts w:hint="eastAsia"/>
          <w:sz w:val="21"/>
          <w:szCs w:val="21"/>
        </w:rPr>
        <w:t xml:space="preserve">本基金采用的债券投资策略包括：期限结构策略、信用策略、互换策略、息差策略、可转换债券及可交换债券投资策略等。 </w:t>
      </w:r>
    </w:p>
    <w:p w14:paraId="21AAD8C6">
      <w:pPr>
        <w:pStyle w:val="7"/>
        <w:spacing w:before="0" w:beforeAutospacing="0" w:after="0" w:afterAutospacing="0" w:line="360" w:lineRule="auto"/>
        <w:ind w:firstLine="420"/>
        <w:rPr>
          <w:sz w:val="21"/>
          <w:szCs w:val="21"/>
        </w:rPr>
      </w:pPr>
      <w:r>
        <w:rPr>
          <w:rFonts w:hint="eastAsia"/>
          <w:sz w:val="21"/>
          <w:szCs w:val="21"/>
        </w:rPr>
        <w:t xml:space="preserve">1、期限结构策略 </w:t>
      </w:r>
    </w:p>
    <w:p w14:paraId="18D48180">
      <w:pPr>
        <w:pStyle w:val="7"/>
        <w:spacing w:before="0" w:beforeAutospacing="0" w:after="0" w:afterAutospacing="0" w:line="360" w:lineRule="auto"/>
        <w:ind w:firstLine="420"/>
        <w:rPr>
          <w:sz w:val="21"/>
          <w:szCs w:val="21"/>
        </w:rPr>
      </w:pPr>
      <w:r>
        <w:rPr>
          <w:rFonts w:hint="eastAsia"/>
          <w:sz w:val="21"/>
          <w:szCs w:val="21"/>
        </w:rPr>
        <w:t xml:space="preserve">通过预测收益率曲线的形状和变化趋势，对各类型债券进行久期配置。具体策略又分为跟踪收益率曲线的骑乘策略和基于收益率曲线变化的子弹策略、杠铃策略及梯式策略。 </w:t>
      </w:r>
    </w:p>
    <w:p w14:paraId="1BB90678">
      <w:pPr>
        <w:pStyle w:val="7"/>
        <w:spacing w:before="0" w:beforeAutospacing="0" w:after="0" w:afterAutospacing="0" w:line="360" w:lineRule="auto"/>
        <w:ind w:firstLine="420"/>
        <w:rPr>
          <w:sz w:val="21"/>
          <w:szCs w:val="21"/>
        </w:rPr>
      </w:pPr>
      <w:r>
        <w:rPr>
          <w:rFonts w:hint="eastAsia"/>
          <w:sz w:val="21"/>
          <w:szCs w:val="21"/>
        </w:rPr>
        <w:t xml:space="preserve">2、信用策略 </w:t>
      </w:r>
    </w:p>
    <w:p w14:paraId="5709803D">
      <w:pPr>
        <w:pStyle w:val="7"/>
        <w:spacing w:before="0" w:beforeAutospacing="0" w:after="0" w:afterAutospacing="0" w:line="360" w:lineRule="auto"/>
        <w:ind w:firstLine="420"/>
        <w:rPr>
          <w:sz w:val="21"/>
          <w:szCs w:val="21"/>
        </w:rPr>
      </w:pPr>
      <w:r>
        <w:rPr>
          <w:rFonts w:hint="eastAsia"/>
          <w:sz w:val="21"/>
          <w:szCs w:val="21"/>
        </w:rPr>
        <w:t xml:space="preserve">信用债收益率等于基准收益率加信用利差，信用利差收益主要受两个方面的影响，一是该信用债对应信用水平的市场平均信用利差曲线走势；二是该信用债本身的信用变化。基于这两方面的因素，本基金管理人分别采用以下两种策略： </w:t>
      </w:r>
    </w:p>
    <w:p w14:paraId="1D44376A">
      <w:pPr>
        <w:pStyle w:val="7"/>
        <w:spacing w:before="0" w:beforeAutospacing="0" w:after="0" w:afterAutospacing="0" w:line="360" w:lineRule="auto"/>
        <w:ind w:firstLine="420"/>
        <w:rPr>
          <w:sz w:val="21"/>
          <w:szCs w:val="21"/>
        </w:rPr>
      </w:pPr>
      <w:r>
        <w:rPr>
          <w:rFonts w:hint="eastAsia"/>
          <w:sz w:val="21"/>
          <w:szCs w:val="21"/>
        </w:rPr>
        <w:t xml:space="preserve">1）基于信用利差曲线变化策略：一是分析经济周期和相关市场变化对信用利差曲线的影响，二是分析信用债市场容量、结构、流动性等变化趋势对信用利差曲线的影响，最后综合各种因素，分析信用利差曲线整体及分行业走势，确定信用债券总的及分行业投资比例。 </w:t>
      </w:r>
    </w:p>
    <w:p w14:paraId="7F0CFD01">
      <w:pPr>
        <w:pStyle w:val="7"/>
        <w:spacing w:before="0" w:beforeAutospacing="0" w:after="0" w:afterAutospacing="0" w:line="360" w:lineRule="auto"/>
        <w:ind w:firstLine="420"/>
        <w:rPr>
          <w:sz w:val="21"/>
          <w:szCs w:val="21"/>
        </w:rPr>
      </w:pPr>
      <w:r>
        <w:rPr>
          <w:rFonts w:hint="eastAsia"/>
          <w:sz w:val="21"/>
          <w:szCs w:val="21"/>
        </w:rPr>
        <w:t xml:space="preserve">2）基于信用债信用变化策略：发行人信用发生变化后，我们将采用变化后债券信用级别所对应的信用利差曲线对公司债、企业债定价。影响信用债信用风险的因素分为行业风险、公司风险、现金流风险、资产负债风险和其他风险等五个方面。我们主要依靠内部评级系统分析信用债的相对信用水平、违约风险及理论信用利差。 </w:t>
      </w:r>
    </w:p>
    <w:p w14:paraId="2A84FAB7">
      <w:pPr>
        <w:pStyle w:val="7"/>
        <w:spacing w:before="0" w:beforeAutospacing="0" w:after="0" w:afterAutospacing="0" w:line="360" w:lineRule="auto"/>
        <w:ind w:firstLine="420"/>
        <w:rPr>
          <w:sz w:val="21"/>
          <w:szCs w:val="21"/>
        </w:rPr>
      </w:pPr>
      <w:r>
        <w:rPr>
          <w:rFonts w:hint="eastAsia"/>
          <w:sz w:val="21"/>
          <w:szCs w:val="21"/>
        </w:rPr>
        <w:t xml:space="preserve">本基金进行信用债投资时，投资于AAA评级的信用债资产占比应不低于本基金所投信用债资产的30%；在此基础上，本基金投资于AA+评级的信用债资产占比应不高于本基金所投信用债资产的70%，本基金投资于AA评级的信用债资产占比应不高于本基金所投信用债资产的20%。具体可参见下表： </w:t>
      </w:r>
    </w:p>
    <w:tbl>
      <w:tblPr>
        <w:tblStyle w:val="9"/>
        <w:tblW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5"/>
        <w:gridCol w:w="3435"/>
      </w:tblGrid>
      <w:tr w14:paraId="7C4B5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5" w:type="dxa"/>
            <w:shd w:val="clear" w:color="auto" w:fill="auto"/>
          </w:tcPr>
          <w:p w14:paraId="31BC41D0">
            <w:pPr>
              <w:pStyle w:val="7"/>
              <w:jc w:val="center"/>
            </w:pPr>
            <w:r>
              <w:rPr>
                <w:rFonts w:hint="eastAsia"/>
              </w:rPr>
              <w:t xml:space="preserve">所投信用债评级  </w:t>
            </w:r>
          </w:p>
        </w:tc>
        <w:tc>
          <w:tcPr>
            <w:tcW w:w="3435" w:type="dxa"/>
            <w:shd w:val="clear" w:color="auto" w:fill="auto"/>
          </w:tcPr>
          <w:p w14:paraId="7DCF7C84">
            <w:pPr>
              <w:pStyle w:val="7"/>
              <w:jc w:val="center"/>
            </w:pPr>
            <w:r>
              <w:rPr>
                <w:rFonts w:hint="eastAsia"/>
              </w:rPr>
              <w:t xml:space="preserve">该评级信用债占信用债资产比例  </w:t>
            </w:r>
          </w:p>
        </w:tc>
      </w:tr>
      <w:tr w14:paraId="6E703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5" w:type="dxa"/>
            <w:shd w:val="clear" w:color="auto" w:fill="auto"/>
          </w:tcPr>
          <w:p w14:paraId="303EC121">
            <w:pPr>
              <w:pStyle w:val="7"/>
            </w:pPr>
            <w:r>
              <w:rPr>
                <w:rFonts w:hint="eastAsia"/>
              </w:rPr>
              <w:t xml:space="preserve">AAA  </w:t>
            </w:r>
          </w:p>
        </w:tc>
        <w:tc>
          <w:tcPr>
            <w:tcW w:w="3435" w:type="dxa"/>
            <w:shd w:val="clear" w:color="auto" w:fill="auto"/>
          </w:tcPr>
          <w:p w14:paraId="0263C3C2">
            <w:pPr>
              <w:pStyle w:val="7"/>
            </w:pPr>
            <w:r>
              <w:rPr>
                <w:rFonts w:hint="eastAsia"/>
              </w:rPr>
              <w:t xml:space="preserve">30%-100%  </w:t>
            </w:r>
          </w:p>
        </w:tc>
      </w:tr>
      <w:tr w14:paraId="628DA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90" w:type="dxa"/>
            <w:gridSpan w:val="2"/>
            <w:shd w:val="clear" w:color="auto" w:fill="auto"/>
          </w:tcPr>
          <w:p w14:paraId="3CEE71EE">
            <w:pPr>
              <w:pStyle w:val="7"/>
            </w:pPr>
            <w:r>
              <w:rPr>
                <w:rFonts w:hint="eastAsia"/>
              </w:rPr>
              <w:t xml:space="preserve">其他：  </w:t>
            </w:r>
          </w:p>
        </w:tc>
      </w:tr>
      <w:tr w14:paraId="7A2F7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5" w:type="dxa"/>
            <w:shd w:val="clear" w:color="auto" w:fill="auto"/>
          </w:tcPr>
          <w:p w14:paraId="1F3965B3">
            <w:pPr>
              <w:pStyle w:val="7"/>
              <w:ind w:left="210"/>
            </w:pPr>
            <w:r>
              <w:rPr>
                <w:rFonts w:hint="eastAsia"/>
              </w:rPr>
              <w:t xml:space="preserve">AA+  </w:t>
            </w:r>
          </w:p>
        </w:tc>
        <w:tc>
          <w:tcPr>
            <w:tcW w:w="3435" w:type="dxa"/>
            <w:shd w:val="clear" w:color="auto" w:fill="auto"/>
          </w:tcPr>
          <w:p w14:paraId="78834A05">
            <w:pPr>
              <w:pStyle w:val="7"/>
              <w:ind w:left="210"/>
            </w:pPr>
            <w:r>
              <w:rPr>
                <w:rFonts w:hint="eastAsia"/>
              </w:rPr>
              <w:t xml:space="preserve">0%-70%  </w:t>
            </w:r>
          </w:p>
        </w:tc>
      </w:tr>
      <w:tr w14:paraId="789F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55" w:type="dxa"/>
            <w:shd w:val="clear" w:color="auto" w:fill="auto"/>
          </w:tcPr>
          <w:p w14:paraId="4D66E4A0">
            <w:pPr>
              <w:pStyle w:val="7"/>
              <w:ind w:left="210"/>
            </w:pPr>
            <w:r>
              <w:rPr>
                <w:rFonts w:hint="eastAsia"/>
              </w:rPr>
              <w:t xml:space="preserve">AA  </w:t>
            </w:r>
          </w:p>
        </w:tc>
        <w:tc>
          <w:tcPr>
            <w:tcW w:w="3435" w:type="dxa"/>
            <w:shd w:val="clear" w:color="auto" w:fill="auto"/>
          </w:tcPr>
          <w:p w14:paraId="20D16A56">
            <w:pPr>
              <w:pStyle w:val="7"/>
              <w:ind w:left="210"/>
            </w:pPr>
            <w:r>
              <w:rPr>
                <w:rFonts w:hint="eastAsia"/>
              </w:rPr>
              <w:t xml:space="preserve">0%-20%  </w:t>
            </w:r>
          </w:p>
        </w:tc>
      </w:tr>
    </w:tbl>
    <w:p w14:paraId="4BEFA22E">
      <w:pPr>
        <w:pStyle w:val="7"/>
        <w:spacing w:before="0" w:beforeAutospacing="0" w:after="0" w:afterAutospacing="0" w:line="360" w:lineRule="auto"/>
        <w:ind w:firstLine="420"/>
        <w:rPr>
          <w:sz w:val="21"/>
          <w:szCs w:val="21"/>
        </w:rPr>
      </w:pPr>
      <w:r>
        <w:rPr>
          <w:rFonts w:hint="eastAsia"/>
          <w:sz w:val="21"/>
          <w:szCs w:val="21"/>
        </w:rPr>
        <w:t xml:space="preserve">基金持有信用债期间，如果其信用等级下降、不再符合投资标准，应在评级报告发布后尽快调整。 </w:t>
      </w:r>
    </w:p>
    <w:p w14:paraId="180D79A1">
      <w:pPr>
        <w:pStyle w:val="7"/>
        <w:spacing w:before="0" w:beforeAutospacing="0" w:after="0" w:afterAutospacing="0" w:line="360" w:lineRule="auto"/>
        <w:ind w:firstLine="420"/>
        <w:rPr>
          <w:sz w:val="21"/>
          <w:szCs w:val="21"/>
        </w:rPr>
      </w:pPr>
      <w:r>
        <w:rPr>
          <w:rFonts w:hint="eastAsia"/>
          <w:sz w:val="21"/>
          <w:szCs w:val="21"/>
        </w:rPr>
        <w:t xml:space="preserve">3、互换策略 </w:t>
      </w:r>
    </w:p>
    <w:p w14:paraId="1017CF26">
      <w:pPr>
        <w:pStyle w:val="7"/>
        <w:spacing w:before="0" w:beforeAutospacing="0" w:after="0" w:afterAutospacing="0" w:line="360" w:lineRule="auto"/>
        <w:ind w:firstLine="420"/>
        <w:rPr>
          <w:sz w:val="21"/>
          <w:szCs w:val="21"/>
        </w:rPr>
      </w:pPr>
      <w:r>
        <w:rPr>
          <w:rFonts w:hint="eastAsia"/>
          <w:sz w:val="21"/>
          <w:szCs w:val="21"/>
        </w:rPr>
        <w:t xml:space="preserve">不同券种在利息、违约风险、久期、流动性、税收和衍生条款等方面存在差别，基金管理人可以同时买入和卖出具有相近特性的两个或两个以上券种，赚取收益级差。 </w:t>
      </w:r>
    </w:p>
    <w:p w14:paraId="2CB66BD3">
      <w:pPr>
        <w:pStyle w:val="7"/>
        <w:spacing w:before="0" w:beforeAutospacing="0" w:after="0" w:afterAutospacing="0" w:line="360" w:lineRule="auto"/>
        <w:ind w:firstLine="420"/>
        <w:rPr>
          <w:sz w:val="21"/>
          <w:szCs w:val="21"/>
        </w:rPr>
      </w:pPr>
      <w:r>
        <w:rPr>
          <w:rFonts w:hint="eastAsia"/>
          <w:sz w:val="21"/>
          <w:szCs w:val="21"/>
        </w:rPr>
        <w:t xml:space="preserve">4、息差策略 </w:t>
      </w:r>
    </w:p>
    <w:p w14:paraId="5098E256">
      <w:pPr>
        <w:pStyle w:val="7"/>
        <w:spacing w:before="0" w:beforeAutospacing="0" w:after="0" w:afterAutospacing="0" w:line="360" w:lineRule="auto"/>
        <w:ind w:firstLine="420"/>
        <w:rPr>
          <w:sz w:val="21"/>
          <w:szCs w:val="21"/>
        </w:rPr>
      </w:pPr>
      <w:r>
        <w:rPr>
          <w:rFonts w:hint="eastAsia"/>
          <w:sz w:val="21"/>
          <w:szCs w:val="21"/>
        </w:rPr>
        <w:t xml:space="preserve">通过正回购，融资买入收益率高于回购成本的债券，从而获得杠杆放大收益。 </w:t>
      </w:r>
    </w:p>
    <w:p w14:paraId="15FA2BCC">
      <w:pPr>
        <w:pStyle w:val="7"/>
        <w:spacing w:before="0" w:beforeAutospacing="0" w:after="0" w:afterAutospacing="0" w:line="360" w:lineRule="auto"/>
        <w:ind w:firstLine="420"/>
        <w:rPr>
          <w:sz w:val="21"/>
          <w:szCs w:val="21"/>
        </w:rPr>
      </w:pPr>
      <w:r>
        <w:rPr>
          <w:rFonts w:hint="eastAsia"/>
          <w:sz w:val="21"/>
          <w:szCs w:val="21"/>
        </w:rPr>
        <w:t xml:space="preserve">5、可转换债券及可交换债券投资策略 </w:t>
      </w:r>
    </w:p>
    <w:p w14:paraId="2D4F6417">
      <w:pPr>
        <w:pStyle w:val="7"/>
        <w:spacing w:before="0" w:beforeAutospacing="0" w:after="0" w:afterAutospacing="0" w:line="360" w:lineRule="auto"/>
        <w:ind w:firstLine="420"/>
        <w:rPr>
          <w:sz w:val="21"/>
          <w:szCs w:val="21"/>
        </w:rPr>
      </w:pPr>
      <w:r>
        <w:rPr>
          <w:rFonts w:hint="eastAsia"/>
          <w:sz w:val="21"/>
          <w:szCs w:val="21"/>
        </w:rPr>
        <w:t xml:space="preserve">本基金利用宏观经济变化和上市公司的盈利变化，判断市场的变化趋势，选择不同的行业，再根据可转换债券的特性选择各行业不同的转债券种。本基金利用可转换债券的债券底价和到期收益率来判断转债的债性，增强本金投资的相对安全性；利用可转换债券溢价率来判断转债的股性，在市场出现投资机会时，优先选择股性强的品种，获取超额收益。 </w:t>
      </w:r>
    </w:p>
    <w:p w14:paraId="2E480EE1">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1FC94213">
      <w:pPr>
        <w:pStyle w:val="7"/>
        <w:spacing w:before="0" w:beforeAutospacing="0" w:after="0" w:afterAutospacing="0" w:line="360" w:lineRule="auto"/>
        <w:ind w:firstLine="420"/>
        <w:rPr>
          <w:sz w:val="21"/>
          <w:szCs w:val="21"/>
        </w:rPr>
      </w:pPr>
      <w:r>
        <w:rPr>
          <w:rFonts w:hint="eastAsia"/>
          <w:sz w:val="21"/>
          <w:szCs w:val="21"/>
        </w:rPr>
        <w:t xml:space="preserve">本基金投资可转换债券及可交换债券的比例合计不高于基金资产的20%。 </w:t>
      </w:r>
    </w:p>
    <w:p w14:paraId="1C592873">
      <w:pPr>
        <w:pStyle w:val="7"/>
        <w:spacing w:before="0" w:beforeAutospacing="0" w:after="0" w:afterAutospacing="0" w:line="360" w:lineRule="auto"/>
        <w:ind w:firstLine="420"/>
        <w:rPr>
          <w:sz w:val="21"/>
          <w:szCs w:val="21"/>
        </w:rPr>
      </w:pPr>
      <w:r>
        <w:rPr>
          <w:rFonts w:hint="eastAsia"/>
          <w:sz w:val="21"/>
          <w:szCs w:val="21"/>
        </w:rPr>
        <w:t xml:space="preserve">（四）衍生产品投资策略 </w:t>
      </w:r>
    </w:p>
    <w:p w14:paraId="29340E1C">
      <w:pPr>
        <w:pStyle w:val="7"/>
        <w:spacing w:before="0" w:beforeAutospacing="0" w:after="0" w:afterAutospacing="0" w:line="360" w:lineRule="auto"/>
        <w:ind w:firstLine="420"/>
        <w:rPr>
          <w:sz w:val="21"/>
          <w:szCs w:val="21"/>
        </w:rPr>
      </w:pPr>
      <w:r>
        <w:rPr>
          <w:rFonts w:hint="eastAsia"/>
          <w:sz w:val="21"/>
          <w:szCs w:val="21"/>
        </w:rPr>
        <w:t xml:space="preserve">本基金可以参与股指期货交易，但必须根据风险管理的原则，以套期保值为目的。本基金将根据对现货和期货市场的分析，采取多头或空头套期保值等策略进行套期保值操作。股指期货的具体投资策略包括：（1）对冲投资组合的系统性风险；（2）有效管理现金流量、降低建仓或调仓过程中的冲击成本等。 </w:t>
      </w:r>
    </w:p>
    <w:p w14:paraId="02F4E7DC">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本基金将根据风险管理的原则，以套期保值为目的，在风险可控的前提下，本着谨慎原则，参与国债期货的投资，以管理投资组合的系统性风险，改善组合的风险收益特性。 </w:t>
      </w:r>
    </w:p>
    <w:p w14:paraId="6C90FE60">
      <w:pPr>
        <w:pStyle w:val="7"/>
        <w:spacing w:before="0" w:beforeAutospacing="0" w:after="0" w:afterAutospacing="0" w:line="360" w:lineRule="auto"/>
        <w:ind w:firstLine="420"/>
        <w:rPr>
          <w:sz w:val="21"/>
          <w:szCs w:val="21"/>
        </w:rPr>
      </w:pPr>
      <w:r>
        <w:rPr>
          <w:rFonts w:hint="eastAsia"/>
          <w:sz w:val="21"/>
          <w:szCs w:val="21"/>
        </w:rPr>
        <w:t xml:space="preserve">股票期权为本基金辅助性投资工具。股票期权的投资原则为有利于基金资产增值、控制下跌风险、实现保值和锁定收益。本基金将按照风险管理的原则，以套期保值为主要目的参与股票期权交易。本基金将结合投资目标、比例限制、风险收益特征以及法律法规的相关限定和要求，确定参与股票期权交易的投资时机和投资比例。 </w:t>
      </w:r>
    </w:p>
    <w:p w14:paraId="4D1D005F">
      <w:pPr>
        <w:pStyle w:val="7"/>
        <w:spacing w:before="0" w:beforeAutospacing="0" w:after="0" w:afterAutospacing="0" w:line="360" w:lineRule="auto"/>
        <w:ind w:firstLine="420"/>
        <w:rPr>
          <w:sz w:val="21"/>
          <w:szCs w:val="21"/>
        </w:rPr>
      </w:pPr>
      <w:r>
        <w:rPr>
          <w:rFonts w:hint="eastAsia"/>
          <w:sz w:val="21"/>
          <w:szCs w:val="21"/>
        </w:rPr>
        <w:t xml:space="preserve">（五）资产支持证券投资策略 </w:t>
      </w:r>
    </w:p>
    <w:p w14:paraId="7508EA5A">
      <w:pPr>
        <w:pStyle w:val="7"/>
        <w:spacing w:before="0" w:beforeAutospacing="0" w:after="0" w:afterAutospacing="0" w:line="360" w:lineRule="auto"/>
        <w:ind w:firstLine="420"/>
        <w:rPr>
          <w:sz w:val="21"/>
          <w:szCs w:val="21"/>
        </w:rPr>
      </w:pPr>
      <w:r>
        <w:rPr>
          <w:rFonts w:hint="eastAsia"/>
          <w:sz w:val="21"/>
          <w:szCs w:val="21"/>
        </w:rPr>
        <w:t xml:space="preserve">本基金将通过对资产支持证券基础资产及结构设计的研究，结合多种定价模型，根据基金资产组合情况适度进行资产支持证券的投资。 </w:t>
      </w:r>
    </w:p>
    <w:p w14:paraId="587986FB">
      <w:pPr>
        <w:pStyle w:val="7"/>
        <w:spacing w:before="0" w:beforeAutospacing="0" w:after="0" w:afterAutospacing="0" w:line="360" w:lineRule="auto"/>
        <w:ind w:firstLine="420"/>
        <w:rPr>
          <w:sz w:val="21"/>
          <w:szCs w:val="21"/>
        </w:rPr>
      </w:pPr>
      <w:r>
        <w:rPr>
          <w:rFonts w:hint="eastAsia"/>
          <w:sz w:val="21"/>
          <w:szCs w:val="21"/>
        </w:rPr>
        <w:t xml:space="preserve">（六）流通受限证券投资策略 </w:t>
      </w:r>
    </w:p>
    <w:p w14:paraId="088487D3">
      <w:pPr>
        <w:pStyle w:val="7"/>
        <w:spacing w:before="0" w:beforeAutospacing="0" w:after="0" w:afterAutospacing="0" w:line="360" w:lineRule="auto"/>
        <w:ind w:firstLine="420"/>
        <w:rPr>
          <w:sz w:val="21"/>
          <w:szCs w:val="21"/>
        </w:rPr>
      </w:pPr>
      <w:r>
        <w:rPr>
          <w:rFonts w:hint="eastAsia"/>
          <w:sz w:val="21"/>
          <w:szCs w:val="21"/>
        </w:rPr>
        <w:t xml:space="preserve">本基金将根据基金管理人的净资本规模，以及本基金的投资风格和流动性特点，兼顾基金投资的安全性、流动性和收益性，合理控制基金投资流通受限证券的比例。 </w:t>
      </w:r>
    </w:p>
    <w:p w14:paraId="197DF697">
      <w:pPr>
        <w:pStyle w:val="7"/>
        <w:spacing w:before="0" w:beforeAutospacing="0" w:after="0" w:afterAutospacing="0" w:line="360" w:lineRule="auto"/>
        <w:ind w:firstLine="420"/>
        <w:rPr>
          <w:sz w:val="21"/>
          <w:szCs w:val="21"/>
        </w:rPr>
      </w:pPr>
      <w:r>
        <w:rPr>
          <w:rFonts w:hint="eastAsia"/>
          <w:sz w:val="21"/>
          <w:szCs w:val="21"/>
        </w:rPr>
        <w:t xml:space="preserve">（七）信用衍生品投资策略 </w:t>
      </w:r>
    </w:p>
    <w:p w14:paraId="5E40B811">
      <w:pPr>
        <w:pStyle w:val="7"/>
        <w:spacing w:before="0" w:beforeAutospacing="0" w:after="0" w:afterAutospacing="0" w:line="360" w:lineRule="auto"/>
        <w:ind w:firstLine="420"/>
        <w:rPr>
          <w:sz w:val="21"/>
          <w:szCs w:val="21"/>
        </w:rPr>
      </w:pPr>
      <w:r>
        <w:rPr>
          <w:rFonts w:hint="eastAsia"/>
          <w:sz w:val="21"/>
          <w:szCs w:val="21"/>
        </w:rPr>
        <w:t xml:space="preserve">依托于公司整体的信用研究团队，当预期某只债券有较高的违约风险时，可以购买对应债券的信用衍生品来控制标的债券的信用风险冲击。 </w:t>
      </w:r>
    </w:p>
    <w:p w14:paraId="7F803B75">
      <w:pPr>
        <w:pStyle w:val="7"/>
        <w:spacing w:before="0" w:beforeAutospacing="0" w:after="0" w:afterAutospacing="0" w:line="360" w:lineRule="auto"/>
        <w:ind w:firstLine="420"/>
        <w:rPr>
          <w:sz w:val="21"/>
          <w:szCs w:val="21"/>
        </w:rPr>
      </w:pPr>
      <w:r>
        <w:rPr>
          <w:rFonts w:hint="eastAsia"/>
          <w:sz w:val="21"/>
          <w:szCs w:val="21"/>
        </w:rPr>
        <w:t xml:space="preserve">本基金按风险管理的原则，以风险对冲为目的参与信用衍生品交易，同时会根据实际情况尽量保持信用衍生品的名义本金与对应标的债券的面值相一致。 </w:t>
      </w:r>
    </w:p>
    <w:p w14:paraId="2571A133">
      <w:pPr>
        <w:pStyle w:val="7"/>
        <w:spacing w:before="0" w:beforeAutospacing="0" w:after="0" w:afterAutospacing="0" w:line="360" w:lineRule="auto"/>
        <w:ind w:firstLine="420"/>
        <w:rPr>
          <w:sz w:val="21"/>
          <w:szCs w:val="21"/>
        </w:rPr>
      </w:pPr>
      <w:r>
        <w:rPr>
          <w:rFonts w:hint="eastAsia"/>
          <w:sz w:val="21"/>
          <w:szCs w:val="21"/>
        </w:rPr>
        <w:t xml:space="preserve">（八）参与融资业务的投资策略 </w:t>
      </w:r>
    </w:p>
    <w:p w14:paraId="450EB2E9">
      <w:pPr>
        <w:pStyle w:val="7"/>
        <w:spacing w:before="0" w:beforeAutospacing="0" w:after="0" w:afterAutospacing="0" w:line="360" w:lineRule="auto"/>
        <w:ind w:firstLine="420"/>
        <w:rPr>
          <w:sz w:val="21"/>
          <w:szCs w:val="21"/>
        </w:rPr>
      </w:pPr>
      <w:r>
        <w:rPr>
          <w:rFonts w:hint="eastAsia"/>
          <w:sz w:val="21"/>
          <w:szCs w:val="21"/>
        </w:rPr>
        <w:t xml:space="preserve">为了更好地实现投资目标，在综合考虑预期风险、收益、流动性等因素的基础上，本基金可参与融资业务。 </w:t>
      </w:r>
    </w:p>
    <w:p w14:paraId="3D78B630">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今后，随着证券市场的发展、金融工具的丰富和交易方式的创新等，本基金还将积极寻求其他投资机会，如法律法规或监管机构以后允许基金投资其他品种，本基金将在履行适当</w:t>
      </w:r>
      <w:bookmarkStart w:id="120" w:name="chapter_level1_11_60_section_1_end"/>
      <w:bookmarkEnd w:id="120"/>
      <w:r>
        <w:rPr>
          <w:rFonts w:hint="eastAsia"/>
          <w:sz w:val="21"/>
          <w:szCs w:val="21"/>
        </w:rPr>
        <w:t xml:space="preserve">程序后，将其纳入投资范围以丰富组合投资策略。 </w:t>
      </w:r>
      <w:bookmarkStart w:id="121" w:name="field_60_investmentstrategy_1_end"/>
      <w:bookmarkEnd w:id="121"/>
      <w:r>
        <w:rPr>
          <w:rFonts w:hint="eastAsia"/>
          <w:sz w:val="21"/>
          <w:szCs w:val="21"/>
        </w:rPr>
        <w:t xml:space="preserve">  </w:t>
      </w:r>
    </w:p>
    <w:p w14:paraId="7D2DD18B">
      <w:pPr>
        <w:pStyle w:val="7"/>
        <w:spacing w:before="0" w:beforeAutospacing="0" w:after="0" w:afterAutospacing="0" w:line="360" w:lineRule="auto"/>
        <w:ind w:firstLine="420"/>
        <w:rPr>
          <w:sz w:val="21"/>
          <w:szCs w:val="21"/>
        </w:rPr>
      </w:pPr>
      <w:bookmarkStart w:id="122" w:name="chapter_level1_11_60_section_2"/>
      <w:bookmarkEnd w:id="122"/>
      <w:r>
        <w:rPr>
          <w:rFonts w:hint="eastAsia"/>
          <w:b/>
          <w:bCs/>
          <w:sz w:val="21"/>
          <w:szCs w:val="21"/>
        </w:rPr>
        <w:t>四、投资限制</w:t>
      </w:r>
    </w:p>
    <w:p w14:paraId="48A2C1F9">
      <w:pPr>
        <w:pStyle w:val="7"/>
        <w:spacing w:before="0" w:beforeAutospacing="0" w:after="0" w:afterAutospacing="0" w:line="360" w:lineRule="auto"/>
        <w:ind w:firstLine="420"/>
        <w:rPr>
          <w:sz w:val="21"/>
          <w:szCs w:val="21"/>
        </w:rPr>
      </w:pPr>
      <w:r>
        <w:rPr>
          <w:rFonts w:hint="eastAsia"/>
          <w:sz w:val="21"/>
          <w:szCs w:val="21"/>
        </w:rPr>
        <w:t xml:space="preserve">1、组合限制  </w:t>
      </w:r>
    </w:p>
    <w:p w14:paraId="6F4E0E5A">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3A424D81">
      <w:pPr>
        <w:pStyle w:val="7"/>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（1）本基金的股票资产（含存托凭证）占基金资产的0%-30%，港股通标的股票的投资比例为股票资产的0%-50%；  </w:t>
      </w:r>
    </w:p>
    <w:p w14:paraId="6956E65A">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14:paraId="0558D014">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3F668BD1">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（4）本基金管理人管理的全部基金持有一家公司发行的证券，不超过该证券（若同时持有一家公司发行的A股和H股，则为A股与H股合计）的10%；  </w:t>
      </w:r>
    </w:p>
    <w:p w14:paraId="78B77066">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23FB3AE4">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5D5760AD">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730A2C19">
      <w:pPr>
        <w:pStyle w:val="7"/>
        <w:spacing w:before="0" w:beforeAutospacing="0" w:after="0" w:afterAutospacing="0" w:line="360" w:lineRule="auto"/>
        <w:ind w:firstLine="420"/>
        <w:rPr>
          <w:sz w:val="21"/>
          <w:szCs w:val="21"/>
        </w:rPr>
      </w:pPr>
      <w:r>
        <w:rPr>
          <w:rFonts w:hint="eastAsia"/>
          <w:sz w:val="21"/>
          <w:szCs w:val="21"/>
        </w:rPr>
        <w:t xml:space="preserve">（8）本基金管理人管理的全部基金投资于同一原始权益人的各类资产支持证券，不得超过其各类资产支持证券合计规模的10%；  </w:t>
      </w:r>
    </w:p>
    <w:p w14:paraId="47C79021">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58082FC9">
      <w:pPr>
        <w:pStyle w:val="7"/>
        <w:spacing w:before="0" w:beforeAutospacing="0" w:after="0" w:afterAutospacing="0" w:line="360" w:lineRule="auto"/>
        <w:ind w:firstLine="420"/>
        <w:rPr>
          <w:sz w:val="21"/>
          <w:szCs w:val="21"/>
        </w:rPr>
      </w:pPr>
      <w:r>
        <w:rPr>
          <w:rFonts w:hint="eastAsia"/>
          <w:sz w:val="21"/>
          <w:szCs w:val="21"/>
        </w:rPr>
        <w:t xml:space="preserve">（10）本基金投资于同业存单的比例不超过基金资产的20%；  </w:t>
      </w:r>
    </w:p>
    <w:p w14:paraId="438B17FC">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521C213">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（12）本基金进入全国银行间同业市场进行债券回购的资金余额不得超过基金资产净值的40%，进入全国银行间同业市场进行债券回购的最长期限为1年，债券回购到期后不得展期；  </w:t>
      </w:r>
    </w:p>
    <w:p w14:paraId="48BA42FF">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35AD2BD0">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0379A174">
      <w:pPr>
        <w:pStyle w:val="7"/>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0618FF0C">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19E8A2A3">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0F649F48">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45455643">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68A71F1E">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3B891AEA">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258FA27E">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67E4C7E5">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2AFDD5C6">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08D78283">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2963721">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2E03F432">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2B79322F">
      <w:pPr>
        <w:pStyle w:val="7"/>
        <w:spacing w:before="0" w:beforeAutospacing="0" w:after="0" w:afterAutospacing="0" w:line="360" w:lineRule="auto"/>
        <w:ind w:firstLine="420"/>
        <w:rPr>
          <w:sz w:val="21"/>
          <w:szCs w:val="21"/>
        </w:rPr>
      </w:pPr>
      <w:r>
        <w:rPr>
          <w:rFonts w:hint="eastAsia"/>
          <w:sz w:val="21"/>
          <w:szCs w:val="21"/>
        </w:rPr>
        <w:t xml:space="preserve">（16）本基金管理人管理的全部开放式基金持有一家上市公司发行的可流通股票，不得超过该上市公司可流通股票的15%；本基金管理人管理的全部投资组合持有一家上市公司发行的可流通股票，不得超过该上市公司可流通股票的30%；  </w:t>
      </w:r>
    </w:p>
    <w:p w14:paraId="79BB05C3">
      <w:pPr>
        <w:pStyle w:val="7"/>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5EFDA7DB">
      <w:pPr>
        <w:pStyle w:val="7"/>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13D7FCE1">
      <w:pPr>
        <w:pStyle w:val="7"/>
        <w:spacing w:before="0" w:beforeAutospacing="0" w:after="0" w:afterAutospacing="0" w:line="360" w:lineRule="auto"/>
        <w:ind w:firstLine="420"/>
        <w:rPr>
          <w:sz w:val="21"/>
          <w:szCs w:val="21"/>
        </w:rPr>
      </w:pPr>
      <w:r>
        <w:rPr>
          <w:rFonts w:hint="eastAsia"/>
          <w:sz w:val="21"/>
          <w:szCs w:val="21"/>
        </w:rPr>
        <w:t xml:space="preserve">（19）本基金参与融资的，任何交易日日终，本基金持有的融资买入股票与其他有价证券市值之和，不得超过基金资产净值的95%；  </w:t>
      </w:r>
    </w:p>
    <w:p w14:paraId="39EECA94">
      <w:pPr>
        <w:pStyle w:val="7"/>
        <w:spacing w:before="0" w:beforeAutospacing="0" w:after="0" w:afterAutospacing="0" w:line="360" w:lineRule="auto"/>
        <w:ind w:firstLine="420"/>
        <w:rPr>
          <w:sz w:val="21"/>
          <w:szCs w:val="21"/>
        </w:rPr>
      </w:pPr>
      <w:r>
        <w:rPr>
          <w:rFonts w:hint="eastAsia"/>
          <w:sz w:val="21"/>
          <w:szCs w:val="21"/>
        </w:rPr>
        <w:t xml:space="preserve">（20）本基金不持有具有信用保护卖方属性的信用衍生品，不持有合约类信用衍生品，本基金持有的信用衍生品名义本金不得超过本基金中所对应受保护债券面值的100%；  </w:t>
      </w:r>
    </w:p>
    <w:p w14:paraId="3651F4F7">
      <w:pPr>
        <w:pStyle w:val="7"/>
        <w:spacing w:before="0" w:beforeAutospacing="0" w:after="0" w:afterAutospacing="0" w:line="360" w:lineRule="auto"/>
        <w:ind w:firstLine="420"/>
        <w:rPr>
          <w:sz w:val="21"/>
          <w:szCs w:val="21"/>
        </w:rPr>
      </w:pPr>
      <w:r>
        <w:rPr>
          <w:rFonts w:hint="eastAsia"/>
          <w:sz w:val="21"/>
          <w:szCs w:val="21"/>
        </w:rPr>
        <w:t xml:space="preserve">（21）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684B69DE">
      <w:pPr>
        <w:pStyle w:val="7"/>
        <w:spacing w:before="0" w:beforeAutospacing="0" w:after="0" w:afterAutospacing="0" w:line="360" w:lineRule="auto"/>
        <w:ind w:firstLine="420"/>
        <w:rPr>
          <w:sz w:val="21"/>
          <w:szCs w:val="21"/>
        </w:rPr>
      </w:pPr>
      <w:r>
        <w:rPr>
          <w:rFonts w:hint="eastAsia"/>
          <w:sz w:val="21"/>
          <w:szCs w:val="21"/>
        </w:rPr>
        <w:t xml:space="preserve">（22）本基金投资存托凭证的比例限制依照境内上市交易的股票执行；  </w:t>
      </w:r>
    </w:p>
    <w:p w14:paraId="0B16F841">
      <w:pPr>
        <w:pStyle w:val="7"/>
        <w:spacing w:before="0" w:beforeAutospacing="0" w:after="0" w:afterAutospacing="0" w:line="360" w:lineRule="auto"/>
        <w:ind w:firstLine="420"/>
        <w:rPr>
          <w:sz w:val="21"/>
          <w:szCs w:val="21"/>
        </w:rPr>
      </w:pPr>
      <w:r>
        <w:rPr>
          <w:rFonts w:hint="eastAsia"/>
          <w:sz w:val="21"/>
          <w:szCs w:val="21"/>
        </w:rPr>
        <w:t xml:space="preserve">（23）法律法规及中国证监会规定的和《基金合同》约定的其他投资限制。 </w:t>
      </w:r>
    </w:p>
    <w:p w14:paraId="48FFAC6A">
      <w:pPr>
        <w:pStyle w:val="7"/>
        <w:spacing w:before="0" w:beforeAutospacing="0" w:after="0" w:afterAutospacing="0" w:line="360" w:lineRule="auto"/>
        <w:ind w:firstLine="420"/>
        <w:rPr>
          <w:sz w:val="21"/>
          <w:szCs w:val="21"/>
        </w:rPr>
      </w:pPr>
      <w:r>
        <w:rPr>
          <w:rFonts w:hint="eastAsia"/>
          <w:sz w:val="21"/>
          <w:szCs w:val="21"/>
        </w:rPr>
        <w:t xml:space="preserve">除上述（2）、（9）、（17）、（18）、（21）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66F34223">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E1482CD">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 </w:t>
      </w:r>
    </w:p>
    <w:p w14:paraId="503CC563">
      <w:pPr>
        <w:pStyle w:val="7"/>
        <w:spacing w:before="0" w:beforeAutospacing="0" w:after="0" w:afterAutospacing="0" w:line="360" w:lineRule="auto"/>
        <w:ind w:firstLine="420"/>
        <w:rPr>
          <w:sz w:val="21"/>
          <w:szCs w:val="21"/>
        </w:rPr>
      </w:pPr>
      <w:r>
        <w:rPr>
          <w:rFonts w:hint="eastAsia"/>
          <w:sz w:val="21"/>
          <w:szCs w:val="21"/>
        </w:rPr>
        <w:t xml:space="preserve">2、禁止行为  </w:t>
      </w:r>
    </w:p>
    <w:p w14:paraId="20944AF9">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2781D520">
      <w:pPr>
        <w:pStyle w:val="7"/>
        <w:spacing w:before="0" w:beforeAutospacing="0" w:after="0" w:afterAutospacing="0" w:line="360" w:lineRule="auto"/>
        <w:ind w:firstLine="420"/>
        <w:rPr>
          <w:sz w:val="21"/>
          <w:szCs w:val="21"/>
        </w:rPr>
      </w:pPr>
      <w:r>
        <w:rPr>
          <w:rFonts w:hint="eastAsia"/>
          <w:sz w:val="21"/>
          <w:szCs w:val="21"/>
        </w:rPr>
        <w:t xml:space="preserve">（1）承销证券；  </w:t>
      </w:r>
    </w:p>
    <w:p w14:paraId="73D88BAA">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62BAF8DA">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1067A1E5">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3F1F4F77">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592FED8D">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638C5851">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ACF0D55">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19F66BAE">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法律、行政法规或监管部门取消或变更上述禁止性规定，如适用于本基金，基金管理人在履行适当程序后，则本基金投资不再受相关限制或以变更后的规定为准。 </w:t>
      </w:r>
    </w:p>
    <w:p w14:paraId="67B482B3">
      <w:pPr>
        <w:pStyle w:val="7"/>
        <w:spacing w:before="0" w:beforeAutospacing="0" w:after="0" w:afterAutospacing="0" w:line="360" w:lineRule="auto"/>
        <w:ind w:firstLine="420"/>
        <w:rPr>
          <w:sz w:val="21"/>
          <w:szCs w:val="21"/>
        </w:rPr>
      </w:pPr>
      <w:bookmarkStart w:id="123" w:name="chapter_level1_11_60_section_2_end"/>
      <w:bookmarkEnd w:id="123"/>
      <w:r>
        <w:rPr>
          <w:rFonts w:hint="eastAsia"/>
          <w:b/>
          <w:bCs/>
          <w:sz w:val="21"/>
          <w:szCs w:val="21"/>
        </w:rPr>
        <w:t>五、业绩比较基准</w:t>
      </w:r>
    </w:p>
    <w:p w14:paraId="50CD2D96">
      <w:pPr>
        <w:pStyle w:val="7"/>
        <w:spacing w:before="0" w:beforeAutospacing="0" w:after="0" w:afterAutospacing="0" w:line="360" w:lineRule="auto"/>
        <w:ind w:firstLine="420"/>
        <w:rPr>
          <w:sz w:val="21"/>
          <w:szCs w:val="21"/>
        </w:rPr>
      </w:pPr>
      <w:bookmarkStart w:id="124" w:name="chapter_level1_11_60_section_3"/>
      <w:bookmarkEnd w:id="124"/>
      <w:r>
        <w:rPr>
          <w:rFonts w:hint="eastAsia"/>
          <w:sz w:val="21"/>
          <w:szCs w:val="21"/>
        </w:rPr>
        <w:t>本基金的业绩比较基准为：</w:t>
      </w:r>
      <w:bookmarkStart w:id="125" w:name="field_60_benchmark_1_start"/>
      <w:bookmarkEnd w:id="125"/>
      <w:r>
        <w:rPr>
          <w:rFonts w:hint="eastAsia"/>
          <w:sz w:val="21"/>
          <w:szCs w:val="21"/>
        </w:rPr>
        <w:t xml:space="preserve">沪深300指数收益率×10%＋中证港股通综合指数（CNY）收益率×5%＋中债综合财富（总值）指数收益率×80%+银行活期存款利率（税后）×5% </w:t>
      </w:r>
      <w:bookmarkStart w:id="126" w:name="field_60_benchmark_1_end"/>
      <w:bookmarkEnd w:id="126"/>
      <w:r>
        <w:rPr>
          <w:rFonts w:hint="eastAsia"/>
          <w:sz w:val="21"/>
          <w:szCs w:val="21"/>
        </w:rPr>
        <w:t xml:space="preserve">  </w:t>
      </w:r>
    </w:p>
    <w:p w14:paraId="7B366158">
      <w:pPr>
        <w:pStyle w:val="7"/>
        <w:spacing w:before="0" w:beforeAutospacing="0" w:after="0" w:afterAutospacing="0" w:line="360" w:lineRule="auto"/>
        <w:ind w:firstLine="420"/>
        <w:rPr>
          <w:sz w:val="21"/>
          <w:szCs w:val="21"/>
        </w:rPr>
      </w:pPr>
      <w:r>
        <w:rPr>
          <w:rFonts w:hint="eastAsia"/>
          <w:sz w:val="21"/>
          <w:szCs w:val="21"/>
        </w:rPr>
        <w:t xml:space="preserve">沪深300指数对股票市场具有较强的代表性，适合作为本基金股票部分的业绩比较基准。中证港股通综合指数（CNY）从港股通合资格标的内选取中国内地企业组成样本股，可以较好地代表港股市场业绩表现，适合作为本基金港股股票组合的业绩比较基准。中债综合财富（总值）指数能够反映债券市场总体走势，适合作为本基金固定收益部分的业绩比较基准。基于本基金的投资范围和投资比例限制，选用如上业绩比较基准能够真实反映本基金的风险收益特征。 </w:t>
      </w:r>
    </w:p>
    <w:p w14:paraId="05A18EE5">
      <w:pPr>
        <w:pStyle w:val="7"/>
        <w:spacing w:before="0" w:beforeAutospacing="0" w:after="0" w:afterAutospacing="0" w:line="360" w:lineRule="auto"/>
        <w:ind w:firstLine="420"/>
        <w:rPr>
          <w:sz w:val="21"/>
          <w:szCs w:val="21"/>
        </w:rPr>
      </w:pPr>
      <w:r>
        <w:rPr>
          <w:rFonts w:hint="eastAsia"/>
          <w:sz w:val="21"/>
          <w:szCs w:val="21"/>
        </w:rPr>
        <w:t>如果指数编制单位停止计算编制以上指数或更改指数名称、或今后法律法规发生变化、或有更适当的、更能为市场普遍接受的业绩比较基准推出，本基金管理人可以根据本基金的投资范围和投资策略，调整基金的业绩比较基准，但应在取得基金托管人同意后报中国证监</w:t>
      </w:r>
      <w:bookmarkStart w:id="127" w:name="chapter_level1_11_60_section_3_end"/>
      <w:bookmarkEnd w:id="127"/>
      <w:r>
        <w:rPr>
          <w:rFonts w:hint="eastAsia"/>
          <w:sz w:val="21"/>
          <w:szCs w:val="21"/>
        </w:rPr>
        <w:t xml:space="preserve">会备案，并及时公告，无须召开基金份额持有人大会审议。 </w:t>
      </w:r>
    </w:p>
    <w:p w14:paraId="06AA33C9">
      <w:pPr>
        <w:pStyle w:val="7"/>
        <w:spacing w:before="0" w:beforeAutospacing="0" w:after="0" w:afterAutospacing="0" w:line="360" w:lineRule="auto"/>
        <w:ind w:firstLine="420"/>
        <w:rPr>
          <w:sz w:val="21"/>
          <w:szCs w:val="21"/>
        </w:rPr>
      </w:pPr>
      <w:bookmarkStart w:id="128" w:name="chapter_level1_11_60_section_4"/>
      <w:bookmarkEnd w:id="128"/>
      <w:r>
        <w:rPr>
          <w:rStyle w:val="11"/>
          <w:rFonts w:hint="eastAsia"/>
          <w:sz w:val="21"/>
          <w:szCs w:val="21"/>
        </w:rPr>
        <w:t>六、风险收益特征</w:t>
      </w:r>
    </w:p>
    <w:p w14:paraId="18C00681">
      <w:pPr>
        <w:pStyle w:val="7"/>
        <w:spacing w:before="0" w:beforeAutospacing="0" w:after="0" w:afterAutospacing="0" w:line="360" w:lineRule="auto"/>
        <w:ind w:firstLine="420"/>
        <w:rPr>
          <w:sz w:val="21"/>
          <w:szCs w:val="21"/>
        </w:rPr>
      </w:pPr>
      <w:bookmarkStart w:id="129" w:name="field_60_riskyield_1_start"/>
      <w:bookmarkEnd w:id="129"/>
      <w:r>
        <w:rPr>
          <w:rFonts w:hint="eastAsia"/>
          <w:sz w:val="21"/>
          <w:szCs w:val="21"/>
        </w:rPr>
        <w:t xml:space="preserve">本基金是混合型证券投资基金，其预期收益和预期风险水平高于债券型基金和货币市场基金，低于股票型基金。本基金如果投资港股通标的股票，需承担汇率风险以及境外市场的风险。 </w:t>
      </w:r>
      <w:bookmarkStart w:id="130" w:name="field_60_riskyield_1_end"/>
      <w:bookmarkEnd w:id="130"/>
      <w:r>
        <w:rPr>
          <w:rFonts w:hint="eastAsia"/>
          <w:sz w:val="21"/>
          <w:szCs w:val="21"/>
        </w:rPr>
        <w:t xml:space="preserve">  </w:t>
      </w:r>
    </w:p>
    <w:p w14:paraId="11A105B8">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4F6BD202">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0F6326B1">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3A50A7AB">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74F29C5D">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5A9D7547">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509B1128">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 </w:t>
      </w:r>
    </w:p>
    <w:p w14:paraId="7260E2C1">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34C38EAB">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31" w:name="chapter_level1_11_60_section_4_end"/>
      <w:bookmarkEnd w:id="131"/>
      <w:r>
        <w:rPr>
          <w:rFonts w:hint="eastAsia"/>
          <w:sz w:val="21"/>
          <w:szCs w:val="21"/>
        </w:rPr>
        <w:t xml:space="preserve">对投资者权益有重大影响的事项详见本招募说明书“侧袋机制”章节的规定。 </w:t>
      </w:r>
    </w:p>
    <w:p w14:paraId="3072EA14">
      <w:pPr>
        <w:pStyle w:val="7"/>
        <w:spacing w:before="0" w:beforeAutospacing="0" w:after="0" w:afterAutospacing="0" w:line="360" w:lineRule="auto"/>
        <w:ind w:firstLine="420"/>
        <w:rPr>
          <w:sz w:val="21"/>
          <w:szCs w:val="21"/>
        </w:rPr>
      </w:pPr>
      <w:bookmarkStart w:id="132" w:name="chapter_level1_11_60_section_5"/>
      <w:bookmarkEnd w:id="132"/>
      <w:bookmarkStart w:id="133" w:name="chapter_level1_11_60_section_5_end"/>
      <w:bookmarkEnd w:id="133"/>
      <w:r>
        <w:rPr>
          <w:rStyle w:val="11"/>
          <w:rFonts w:hint="eastAsia"/>
          <w:sz w:val="21"/>
          <w:szCs w:val="21"/>
        </w:rPr>
        <w:t>九、基金投资组合报告</w:t>
      </w:r>
    </w:p>
    <w:p w14:paraId="7C79B3B0">
      <w:pPr>
        <w:pStyle w:val="7"/>
        <w:spacing w:before="0" w:beforeAutospacing="0" w:after="0" w:afterAutospacing="0" w:line="360" w:lineRule="auto"/>
        <w:ind w:firstLine="420"/>
        <w:rPr>
          <w:sz w:val="21"/>
          <w:szCs w:val="21"/>
        </w:rPr>
      </w:pPr>
      <w:bookmarkStart w:id="134" w:name="chapter_level1_11_60_section_6"/>
      <w:bookmarkEnd w:id="134"/>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3F865114">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63DF8973">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35" w:name="field_2343_financeendday_2"/>
      <w:r>
        <w:rPr>
          <w:sz w:val="21"/>
          <w:szCs w:val="21"/>
        </w:rPr>
        <w:t>2025年6月30日</w:t>
      </w:r>
      <w:bookmarkEnd w:id="135"/>
      <w:r>
        <w:rPr>
          <w:rFonts w:hint="eastAsia"/>
          <w:sz w:val="21"/>
          <w:szCs w:val="21"/>
        </w:rPr>
        <w:t xml:space="preserve">，本报告中所列财务数据未经审计。 </w:t>
      </w:r>
    </w:p>
    <w:p w14:paraId="78CBE101">
      <w:pPr>
        <w:pStyle w:val="7"/>
        <w:spacing w:before="0" w:beforeAutospacing="0" w:after="0" w:afterAutospacing="0" w:line="360" w:lineRule="auto"/>
        <w:ind w:firstLine="420"/>
        <w:rPr>
          <w:sz w:val="21"/>
          <w:szCs w:val="21"/>
        </w:rPr>
      </w:pPr>
      <w:bookmarkStart w:id="136" w:name="field_0_fundportfolio_1_start"/>
      <w:bookmarkEnd w:id="136"/>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3827"/>
        <w:gridCol w:w="1598"/>
        <w:gridCol w:w="2448"/>
      </w:tblGrid>
      <w:tr w14:paraId="0B325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8E951E">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1AAE8E97">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3DADABD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5B4397DE">
            <w:pPr>
              <w:jc w:val="center"/>
              <w:rPr>
                <w:rFonts w:ascii="宋体" w:hAnsi="宋体" w:eastAsia="宋体" w:cs="宋体"/>
                <w:sz w:val="24"/>
                <w:szCs w:val="24"/>
              </w:rPr>
            </w:pPr>
            <w:r>
              <w:rPr>
                <w:rFonts w:hint="eastAsia" w:ascii="宋体" w:hAnsi="宋体" w:eastAsia="宋体"/>
              </w:rPr>
              <w:t>占基金总资产的比例(%)</w:t>
            </w:r>
          </w:p>
        </w:tc>
      </w:tr>
      <w:tr w14:paraId="53780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CE42BE">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65800B1">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00D897B7">
            <w:pPr>
              <w:jc w:val="right"/>
              <w:rPr>
                <w:rFonts w:ascii="宋体" w:hAnsi="宋体" w:eastAsia="宋体" w:cs="宋体"/>
                <w:sz w:val="24"/>
                <w:szCs w:val="24"/>
              </w:rPr>
            </w:pPr>
            <w:r>
              <w:rPr>
                <w:rFonts w:hint="eastAsia" w:ascii="宋体" w:hAnsi="宋体" w:eastAsia="宋体"/>
              </w:rPr>
              <w:t>14,858,022.51</w:t>
            </w:r>
          </w:p>
        </w:tc>
        <w:tc>
          <w:tcPr>
            <w:tcW w:w="0" w:type="auto"/>
            <w:shd w:val="clear" w:color="auto" w:fill="auto"/>
          </w:tcPr>
          <w:p w14:paraId="2422B5B0">
            <w:pPr>
              <w:jc w:val="right"/>
              <w:rPr>
                <w:rFonts w:ascii="宋体" w:hAnsi="宋体" w:eastAsia="宋体" w:cs="宋体"/>
                <w:sz w:val="24"/>
                <w:szCs w:val="24"/>
              </w:rPr>
            </w:pPr>
            <w:r>
              <w:rPr>
                <w:rFonts w:hint="eastAsia" w:ascii="宋体" w:hAnsi="宋体" w:eastAsia="宋体"/>
              </w:rPr>
              <w:t>28.47</w:t>
            </w:r>
          </w:p>
        </w:tc>
      </w:tr>
      <w:tr w14:paraId="0D2B3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316644">
            <w:pPr>
              <w:jc w:val="center"/>
              <w:rPr>
                <w:rFonts w:ascii="宋体" w:hAnsi="宋体" w:eastAsia="宋体" w:cs="宋体"/>
                <w:sz w:val="24"/>
                <w:szCs w:val="24"/>
              </w:rPr>
            </w:pPr>
          </w:p>
        </w:tc>
        <w:tc>
          <w:tcPr>
            <w:tcW w:w="0" w:type="auto"/>
            <w:shd w:val="clear" w:color="auto" w:fill="auto"/>
          </w:tcPr>
          <w:p w14:paraId="53F750A5">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01495893">
            <w:pPr>
              <w:jc w:val="right"/>
              <w:rPr>
                <w:rFonts w:ascii="宋体" w:hAnsi="宋体" w:eastAsia="宋体" w:cs="宋体"/>
                <w:sz w:val="24"/>
                <w:szCs w:val="24"/>
              </w:rPr>
            </w:pPr>
            <w:r>
              <w:rPr>
                <w:rFonts w:hint="eastAsia" w:ascii="宋体" w:hAnsi="宋体" w:eastAsia="宋体"/>
              </w:rPr>
              <w:t>14,858,022.51</w:t>
            </w:r>
          </w:p>
        </w:tc>
        <w:tc>
          <w:tcPr>
            <w:tcW w:w="0" w:type="auto"/>
            <w:shd w:val="clear" w:color="auto" w:fill="auto"/>
          </w:tcPr>
          <w:p w14:paraId="034077DD">
            <w:pPr>
              <w:jc w:val="right"/>
              <w:rPr>
                <w:rFonts w:ascii="宋体" w:hAnsi="宋体" w:eastAsia="宋体" w:cs="宋体"/>
                <w:sz w:val="24"/>
                <w:szCs w:val="24"/>
              </w:rPr>
            </w:pPr>
            <w:r>
              <w:rPr>
                <w:rFonts w:hint="eastAsia" w:ascii="宋体" w:hAnsi="宋体" w:eastAsia="宋体"/>
              </w:rPr>
              <w:t>28.47</w:t>
            </w:r>
          </w:p>
        </w:tc>
      </w:tr>
      <w:tr w14:paraId="1475B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99140AE">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002770D">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048AAE6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E0BF6E5">
            <w:pPr>
              <w:jc w:val="right"/>
              <w:rPr>
                <w:rFonts w:ascii="宋体" w:hAnsi="宋体" w:eastAsia="宋体" w:cs="宋体"/>
                <w:sz w:val="24"/>
                <w:szCs w:val="24"/>
              </w:rPr>
            </w:pPr>
            <w:r>
              <w:rPr>
                <w:rFonts w:hint="eastAsia" w:ascii="宋体" w:hAnsi="宋体" w:eastAsia="宋体"/>
              </w:rPr>
              <w:t>-</w:t>
            </w:r>
          </w:p>
        </w:tc>
      </w:tr>
      <w:tr w14:paraId="7CBDD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C7242B">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0CF806B">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122E3B97">
            <w:pPr>
              <w:jc w:val="right"/>
              <w:rPr>
                <w:rFonts w:ascii="宋体" w:hAnsi="宋体" w:eastAsia="宋体" w:cs="宋体"/>
                <w:sz w:val="24"/>
                <w:szCs w:val="24"/>
              </w:rPr>
            </w:pPr>
            <w:r>
              <w:rPr>
                <w:rFonts w:hint="eastAsia" w:ascii="宋体" w:hAnsi="宋体" w:eastAsia="宋体"/>
              </w:rPr>
              <w:t>32,776,718.65</w:t>
            </w:r>
          </w:p>
        </w:tc>
        <w:tc>
          <w:tcPr>
            <w:tcW w:w="0" w:type="auto"/>
            <w:shd w:val="clear" w:color="auto" w:fill="auto"/>
          </w:tcPr>
          <w:p w14:paraId="5561C39C">
            <w:pPr>
              <w:jc w:val="right"/>
              <w:rPr>
                <w:rFonts w:ascii="宋体" w:hAnsi="宋体" w:eastAsia="宋体" w:cs="宋体"/>
                <w:sz w:val="24"/>
                <w:szCs w:val="24"/>
              </w:rPr>
            </w:pPr>
            <w:r>
              <w:rPr>
                <w:rFonts w:hint="eastAsia" w:ascii="宋体" w:hAnsi="宋体" w:eastAsia="宋体"/>
              </w:rPr>
              <w:t>62.80</w:t>
            </w:r>
          </w:p>
        </w:tc>
      </w:tr>
      <w:tr w14:paraId="228A9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BCBF38D">
            <w:pPr>
              <w:jc w:val="center"/>
              <w:rPr>
                <w:rFonts w:ascii="宋体" w:hAnsi="宋体" w:eastAsia="宋体" w:cs="宋体"/>
                <w:sz w:val="24"/>
                <w:szCs w:val="24"/>
              </w:rPr>
            </w:pPr>
          </w:p>
        </w:tc>
        <w:tc>
          <w:tcPr>
            <w:tcW w:w="0" w:type="auto"/>
            <w:shd w:val="clear" w:color="auto" w:fill="auto"/>
          </w:tcPr>
          <w:p w14:paraId="6E3496DA">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5185CE38">
            <w:pPr>
              <w:jc w:val="right"/>
              <w:rPr>
                <w:rFonts w:ascii="宋体" w:hAnsi="宋体" w:eastAsia="宋体" w:cs="宋体"/>
                <w:sz w:val="24"/>
                <w:szCs w:val="24"/>
              </w:rPr>
            </w:pPr>
            <w:r>
              <w:rPr>
                <w:rFonts w:hint="eastAsia" w:ascii="宋体" w:hAnsi="宋体" w:eastAsia="宋体"/>
              </w:rPr>
              <w:t>32,776,718.65</w:t>
            </w:r>
          </w:p>
        </w:tc>
        <w:tc>
          <w:tcPr>
            <w:tcW w:w="0" w:type="auto"/>
            <w:shd w:val="clear" w:color="auto" w:fill="auto"/>
          </w:tcPr>
          <w:p w14:paraId="6B35019E">
            <w:pPr>
              <w:jc w:val="right"/>
              <w:rPr>
                <w:rFonts w:ascii="宋体" w:hAnsi="宋体" w:eastAsia="宋体" w:cs="宋体"/>
                <w:sz w:val="24"/>
                <w:szCs w:val="24"/>
              </w:rPr>
            </w:pPr>
            <w:r>
              <w:rPr>
                <w:rFonts w:hint="eastAsia" w:ascii="宋体" w:hAnsi="宋体" w:eastAsia="宋体"/>
              </w:rPr>
              <w:t>62.80</w:t>
            </w:r>
          </w:p>
        </w:tc>
      </w:tr>
      <w:tr w14:paraId="4F55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75CDD7">
            <w:pPr>
              <w:jc w:val="center"/>
              <w:rPr>
                <w:rFonts w:ascii="宋体" w:hAnsi="宋体" w:eastAsia="宋体" w:cs="宋体"/>
                <w:sz w:val="24"/>
                <w:szCs w:val="24"/>
              </w:rPr>
            </w:pPr>
          </w:p>
        </w:tc>
        <w:tc>
          <w:tcPr>
            <w:tcW w:w="0" w:type="auto"/>
            <w:shd w:val="clear" w:color="auto" w:fill="auto"/>
          </w:tcPr>
          <w:p w14:paraId="5159BD0E">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70B1332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A2F1063">
            <w:pPr>
              <w:jc w:val="right"/>
              <w:rPr>
                <w:rFonts w:ascii="宋体" w:hAnsi="宋体" w:eastAsia="宋体" w:cs="宋体"/>
                <w:sz w:val="24"/>
                <w:szCs w:val="24"/>
              </w:rPr>
            </w:pPr>
            <w:r>
              <w:rPr>
                <w:rFonts w:hint="eastAsia" w:ascii="宋体" w:hAnsi="宋体" w:eastAsia="宋体"/>
              </w:rPr>
              <w:t>-</w:t>
            </w:r>
          </w:p>
        </w:tc>
      </w:tr>
      <w:tr w14:paraId="4B8AC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4D521B">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3FEFE16">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08865C8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B9BF628">
            <w:pPr>
              <w:jc w:val="right"/>
              <w:rPr>
                <w:rFonts w:ascii="宋体" w:hAnsi="宋体" w:eastAsia="宋体" w:cs="宋体"/>
                <w:sz w:val="24"/>
                <w:szCs w:val="24"/>
              </w:rPr>
            </w:pPr>
            <w:r>
              <w:rPr>
                <w:rFonts w:hint="eastAsia" w:ascii="宋体" w:hAnsi="宋体" w:eastAsia="宋体"/>
              </w:rPr>
              <w:t>-</w:t>
            </w:r>
          </w:p>
        </w:tc>
      </w:tr>
      <w:tr w14:paraId="1481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AABB2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19D795C">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04EC264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66E14F2">
            <w:pPr>
              <w:jc w:val="right"/>
              <w:rPr>
                <w:rFonts w:ascii="宋体" w:hAnsi="宋体" w:eastAsia="宋体" w:cs="宋体"/>
                <w:sz w:val="24"/>
                <w:szCs w:val="24"/>
              </w:rPr>
            </w:pPr>
            <w:r>
              <w:rPr>
                <w:rFonts w:hint="eastAsia" w:ascii="宋体" w:hAnsi="宋体" w:eastAsia="宋体"/>
              </w:rPr>
              <w:t>-</w:t>
            </w:r>
          </w:p>
        </w:tc>
      </w:tr>
      <w:tr w14:paraId="3BDA9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12CC6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3AAD46A">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68C02A1D">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1CEEADD">
            <w:pPr>
              <w:jc w:val="right"/>
              <w:rPr>
                <w:rFonts w:ascii="宋体" w:hAnsi="宋体" w:eastAsia="宋体" w:cs="宋体"/>
                <w:sz w:val="24"/>
                <w:szCs w:val="24"/>
              </w:rPr>
            </w:pPr>
            <w:r>
              <w:rPr>
                <w:rFonts w:hint="eastAsia" w:ascii="宋体" w:hAnsi="宋体" w:eastAsia="宋体"/>
              </w:rPr>
              <w:t>-</w:t>
            </w:r>
          </w:p>
        </w:tc>
      </w:tr>
      <w:tr w14:paraId="5D63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F4182E">
            <w:pPr>
              <w:jc w:val="center"/>
              <w:rPr>
                <w:rFonts w:ascii="宋体" w:hAnsi="宋体" w:eastAsia="宋体" w:cs="宋体"/>
                <w:sz w:val="24"/>
                <w:szCs w:val="24"/>
              </w:rPr>
            </w:pPr>
          </w:p>
        </w:tc>
        <w:tc>
          <w:tcPr>
            <w:tcW w:w="0" w:type="auto"/>
            <w:shd w:val="clear" w:color="auto" w:fill="auto"/>
          </w:tcPr>
          <w:p w14:paraId="241AF128">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2C0218F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5F5B105">
            <w:pPr>
              <w:jc w:val="right"/>
              <w:rPr>
                <w:rFonts w:ascii="宋体" w:hAnsi="宋体" w:eastAsia="宋体" w:cs="宋体"/>
                <w:sz w:val="24"/>
                <w:szCs w:val="24"/>
              </w:rPr>
            </w:pPr>
            <w:r>
              <w:rPr>
                <w:rFonts w:hint="eastAsia" w:ascii="宋体" w:hAnsi="宋体" w:eastAsia="宋体"/>
              </w:rPr>
              <w:t>-</w:t>
            </w:r>
          </w:p>
        </w:tc>
      </w:tr>
      <w:tr w14:paraId="337C2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8263C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773546D8">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1B414ABF">
            <w:pPr>
              <w:jc w:val="right"/>
              <w:rPr>
                <w:rFonts w:ascii="宋体" w:hAnsi="宋体" w:eastAsia="宋体" w:cs="宋体"/>
                <w:sz w:val="24"/>
                <w:szCs w:val="24"/>
              </w:rPr>
            </w:pPr>
            <w:r>
              <w:rPr>
                <w:rFonts w:hint="eastAsia" w:ascii="宋体" w:hAnsi="宋体" w:eastAsia="宋体"/>
              </w:rPr>
              <w:t>4,356,694.43</w:t>
            </w:r>
          </w:p>
        </w:tc>
        <w:tc>
          <w:tcPr>
            <w:tcW w:w="0" w:type="auto"/>
            <w:shd w:val="clear" w:color="auto" w:fill="auto"/>
          </w:tcPr>
          <w:p w14:paraId="0394A504">
            <w:pPr>
              <w:jc w:val="right"/>
              <w:rPr>
                <w:rFonts w:ascii="宋体" w:hAnsi="宋体" w:eastAsia="宋体" w:cs="宋体"/>
                <w:sz w:val="24"/>
                <w:szCs w:val="24"/>
              </w:rPr>
            </w:pPr>
            <w:r>
              <w:rPr>
                <w:rFonts w:hint="eastAsia" w:ascii="宋体" w:hAnsi="宋体" w:eastAsia="宋体"/>
              </w:rPr>
              <w:t>8.35</w:t>
            </w:r>
          </w:p>
        </w:tc>
      </w:tr>
      <w:tr w14:paraId="161B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87A66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0806243D">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61299E9C">
            <w:pPr>
              <w:jc w:val="right"/>
              <w:rPr>
                <w:rFonts w:ascii="宋体" w:hAnsi="宋体" w:eastAsia="宋体" w:cs="宋体"/>
                <w:sz w:val="24"/>
                <w:szCs w:val="24"/>
              </w:rPr>
            </w:pPr>
            <w:r>
              <w:rPr>
                <w:rFonts w:hint="eastAsia" w:ascii="宋体" w:hAnsi="宋体" w:eastAsia="宋体"/>
              </w:rPr>
              <w:t>201,872.57</w:t>
            </w:r>
          </w:p>
        </w:tc>
        <w:tc>
          <w:tcPr>
            <w:tcW w:w="0" w:type="auto"/>
            <w:shd w:val="clear" w:color="auto" w:fill="auto"/>
          </w:tcPr>
          <w:p w14:paraId="0FA8B8F3">
            <w:pPr>
              <w:jc w:val="right"/>
              <w:rPr>
                <w:rFonts w:ascii="宋体" w:hAnsi="宋体" w:eastAsia="宋体" w:cs="宋体"/>
                <w:sz w:val="24"/>
                <w:szCs w:val="24"/>
              </w:rPr>
            </w:pPr>
            <w:r>
              <w:rPr>
                <w:rFonts w:hint="eastAsia" w:ascii="宋体" w:hAnsi="宋体" w:eastAsia="宋体"/>
              </w:rPr>
              <w:t>0.39</w:t>
            </w:r>
          </w:p>
        </w:tc>
      </w:tr>
      <w:tr w14:paraId="4EFA8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F27DEC">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2CD180B2">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0020451A">
            <w:pPr>
              <w:jc w:val="right"/>
              <w:rPr>
                <w:rFonts w:ascii="宋体" w:hAnsi="宋体" w:eastAsia="宋体" w:cs="宋体"/>
                <w:sz w:val="24"/>
                <w:szCs w:val="24"/>
              </w:rPr>
            </w:pPr>
            <w:r>
              <w:rPr>
                <w:rFonts w:hint="eastAsia" w:ascii="宋体" w:hAnsi="宋体" w:eastAsia="宋体"/>
              </w:rPr>
              <w:t>52,193,308.16</w:t>
            </w:r>
          </w:p>
        </w:tc>
        <w:tc>
          <w:tcPr>
            <w:tcW w:w="0" w:type="auto"/>
            <w:shd w:val="clear" w:color="auto" w:fill="auto"/>
          </w:tcPr>
          <w:p w14:paraId="33CD80E9">
            <w:pPr>
              <w:jc w:val="right"/>
              <w:rPr>
                <w:rFonts w:ascii="宋体" w:hAnsi="宋体" w:eastAsia="宋体" w:cs="宋体"/>
                <w:sz w:val="24"/>
                <w:szCs w:val="24"/>
              </w:rPr>
            </w:pPr>
            <w:r>
              <w:rPr>
                <w:rFonts w:hint="eastAsia" w:ascii="宋体" w:hAnsi="宋体" w:eastAsia="宋体"/>
              </w:rPr>
              <w:t>100.00</w:t>
            </w:r>
          </w:p>
        </w:tc>
      </w:tr>
    </w:tbl>
    <w:p w14:paraId="553B42A9">
      <w:pPr>
        <w:pStyle w:val="7"/>
        <w:spacing w:before="0" w:beforeAutospacing="0" w:after="0" w:afterAutospacing="0" w:line="360" w:lineRule="auto"/>
        <w:ind w:firstLine="420"/>
        <w:rPr>
          <w:sz w:val="21"/>
          <w:szCs w:val="21"/>
        </w:rPr>
      </w:pPr>
      <w:r>
        <w:rPr>
          <w:rFonts w:hint="eastAsia"/>
          <w:sz w:val="21"/>
          <w:szCs w:val="21"/>
        </w:rPr>
        <w:t>注：权益投资中通过港股通机制投资香港股票金额2,746,273.59元，净值占比5.34%。</w:t>
      </w:r>
    </w:p>
    <w:p w14:paraId="2D7D5C20">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245BBFFB">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509"/>
        <w:gridCol w:w="1684"/>
        <w:gridCol w:w="2693"/>
      </w:tblGrid>
      <w:tr w14:paraId="31AC1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35BC22">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27082E95">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6D0004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7EB6CDD">
            <w:pPr>
              <w:jc w:val="center"/>
              <w:rPr>
                <w:rFonts w:ascii="宋体" w:hAnsi="宋体" w:eastAsia="宋体" w:cs="宋体"/>
                <w:sz w:val="24"/>
                <w:szCs w:val="24"/>
              </w:rPr>
            </w:pPr>
            <w:r>
              <w:rPr>
                <w:rFonts w:hint="eastAsia" w:ascii="宋体" w:hAnsi="宋体" w:eastAsia="宋体"/>
              </w:rPr>
              <w:t>占基金资产净值比例（％）</w:t>
            </w:r>
          </w:p>
        </w:tc>
      </w:tr>
      <w:tr w14:paraId="336AC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3768E4">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283CF505">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173811A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810FD4">
            <w:pPr>
              <w:jc w:val="right"/>
              <w:rPr>
                <w:rFonts w:ascii="宋体" w:hAnsi="宋体" w:eastAsia="宋体" w:cs="宋体"/>
                <w:sz w:val="24"/>
                <w:szCs w:val="24"/>
              </w:rPr>
            </w:pPr>
            <w:r>
              <w:rPr>
                <w:rFonts w:hint="eastAsia" w:ascii="宋体" w:hAnsi="宋体" w:eastAsia="宋体"/>
              </w:rPr>
              <w:t>-</w:t>
            </w:r>
          </w:p>
        </w:tc>
      </w:tr>
      <w:tr w14:paraId="22CD5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D67C77C">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5D68FF93">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57BB3E5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B9E5C94">
            <w:pPr>
              <w:jc w:val="right"/>
              <w:rPr>
                <w:rFonts w:ascii="宋体" w:hAnsi="宋体" w:eastAsia="宋体" w:cs="宋体"/>
                <w:sz w:val="24"/>
                <w:szCs w:val="24"/>
              </w:rPr>
            </w:pPr>
            <w:r>
              <w:rPr>
                <w:rFonts w:hint="eastAsia" w:ascii="宋体" w:hAnsi="宋体" w:eastAsia="宋体"/>
              </w:rPr>
              <w:t>-</w:t>
            </w:r>
          </w:p>
        </w:tc>
      </w:tr>
      <w:tr w14:paraId="14982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2C1CA2">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654975D4">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4579F2B5">
            <w:pPr>
              <w:jc w:val="right"/>
              <w:rPr>
                <w:rFonts w:ascii="宋体" w:hAnsi="宋体" w:eastAsia="宋体" w:cs="宋体"/>
                <w:sz w:val="24"/>
                <w:szCs w:val="24"/>
              </w:rPr>
            </w:pPr>
            <w:r>
              <w:rPr>
                <w:rFonts w:hint="eastAsia" w:ascii="宋体" w:hAnsi="宋体" w:eastAsia="宋体"/>
              </w:rPr>
              <w:t>11,366,208.92</w:t>
            </w:r>
          </w:p>
        </w:tc>
        <w:tc>
          <w:tcPr>
            <w:tcW w:w="0" w:type="auto"/>
            <w:shd w:val="clear" w:color="auto" w:fill="auto"/>
          </w:tcPr>
          <w:p w14:paraId="77D8C583">
            <w:pPr>
              <w:jc w:val="right"/>
              <w:rPr>
                <w:rFonts w:ascii="宋体" w:hAnsi="宋体" w:eastAsia="宋体" w:cs="宋体"/>
                <w:sz w:val="24"/>
                <w:szCs w:val="24"/>
              </w:rPr>
            </w:pPr>
            <w:r>
              <w:rPr>
                <w:rFonts w:hint="eastAsia" w:ascii="宋体" w:hAnsi="宋体" w:eastAsia="宋体"/>
              </w:rPr>
              <w:t>22.12</w:t>
            </w:r>
          </w:p>
        </w:tc>
      </w:tr>
      <w:tr w14:paraId="59D78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A36FC4">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2E30D94A">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3BFA5BD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FC4C111">
            <w:pPr>
              <w:jc w:val="right"/>
              <w:rPr>
                <w:rFonts w:ascii="宋体" w:hAnsi="宋体" w:eastAsia="宋体" w:cs="宋体"/>
                <w:sz w:val="24"/>
                <w:szCs w:val="24"/>
              </w:rPr>
            </w:pPr>
            <w:r>
              <w:rPr>
                <w:rFonts w:hint="eastAsia" w:ascii="宋体" w:hAnsi="宋体" w:eastAsia="宋体"/>
              </w:rPr>
              <w:t>-</w:t>
            </w:r>
          </w:p>
        </w:tc>
      </w:tr>
      <w:tr w14:paraId="55F1B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6D1BD2">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1F857D50">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693D67E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02D7FA1">
            <w:pPr>
              <w:jc w:val="right"/>
              <w:rPr>
                <w:rFonts w:ascii="宋体" w:hAnsi="宋体" w:eastAsia="宋体" w:cs="宋体"/>
                <w:sz w:val="24"/>
                <w:szCs w:val="24"/>
              </w:rPr>
            </w:pPr>
            <w:r>
              <w:rPr>
                <w:rFonts w:hint="eastAsia" w:ascii="宋体" w:hAnsi="宋体" w:eastAsia="宋体"/>
              </w:rPr>
              <w:t>-</w:t>
            </w:r>
          </w:p>
        </w:tc>
      </w:tr>
      <w:tr w14:paraId="2638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C95EEBD">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42AC880F">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656D32D9">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65566B7">
            <w:pPr>
              <w:jc w:val="right"/>
              <w:rPr>
                <w:rFonts w:ascii="宋体" w:hAnsi="宋体" w:eastAsia="宋体" w:cs="宋体"/>
                <w:sz w:val="24"/>
                <w:szCs w:val="24"/>
              </w:rPr>
            </w:pPr>
            <w:r>
              <w:rPr>
                <w:rFonts w:hint="eastAsia" w:ascii="宋体" w:hAnsi="宋体" w:eastAsia="宋体"/>
              </w:rPr>
              <w:t>-</w:t>
            </w:r>
          </w:p>
        </w:tc>
      </w:tr>
      <w:tr w14:paraId="697F6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3DB04A">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312D8C41">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74FB90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D44528">
            <w:pPr>
              <w:jc w:val="right"/>
              <w:rPr>
                <w:rFonts w:ascii="宋体" w:hAnsi="宋体" w:eastAsia="宋体" w:cs="宋体"/>
                <w:sz w:val="24"/>
                <w:szCs w:val="24"/>
              </w:rPr>
            </w:pPr>
            <w:r>
              <w:rPr>
                <w:rFonts w:hint="eastAsia" w:ascii="宋体" w:hAnsi="宋体" w:eastAsia="宋体"/>
              </w:rPr>
              <w:t>-</w:t>
            </w:r>
          </w:p>
        </w:tc>
      </w:tr>
      <w:tr w14:paraId="3BEF7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E1D178">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6C6DE2CE">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157FF03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53F90BD">
            <w:pPr>
              <w:jc w:val="right"/>
              <w:rPr>
                <w:rFonts w:ascii="宋体" w:hAnsi="宋体" w:eastAsia="宋体" w:cs="宋体"/>
                <w:sz w:val="24"/>
                <w:szCs w:val="24"/>
              </w:rPr>
            </w:pPr>
            <w:r>
              <w:rPr>
                <w:rFonts w:hint="eastAsia" w:ascii="宋体" w:hAnsi="宋体" w:eastAsia="宋体"/>
              </w:rPr>
              <w:t>-</w:t>
            </w:r>
          </w:p>
        </w:tc>
      </w:tr>
      <w:tr w14:paraId="428EA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DF52D7">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12A50484">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A20A59A">
            <w:pPr>
              <w:jc w:val="right"/>
              <w:rPr>
                <w:rFonts w:ascii="宋体" w:hAnsi="宋体" w:eastAsia="宋体" w:cs="宋体"/>
                <w:sz w:val="24"/>
                <w:szCs w:val="24"/>
              </w:rPr>
            </w:pPr>
            <w:r>
              <w:rPr>
                <w:rFonts w:hint="eastAsia" w:ascii="宋体" w:hAnsi="宋体" w:eastAsia="宋体"/>
              </w:rPr>
              <w:t>247,000.00</w:t>
            </w:r>
          </w:p>
        </w:tc>
        <w:tc>
          <w:tcPr>
            <w:tcW w:w="0" w:type="auto"/>
            <w:shd w:val="clear" w:color="auto" w:fill="auto"/>
          </w:tcPr>
          <w:p w14:paraId="2EC4A17F">
            <w:pPr>
              <w:jc w:val="right"/>
              <w:rPr>
                <w:rFonts w:ascii="宋体" w:hAnsi="宋体" w:eastAsia="宋体" w:cs="宋体"/>
                <w:sz w:val="24"/>
                <w:szCs w:val="24"/>
              </w:rPr>
            </w:pPr>
            <w:r>
              <w:rPr>
                <w:rFonts w:hint="eastAsia" w:ascii="宋体" w:hAnsi="宋体" w:eastAsia="宋体"/>
              </w:rPr>
              <w:t>0.48</w:t>
            </w:r>
          </w:p>
        </w:tc>
      </w:tr>
      <w:tr w14:paraId="78E6E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32F56D">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3C80206C">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5343960C">
            <w:pPr>
              <w:jc w:val="right"/>
              <w:rPr>
                <w:rFonts w:ascii="宋体" w:hAnsi="宋体" w:eastAsia="宋体" w:cs="宋体"/>
                <w:sz w:val="24"/>
                <w:szCs w:val="24"/>
              </w:rPr>
            </w:pPr>
            <w:r>
              <w:rPr>
                <w:rFonts w:hint="eastAsia" w:ascii="宋体" w:hAnsi="宋体" w:eastAsia="宋体"/>
              </w:rPr>
              <w:t>403,680.00</w:t>
            </w:r>
          </w:p>
        </w:tc>
        <w:tc>
          <w:tcPr>
            <w:tcW w:w="0" w:type="auto"/>
            <w:shd w:val="clear" w:color="auto" w:fill="auto"/>
          </w:tcPr>
          <w:p w14:paraId="3F104732">
            <w:pPr>
              <w:jc w:val="right"/>
              <w:rPr>
                <w:rFonts w:ascii="宋体" w:hAnsi="宋体" w:eastAsia="宋体" w:cs="宋体"/>
                <w:sz w:val="24"/>
                <w:szCs w:val="24"/>
              </w:rPr>
            </w:pPr>
            <w:r>
              <w:rPr>
                <w:rFonts w:hint="eastAsia" w:ascii="宋体" w:hAnsi="宋体" w:eastAsia="宋体"/>
              </w:rPr>
              <w:t>0.79</w:t>
            </w:r>
          </w:p>
        </w:tc>
      </w:tr>
      <w:tr w14:paraId="20D82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779F68">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792F9FEC">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3E60C5F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4C1467E">
            <w:pPr>
              <w:jc w:val="right"/>
              <w:rPr>
                <w:rFonts w:ascii="宋体" w:hAnsi="宋体" w:eastAsia="宋体" w:cs="宋体"/>
                <w:sz w:val="24"/>
                <w:szCs w:val="24"/>
              </w:rPr>
            </w:pPr>
            <w:r>
              <w:rPr>
                <w:rFonts w:hint="eastAsia" w:ascii="宋体" w:hAnsi="宋体" w:eastAsia="宋体"/>
              </w:rPr>
              <w:t>-</w:t>
            </w:r>
          </w:p>
        </w:tc>
      </w:tr>
      <w:tr w14:paraId="056E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8F15BA">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2C93912A">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4197665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0EEF127">
            <w:pPr>
              <w:jc w:val="right"/>
              <w:rPr>
                <w:rFonts w:ascii="宋体" w:hAnsi="宋体" w:eastAsia="宋体" w:cs="宋体"/>
                <w:sz w:val="24"/>
                <w:szCs w:val="24"/>
              </w:rPr>
            </w:pPr>
            <w:r>
              <w:rPr>
                <w:rFonts w:hint="eastAsia" w:ascii="宋体" w:hAnsi="宋体" w:eastAsia="宋体"/>
              </w:rPr>
              <w:t>-</w:t>
            </w:r>
          </w:p>
        </w:tc>
      </w:tr>
      <w:tr w14:paraId="284E1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34B6077">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22157F4A">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0EAD020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8D6682A">
            <w:pPr>
              <w:jc w:val="right"/>
              <w:rPr>
                <w:rFonts w:ascii="宋体" w:hAnsi="宋体" w:eastAsia="宋体" w:cs="宋体"/>
                <w:sz w:val="24"/>
                <w:szCs w:val="24"/>
              </w:rPr>
            </w:pPr>
            <w:r>
              <w:rPr>
                <w:rFonts w:hint="eastAsia" w:ascii="宋体" w:hAnsi="宋体" w:eastAsia="宋体"/>
              </w:rPr>
              <w:t>-</w:t>
            </w:r>
          </w:p>
        </w:tc>
      </w:tr>
      <w:tr w14:paraId="110F2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BFD46D">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60963C36">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69B5EFE8">
            <w:pPr>
              <w:jc w:val="right"/>
              <w:rPr>
                <w:rFonts w:ascii="宋体" w:hAnsi="宋体" w:eastAsia="宋体" w:cs="宋体"/>
                <w:sz w:val="24"/>
                <w:szCs w:val="24"/>
              </w:rPr>
            </w:pPr>
            <w:r>
              <w:rPr>
                <w:rFonts w:hint="eastAsia" w:ascii="宋体" w:hAnsi="宋体" w:eastAsia="宋体"/>
              </w:rPr>
              <w:t>94,860.00</w:t>
            </w:r>
          </w:p>
        </w:tc>
        <w:tc>
          <w:tcPr>
            <w:tcW w:w="0" w:type="auto"/>
            <w:shd w:val="clear" w:color="auto" w:fill="auto"/>
          </w:tcPr>
          <w:p w14:paraId="6A6A598D">
            <w:pPr>
              <w:jc w:val="right"/>
              <w:rPr>
                <w:rFonts w:ascii="宋体" w:hAnsi="宋体" w:eastAsia="宋体" w:cs="宋体"/>
                <w:sz w:val="24"/>
                <w:szCs w:val="24"/>
              </w:rPr>
            </w:pPr>
            <w:r>
              <w:rPr>
                <w:rFonts w:hint="eastAsia" w:ascii="宋体" w:hAnsi="宋体" w:eastAsia="宋体"/>
              </w:rPr>
              <w:t>0.18</w:t>
            </w:r>
          </w:p>
        </w:tc>
      </w:tr>
      <w:tr w14:paraId="71A3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9B6B3C">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4B17A5EB">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07FB836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098AC9">
            <w:pPr>
              <w:jc w:val="right"/>
              <w:rPr>
                <w:rFonts w:ascii="宋体" w:hAnsi="宋体" w:eastAsia="宋体" w:cs="宋体"/>
                <w:sz w:val="24"/>
                <w:szCs w:val="24"/>
              </w:rPr>
            </w:pPr>
            <w:r>
              <w:rPr>
                <w:rFonts w:hint="eastAsia" w:ascii="宋体" w:hAnsi="宋体" w:eastAsia="宋体"/>
              </w:rPr>
              <w:t>-</w:t>
            </w:r>
          </w:p>
        </w:tc>
      </w:tr>
      <w:tr w14:paraId="2644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B8D1F2">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58869D52">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7C7AB0A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53A763A">
            <w:pPr>
              <w:jc w:val="right"/>
              <w:rPr>
                <w:rFonts w:ascii="宋体" w:hAnsi="宋体" w:eastAsia="宋体" w:cs="宋体"/>
                <w:sz w:val="24"/>
                <w:szCs w:val="24"/>
              </w:rPr>
            </w:pPr>
            <w:r>
              <w:rPr>
                <w:rFonts w:hint="eastAsia" w:ascii="宋体" w:hAnsi="宋体" w:eastAsia="宋体"/>
              </w:rPr>
              <w:t>-</w:t>
            </w:r>
          </w:p>
        </w:tc>
      </w:tr>
      <w:tr w14:paraId="52293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F954BF">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416625B6">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79981CF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8CE232">
            <w:pPr>
              <w:jc w:val="right"/>
              <w:rPr>
                <w:rFonts w:ascii="宋体" w:hAnsi="宋体" w:eastAsia="宋体" w:cs="宋体"/>
                <w:sz w:val="24"/>
                <w:szCs w:val="24"/>
              </w:rPr>
            </w:pPr>
            <w:r>
              <w:rPr>
                <w:rFonts w:hint="eastAsia" w:ascii="宋体" w:hAnsi="宋体" w:eastAsia="宋体"/>
              </w:rPr>
              <w:t>-</w:t>
            </w:r>
          </w:p>
        </w:tc>
      </w:tr>
      <w:tr w14:paraId="44A6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F18646">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0BDADAFD">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3011E24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F265A33">
            <w:pPr>
              <w:jc w:val="right"/>
              <w:rPr>
                <w:rFonts w:ascii="宋体" w:hAnsi="宋体" w:eastAsia="宋体" w:cs="宋体"/>
                <w:sz w:val="24"/>
                <w:szCs w:val="24"/>
              </w:rPr>
            </w:pPr>
            <w:r>
              <w:rPr>
                <w:rFonts w:hint="eastAsia" w:ascii="宋体" w:hAnsi="宋体" w:eastAsia="宋体"/>
              </w:rPr>
              <w:t>-</w:t>
            </w:r>
          </w:p>
        </w:tc>
      </w:tr>
      <w:tr w14:paraId="7E218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A43E5C">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3BC53598">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477F9FB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4D3BFAB">
            <w:pPr>
              <w:jc w:val="right"/>
              <w:rPr>
                <w:rFonts w:ascii="宋体" w:hAnsi="宋体" w:eastAsia="宋体" w:cs="宋体"/>
                <w:sz w:val="24"/>
                <w:szCs w:val="24"/>
              </w:rPr>
            </w:pPr>
            <w:r>
              <w:rPr>
                <w:rFonts w:hint="eastAsia" w:ascii="宋体" w:hAnsi="宋体" w:eastAsia="宋体"/>
              </w:rPr>
              <w:t>-</w:t>
            </w:r>
          </w:p>
        </w:tc>
      </w:tr>
      <w:tr w14:paraId="5490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A37BE5">
            <w:pPr>
              <w:jc w:val="center"/>
              <w:rPr>
                <w:rFonts w:ascii="宋体" w:hAnsi="宋体" w:eastAsia="宋体" w:cs="宋体"/>
                <w:sz w:val="24"/>
                <w:szCs w:val="24"/>
              </w:rPr>
            </w:pPr>
          </w:p>
        </w:tc>
        <w:tc>
          <w:tcPr>
            <w:tcW w:w="0" w:type="auto"/>
            <w:shd w:val="clear" w:color="auto" w:fill="auto"/>
          </w:tcPr>
          <w:p w14:paraId="2F662441">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308EDBA">
            <w:pPr>
              <w:jc w:val="right"/>
              <w:rPr>
                <w:rFonts w:ascii="宋体" w:hAnsi="宋体" w:eastAsia="宋体" w:cs="宋体"/>
                <w:sz w:val="24"/>
                <w:szCs w:val="24"/>
              </w:rPr>
            </w:pPr>
            <w:r>
              <w:rPr>
                <w:rFonts w:hint="eastAsia" w:ascii="宋体" w:hAnsi="宋体" w:eastAsia="宋体"/>
              </w:rPr>
              <w:t>12,111,748.92</w:t>
            </w:r>
          </w:p>
        </w:tc>
        <w:tc>
          <w:tcPr>
            <w:tcW w:w="0" w:type="auto"/>
            <w:shd w:val="clear" w:color="auto" w:fill="auto"/>
          </w:tcPr>
          <w:p w14:paraId="5B33DB66">
            <w:pPr>
              <w:jc w:val="right"/>
              <w:rPr>
                <w:rFonts w:ascii="宋体" w:hAnsi="宋体" w:eastAsia="宋体" w:cs="宋体"/>
                <w:sz w:val="24"/>
                <w:szCs w:val="24"/>
              </w:rPr>
            </w:pPr>
            <w:r>
              <w:rPr>
                <w:rFonts w:hint="eastAsia" w:ascii="宋体" w:hAnsi="宋体" w:eastAsia="宋体"/>
              </w:rPr>
              <w:t>23.57</w:t>
            </w:r>
          </w:p>
        </w:tc>
      </w:tr>
    </w:tbl>
    <w:p w14:paraId="6C7F300E">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365F0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351AEA">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32EF98A0">
            <w:pPr>
              <w:jc w:val="center"/>
              <w:rPr>
                <w:rFonts w:ascii="宋体" w:hAnsi="宋体" w:eastAsia="宋体" w:cs="宋体"/>
                <w:sz w:val="24"/>
                <w:szCs w:val="24"/>
              </w:rPr>
            </w:pPr>
            <w:r>
              <w:rPr>
                <w:rFonts w:hint="eastAsia" w:ascii="宋体" w:hAnsi="宋体" w:eastAsia="宋体"/>
              </w:rPr>
              <w:t>公允价值（人民币）</w:t>
            </w:r>
          </w:p>
        </w:tc>
        <w:tc>
          <w:tcPr>
            <w:tcW w:w="0" w:type="auto"/>
            <w:shd w:val="clear" w:color="auto" w:fill="auto"/>
          </w:tcPr>
          <w:p w14:paraId="2D43E3F8">
            <w:pPr>
              <w:jc w:val="center"/>
              <w:rPr>
                <w:rFonts w:ascii="宋体" w:hAnsi="宋体" w:eastAsia="宋体" w:cs="宋体"/>
                <w:sz w:val="24"/>
                <w:szCs w:val="24"/>
              </w:rPr>
            </w:pPr>
            <w:r>
              <w:rPr>
                <w:rFonts w:hint="eastAsia" w:ascii="宋体" w:hAnsi="宋体" w:eastAsia="宋体"/>
              </w:rPr>
              <w:t>占基金资产净值比例（%）</w:t>
            </w:r>
          </w:p>
        </w:tc>
      </w:tr>
      <w:tr w14:paraId="7E52C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17110E">
            <w:pPr>
              <w:rPr>
                <w:rFonts w:ascii="宋体" w:hAnsi="宋体" w:eastAsia="宋体" w:cs="宋体"/>
                <w:sz w:val="24"/>
                <w:szCs w:val="24"/>
              </w:rPr>
            </w:pPr>
            <w:r>
              <w:rPr>
                <w:rFonts w:hint="eastAsia" w:ascii="宋体" w:hAnsi="宋体" w:eastAsia="宋体"/>
              </w:rPr>
              <w:t>非日常生活消费品</w:t>
            </w:r>
          </w:p>
        </w:tc>
        <w:tc>
          <w:tcPr>
            <w:tcW w:w="0" w:type="auto"/>
            <w:shd w:val="clear" w:color="auto" w:fill="auto"/>
          </w:tcPr>
          <w:p w14:paraId="226ED056">
            <w:pPr>
              <w:jc w:val="right"/>
              <w:rPr>
                <w:rFonts w:ascii="宋体" w:hAnsi="宋体" w:eastAsia="宋体" w:cs="宋体"/>
                <w:sz w:val="24"/>
                <w:szCs w:val="24"/>
              </w:rPr>
            </w:pPr>
            <w:r>
              <w:rPr>
                <w:rFonts w:hint="eastAsia" w:ascii="宋体" w:hAnsi="宋体" w:eastAsia="宋体"/>
              </w:rPr>
              <w:t>1,364,806.14</w:t>
            </w:r>
          </w:p>
        </w:tc>
        <w:tc>
          <w:tcPr>
            <w:tcW w:w="0" w:type="auto"/>
            <w:shd w:val="clear" w:color="auto" w:fill="auto"/>
          </w:tcPr>
          <w:p w14:paraId="238F7C3B">
            <w:pPr>
              <w:jc w:val="right"/>
              <w:rPr>
                <w:rFonts w:ascii="宋体" w:hAnsi="宋体" w:eastAsia="宋体" w:cs="宋体"/>
                <w:sz w:val="24"/>
                <w:szCs w:val="24"/>
              </w:rPr>
            </w:pPr>
            <w:r>
              <w:rPr>
                <w:rFonts w:hint="eastAsia" w:ascii="宋体" w:hAnsi="宋体" w:eastAsia="宋体"/>
              </w:rPr>
              <w:t>2.66</w:t>
            </w:r>
          </w:p>
        </w:tc>
      </w:tr>
      <w:tr w14:paraId="49649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CD32C4">
            <w:pPr>
              <w:rPr>
                <w:rFonts w:ascii="宋体" w:hAnsi="宋体" w:eastAsia="宋体" w:cs="宋体"/>
                <w:sz w:val="24"/>
                <w:szCs w:val="24"/>
              </w:rPr>
            </w:pPr>
            <w:r>
              <w:rPr>
                <w:rFonts w:hint="eastAsia" w:ascii="宋体" w:hAnsi="宋体" w:eastAsia="宋体"/>
              </w:rPr>
              <w:t>工业</w:t>
            </w:r>
          </w:p>
        </w:tc>
        <w:tc>
          <w:tcPr>
            <w:tcW w:w="0" w:type="auto"/>
            <w:shd w:val="clear" w:color="auto" w:fill="auto"/>
          </w:tcPr>
          <w:p w14:paraId="43DAAD33">
            <w:pPr>
              <w:jc w:val="right"/>
              <w:rPr>
                <w:rFonts w:ascii="宋体" w:hAnsi="宋体" w:eastAsia="宋体" w:cs="宋体"/>
                <w:sz w:val="24"/>
                <w:szCs w:val="24"/>
              </w:rPr>
            </w:pPr>
            <w:r>
              <w:rPr>
                <w:rFonts w:hint="eastAsia" w:ascii="宋体" w:hAnsi="宋体" w:eastAsia="宋体"/>
              </w:rPr>
              <w:t>438,027.82</w:t>
            </w:r>
          </w:p>
        </w:tc>
        <w:tc>
          <w:tcPr>
            <w:tcW w:w="0" w:type="auto"/>
            <w:shd w:val="clear" w:color="auto" w:fill="auto"/>
          </w:tcPr>
          <w:p w14:paraId="75594A8F">
            <w:pPr>
              <w:jc w:val="right"/>
              <w:rPr>
                <w:rFonts w:ascii="宋体" w:hAnsi="宋体" w:eastAsia="宋体" w:cs="宋体"/>
                <w:sz w:val="24"/>
                <w:szCs w:val="24"/>
              </w:rPr>
            </w:pPr>
            <w:r>
              <w:rPr>
                <w:rFonts w:hint="eastAsia" w:ascii="宋体" w:hAnsi="宋体" w:eastAsia="宋体"/>
              </w:rPr>
              <w:t>0.85</w:t>
            </w:r>
          </w:p>
        </w:tc>
      </w:tr>
      <w:tr w14:paraId="4245E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C77236">
            <w:pPr>
              <w:rPr>
                <w:rFonts w:ascii="宋体" w:hAnsi="宋体" w:eastAsia="宋体" w:cs="宋体"/>
                <w:sz w:val="24"/>
                <w:szCs w:val="24"/>
              </w:rPr>
            </w:pPr>
            <w:r>
              <w:rPr>
                <w:rFonts w:hint="eastAsia" w:ascii="宋体" w:hAnsi="宋体" w:eastAsia="宋体"/>
              </w:rPr>
              <w:t>金融</w:t>
            </w:r>
          </w:p>
        </w:tc>
        <w:tc>
          <w:tcPr>
            <w:tcW w:w="0" w:type="auto"/>
            <w:shd w:val="clear" w:color="auto" w:fill="auto"/>
          </w:tcPr>
          <w:p w14:paraId="6EEBB866">
            <w:pPr>
              <w:jc w:val="right"/>
              <w:rPr>
                <w:rFonts w:ascii="宋体" w:hAnsi="宋体" w:eastAsia="宋体" w:cs="宋体"/>
                <w:sz w:val="24"/>
                <w:szCs w:val="24"/>
              </w:rPr>
            </w:pPr>
            <w:r>
              <w:rPr>
                <w:rFonts w:hint="eastAsia" w:ascii="宋体" w:hAnsi="宋体" w:eastAsia="宋体"/>
              </w:rPr>
              <w:t>136,382.12</w:t>
            </w:r>
          </w:p>
        </w:tc>
        <w:tc>
          <w:tcPr>
            <w:tcW w:w="0" w:type="auto"/>
            <w:shd w:val="clear" w:color="auto" w:fill="auto"/>
          </w:tcPr>
          <w:p w14:paraId="6A72363D">
            <w:pPr>
              <w:jc w:val="right"/>
              <w:rPr>
                <w:rFonts w:ascii="宋体" w:hAnsi="宋体" w:eastAsia="宋体" w:cs="宋体"/>
                <w:sz w:val="24"/>
                <w:szCs w:val="24"/>
              </w:rPr>
            </w:pPr>
            <w:r>
              <w:rPr>
                <w:rFonts w:hint="eastAsia" w:ascii="宋体" w:hAnsi="宋体" w:eastAsia="宋体"/>
              </w:rPr>
              <w:t>0.27</w:t>
            </w:r>
          </w:p>
        </w:tc>
      </w:tr>
      <w:tr w14:paraId="1C95E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6281BB">
            <w:pPr>
              <w:rPr>
                <w:rFonts w:ascii="宋体" w:hAnsi="宋体" w:eastAsia="宋体" w:cs="宋体"/>
                <w:sz w:val="24"/>
                <w:szCs w:val="24"/>
              </w:rPr>
            </w:pPr>
            <w:r>
              <w:rPr>
                <w:rFonts w:hint="eastAsia" w:ascii="宋体" w:hAnsi="宋体" w:eastAsia="宋体"/>
              </w:rPr>
              <w:t>能源</w:t>
            </w:r>
          </w:p>
        </w:tc>
        <w:tc>
          <w:tcPr>
            <w:tcW w:w="0" w:type="auto"/>
            <w:shd w:val="clear" w:color="auto" w:fill="auto"/>
          </w:tcPr>
          <w:p w14:paraId="2323B32E">
            <w:pPr>
              <w:jc w:val="right"/>
              <w:rPr>
                <w:rFonts w:ascii="宋体" w:hAnsi="宋体" w:eastAsia="宋体" w:cs="宋体"/>
                <w:sz w:val="24"/>
                <w:szCs w:val="24"/>
              </w:rPr>
            </w:pPr>
            <w:r>
              <w:rPr>
                <w:rFonts w:hint="eastAsia" w:ascii="宋体" w:hAnsi="宋体" w:eastAsia="宋体"/>
              </w:rPr>
              <w:t>193,917.05</w:t>
            </w:r>
          </w:p>
        </w:tc>
        <w:tc>
          <w:tcPr>
            <w:tcW w:w="0" w:type="auto"/>
            <w:shd w:val="clear" w:color="auto" w:fill="auto"/>
          </w:tcPr>
          <w:p w14:paraId="3273B5C0">
            <w:pPr>
              <w:jc w:val="right"/>
              <w:rPr>
                <w:rFonts w:ascii="宋体" w:hAnsi="宋体" w:eastAsia="宋体" w:cs="宋体"/>
                <w:sz w:val="24"/>
                <w:szCs w:val="24"/>
              </w:rPr>
            </w:pPr>
            <w:r>
              <w:rPr>
                <w:rFonts w:hint="eastAsia" w:ascii="宋体" w:hAnsi="宋体" w:eastAsia="宋体"/>
              </w:rPr>
              <w:t>0.38</w:t>
            </w:r>
          </w:p>
        </w:tc>
      </w:tr>
      <w:tr w14:paraId="23DA9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812BF2">
            <w:pPr>
              <w:rPr>
                <w:rFonts w:ascii="宋体" w:hAnsi="宋体" w:eastAsia="宋体" w:cs="宋体"/>
                <w:sz w:val="24"/>
                <w:szCs w:val="24"/>
              </w:rPr>
            </w:pPr>
            <w:r>
              <w:rPr>
                <w:rFonts w:hint="eastAsia" w:ascii="宋体" w:hAnsi="宋体" w:eastAsia="宋体"/>
              </w:rPr>
              <w:t>信息技术</w:t>
            </w:r>
          </w:p>
        </w:tc>
        <w:tc>
          <w:tcPr>
            <w:tcW w:w="0" w:type="auto"/>
            <w:shd w:val="clear" w:color="auto" w:fill="auto"/>
          </w:tcPr>
          <w:p w14:paraId="01BA1DBA">
            <w:pPr>
              <w:jc w:val="right"/>
              <w:rPr>
                <w:rFonts w:ascii="宋体" w:hAnsi="宋体" w:eastAsia="宋体" w:cs="宋体"/>
                <w:sz w:val="24"/>
                <w:szCs w:val="24"/>
              </w:rPr>
            </w:pPr>
            <w:r>
              <w:rPr>
                <w:rFonts w:hint="eastAsia" w:ascii="宋体" w:hAnsi="宋体" w:eastAsia="宋体"/>
              </w:rPr>
              <w:t>529,642.32</w:t>
            </w:r>
          </w:p>
        </w:tc>
        <w:tc>
          <w:tcPr>
            <w:tcW w:w="0" w:type="auto"/>
            <w:shd w:val="clear" w:color="auto" w:fill="auto"/>
          </w:tcPr>
          <w:p w14:paraId="6C6439B5">
            <w:pPr>
              <w:jc w:val="right"/>
              <w:rPr>
                <w:rFonts w:ascii="宋体" w:hAnsi="宋体" w:eastAsia="宋体" w:cs="宋体"/>
                <w:sz w:val="24"/>
                <w:szCs w:val="24"/>
              </w:rPr>
            </w:pPr>
            <w:r>
              <w:rPr>
                <w:rFonts w:hint="eastAsia" w:ascii="宋体" w:hAnsi="宋体" w:eastAsia="宋体"/>
              </w:rPr>
              <w:t>1.03</w:t>
            </w:r>
          </w:p>
        </w:tc>
      </w:tr>
      <w:tr w14:paraId="09823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7CFA9F">
            <w:pPr>
              <w:rPr>
                <w:rFonts w:ascii="宋体" w:hAnsi="宋体" w:eastAsia="宋体" w:cs="宋体"/>
                <w:sz w:val="24"/>
                <w:szCs w:val="24"/>
              </w:rPr>
            </w:pPr>
            <w:r>
              <w:rPr>
                <w:rFonts w:hint="eastAsia" w:ascii="宋体" w:hAnsi="宋体" w:eastAsia="宋体"/>
              </w:rPr>
              <w:t>医疗保健</w:t>
            </w:r>
          </w:p>
        </w:tc>
        <w:tc>
          <w:tcPr>
            <w:tcW w:w="0" w:type="auto"/>
            <w:shd w:val="clear" w:color="auto" w:fill="auto"/>
          </w:tcPr>
          <w:p w14:paraId="101DBD01">
            <w:pPr>
              <w:jc w:val="right"/>
              <w:rPr>
                <w:rFonts w:ascii="宋体" w:hAnsi="宋体" w:eastAsia="宋体" w:cs="宋体"/>
                <w:sz w:val="24"/>
                <w:szCs w:val="24"/>
              </w:rPr>
            </w:pPr>
            <w:r>
              <w:rPr>
                <w:rFonts w:hint="eastAsia" w:ascii="宋体" w:hAnsi="宋体" w:eastAsia="宋体"/>
              </w:rPr>
              <w:t>83,498.14</w:t>
            </w:r>
          </w:p>
        </w:tc>
        <w:tc>
          <w:tcPr>
            <w:tcW w:w="0" w:type="auto"/>
            <w:shd w:val="clear" w:color="auto" w:fill="auto"/>
          </w:tcPr>
          <w:p w14:paraId="65E43464">
            <w:pPr>
              <w:jc w:val="right"/>
              <w:rPr>
                <w:rFonts w:ascii="宋体" w:hAnsi="宋体" w:eastAsia="宋体" w:cs="宋体"/>
                <w:sz w:val="24"/>
                <w:szCs w:val="24"/>
              </w:rPr>
            </w:pPr>
            <w:r>
              <w:rPr>
                <w:rFonts w:hint="eastAsia" w:ascii="宋体" w:hAnsi="宋体" w:eastAsia="宋体"/>
              </w:rPr>
              <w:t>0.16</w:t>
            </w:r>
          </w:p>
        </w:tc>
      </w:tr>
      <w:tr w14:paraId="6649C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CB0040">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1E2CF495">
            <w:pPr>
              <w:jc w:val="right"/>
              <w:rPr>
                <w:rFonts w:ascii="宋体" w:hAnsi="宋体" w:eastAsia="宋体" w:cs="宋体"/>
                <w:sz w:val="24"/>
                <w:szCs w:val="24"/>
              </w:rPr>
            </w:pPr>
            <w:r>
              <w:rPr>
                <w:rFonts w:hint="eastAsia" w:ascii="宋体" w:hAnsi="宋体" w:eastAsia="宋体"/>
              </w:rPr>
              <w:t>2,746,273.59</w:t>
            </w:r>
          </w:p>
        </w:tc>
        <w:tc>
          <w:tcPr>
            <w:tcW w:w="0" w:type="auto"/>
            <w:shd w:val="clear" w:color="auto" w:fill="auto"/>
          </w:tcPr>
          <w:p w14:paraId="3F4E5C90">
            <w:pPr>
              <w:jc w:val="right"/>
              <w:rPr>
                <w:rFonts w:ascii="宋体" w:hAnsi="宋体" w:eastAsia="宋体" w:cs="宋体"/>
                <w:sz w:val="24"/>
                <w:szCs w:val="24"/>
              </w:rPr>
            </w:pPr>
            <w:r>
              <w:rPr>
                <w:rFonts w:hint="eastAsia" w:ascii="宋体" w:hAnsi="宋体" w:eastAsia="宋体"/>
              </w:rPr>
              <w:t>5.34</w:t>
            </w:r>
          </w:p>
        </w:tc>
      </w:tr>
    </w:tbl>
    <w:p w14:paraId="15F6D5F8">
      <w:pPr>
        <w:pStyle w:val="7"/>
        <w:spacing w:before="0" w:beforeAutospacing="0" w:after="0" w:afterAutospacing="0" w:line="360" w:lineRule="auto"/>
        <w:ind w:firstLine="420"/>
        <w:rPr>
          <w:sz w:val="21"/>
          <w:szCs w:val="21"/>
        </w:rPr>
      </w:pPr>
      <w:r>
        <w:rPr>
          <w:rFonts w:hint="eastAsia"/>
          <w:sz w:val="21"/>
          <w:szCs w:val="21"/>
        </w:rPr>
        <w:t>注：以上分类采用彭博提供的国际通用行业分类标准。</w:t>
      </w:r>
    </w:p>
    <w:p w14:paraId="60A4C906">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8"/>
        <w:gridCol w:w="1093"/>
        <w:gridCol w:w="1528"/>
        <w:gridCol w:w="1093"/>
        <w:gridCol w:w="1528"/>
        <w:gridCol w:w="2616"/>
      </w:tblGrid>
      <w:tr w14:paraId="725EC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F0342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412132BD">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14780D64">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15A2D354">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36FBE112">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3C6670AA">
            <w:pPr>
              <w:jc w:val="center"/>
              <w:rPr>
                <w:rFonts w:ascii="宋体" w:hAnsi="宋体" w:eastAsia="宋体" w:cs="宋体"/>
                <w:sz w:val="24"/>
                <w:szCs w:val="24"/>
              </w:rPr>
            </w:pPr>
            <w:r>
              <w:rPr>
                <w:rFonts w:hint="eastAsia" w:ascii="宋体" w:hAnsi="宋体" w:eastAsia="宋体"/>
              </w:rPr>
              <w:t>占基金资产净值比例(％)</w:t>
            </w:r>
          </w:p>
        </w:tc>
      </w:tr>
      <w:tr w14:paraId="19629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6271F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38111619">
            <w:pPr>
              <w:jc w:val="center"/>
              <w:rPr>
                <w:rFonts w:ascii="宋体" w:hAnsi="宋体" w:eastAsia="宋体" w:cs="宋体"/>
                <w:sz w:val="24"/>
                <w:szCs w:val="24"/>
              </w:rPr>
            </w:pPr>
            <w:r>
              <w:rPr>
                <w:rFonts w:hint="eastAsia" w:ascii="宋体" w:hAnsi="宋体" w:eastAsia="宋体"/>
              </w:rPr>
              <w:t>002594</w:t>
            </w:r>
          </w:p>
        </w:tc>
        <w:tc>
          <w:tcPr>
            <w:tcW w:w="0" w:type="auto"/>
            <w:shd w:val="clear" w:color="auto" w:fill="auto"/>
          </w:tcPr>
          <w:p w14:paraId="6B571818">
            <w:pPr>
              <w:jc w:val="center"/>
              <w:rPr>
                <w:rFonts w:ascii="宋体" w:hAnsi="宋体" w:eastAsia="宋体" w:cs="宋体"/>
                <w:sz w:val="24"/>
                <w:szCs w:val="24"/>
              </w:rPr>
            </w:pPr>
            <w:r>
              <w:rPr>
                <w:rFonts w:hint="eastAsia" w:ascii="宋体" w:hAnsi="宋体" w:eastAsia="宋体"/>
              </w:rPr>
              <w:t>比亚迪</w:t>
            </w:r>
          </w:p>
        </w:tc>
        <w:tc>
          <w:tcPr>
            <w:tcW w:w="0" w:type="auto"/>
            <w:shd w:val="clear" w:color="auto" w:fill="auto"/>
          </w:tcPr>
          <w:p w14:paraId="127B297E">
            <w:pPr>
              <w:jc w:val="right"/>
              <w:rPr>
                <w:rFonts w:ascii="宋体" w:hAnsi="宋体" w:eastAsia="宋体" w:cs="宋体"/>
                <w:sz w:val="24"/>
                <w:szCs w:val="24"/>
              </w:rPr>
            </w:pPr>
            <w:r>
              <w:rPr>
                <w:rFonts w:hint="eastAsia" w:ascii="宋体" w:hAnsi="宋体" w:eastAsia="宋体"/>
              </w:rPr>
              <w:t>1,400</w:t>
            </w:r>
          </w:p>
        </w:tc>
        <w:tc>
          <w:tcPr>
            <w:tcW w:w="0" w:type="auto"/>
            <w:shd w:val="clear" w:color="auto" w:fill="auto"/>
          </w:tcPr>
          <w:p w14:paraId="1E0D3C79">
            <w:pPr>
              <w:jc w:val="right"/>
              <w:rPr>
                <w:rFonts w:ascii="宋体" w:hAnsi="宋体" w:eastAsia="宋体" w:cs="宋体"/>
                <w:sz w:val="24"/>
                <w:szCs w:val="24"/>
              </w:rPr>
            </w:pPr>
            <w:r>
              <w:rPr>
                <w:rFonts w:hint="eastAsia" w:ascii="宋体" w:hAnsi="宋体" w:eastAsia="宋体"/>
              </w:rPr>
              <w:t>464,674.00</w:t>
            </w:r>
          </w:p>
        </w:tc>
        <w:tc>
          <w:tcPr>
            <w:tcW w:w="0" w:type="auto"/>
            <w:shd w:val="clear" w:color="auto" w:fill="auto"/>
          </w:tcPr>
          <w:p w14:paraId="589868CF">
            <w:pPr>
              <w:jc w:val="right"/>
              <w:rPr>
                <w:rFonts w:ascii="宋体" w:hAnsi="宋体" w:eastAsia="宋体" w:cs="宋体"/>
                <w:sz w:val="24"/>
                <w:szCs w:val="24"/>
              </w:rPr>
            </w:pPr>
            <w:r>
              <w:rPr>
                <w:rFonts w:hint="eastAsia" w:ascii="宋体" w:hAnsi="宋体" w:eastAsia="宋体"/>
              </w:rPr>
              <w:t>0.90</w:t>
            </w:r>
          </w:p>
        </w:tc>
      </w:tr>
      <w:tr w14:paraId="520E5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ECF88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C850268">
            <w:pPr>
              <w:jc w:val="center"/>
              <w:rPr>
                <w:rFonts w:ascii="宋体" w:hAnsi="宋体" w:eastAsia="宋体" w:cs="宋体"/>
                <w:sz w:val="24"/>
                <w:szCs w:val="24"/>
              </w:rPr>
            </w:pPr>
            <w:r>
              <w:rPr>
                <w:rFonts w:hint="eastAsia" w:ascii="宋体" w:hAnsi="宋体" w:eastAsia="宋体"/>
              </w:rPr>
              <w:t>1211</w:t>
            </w:r>
          </w:p>
        </w:tc>
        <w:tc>
          <w:tcPr>
            <w:tcW w:w="0" w:type="auto"/>
            <w:shd w:val="clear" w:color="auto" w:fill="auto"/>
          </w:tcPr>
          <w:p w14:paraId="758BBED2">
            <w:pPr>
              <w:jc w:val="center"/>
              <w:rPr>
                <w:rFonts w:ascii="宋体" w:hAnsi="宋体" w:eastAsia="宋体" w:cs="宋体"/>
                <w:sz w:val="24"/>
                <w:szCs w:val="24"/>
              </w:rPr>
            </w:pPr>
            <w:r>
              <w:rPr>
                <w:rFonts w:hint="eastAsia" w:ascii="宋体" w:hAnsi="宋体" w:eastAsia="宋体"/>
              </w:rPr>
              <w:t>比亚迪股份</w:t>
            </w:r>
          </w:p>
        </w:tc>
        <w:tc>
          <w:tcPr>
            <w:tcW w:w="0" w:type="auto"/>
            <w:shd w:val="clear" w:color="auto" w:fill="auto"/>
          </w:tcPr>
          <w:p w14:paraId="11786271">
            <w:pPr>
              <w:jc w:val="right"/>
              <w:rPr>
                <w:rFonts w:ascii="宋体" w:hAnsi="宋体" w:eastAsia="宋体" w:cs="宋体"/>
                <w:sz w:val="24"/>
                <w:szCs w:val="24"/>
              </w:rPr>
            </w:pPr>
            <w:r>
              <w:rPr>
                <w:rFonts w:hint="eastAsia" w:ascii="宋体" w:hAnsi="宋体" w:eastAsia="宋体"/>
              </w:rPr>
              <w:t>3,000</w:t>
            </w:r>
          </w:p>
        </w:tc>
        <w:tc>
          <w:tcPr>
            <w:tcW w:w="0" w:type="auto"/>
            <w:shd w:val="clear" w:color="auto" w:fill="auto"/>
          </w:tcPr>
          <w:p w14:paraId="0E54040B">
            <w:pPr>
              <w:jc w:val="right"/>
              <w:rPr>
                <w:rFonts w:ascii="宋体" w:hAnsi="宋体" w:eastAsia="宋体" w:cs="宋体"/>
                <w:sz w:val="24"/>
                <w:szCs w:val="24"/>
              </w:rPr>
            </w:pPr>
            <w:r>
              <w:rPr>
                <w:rFonts w:hint="eastAsia" w:ascii="宋体" w:hAnsi="宋体" w:eastAsia="宋体"/>
              </w:rPr>
              <w:t>335,141.63</w:t>
            </w:r>
          </w:p>
        </w:tc>
        <w:tc>
          <w:tcPr>
            <w:tcW w:w="0" w:type="auto"/>
            <w:shd w:val="clear" w:color="auto" w:fill="auto"/>
          </w:tcPr>
          <w:p w14:paraId="17F435FB">
            <w:pPr>
              <w:jc w:val="right"/>
              <w:rPr>
                <w:rFonts w:ascii="宋体" w:hAnsi="宋体" w:eastAsia="宋体" w:cs="宋体"/>
                <w:sz w:val="24"/>
                <w:szCs w:val="24"/>
              </w:rPr>
            </w:pPr>
            <w:r>
              <w:rPr>
                <w:rFonts w:hint="eastAsia" w:ascii="宋体" w:hAnsi="宋体" w:eastAsia="宋体"/>
              </w:rPr>
              <w:t>0.65</w:t>
            </w:r>
          </w:p>
        </w:tc>
      </w:tr>
      <w:tr w14:paraId="7D280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DB8EB5">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3E8F85EC">
            <w:pPr>
              <w:jc w:val="center"/>
              <w:rPr>
                <w:rFonts w:ascii="宋体" w:hAnsi="宋体" w:eastAsia="宋体" w:cs="宋体"/>
                <w:sz w:val="24"/>
                <w:szCs w:val="24"/>
              </w:rPr>
            </w:pPr>
            <w:r>
              <w:rPr>
                <w:rFonts w:hint="eastAsia" w:ascii="宋体" w:hAnsi="宋体" w:eastAsia="宋体"/>
              </w:rPr>
              <w:t>0175</w:t>
            </w:r>
          </w:p>
        </w:tc>
        <w:tc>
          <w:tcPr>
            <w:tcW w:w="0" w:type="auto"/>
            <w:shd w:val="clear" w:color="auto" w:fill="auto"/>
          </w:tcPr>
          <w:p w14:paraId="449809FC">
            <w:pPr>
              <w:jc w:val="center"/>
              <w:rPr>
                <w:rFonts w:ascii="宋体" w:hAnsi="宋体" w:eastAsia="宋体" w:cs="宋体"/>
                <w:sz w:val="24"/>
                <w:szCs w:val="24"/>
              </w:rPr>
            </w:pPr>
            <w:r>
              <w:rPr>
                <w:rFonts w:hint="eastAsia" w:ascii="宋体" w:hAnsi="宋体" w:eastAsia="宋体"/>
              </w:rPr>
              <w:t>吉利汽车</w:t>
            </w:r>
          </w:p>
        </w:tc>
        <w:tc>
          <w:tcPr>
            <w:tcW w:w="0" w:type="auto"/>
            <w:shd w:val="clear" w:color="auto" w:fill="auto"/>
          </w:tcPr>
          <w:p w14:paraId="26136E97">
            <w:pPr>
              <w:jc w:val="right"/>
              <w:rPr>
                <w:rFonts w:ascii="宋体" w:hAnsi="宋体" w:eastAsia="宋体" w:cs="宋体"/>
                <w:sz w:val="24"/>
                <w:szCs w:val="24"/>
              </w:rPr>
            </w:pPr>
            <w:r>
              <w:rPr>
                <w:rFonts w:hint="eastAsia" w:ascii="宋体" w:hAnsi="宋体" w:eastAsia="宋体"/>
              </w:rPr>
              <w:t>39,000</w:t>
            </w:r>
          </w:p>
        </w:tc>
        <w:tc>
          <w:tcPr>
            <w:tcW w:w="0" w:type="auto"/>
            <w:shd w:val="clear" w:color="auto" w:fill="auto"/>
          </w:tcPr>
          <w:p w14:paraId="6B2164E3">
            <w:pPr>
              <w:jc w:val="right"/>
              <w:rPr>
                <w:rFonts w:ascii="宋体" w:hAnsi="宋体" w:eastAsia="宋体" w:cs="宋体"/>
                <w:sz w:val="24"/>
                <w:szCs w:val="24"/>
              </w:rPr>
            </w:pPr>
            <w:r>
              <w:rPr>
                <w:rFonts w:hint="eastAsia" w:ascii="宋体" w:hAnsi="宋体" w:eastAsia="宋体"/>
              </w:rPr>
              <w:t>567,634.16</w:t>
            </w:r>
          </w:p>
        </w:tc>
        <w:tc>
          <w:tcPr>
            <w:tcW w:w="0" w:type="auto"/>
            <w:shd w:val="clear" w:color="auto" w:fill="auto"/>
          </w:tcPr>
          <w:p w14:paraId="57A72C91">
            <w:pPr>
              <w:jc w:val="right"/>
              <w:rPr>
                <w:rFonts w:ascii="宋体" w:hAnsi="宋体" w:eastAsia="宋体" w:cs="宋体"/>
                <w:sz w:val="24"/>
                <w:szCs w:val="24"/>
              </w:rPr>
            </w:pPr>
            <w:r>
              <w:rPr>
                <w:rFonts w:hint="eastAsia" w:ascii="宋体" w:hAnsi="宋体" w:eastAsia="宋体"/>
              </w:rPr>
              <w:t>1.10</w:t>
            </w:r>
          </w:p>
        </w:tc>
      </w:tr>
      <w:tr w14:paraId="6F2AF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A8E9C6">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B3200A6">
            <w:pPr>
              <w:jc w:val="center"/>
              <w:rPr>
                <w:rFonts w:ascii="宋体" w:hAnsi="宋体" w:eastAsia="宋体" w:cs="宋体"/>
                <w:sz w:val="24"/>
                <w:szCs w:val="24"/>
              </w:rPr>
            </w:pPr>
            <w:r>
              <w:rPr>
                <w:rFonts w:hint="eastAsia" w:ascii="宋体" w:hAnsi="宋体" w:eastAsia="宋体"/>
              </w:rPr>
              <w:t>300750</w:t>
            </w:r>
          </w:p>
        </w:tc>
        <w:tc>
          <w:tcPr>
            <w:tcW w:w="0" w:type="auto"/>
            <w:shd w:val="clear" w:color="auto" w:fill="auto"/>
          </w:tcPr>
          <w:p w14:paraId="3524D8D4">
            <w:pPr>
              <w:jc w:val="center"/>
              <w:rPr>
                <w:rFonts w:ascii="宋体" w:hAnsi="宋体" w:eastAsia="宋体" w:cs="宋体"/>
                <w:sz w:val="24"/>
                <w:szCs w:val="24"/>
              </w:rPr>
            </w:pPr>
            <w:r>
              <w:rPr>
                <w:rFonts w:hint="eastAsia" w:ascii="宋体" w:hAnsi="宋体" w:eastAsia="宋体"/>
              </w:rPr>
              <w:t>宁德时代</w:t>
            </w:r>
          </w:p>
        </w:tc>
        <w:tc>
          <w:tcPr>
            <w:tcW w:w="0" w:type="auto"/>
            <w:shd w:val="clear" w:color="auto" w:fill="auto"/>
          </w:tcPr>
          <w:p w14:paraId="001A6B21">
            <w:pPr>
              <w:jc w:val="right"/>
              <w:rPr>
                <w:rFonts w:ascii="宋体" w:hAnsi="宋体" w:eastAsia="宋体" w:cs="宋体"/>
                <w:sz w:val="24"/>
                <w:szCs w:val="24"/>
              </w:rPr>
            </w:pPr>
            <w:r>
              <w:rPr>
                <w:rFonts w:hint="eastAsia" w:ascii="宋体" w:hAnsi="宋体" w:eastAsia="宋体"/>
              </w:rPr>
              <w:t>2,000</w:t>
            </w:r>
          </w:p>
        </w:tc>
        <w:tc>
          <w:tcPr>
            <w:tcW w:w="0" w:type="auto"/>
            <w:shd w:val="clear" w:color="auto" w:fill="auto"/>
          </w:tcPr>
          <w:p w14:paraId="59B9B241">
            <w:pPr>
              <w:jc w:val="right"/>
              <w:rPr>
                <w:rFonts w:ascii="宋体" w:hAnsi="宋体" w:eastAsia="宋体" w:cs="宋体"/>
                <w:sz w:val="24"/>
                <w:szCs w:val="24"/>
              </w:rPr>
            </w:pPr>
            <w:r>
              <w:rPr>
                <w:rFonts w:hint="eastAsia" w:ascii="宋体" w:hAnsi="宋体" w:eastAsia="宋体"/>
              </w:rPr>
              <w:t>504,440.00</w:t>
            </w:r>
          </w:p>
        </w:tc>
        <w:tc>
          <w:tcPr>
            <w:tcW w:w="0" w:type="auto"/>
            <w:shd w:val="clear" w:color="auto" w:fill="auto"/>
          </w:tcPr>
          <w:p w14:paraId="50AE9D22">
            <w:pPr>
              <w:jc w:val="right"/>
              <w:rPr>
                <w:rFonts w:ascii="宋体" w:hAnsi="宋体" w:eastAsia="宋体" w:cs="宋体"/>
                <w:sz w:val="24"/>
                <w:szCs w:val="24"/>
              </w:rPr>
            </w:pPr>
            <w:r>
              <w:rPr>
                <w:rFonts w:hint="eastAsia" w:ascii="宋体" w:hAnsi="宋体" w:eastAsia="宋体"/>
              </w:rPr>
              <w:t>0.98</w:t>
            </w:r>
          </w:p>
        </w:tc>
      </w:tr>
      <w:tr w14:paraId="34C2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2A7704">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16CDE8FC">
            <w:pPr>
              <w:jc w:val="center"/>
              <w:rPr>
                <w:rFonts w:ascii="宋体" w:hAnsi="宋体" w:eastAsia="宋体" w:cs="宋体"/>
                <w:sz w:val="24"/>
                <w:szCs w:val="24"/>
              </w:rPr>
            </w:pPr>
            <w:r>
              <w:rPr>
                <w:rFonts w:hint="eastAsia" w:ascii="宋体" w:hAnsi="宋体" w:eastAsia="宋体"/>
              </w:rPr>
              <w:t>300308</w:t>
            </w:r>
          </w:p>
        </w:tc>
        <w:tc>
          <w:tcPr>
            <w:tcW w:w="0" w:type="auto"/>
            <w:shd w:val="clear" w:color="auto" w:fill="auto"/>
          </w:tcPr>
          <w:p w14:paraId="050B4BDC">
            <w:pPr>
              <w:jc w:val="center"/>
              <w:rPr>
                <w:rFonts w:ascii="宋体" w:hAnsi="宋体" w:eastAsia="宋体" w:cs="宋体"/>
                <w:sz w:val="24"/>
                <w:szCs w:val="24"/>
              </w:rPr>
            </w:pPr>
            <w:r>
              <w:rPr>
                <w:rFonts w:hint="eastAsia" w:ascii="宋体" w:hAnsi="宋体" w:eastAsia="宋体"/>
              </w:rPr>
              <w:t>中际旭创</w:t>
            </w:r>
          </w:p>
        </w:tc>
        <w:tc>
          <w:tcPr>
            <w:tcW w:w="0" w:type="auto"/>
            <w:shd w:val="clear" w:color="auto" w:fill="auto"/>
          </w:tcPr>
          <w:p w14:paraId="0937A183">
            <w:pPr>
              <w:jc w:val="right"/>
              <w:rPr>
                <w:rFonts w:ascii="宋体" w:hAnsi="宋体" w:eastAsia="宋体" w:cs="宋体"/>
                <w:sz w:val="24"/>
                <w:szCs w:val="24"/>
              </w:rPr>
            </w:pPr>
            <w:r>
              <w:rPr>
                <w:rFonts w:hint="eastAsia" w:ascii="宋体" w:hAnsi="宋体" w:eastAsia="宋体"/>
              </w:rPr>
              <w:t>3,400</w:t>
            </w:r>
          </w:p>
        </w:tc>
        <w:tc>
          <w:tcPr>
            <w:tcW w:w="0" w:type="auto"/>
            <w:shd w:val="clear" w:color="auto" w:fill="auto"/>
          </w:tcPr>
          <w:p w14:paraId="4A0B000A">
            <w:pPr>
              <w:jc w:val="right"/>
              <w:rPr>
                <w:rFonts w:ascii="宋体" w:hAnsi="宋体" w:eastAsia="宋体" w:cs="宋体"/>
                <w:sz w:val="24"/>
                <w:szCs w:val="24"/>
              </w:rPr>
            </w:pPr>
            <w:r>
              <w:rPr>
                <w:rFonts w:hint="eastAsia" w:ascii="宋体" w:hAnsi="宋体" w:eastAsia="宋体"/>
              </w:rPr>
              <w:t>495,924.00</w:t>
            </w:r>
          </w:p>
        </w:tc>
        <w:tc>
          <w:tcPr>
            <w:tcW w:w="0" w:type="auto"/>
            <w:shd w:val="clear" w:color="auto" w:fill="auto"/>
          </w:tcPr>
          <w:p w14:paraId="41E78D98">
            <w:pPr>
              <w:jc w:val="right"/>
              <w:rPr>
                <w:rFonts w:ascii="宋体" w:hAnsi="宋体" w:eastAsia="宋体" w:cs="宋体"/>
                <w:sz w:val="24"/>
                <w:szCs w:val="24"/>
              </w:rPr>
            </w:pPr>
            <w:r>
              <w:rPr>
                <w:rFonts w:hint="eastAsia" w:ascii="宋体" w:hAnsi="宋体" w:eastAsia="宋体"/>
              </w:rPr>
              <w:t>0.96</w:t>
            </w:r>
          </w:p>
        </w:tc>
      </w:tr>
      <w:tr w14:paraId="2D509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0AE3A4">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6D4C7EB">
            <w:pPr>
              <w:jc w:val="center"/>
              <w:rPr>
                <w:rFonts w:ascii="宋体" w:hAnsi="宋体" w:eastAsia="宋体" w:cs="宋体"/>
                <w:sz w:val="24"/>
                <w:szCs w:val="24"/>
              </w:rPr>
            </w:pPr>
            <w:r>
              <w:rPr>
                <w:rFonts w:hint="eastAsia" w:ascii="宋体" w:hAnsi="宋体" w:eastAsia="宋体"/>
              </w:rPr>
              <w:t>603501</w:t>
            </w:r>
          </w:p>
        </w:tc>
        <w:tc>
          <w:tcPr>
            <w:tcW w:w="0" w:type="auto"/>
            <w:shd w:val="clear" w:color="auto" w:fill="auto"/>
          </w:tcPr>
          <w:p w14:paraId="23B15073">
            <w:pPr>
              <w:jc w:val="center"/>
              <w:rPr>
                <w:rFonts w:ascii="宋体" w:hAnsi="宋体" w:eastAsia="宋体" w:cs="宋体"/>
                <w:sz w:val="24"/>
                <w:szCs w:val="24"/>
              </w:rPr>
            </w:pPr>
            <w:r>
              <w:rPr>
                <w:rFonts w:hint="eastAsia" w:ascii="宋体" w:hAnsi="宋体" w:eastAsia="宋体"/>
              </w:rPr>
              <w:t>豪威集团</w:t>
            </w:r>
          </w:p>
        </w:tc>
        <w:tc>
          <w:tcPr>
            <w:tcW w:w="0" w:type="auto"/>
            <w:shd w:val="clear" w:color="auto" w:fill="auto"/>
          </w:tcPr>
          <w:p w14:paraId="2C22C707">
            <w:pPr>
              <w:jc w:val="right"/>
              <w:rPr>
                <w:rFonts w:ascii="宋体" w:hAnsi="宋体" w:eastAsia="宋体" w:cs="宋体"/>
                <w:sz w:val="24"/>
                <w:szCs w:val="24"/>
              </w:rPr>
            </w:pPr>
            <w:r>
              <w:rPr>
                <w:rFonts w:hint="eastAsia" w:ascii="宋体" w:hAnsi="宋体" w:eastAsia="宋体"/>
              </w:rPr>
              <w:t>3,700</w:t>
            </w:r>
          </w:p>
        </w:tc>
        <w:tc>
          <w:tcPr>
            <w:tcW w:w="0" w:type="auto"/>
            <w:shd w:val="clear" w:color="auto" w:fill="auto"/>
          </w:tcPr>
          <w:p w14:paraId="641DC02A">
            <w:pPr>
              <w:jc w:val="right"/>
              <w:rPr>
                <w:rFonts w:ascii="宋体" w:hAnsi="宋体" w:eastAsia="宋体" w:cs="宋体"/>
                <w:sz w:val="24"/>
                <w:szCs w:val="24"/>
              </w:rPr>
            </w:pPr>
            <w:r>
              <w:rPr>
                <w:rFonts w:hint="eastAsia" w:ascii="宋体" w:hAnsi="宋体" w:eastAsia="宋体"/>
              </w:rPr>
              <w:t>472,305.00</w:t>
            </w:r>
          </w:p>
        </w:tc>
        <w:tc>
          <w:tcPr>
            <w:tcW w:w="0" w:type="auto"/>
            <w:shd w:val="clear" w:color="auto" w:fill="auto"/>
          </w:tcPr>
          <w:p w14:paraId="0CCC18B8">
            <w:pPr>
              <w:jc w:val="right"/>
              <w:rPr>
                <w:rFonts w:ascii="宋体" w:hAnsi="宋体" w:eastAsia="宋体" w:cs="宋体"/>
                <w:sz w:val="24"/>
                <w:szCs w:val="24"/>
              </w:rPr>
            </w:pPr>
            <w:r>
              <w:rPr>
                <w:rFonts w:hint="eastAsia" w:ascii="宋体" w:hAnsi="宋体" w:eastAsia="宋体"/>
              </w:rPr>
              <w:t>0.92</w:t>
            </w:r>
          </w:p>
        </w:tc>
      </w:tr>
      <w:tr w14:paraId="319B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6FE1057">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050F9B19">
            <w:pPr>
              <w:jc w:val="center"/>
              <w:rPr>
                <w:rFonts w:ascii="宋体" w:hAnsi="宋体" w:eastAsia="宋体" w:cs="宋体"/>
                <w:sz w:val="24"/>
                <w:szCs w:val="24"/>
              </w:rPr>
            </w:pPr>
            <w:r>
              <w:rPr>
                <w:rFonts w:hint="eastAsia" w:ascii="宋体" w:hAnsi="宋体" w:eastAsia="宋体"/>
              </w:rPr>
              <w:t>3898</w:t>
            </w:r>
          </w:p>
        </w:tc>
        <w:tc>
          <w:tcPr>
            <w:tcW w:w="0" w:type="auto"/>
            <w:shd w:val="clear" w:color="auto" w:fill="auto"/>
          </w:tcPr>
          <w:p w14:paraId="79AD0FA8">
            <w:pPr>
              <w:jc w:val="center"/>
              <w:rPr>
                <w:rFonts w:ascii="宋体" w:hAnsi="宋体" w:eastAsia="宋体" w:cs="宋体"/>
                <w:sz w:val="24"/>
                <w:szCs w:val="24"/>
              </w:rPr>
            </w:pPr>
            <w:r>
              <w:rPr>
                <w:rFonts w:hint="eastAsia" w:ascii="宋体" w:hAnsi="宋体" w:eastAsia="宋体"/>
              </w:rPr>
              <w:t>时代电气</w:t>
            </w:r>
          </w:p>
        </w:tc>
        <w:tc>
          <w:tcPr>
            <w:tcW w:w="0" w:type="auto"/>
            <w:shd w:val="clear" w:color="auto" w:fill="auto"/>
          </w:tcPr>
          <w:p w14:paraId="41761791">
            <w:pPr>
              <w:jc w:val="right"/>
              <w:rPr>
                <w:rFonts w:ascii="宋体" w:hAnsi="宋体" w:eastAsia="宋体" w:cs="宋体"/>
                <w:sz w:val="24"/>
                <w:szCs w:val="24"/>
              </w:rPr>
            </w:pPr>
            <w:r>
              <w:rPr>
                <w:rFonts w:hint="eastAsia" w:ascii="宋体" w:hAnsi="宋体" w:eastAsia="宋体"/>
              </w:rPr>
              <w:t>15,200</w:t>
            </w:r>
          </w:p>
        </w:tc>
        <w:tc>
          <w:tcPr>
            <w:tcW w:w="0" w:type="auto"/>
            <w:shd w:val="clear" w:color="auto" w:fill="auto"/>
          </w:tcPr>
          <w:p w14:paraId="474A155B">
            <w:pPr>
              <w:jc w:val="right"/>
              <w:rPr>
                <w:rFonts w:ascii="宋体" w:hAnsi="宋体" w:eastAsia="宋体" w:cs="宋体"/>
                <w:sz w:val="24"/>
                <w:szCs w:val="24"/>
              </w:rPr>
            </w:pPr>
            <w:r>
              <w:rPr>
                <w:rFonts w:hint="eastAsia" w:ascii="宋体" w:hAnsi="宋体" w:eastAsia="宋体"/>
              </w:rPr>
              <w:t>438,027.82</w:t>
            </w:r>
          </w:p>
        </w:tc>
        <w:tc>
          <w:tcPr>
            <w:tcW w:w="0" w:type="auto"/>
            <w:shd w:val="clear" w:color="auto" w:fill="auto"/>
          </w:tcPr>
          <w:p w14:paraId="492664F7">
            <w:pPr>
              <w:jc w:val="right"/>
              <w:rPr>
                <w:rFonts w:ascii="宋体" w:hAnsi="宋体" w:eastAsia="宋体" w:cs="宋体"/>
                <w:sz w:val="24"/>
                <w:szCs w:val="24"/>
              </w:rPr>
            </w:pPr>
            <w:r>
              <w:rPr>
                <w:rFonts w:hint="eastAsia" w:ascii="宋体" w:hAnsi="宋体" w:eastAsia="宋体"/>
              </w:rPr>
              <w:t>0.85</w:t>
            </w:r>
          </w:p>
        </w:tc>
      </w:tr>
      <w:tr w14:paraId="14324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BBBDAE">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2D52BE91">
            <w:pPr>
              <w:jc w:val="center"/>
              <w:rPr>
                <w:rFonts w:ascii="宋体" w:hAnsi="宋体" w:eastAsia="宋体" w:cs="宋体"/>
                <w:sz w:val="24"/>
                <w:szCs w:val="24"/>
              </w:rPr>
            </w:pPr>
            <w:r>
              <w:rPr>
                <w:rFonts w:hint="eastAsia" w:ascii="宋体" w:hAnsi="宋体" w:eastAsia="宋体"/>
              </w:rPr>
              <w:t>002463</w:t>
            </w:r>
          </w:p>
        </w:tc>
        <w:tc>
          <w:tcPr>
            <w:tcW w:w="0" w:type="auto"/>
            <w:shd w:val="clear" w:color="auto" w:fill="auto"/>
          </w:tcPr>
          <w:p w14:paraId="262FD6DE">
            <w:pPr>
              <w:jc w:val="center"/>
              <w:rPr>
                <w:rFonts w:ascii="宋体" w:hAnsi="宋体" w:eastAsia="宋体" w:cs="宋体"/>
                <w:sz w:val="24"/>
                <w:szCs w:val="24"/>
              </w:rPr>
            </w:pPr>
            <w:r>
              <w:rPr>
                <w:rFonts w:hint="eastAsia" w:ascii="宋体" w:hAnsi="宋体" w:eastAsia="宋体"/>
              </w:rPr>
              <w:t>沪电股份</w:t>
            </w:r>
          </w:p>
        </w:tc>
        <w:tc>
          <w:tcPr>
            <w:tcW w:w="0" w:type="auto"/>
            <w:shd w:val="clear" w:color="auto" w:fill="auto"/>
          </w:tcPr>
          <w:p w14:paraId="687440CB">
            <w:pPr>
              <w:jc w:val="right"/>
              <w:rPr>
                <w:rFonts w:ascii="宋体" w:hAnsi="宋体" w:eastAsia="宋体" w:cs="宋体"/>
                <w:sz w:val="24"/>
                <w:szCs w:val="24"/>
              </w:rPr>
            </w:pPr>
            <w:r>
              <w:rPr>
                <w:rFonts w:hint="eastAsia" w:ascii="宋体" w:hAnsi="宋体" w:eastAsia="宋体"/>
              </w:rPr>
              <w:t>10,200</w:t>
            </w:r>
          </w:p>
        </w:tc>
        <w:tc>
          <w:tcPr>
            <w:tcW w:w="0" w:type="auto"/>
            <w:shd w:val="clear" w:color="auto" w:fill="auto"/>
          </w:tcPr>
          <w:p w14:paraId="1D3F368B">
            <w:pPr>
              <w:jc w:val="right"/>
              <w:rPr>
                <w:rFonts w:ascii="宋体" w:hAnsi="宋体" w:eastAsia="宋体" w:cs="宋体"/>
                <w:sz w:val="24"/>
                <w:szCs w:val="24"/>
              </w:rPr>
            </w:pPr>
            <w:r>
              <w:rPr>
                <w:rFonts w:hint="eastAsia" w:ascii="宋体" w:hAnsi="宋体" w:eastAsia="宋体"/>
              </w:rPr>
              <w:t>434,316.00</w:t>
            </w:r>
          </w:p>
        </w:tc>
        <w:tc>
          <w:tcPr>
            <w:tcW w:w="0" w:type="auto"/>
            <w:shd w:val="clear" w:color="auto" w:fill="auto"/>
          </w:tcPr>
          <w:p w14:paraId="62BCBA97">
            <w:pPr>
              <w:jc w:val="right"/>
              <w:rPr>
                <w:rFonts w:ascii="宋体" w:hAnsi="宋体" w:eastAsia="宋体" w:cs="宋体"/>
                <w:sz w:val="24"/>
                <w:szCs w:val="24"/>
              </w:rPr>
            </w:pPr>
            <w:r>
              <w:rPr>
                <w:rFonts w:hint="eastAsia" w:ascii="宋体" w:hAnsi="宋体" w:eastAsia="宋体"/>
              </w:rPr>
              <w:t>0.85</w:t>
            </w:r>
          </w:p>
        </w:tc>
      </w:tr>
      <w:tr w14:paraId="48BD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AB182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9A07961">
            <w:pPr>
              <w:jc w:val="center"/>
              <w:rPr>
                <w:rFonts w:ascii="宋体" w:hAnsi="宋体" w:eastAsia="宋体" w:cs="宋体"/>
                <w:sz w:val="24"/>
                <w:szCs w:val="24"/>
              </w:rPr>
            </w:pPr>
            <w:r>
              <w:rPr>
                <w:rFonts w:hint="eastAsia" w:ascii="宋体" w:hAnsi="宋体" w:eastAsia="宋体"/>
              </w:rPr>
              <w:t>601138</w:t>
            </w:r>
          </w:p>
        </w:tc>
        <w:tc>
          <w:tcPr>
            <w:tcW w:w="0" w:type="auto"/>
            <w:shd w:val="clear" w:color="auto" w:fill="auto"/>
          </w:tcPr>
          <w:p w14:paraId="3C9606B6">
            <w:pPr>
              <w:jc w:val="center"/>
              <w:rPr>
                <w:rFonts w:ascii="宋体" w:hAnsi="宋体" w:eastAsia="宋体" w:cs="宋体"/>
                <w:sz w:val="24"/>
                <w:szCs w:val="24"/>
              </w:rPr>
            </w:pPr>
            <w:r>
              <w:rPr>
                <w:rFonts w:hint="eastAsia" w:ascii="宋体" w:hAnsi="宋体" w:eastAsia="宋体"/>
              </w:rPr>
              <w:t>工业富联</w:t>
            </w:r>
          </w:p>
        </w:tc>
        <w:tc>
          <w:tcPr>
            <w:tcW w:w="0" w:type="auto"/>
            <w:shd w:val="clear" w:color="auto" w:fill="auto"/>
          </w:tcPr>
          <w:p w14:paraId="5149AD14">
            <w:pPr>
              <w:jc w:val="right"/>
              <w:rPr>
                <w:rFonts w:ascii="宋体" w:hAnsi="宋体" w:eastAsia="宋体" w:cs="宋体"/>
                <w:sz w:val="24"/>
                <w:szCs w:val="24"/>
              </w:rPr>
            </w:pPr>
            <w:r>
              <w:rPr>
                <w:rFonts w:hint="eastAsia" w:ascii="宋体" w:hAnsi="宋体" w:eastAsia="宋体"/>
              </w:rPr>
              <w:t>20,200</w:t>
            </w:r>
          </w:p>
        </w:tc>
        <w:tc>
          <w:tcPr>
            <w:tcW w:w="0" w:type="auto"/>
            <w:shd w:val="clear" w:color="auto" w:fill="auto"/>
          </w:tcPr>
          <w:p w14:paraId="4DB2843D">
            <w:pPr>
              <w:jc w:val="right"/>
              <w:rPr>
                <w:rFonts w:ascii="宋体" w:hAnsi="宋体" w:eastAsia="宋体" w:cs="宋体"/>
                <w:sz w:val="24"/>
                <w:szCs w:val="24"/>
              </w:rPr>
            </w:pPr>
            <w:r>
              <w:rPr>
                <w:rFonts w:hint="eastAsia" w:ascii="宋体" w:hAnsi="宋体" w:eastAsia="宋体"/>
              </w:rPr>
              <w:t>431,876.00</w:t>
            </w:r>
          </w:p>
        </w:tc>
        <w:tc>
          <w:tcPr>
            <w:tcW w:w="0" w:type="auto"/>
            <w:shd w:val="clear" w:color="auto" w:fill="auto"/>
          </w:tcPr>
          <w:p w14:paraId="59BEFFC6">
            <w:pPr>
              <w:jc w:val="right"/>
              <w:rPr>
                <w:rFonts w:ascii="宋体" w:hAnsi="宋体" w:eastAsia="宋体" w:cs="宋体"/>
                <w:sz w:val="24"/>
                <w:szCs w:val="24"/>
              </w:rPr>
            </w:pPr>
            <w:r>
              <w:rPr>
                <w:rFonts w:hint="eastAsia" w:ascii="宋体" w:hAnsi="宋体" w:eastAsia="宋体"/>
              </w:rPr>
              <w:t>0.84</w:t>
            </w:r>
          </w:p>
        </w:tc>
      </w:tr>
      <w:tr w14:paraId="34C1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11CEF3">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65017BB8">
            <w:pPr>
              <w:jc w:val="center"/>
              <w:rPr>
                <w:rFonts w:ascii="宋体" w:hAnsi="宋体" w:eastAsia="宋体" w:cs="宋体"/>
                <w:sz w:val="24"/>
                <w:szCs w:val="24"/>
              </w:rPr>
            </w:pPr>
            <w:r>
              <w:rPr>
                <w:rFonts w:hint="eastAsia" w:ascii="宋体" w:hAnsi="宋体" w:eastAsia="宋体"/>
              </w:rPr>
              <w:t>2382</w:t>
            </w:r>
          </w:p>
        </w:tc>
        <w:tc>
          <w:tcPr>
            <w:tcW w:w="0" w:type="auto"/>
            <w:shd w:val="clear" w:color="auto" w:fill="auto"/>
          </w:tcPr>
          <w:p w14:paraId="38730994">
            <w:pPr>
              <w:jc w:val="center"/>
              <w:rPr>
                <w:rFonts w:ascii="宋体" w:hAnsi="宋体" w:eastAsia="宋体" w:cs="宋体"/>
                <w:sz w:val="24"/>
                <w:szCs w:val="24"/>
              </w:rPr>
            </w:pPr>
            <w:r>
              <w:rPr>
                <w:rFonts w:hint="eastAsia" w:ascii="宋体" w:hAnsi="宋体" w:eastAsia="宋体"/>
              </w:rPr>
              <w:t>舜宇光学科技</w:t>
            </w:r>
          </w:p>
        </w:tc>
        <w:tc>
          <w:tcPr>
            <w:tcW w:w="0" w:type="auto"/>
            <w:shd w:val="clear" w:color="auto" w:fill="auto"/>
          </w:tcPr>
          <w:p w14:paraId="516B94FE">
            <w:pPr>
              <w:jc w:val="right"/>
              <w:rPr>
                <w:rFonts w:ascii="宋体" w:hAnsi="宋体" w:eastAsia="宋体" w:cs="宋体"/>
                <w:sz w:val="24"/>
                <w:szCs w:val="24"/>
              </w:rPr>
            </w:pPr>
            <w:r>
              <w:rPr>
                <w:rFonts w:hint="eastAsia" w:ascii="宋体" w:hAnsi="宋体" w:eastAsia="宋体"/>
              </w:rPr>
              <w:t>6,800</w:t>
            </w:r>
          </w:p>
        </w:tc>
        <w:tc>
          <w:tcPr>
            <w:tcW w:w="0" w:type="auto"/>
            <w:shd w:val="clear" w:color="auto" w:fill="auto"/>
          </w:tcPr>
          <w:p w14:paraId="628489BE">
            <w:pPr>
              <w:jc w:val="right"/>
              <w:rPr>
                <w:rFonts w:ascii="宋体" w:hAnsi="宋体" w:eastAsia="宋体" w:cs="宋体"/>
                <w:sz w:val="24"/>
                <w:szCs w:val="24"/>
              </w:rPr>
            </w:pPr>
            <w:r>
              <w:rPr>
                <w:rFonts w:hint="eastAsia" w:ascii="宋体" w:hAnsi="宋体" w:eastAsia="宋体"/>
              </w:rPr>
              <w:t>430,057.38</w:t>
            </w:r>
          </w:p>
        </w:tc>
        <w:tc>
          <w:tcPr>
            <w:tcW w:w="0" w:type="auto"/>
            <w:shd w:val="clear" w:color="auto" w:fill="auto"/>
          </w:tcPr>
          <w:p w14:paraId="0AAF2389">
            <w:pPr>
              <w:jc w:val="right"/>
              <w:rPr>
                <w:rFonts w:ascii="宋体" w:hAnsi="宋体" w:eastAsia="宋体" w:cs="宋体"/>
                <w:sz w:val="24"/>
                <w:szCs w:val="24"/>
              </w:rPr>
            </w:pPr>
            <w:r>
              <w:rPr>
                <w:rFonts w:hint="eastAsia" w:ascii="宋体" w:hAnsi="宋体" w:eastAsia="宋体"/>
              </w:rPr>
              <w:t>0.84</w:t>
            </w:r>
          </w:p>
        </w:tc>
      </w:tr>
      <w:tr w14:paraId="4B1D6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8E5E56">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5A0B414A">
            <w:pPr>
              <w:jc w:val="center"/>
              <w:rPr>
                <w:rFonts w:ascii="宋体" w:hAnsi="宋体" w:eastAsia="宋体" w:cs="宋体"/>
                <w:sz w:val="24"/>
                <w:szCs w:val="24"/>
              </w:rPr>
            </w:pPr>
            <w:r>
              <w:rPr>
                <w:rFonts w:hint="eastAsia" w:ascii="宋体" w:hAnsi="宋体" w:eastAsia="宋体"/>
              </w:rPr>
              <w:t>600926</w:t>
            </w:r>
          </w:p>
        </w:tc>
        <w:tc>
          <w:tcPr>
            <w:tcW w:w="0" w:type="auto"/>
            <w:shd w:val="clear" w:color="auto" w:fill="auto"/>
          </w:tcPr>
          <w:p w14:paraId="2E222BBD">
            <w:pPr>
              <w:jc w:val="center"/>
              <w:rPr>
                <w:rFonts w:ascii="宋体" w:hAnsi="宋体" w:eastAsia="宋体" w:cs="宋体"/>
                <w:sz w:val="24"/>
                <w:szCs w:val="24"/>
              </w:rPr>
            </w:pPr>
            <w:r>
              <w:rPr>
                <w:rFonts w:hint="eastAsia" w:ascii="宋体" w:hAnsi="宋体" w:eastAsia="宋体"/>
              </w:rPr>
              <w:t>杭州银行</w:t>
            </w:r>
          </w:p>
        </w:tc>
        <w:tc>
          <w:tcPr>
            <w:tcW w:w="0" w:type="auto"/>
            <w:shd w:val="clear" w:color="auto" w:fill="auto"/>
          </w:tcPr>
          <w:p w14:paraId="7A306250">
            <w:pPr>
              <w:jc w:val="right"/>
              <w:rPr>
                <w:rFonts w:ascii="宋体" w:hAnsi="宋体" w:eastAsia="宋体" w:cs="宋体"/>
                <w:sz w:val="24"/>
                <w:szCs w:val="24"/>
              </w:rPr>
            </w:pPr>
            <w:r>
              <w:rPr>
                <w:rFonts w:hint="eastAsia" w:ascii="宋体" w:hAnsi="宋体" w:eastAsia="宋体"/>
              </w:rPr>
              <w:t>24,000</w:t>
            </w:r>
          </w:p>
        </w:tc>
        <w:tc>
          <w:tcPr>
            <w:tcW w:w="0" w:type="auto"/>
            <w:shd w:val="clear" w:color="auto" w:fill="auto"/>
          </w:tcPr>
          <w:p w14:paraId="4113287B">
            <w:pPr>
              <w:jc w:val="right"/>
              <w:rPr>
                <w:rFonts w:ascii="宋体" w:hAnsi="宋体" w:eastAsia="宋体" w:cs="宋体"/>
                <w:sz w:val="24"/>
                <w:szCs w:val="24"/>
              </w:rPr>
            </w:pPr>
            <w:r>
              <w:rPr>
                <w:rFonts w:hint="eastAsia" w:ascii="宋体" w:hAnsi="宋体" w:eastAsia="宋体"/>
              </w:rPr>
              <w:t>403,680.00</w:t>
            </w:r>
          </w:p>
        </w:tc>
        <w:tc>
          <w:tcPr>
            <w:tcW w:w="0" w:type="auto"/>
            <w:shd w:val="clear" w:color="auto" w:fill="auto"/>
          </w:tcPr>
          <w:p w14:paraId="0B0BBEB4">
            <w:pPr>
              <w:jc w:val="right"/>
              <w:rPr>
                <w:rFonts w:ascii="宋体" w:hAnsi="宋体" w:eastAsia="宋体" w:cs="宋体"/>
                <w:sz w:val="24"/>
                <w:szCs w:val="24"/>
              </w:rPr>
            </w:pPr>
            <w:r>
              <w:rPr>
                <w:rFonts w:hint="eastAsia" w:ascii="宋体" w:hAnsi="宋体" w:eastAsia="宋体"/>
              </w:rPr>
              <w:t>0.79</w:t>
            </w:r>
          </w:p>
        </w:tc>
      </w:tr>
    </w:tbl>
    <w:p w14:paraId="2BD949C7">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2619"/>
        <w:gridCol w:w="1966"/>
        <w:gridCol w:w="3141"/>
      </w:tblGrid>
      <w:tr w14:paraId="3E876C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EAF42C">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1C1E8B1">
            <w:pPr>
              <w:jc w:val="center"/>
              <w:rPr>
                <w:rFonts w:ascii="宋体" w:hAnsi="宋体" w:eastAsia="宋体" w:cs="宋体"/>
                <w:sz w:val="24"/>
                <w:szCs w:val="24"/>
              </w:rPr>
            </w:pPr>
            <w:r>
              <w:rPr>
                <w:rFonts w:hint="eastAsia" w:ascii="宋体" w:hAnsi="宋体" w:eastAsia="宋体"/>
              </w:rPr>
              <w:t>债券品种</w:t>
            </w:r>
          </w:p>
        </w:tc>
        <w:tc>
          <w:tcPr>
            <w:tcW w:w="0" w:type="auto"/>
            <w:shd w:val="clear" w:color="auto" w:fill="auto"/>
          </w:tcPr>
          <w:p w14:paraId="551CEB37">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8BF8A18">
            <w:pPr>
              <w:jc w:val="center"/>
              <w:rPr>
                <w:rFonts w:ascii="宋体" w:hAnsi="宋体" w:eastAsia="宋体" w:cs="宋体"/>
                <w:sz w:val="24"/>
                <w:szCs w:val="24"/>
              </w:rPr>
            </w:pPr>
            <w:r>
              <w:rPr>
                <w:rFonts w:hint="eastAsia" w:ascii="宋体" w:hAnsi="宋体" w:eastAsia="宋体"/>
              </w:rPr>
              <w:t>占基金资产净值比例(％)</w:t>
            </w:r>
          </w:p>
        </w:tc>
      </w:tr>
      <w:tr w14:paraId="4017A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40BBD08">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2119CB3">
            <w:pPr>
              <w:rPr>
                <w:rFonts w:ascii="宋体" w:hAnsi="宋体" w:eastAsia="宋体" w:cs="宋体"/>
                <w:sz w:val="24"/>
                <w:szCs w:val="24"/>
              </w:rPr>
            </w:pPr>
            <w:r>
              <w:rPr>
                <w:rFonts w:hint="eastAsia" w:ascii="宋体" w:hAnsi="宋体" w:eastAsia="宋体"/>
              </w:rPr>
              <w:t>国家债券</w:t>
            </w:r>
          </w:p>
        </w:tc>
        <w:tc>
          <w:tcPr>
            <w:tcW w:w="0" w:type="auto"/>
            <w:shd w:val="clear" w:color="auto" w:fill="auto"/>
          </w:tcPr>
          <w:p w14:paraId="14880D59">
            <w:pPr>
              <w:jc w:val="right"/>
              <w:rPr>
                <w:rFonts w:ascii="宋体" w:hAnsi="宋体" w:eastAsia="宋体" w:cs="宋体"/>
                <w:sz w:val="24"/>
                <w:szCs w:val="24"/>
              </w:rPr>
            </w:pPr>
            <w:r>
              <w:rPr>
                <w:rFonts w:hint="eastAsia" w:ascii="宋体" w:hAnsi="宋体" w:eastAsia="宋体"/>
              </w:rPr>
              <w:t>17,327,493.68</w:t>
            </w:r>
          </w:p>
        </w:tc>
        <w:tc>
          <w:tcPr>
            <w:tcW w:w="0" w:type="auto"/>
            <w:shd w:val="clear" w:color="auto" w:fill="auto"/>
          </w:tcPr>
          <w:p w14:paraId="2AC507DF">
            <w:pPr>
              <w:jc w:val="right"/>
              <w:rPr>
                <w:rFonts w:ascii="宋体" w:hAnsi="宋体" w:eastAsia="宋体" w:cs="宋体"/>
                <w:sz w:val="24"/>
                <w:szCs w:val="24"/>
              </w:rPr>
            </w:pPr>
            <w:r>
              <w:rPr>
                <w:rFonts w:hint="eastAsia" w:ascii="宋体" w:hAnsi="宋体" w:eastAsia="宋体"/>
              </w:rPr>
              <w:t>33.71</w:t>
            </w:r>
          </w:p>
        </w:tc>
      </w:tr>
      <w:tr w14:paraId="7B5D5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C2D93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94EE7DF">
            <w:pPr>
              <w:rPr>
                <w:rFonts w:ascii="宋体" w:hAnsi="宋体" w:eastAsia="宋体" w:cs="宋体"/>
                <w:sz w:val="24"/>
                <w:szCs w:val="24"/>
              </w:rPr>
            </w:pPr>
            <w:r>
              <w:rPr>
                <w:rFonts w:hint="eastAsia" w:ascii="宋体" w:hAnsi="宋体" w:eastAsia="宋体"/>
              </w:rPr>
              <w:t>央行票据</w:t>
            </w:r>
          </w:p>
        </w:tc>
        <w:tc>
          <w:tcPr>
            <w:tcW w:w="0" w:type="auto"/>
            <w:shd w:val="clear" w:color="auto" w:fill="auto"/>
          </w:tcPr>
          <w:p w14:paraId="13A2492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F0FAC2">
            <w:pPr>
              <w:jc w:val="right"/>
              <w:rPr>
                <w:rFonts w:ascii="宋体" w:hAnsi="宋体" w:eastAsia="宋体" w:cs="宋体"/>
                <w:sz w:val="24"/>
                <w:szCs w:val="24"/>
              </w:rPr>
            </w:pPr>
            <w:r>
              <w:rPr>
                <w:rFonts w:hint="eastAsia" w:ascii="宋体" w:hAnsi="宋体" w:eastAsia="宋体"/>
              </w:rPr>
              <w:t>-</w:t>
            </w:r>
          </w:p>
        </w:tc>
      </w:tr>
      <w:tr w14:paraId="2C77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14671E">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4A5AC3BA">
            <w:pPr>
              <w:rPr>
                <w:rFonts w:ascii="宋体" w:hAnsi="宋体" w:eastAsia="宋体" w:cs="宋体"/>
                <w:sz w:val="24"/>
                <w:szCs w:val="24"/>
              </w:rPr>
            </w:pPr>
            <w:r>
              <w:rPr>
                <w:rFonts w:hint="eastAsia" w:ascii="宋体" w:hAnsi="宋体" w:eastAsia="宋体"/>
              </w:rPr>
              <w:t>金融债券</w:t>
            </w:r>
          </w:p>
        </w:tc>
        <w:tc>
          <w:tcPr>
            <w:tcW w:w="0" w:type="auto"/>
            <w:shd w:val="clear" w:color="auto" w:fill="auto"/>
          </w:tcPr>
          <w:p w14:paraId="5284CF1A">
            <w:pPr>
              <w:jc w:val="right"/>
              <w:rPr>
                <w:rFonts w:ascii="宋体" w:hAnsi="宋体" w:eastAsia="宋体" w:cs="宋体"/>
                <w:sz w:val="24"/>
                <w:szCs w:val="24"/>
              </w:rPr>
            </w:pPr>
            <w:r>
              <w:rPr>
                <w:rFonts w:hint="eastAsia" w:ascii="宋体" w:hAnsi="宋体" w:eastAsia="宋体"/>
              </w:rPr>
              <w:t>5,834,537.70</w:t>
            </w:r>
          </w:p>
        </w:tc>
        <w:tc>
          <w:tcPr>
            <w:tcW w:w="0" w:type="auto"/>
            <w:shd w:val="clear" w:color="auto" w:fill="auto"/>
          </w:tcPr>
          <w:p w14:paraId="04A15CD0">
            <w:pPr>
              <w:jc w:val="right"/>
              <w:rPr>
                <w:rFonts w:ascii="宋体" w:hAnsi="宋体" w:eastAsia="宋体" w:cs="宋体"/>
                <w:sz w:val="24"/>
                <w:szCs w:val="24"/>
              </w:rPr>
            </w:pPr>
            <w:r>
              <w:rPr>
                <w:rFonts w:hint="eastAsia" w:ascii="宋体" w:hAnsi="宋体" w:eastAsia="宋体"/>
              </w:rPr>
              <w:t>11.35</w:t>
            </w:r>
          </w:p>
        </w:tc>
      </w:tr>
      <w:tr w14:paraId="6A69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7B115A2">
            <w:pPr>
              <w:jc w:val="center"/>
              <w:rPr>
                <w:rFonts w:ascii="宋体" w:hAnsi="宋体" w:eastAsia="宋体" w:cs="宋体"/>
                <w:sz w:val="24"/>
                <w:szCs w:val="24"/>
              </w:rPr>
            </w:pPr>
          </w:p>
        </w:tc>
        <w:tc>
          <w:tcPr>
            <w:tcW w:w="0" w:type="auto"/>
            <w:shd w:val="clear" w:color="auto" w:fill="auto"/>
          </w:tcPr>
          <w:p w14:paraId="7FE89B09">
            <w:pPr>
              <w:rPr>
                <w:rFonts w:ascii="宋体" w:hAnsi="宋体" w:eastAsia="宋体" w:cs="宋体"/>
                <w:sz w:val="24"/>
                <w:szCs w:val="24"/>
              </w:rPr>
            </w:pPr>
            <w:r>
              <w:rPr>
                <w:rFonts w:hint="eastAsia" w:ascii="宋体" w:hAnsi="宋体" w:eastAsia="宋体"/>
              </w:rPr>
              <w:t>其中：政策性金融债</w:t>
            </w:r>
          </w:p>
        </w:tc>
        <w:tc>
          <w:tcPr>
            <w:tcW w:w="0" w:type="auto"/>
            <w:shd w:val="clear" w:color="auto" w:fill="auto"/>
          </w:tcPr>
          <w:p w14:paraId="3C518DB3">
            <w:pPr>
              <w:jc w:val="right"/>
              <w:rPr>
                <w:rFonts w:ascii="宋体" w:hAnsi="宋体" w:eastAsia="宋体" w:cs="宋体"/>
                <w:sz w:val="24"/>
                <w:szCs w:val="24"/>
              </w:rPr>
            </w:pPr>
            <w:r>
              <w:rPr>
                <w:rFonts w:hint="eastAsia" w:ascii="宋体" w:hAnsi="宋体" w:eastAsia="宋体"/>
              </w:rPr>
              <w:t>5,834,537.70</w:t>
            </w:r>
          </w:p>
        </w:tc>
        <w:tc>
          <w:tcPr>
            <w:tcW w:w="0" w:type="auto"/>
            <w:shd w:val="clear" w:color="auto" w:fill="auto"/>
          </w:tcPr>
          <w:p w14:paraId="266FDC20">
            <w:pPr>
              <w:jc w:val="right"/>
              <w:rPr>
                <w:rFonts w:ascii="宋体" w:hAnsi="宋体" w:eastAsia="宋体" w:cs="宋体"/>
                <w:sz w:val="24"/>
                <w:szCs w:val="24"/>
              </w:rPr>
            </w:pPr>
            <w:r>
              <w:rPr>
                <w:rFonts w:hint="eastAsia" w:ascii="宋体" w:hAnsi="宋体" w:eastAsia="宋体"/>
              </w:rPr>
              <w:t>11.35</w:t>
            </w:r>
          </w:p>
        </w:tc>
      </w:tr>
      <w:tr w14:paraId="218FF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E5758A">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658A145E">
            <w:pPr>
              <w:rPr>
                <w:rFonts w:ascii="宋体" w:hAnsi="宋体" w:eastAsia="宋体" w:cs="宋体"/>
                <w:sz w:val="24"/>
                <w:szCs w:val="24"/>
              </w:rPr>
            </w:pPr>
            <w:r>
              <w:rPr>
                <w:rFonts w:hint="eastAsia" w:ascii="宋体" w:hAnsi="宋体" w:eastAsia="宋体"/>
              </w:rPr>
              <w:t>企业债券</w:t>
            </w:r>
          </w:p>
        </w:tc>
        <w:tc>
          <w:tcPr>
            <w:tcW w:w="0" w:type="auto"/>
            <w:shd w:val="clear" w:color="auto" w:fill="auto"/>
          </w:tcPr>
          <w:p w14:paraId="386C95E8">
            <w:pPr>
              <w:jc w:val="right"/>
              <w:rPr>
                <w:rFonts w:ascii="宋体" w:hAnsi="宋体" w:eastAsia="宋体" w:cs="宋体"/>
                <w:sz w:val="24"/>
                <w:szCs w:val="24"/>
              </w:rPr>
            </w:pPr>
            <w:r>
              <w:rPr>
                <w:rFonts w:hint="eastAsia" w:ascii="宋体" w:hAnsi="宋体" w:eastAsia="宋体"/>
              </w:rPr>
              <w:t>8,132,413.15</w:t>
            </w:r>
          </w:p>
        </w:tc>
        <w:tc>
          <w:tcPr>
            <w:tcW w:w="0" w:type="auto"/>
            <w:shd w:val="clear" w:color="auto" w:fill="auto"/>
          </w:tcPr>
          <w:p w14:paraId="5AB19E84">
            <w:pPr>
              <w:jc w:val="right"/>
              <w:rPr>
                <w:rFonts w:ascii="宋体" w:hAnsi="宋体" w:eastAsia="宋体" w:cs="宋体"/>
                <w:sz w:val="24"/>
                <w:szCs w:val="24"/>
              </w:rPr>
            </w:pPr>
            <w:r>
              <w:rPr>
                <w:rFonts w:hint="eastAsia" w:ascii="宋体" w:hAnsi="宋体" w:eastAsia="宋体"/>
              </w:rPr>
              <w:t>15.82</w:t>
            </w:r>
          </w:p>
        </w:tc>
      </w:tr>
      <w:tr w14:paraId="3AD39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4AB747">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17AD39A">
            <w:pPr>
              <w:rPr>
                <w:rFonts w:ascii="宋体" w:hAnsi="宋体" w:eastAsia="宋体" w:cs="宋体"/>
                <w:sz w:val="24"/>
                <w:szCs w:val="24"/>
              </w:rPr>
            </w:pPr>
            <w:r>
              <w:rPr>
                <w:rFonts w:hint="eastAsia" w:ascii="宋体" w:hAnsi="宋体" w:eastAsia="宋体"/>
              </w:rPr>
              <w:t>企业短期融资券</w:t>
            </w:r>
          </w:p>
        </w:tc>
        <w:tc>
          <w:tcPr>
            <w:tcW w:w="0" w:type="auto"/>
            <w:shd w:val="clear" w:color="auto" w:fill="auto"/>
          </w:tcPr>
          <w:p w14:paraId="23F5728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CBFFFDA">
            <w:pPr>
              <w:jc w:val="right"/>
              <w:rPr>
                <w:rFonts w:ascii="宋体" w:hAnsi="宋体" w:eastAsia="宋体" w:cs="宋体"/>
                <w:sz w:val="24"/>
                <w:szCs w:val="24"/>
              </w:rPr>
            </w:pPr>
            <w:r>
              <w:rPr>
                <w:rFonts w:hint="eastAsia" w:ascii="宋体" w:hAnsi="宋体" w:eastAsia="宋体"/>
              </w:rPr>
              <w:t>-</w:t>
            </w:r>
          </w:p>
        </w:tc>
      </w:tr>
      <w:tr w14:paraId="4299A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33438B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79AEB00E">
            <w:pPr>
              <w:rPr>
                <w:rFonts w:ascii="宋体" w:hAnsi="宋体" w:eastAsia="宋体" w:cs="宋体"/>
                <w:sz w:val="24"/>
                <w:szCs w:val="24"/>
              </w:rPr>
            </w:pPr>
            <w:r>
              <w:rPr>
                <w:rFonts w:hint="eastAsia" w:ascii="宋体" w:hAnsi="宋体" w:eastAsia="宋体"/>
              </w:rPr>
              <w:t>中期票据</w:t>
            </w:r>
          </w:p>
        </w:tc>
        <w:tc>
          <w:tcPr>
            <w:tcW w:w="0" w:type="auto"/>
            <w:shd w:val="clear" w:color="auto" w:fill="auto"/>
          </w:tcPr>
          <w:p w14:paraId="4BABE06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BBCDB3E">
            <w:pPr>
              <w:jc w:val="right"/>
              <w:rPr>
                <w:rFonts w:ascii="宋体" w:hAnsi="宋体" w:eastAsia="宋体" w:cs="宋体"/>
                <w:sz w:val="24"/>
                <w:szCs w:val="24"/>
              </w:rPr>
            </w:pPr>
            <w:r>
              <w:rPr>
                <w:rFonts w:hint="eastAsia" w:ascii="宋体" w:hAnsi="宋体" w:eastAsia="宋体"/>
              </w:rPr>
              <w:t>-</w:t>
            </w:r>
          </w:p>
        </w:tc>
      </w:tr>
      <w:tr w14:paraId="316E2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51E120">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AD15DDF">
            <w:pPr>
              <w:rPr>
                <w:rFonts w:ascii="宋体" w:hAnsi="宋体" w:eastAsia="宋体" w:cs="宋体"/>
                <w:sz w:val="24"/>
                <w:szCs w:val="24"/>
              </w:rPr>
            </w:pPr>
            <w:r>
              <w:rPr>
                <w:rFonts w:hint="eastAsia" w:ascii="宋体" w:hAnsi="宋体" w:eastAsia="宋体"/>
              </w:rPr>
              <w:t>可转债（可交换债）</w:t>
            </w:r>
          </w:p>
        </w:tc>
        <w:tc>
          <w:tcPr>
            <w:tcW w:w="0" w:type="auto"/>
            <w:shd w:val="clear" w:color="auto" w:fill="auto"/>
          </w:tcPr>
          <w:p w14:paraId="38F5F973">
            <w:pPr>
              <w:jc w:val="right"/>
              <w:rPr>
                <w:rFonts w:ascii="宋体" w:hAnsi="宋体" w:eastAsia="宋体" w:cs="宋体"/>
                <w:sz w:val="24"/>
                <w:szCs w:val="24"/>
              </w:rPr>
            </w:pPr>
            <w:r>
              <w:rPr>
                <w:rFonts w:hint="eastAsia" w:ascii="宋体" w:hAnsi="宋体" w:eastAsia="宋体"/>
              </w:rPr>
              <w:t>1,482,274.12</w:t>
            </w:r>
          </w:p>
        </w:tc>
        <w:tc>
          <w:tcPr>
            <w:tcW w:w="0" w:type="auto"/>
            <w:shd w:val="clear" w:color="auto" w:fill="auto"/>
          </w:tcPr>
          <w:p w14:paraId="565C5827">
            <w:pPr>
              <w:jc w:val="right"/>
              <w:rPr>
                <w:rFonts w:ascii="宋体" w:hAnsi="宋体" w:eastAsia="宋体" w:cs="宋体"/>
                <w:sz w:val="24"/>
                <w:szCs w:val="24"/>
              </w:rPr>
            </w:pPr>
            <w:r>
              <w:rPr>
                <w:rFonts w:hint="eastAsia" w:ascii="宋体" w:hAnsi="宋体" w:eastAsia="宋体"/>
              </w:rPr>
              <w:t>2.88</w:t>
            </w:r>
          </w:p>
        </w:tc>
      </w:tr>
      <w:tr w14:paraId="329E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31442B">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458FAE83">
            <w:pPr>
              <w:rPr>
                <w:rFonts w:ascii="宋体" w:hAnsi="宋体" w:eastAsia="宋体" w:cs="宋体"/>
                <w:sz w:val="24"/>
                <w:szCs w:val="24"/>
              </w:rPr>
            </w:pPr>
            <w:r>
              <w:rPr>
                <w:rFonts w:hint="eastAsia" w:ascii="宋体" w:hAnsi="宋体" w:eastAsia="宋体"/>
              </w:rPr>
              <w:t>同业存单</w:t>
            </w:r>
          </w:p>
        </w:tc>
        <w:tc>
          <w:tcPr>
            <w:tcW w:w="0" w:type="auto"/>
            <w:shd w:val="clear" w:color="auto" w:fill="auto"/>
          </w:tcPr>
          <w:p w14:paraId="2EF1D48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7152791">
            <w:pPr>
              <w:jc w:val="right"/>
              <w:rPr>
                <w:rFonts w:ascii="宋体" w:hAnsi="宋体" w:eastAsia="宋体" w:cs="宋体"/>
                <w:sz w:val="24"/>
                <w:szCs w:val="24"/>
              </w:rPr>
            </w:pPr>
            <w:r>
              <w:rPr>
                <w:rFonts w:hint="eastAsia" w:ascii="宋体" w:hAnsi="宋体" w:eastAsia="宋体"/>
              </w:rPr>
              <w:t>-</w:t>
            </w:r>
          </w:p>
        </w:tc>
      </w:tr>
      <w:tr w14:paraId="4F30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35FA0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09B84D1">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2AA2122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27E328">
            <w:pPr>
              <w:jc w:val="right"/>
              <w:rPr>
                <w:rFonts w:ascii="宋体" w:hAnsi="宋体" w:eastAsia="宋体" w:cs="宋体"/>
                <w:sz w:val="24"/>
                <w:szCs w:val="24"/>
              </w:rPr>
            </w:pPr>
            <w:r>
              <w:rPr>
                <w:rFonts w:hint="eastAsia" w:ascii="宋体" w:hAnsi="宋体" w:eastAsia="宋体"/>
              </w:rPr>
              <w:t>-</w:t>
            </w:r>
          </w:p>
        </w:tc>
      </w:tr>
      <w:tr w14:paraId="72D4B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E6B4CF">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1D308FE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2A156A06">
            <w:pPr>
              <w:jc w:val="right"/>
              <w:rPr>
                <w:rFonts w:ascii="宋体" w:hAnsi="宋体" w:eastAsia="宋体" w:cs="宋体"/>
                <w:sz w:val="24"/>
                <w:szCs w:val="24"/>
              </w:rPr>
            </w:pPr>
            <w:r>
              <w:rPr>
                <w:rFonts w:hint="eastAsia" w:ascii="宋体" w:hAnsi="宋体" w:eastAsia="宋体"/>
              </w:rPr>
              <w:t>32,776,718.65</w:t>
            </w:r>
          </w:p>
        </w:tc>
        <w:tc>
          <w:tcPr>
            <w:tcW w:w="0" w:type="auto"/>
            <w:shd w:val="clear" w:color="auto" w:fill="auto"/>
          </w:tcPr>
          <w:p w14:paraId="47599835">
            <w:pPr>
              <w:jc w:val="right"/>
              <w:rPr>
                <w:rFonts w:ascii="宋体" w:hAnsi="宋体" w:eastAsia="宋体" w:cs="宋体"/>
                <w:sz w:val="24"/>
                <w:szCs w:val="24"/>
              </w:rPr>
            </w:pPr>
            <w:r>
              <w:rPr>
                <w:rFonts w:hint="eastAsia" w:ascii="宋体" w:hAnsi="宋体" w:eastAsia="宋体"/>
              </w:rPr>
              <w:t>63.77</w:t>
            </w:r>
          </w:p>
        </w:tc>
      </w:tr>
    </w:tbl>
    <w:p w14:paraId="70D89357">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7"/>
        <w:gridCol w:w="1037"/>
        <w:gridCol w:w="1477"/>
        <w:gridCol w:w="1238"/>
        <w:gridCol w:w="1581"/>
        <w:gridCol w:w="2566"/>
      </w:tblGrid>
      <w:tr w14:paraId="30E6F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8D2C5F1">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6A94493A">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591D6CDE">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4155FFEC">
            <w:pPr>
              <w:jc w:val="center"/>
              <w:rPr>
                <w:rFonts w:ascii="宋体" w:hAnsi="宋体" w:eastAsia="宋体" w:cs="宋体"/>
                <w:sz w:val="24"/>
                <w:szCs w:val="24"/>
              </w:rPr>
            </w:pPr>
            <w:r>
              <w:rPr>
                <w:rFonts w:hint="eastAsia" w:ascii="宋体" w:hAnsi="宋体" w:eastAsia="宋体"/>
              </w:rPr>
              <w:t>数量（张）</w:t>
            </w:r>
          </w:p>
        </w:tc>
        <w:tc>
          <w:tcPr>
            <w:tcW w:w="0" w:type="auto"/>
            <w:shd w:val="clear" w:color="auto" w:fill="auto"/>
          </w:tcPr>
          <w:p w14:paraId="00A4D67A">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16EE349D">
            <w:pPr>
              <w:jc w:val="center"/>
              <w:rPr>
                <w:rFonts w:ascii="宋体" w:hAnsi="宋体" w:eastAsia="宋体" w:cs="宋体"/>
                <w:sz w:val="24"/>
                <w:szCs w:val="24"/>
              </w:rPr>
            </w:pPr>
            <w:r>
              <w:rPr>
                <w:rFonts w:hint="eastAsia" w:ascii="宋体" w:hAnsi="宋体" w:eastAsia="宋体"/>
              </w:rPr>
              <w:t>占基金资产净值比例（％）</w:t>
            </w:r>
          </w:p>
        </w:tc>
      </w:tr>
      <w:tr w14:paraId="7548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6CF30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5339F1C4">
            <w:pPr>
              <w:jc w:val="center"/>
              <w:rPr>
                <w:rFonts w:ascii="宋体" w:hAnsi="宋体" w:eastAsia="宋体" w:cs="宋体"/>
                <w:sz w:val="24"/>
                <w:szCs w:val="24"/>
              </w:rPr>
            </w:pPr>
            <w:r>
              <w:rPr>
                <w:rFonts w:hint="eastAsia" w:ascii="宋体" w:hAnsi="宋体" w:eastAsia="宋体"/>
              </w:rPr>
              <w:t>240011</w:t>
            </w:r>
          </w:p>
        </w:tc>
        <w:tc>
          <w:tcPr>
            <w:tcW w:w="0" w:type="auto"/>
            <w:shd w:val="clear" w:color="auto" w:fill="auto"/>
          </w:tcPr>
          <w:p w14:paraId="506031AF">
            <w:pPr>
              <w:jc w:val="center"/>
              <w:rPr>
                <w:rFonts w:ascii="宋体" w:hAnsi="宋体" w:eastAsia="宋体" w:cs="宋体"/>
                <w:sz w:val="24"/>
                <w:szCs w:val="24"/>
              </w:rPr>
            </w:pPr>
            <w:r>
              <w:rPr>
                <w:rFonts w:hint="eastAsia" w:ascii="宋体" w:hAnsi="宋体" w:eastAsia="宋体"/>
              </w:rPr>
              <w:t>24附息国债11</w:t>
            </w:r>
          </w:p>
        </w:tc>
        <w:tc>
          <w:tcPr>
            <w:tcW w:w="0" w:type="auto"/>
            <w:shd w:val="clear" w:color="auto" w:fill="auto"/>
          </w:tcPr>
          <w:p w14:paraId="320304F9">
            <w:pPr>
              <w:jc w:val="right"/>
              <w:rPr>
                <w:rFonts w:ascii="宋体" w:hAnsi="宋体" w:eastAsia="宋体" w:cs="宋体"/>
                <w:sz w:val="24"/>
                <w:szCs w:val="24"/>
              </w:rPr>
            </w:pPr>
            <w:r>
              <w:rPr>
                <w:rFonts w:hint="eastAsia" w:ascii="宋体" w:hAnsi="宋体" w:eastAsia="宋体"/>
              </w:rPr>
              <w:t>100,000</w:t>
            </w:r>
          </w:p>
        </w:tc>
        <w:tc>
          <w:tcPr>
            <w:tcW w:w="0" w:type="auto"/>
            <w:shd w:val="clear" w:color="auto" w:fill="auto"/>
          </w:tcPr>
          <w:p w14:paraId="746A6FCF">
            <w:pPr>
              <w:jc w:val="right"/>
              <w:rPr>
                <w:rFonts w:ascii="宋体" w:hAnsi="宋体" w:eastAsia="宋体" w:cs="宋体"/>
                <w:sz w:val="24"/>
                <w:szCs w:val="24"/>
              </w:rPr>
            </w:pPr>
            <w:r>
              <w:rPr>
                <w:rFonts w:hint="eastAsia" w:ascii="宋体" w:hAnsi="宋体" w:eastAsia="宋体"/>
              </w:rPr>
              <w:t>10,500,823.37</w:t>
            </w:r>
          </w:p>
        </w:tc>
        <w:tc>
          <w:tcPr>
            <w:tcW w:w="0" w:type="auto"/>
            <w:shd w:val="clear" w:color="auto" w:fill="auto"/>
          </w:tcPr>
          <w:p w14:paraId="1F688CDA">
            <w:pPr>
              <w:jc w:val="right"/>
              <w:rPr>
                <w:rFonts w:ascii="宋体" w:hAnsi="宋体" w:eastAsia="宋体" w:cs="宋体"/>
                <w:sz w:val="24"/>
                <w:szCs w:val="24"/>
              </w:rPr>
            </w:pPr>
            <w:r>
              <w:rPr>
                <w:rFonts w:hint="eastAsia" w:ascii="宋体" w:hAnsi="宋体" w:eastAsia="宋体"/>
              </w:rPr>
              <w:t>20.43</w:t>
            </w:r>
          </w:p>
        </w:tc>
      </w:tr>
      <w:tr w14:paraId="1CFB0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E6C312">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61115411">
            <w:pPr>
              <w:jc w:val="center"/>
              <w:rPr>
                <w:rFonts w:ascii="宋体" w:hAnsi="宋体" w:eastAsia="宋体" w:cs="宋体"/>
                <w:sz w:val="24"/>
                <w:szCs w:val="24"/>
              </w:rPr>
            </w:pPr>
            <w:r>
              <w:rPr>
                <w:rFonts w:hint="eastAsia" w:ascii="宋体" w:hAnsi="宋体" w:eastAsia="宋体"/>
              </w:rPr>
              <w:t>019739</w:t>
            </w:r>
          </w:p>
        </w:tc>
        <w:tc>
          <w:tcPr>
            <w:tcW w:w="0" w:type="auto"/>
            <w:shd w:val="clear" w:color="auto" w:fill="auto"/>
          </w:tcPr>
          <w:p w14:paraId="611A073B">
            <w:pPr>
              <w:jc w:val="center"/>
              <w:rPr>
                <w:rFonts w:ascii="宋体" w:hAnsi="宋体" w:eastAsia="宋体" w:cs="宋体"/>
                <w:sz w:val="24"/>
                <w:szCs w:val="24"/>
              </w:rPr>
            </w:pPr>
            <w:r>
              <w:rPr>
                <w:rFonts w:hint="eastAsia" w:ascii="宋体" w:hAnsi="宋体" w:eastAsia="宋体"/>
              </w:rPr>
              <w:t>24国债08</w:t>
            </w:r>
          </w:p>
        </w:tc>
        <w:tc>
          <w:tcPr>
            <w:tcW w:w="0" w:type="auto"/>
            <w:shd w:val="clear" w:color="auto" w:fill="auto"/>
          </w:tcPr>
          <w:p w14:paraId="3EC26B57">
            <w:pPr>
              <w:jc w:val="right"/>
              <w:rPr>
                <w:rFonts w:ascii="宋体" w:hAnsi="宋体" w:eastAsia="宋体" w:cs="宋体"/>
                <w:sz w:val="24"/>
                <w:szCs w:val="24"/>
              </w:rPr>
            </w:pPr>
            <w:r>
              <w:rPr>
                <w:rFonts w:hint="eastAsia" w:ascii="宋体" w:hAnsi="宋体" w:eastAsia="宋体"/>
              </w:rPr>
              <w:t>40,000</w:t>
            </w:r>
          </w:p>
        </w:tc>
        <w:tc>
          <w:tcPr>
            <w:tcW w:w="0" w:type="auto"/>
            <w:shd w:val="clear" w:color="auto" w:fill="auto"/>
          </w:tcPr>
          <w:p w14:paraId="706E437F">
            <w:pPr>
              <w:jc w:val="right"/>
              <w:rPr>
                <w:rFonts w:ascii="宋体" w:hAnsi="宋体" w:eastAsia="宋体" w:cs="宋体"/>
                <w:sz w:val="24"/>
                <w:szCs w:val="24"/>
              </w:rPr>
            </w:pPr>
            <w:r>
              <w:rPr>
                <w:rFonts w:hint="eastAsia" w:ascii="宋体" w:hAnsi="宋体" w:eastAsia="宋体"/>
              </w:rPr>
              <w:t>4,099,298.63</w:t>
            </w:r>
          </w:p>
        </w:tc>
        <w:tc>
          <w:tcPr>
            <w:tcW w:w="0" w:type="auto"/>
            <w:shd w:val="clear" w:color="auto" w:fill="auto"/>
          </w:tcPr>
          <w:p w14:paraId="3809B537">
            <w:pPr>
              <w:jc w:val="right"/>
              <w:rPr>
                <w:rFonts w:ascii="宋体" w:hAnsi="宋体" w:eastAsia="宋体" w:cs="宋体"/>
                <w:sz w:val="24"/>
                <w:szCs w:val="24"/>
              </w:rPr>
            </w:pPr>
            <w:r>
              <w:rPr>
                <w:rFonts w:hint="eastAsia" w:ascii="宋体" w:hAnsi="宋体" w:eastAsia="宋体"/>
              </w:rPr>
              <w:t>7.98</w:t>
            </w:r>
          </w:p>
        </w:tc>
      </w:tr>
      <w:tr w14:paraId="5D7B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5E3C34">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7F2D2415">
            <w:pPr>
              <w:jc w:val="center"/>
              <w:rPr>
                <w:rFonts w:ascii="宋体" w:hAnsi="宋体" w:eastAsia="宋体" w:cs="宋体"/>
                <w:sz w:val="24"/>
                <w:szCs w:val="24"/>
              </w:rPr>
            </w:pPr>
            <w:r>
              <w:rPr>
                <w:rFonts w:hint="eastAsia" w:ascii="宋体" w:hAnsi="宋体" w:eastAsia="宋体"/>
              </w:rPr>
              <w:t>138998</w:t>
            </w:r>
          </w:p>
        </w:tc>
        <w:tc>
          <w:tcPr>
            <w:tcW w:w="0" w:type="auto"/>
            <w:shd w:val="clear" w:color="auto" w:fill="auto"/>
          </w:tcPr>
          <w:p w14:paraId="7A3A7374">
            <w:pPr>
              <w:jc w:val="center"/>
              <w:rPr>
                <w:rFonts w:ascii="宋体" w:hAnsi="宋体" w:eastAsia="宋体" w:cs="宋体"/>
                <w:sz w:val="24"/>
                <w:szCs w:val="24"/>
              </w:rPr>
            </w:pPr>
            <w:r>
              <w:rPr>
                <w:rFonts w:hint="eastAsia" w:ascii="宋体" w:hAnsi="宋体" w:eastAsia="宋体"/>
              </w:rPr>
              <w:t>23沪国01</w:t>
            </w:r>
          </w:p>
        </w:tc>
        <w:tc>
          <w:tcPr>
            <w:tcW w:w="0" w:type="auto"/>
            <w:shd w:val="clear" w:color="auto" w:fill="auto"/>
          </w:tcPr>
          <w:p w14:paraId="3C7A8BA0">
            <w:pPr>
              <w:jc w:val="right"/>
              <w:rPr>
                <w:rFonts w:ascii="宋体" w:hAnsi="宋体" w:eastAsia="宋体" w:cs="宋体"/>
                <w:sz w:val="24"/>
                <w:szCs w:val="24"/>
              </w:rPr>
            </w:pPr>
            <w:r>
              <w:rPr>
                <w:rFonts w:hint="eastAsia" w:ascii="宋体" w:hAnsi="宋体" w:eastAsia="宋体"/>
              </w:rPr>
              <w:t>40,000</w:t>
            </w:r>
          </w:p>
        </w:tc>
        <w:tc>
          <w:tcPr>
            <w:tcW w:w="0" w:type="auto"/>
            <w:shd w:val="clear" w:color="auto" w:fill="auto"/>
          </w:tcPr>
          <w:p w14:paraId="0B9D9097">
            <w:pPr>
              <w:jc w:val="right"/>
              <w:rPr>
                <w:rFonts w:ascii="宋体" w:hAnsi="宋体" w:eastAsia="宋体" w:cs="宋体"/>
                <w:sz w:val="24"/>
                <w:szCs w:val="24"/>
              </w:rPr>
            </w:pPr>
            <w:r>
              <w:rPr>
                <w:rFonts w:hint="eastAsia" w:ascii="宋体" w:hAnsi="宋体" w:eastAsia="宋体"/>
              </w:rPr>
              <w:t>4,067,583.12</w:t>
            </w:r>
          </w:p>
        </w:tc>
        <w:tc>
          <w:tcPr>
            <w:tcW w:w="0" w:type="auto"/>
            <w:shd w:val="clear" w:color="auto" w:fill="auto"/>
          </w:tcPr>
          <w:p w14:paraId="64A1A9AF">
            <w:pPr>
              <w:jc w:val="right"/>
              <w:rPr>
                <w:rFonts w:ascii="宋体" w:hAnsi="宋体" w:eastAsia="宋体" w:cs="宋体"/>
                <w:sz w:val="24"/>
                <w:szCs w:val="24"/>
              </w:rPr>
            </w:pPr>
            <w:r>
              <w:rPr>
                <w:rFonts w:hint="eastAsia" w:ascii="宋体" w:hAnsi="宋体" w:eastAsia="宋体"/>
              </w:rPr>
              <w:t>7.91</w:t>
            </w:r>
          </w:p>
        </w:tc>
      </w:tr>
      <w:tr w14:paraId="188F0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B02359">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08F570BF">
            <w:pPr>
              <w:jc w:val="center"/>
              <w:rPr>
                <w:rFonts w:ascii="宋体" w:hAnsi="宋体" w:eastAsia="宋体" w:cs="宋体"/>
                <w:sz w:val="24"/>
                <w:szCs w:val="24"/>
              </w:rPr>
            </w:pPr>
            <w:r>
              <w:rPr>
                <w:rFonts w:hint="eastAsia" w:ascii="宋体" w:hAnsi="宋体" w:eastAsia="宋体"/>
              </w:rPr>
              <w:t>137868</w:t>
            </w:r>
          </w:p>
        </w:tc>
        <w:tc>
          <w:tcPr>
            <w:tcW w:w="0" w:type="auto"/>
            <w:shd w:val="clear" w:color="auto" w:fill="auto"/>
          </w:tcPr>
          <w:p w14:paraId="68FC9E0C">
            <w:pPr>
              <w:jc w:val="center"/>
              <w:rPr>
                <w:rFonts w:ascii="宋体" w:hAnsi="宋体" w:eastAsia="宋体" w:cs="宋体"/>
                <w:sz w:val="24"/>
                <w:szCs w:val="24"/>
              </w:rPr>
            </w:pPr>
            <w:r>
              <w:rPr>
                <w:rFonts w:hint="eastAsia" w:ascii="宋体" w:hAnsi="宋体" w:eastAsia="宋体"/>
              </w:rPr>
              <w:t>23华电01</w:t>
            </w:r>
          </w:p>
        </w:tc>
        <w:tc>
          <w:tcPr>
            <w:tcW w:w="0" w:type="auto"/>
            <w:shd w:val="clear" w:color="auto" w:fill="auto"/>
          </w:tcPr>
          <w:p w14:paraId="188EED46">
            <w:pPr>
              <w:jc w:val="right"/>
              <w:rPr>
                <w:rFonts w:ascii="宋体" w:hAnsi="宋体" w:eastAsia="宋体" w:cs="宋体"/>
                <w:sz w:val="24"/>
                <w:szCs w:val="24"/>
              </w:rPr>
            </w:pPr>
            <w:r>
              <w:rPr>
                <w:rFonts w:hint="eastAsia" w:ascii="宋体" w:hAnsi="宋体" w:eastAsia="宋体"/>
              </w:rPr>
              <w:t>40,000</w:t>
            </w:r>
          </w:p>
        </w:tc>
        <w:tc>
          <w:tcPr>
            <w:tcW w:w="0" w:type="auto"/>
            <w:shd w:val="clear" w:color="auto" w:fill="auto"/>
          </w:tcPr>
          <w:p w14:paraId="1054D25B">
            <w:pPr>
              <w:jc w:val="right"/>
              <w:rPr>
                <w:rFonts w:ascii="宋体" w:hAnsi="宋体" w:eastAsia="宋体" w:cs="宋体"/>
                <w:sz w:val="24"/>
                <w:szCs w:val="24"/>
              </w:rPr>
            </w:pPr>
            <w:r>
              <w:rPr>
                <w:rFonts w:hint="eastAsia" w:ascii="宋体" w:hAnsi="宋体" w:eastAsia="宋体"/>
              </w:rPr>
              <w:t>4,064,830.03</w:t>
            </w:r>
          </w:p>
        </w:tc>
        <w:tc>
          <w:tcPr>
            <w:tcW w:w="0" w:type="auto"/>
            <w:shd w:val="clear" w:color="auto" w:fill="auto"/>
          </w:tcPr>
          <w:p w14:paraId="3643B274">
            <w:pPr>
              <w:jc w:val="right"/>
              <w:rPr>
                <w:rFonts w:ascii="宋体" w:hAnsi="宋体" w:eastAsia="宋体" w:cs="宋体"/>
                <w:sz w:val="24"/>
                <w:szCs w:val="24"/>
              </w:rPr>
            </w:pPr>
            <w:r>
              <w:rPr>
                <w:rFonts w:hint="eastAsia" w:ascii="宋体" w:hAnsi="宋体" w:eastAsia="宋体"/>
              </w:rPr>
              <w:t>7.91</w:t>
            </w:r>
          </w:p>
        </w:tc>
      </w:tr>
      <w:tr w14:paraId="63DFA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BC76F4">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14E2F4EE">
            <w:pPr>
              <w:jc w:val="center"/>
              <w:rPr>
                <w:rFonts w:ascii="宋体" w:hAnsi="宋体" w:eastAsia="宋体" w:cs="宋体"/>
                <w:sz w:val="24"/>
                <w:szCs w:val="24"/>
              </w:rPr>
            </w:pPr>
            <w:r>
              <w:rPr>
                <w:rFonts w:hint="eastAsia" w:ascii="宋体" w:hAnsi="宋体" w:eastAsia="宋体"/>
              </w:rPr>
              <w:t>240215</w:t>
            </w:r>
          </w:p>
        </w:tc>
        <w:tc>
          <w:tcPr>
            <w:tcW w:w="0" w:type="auto"/>
            <w:shd w:val="clear" w:color="auto" w:fill="auto"/>
          </w:tcPr>
          <w:p w14:paraId="5F5F6CBB">
            <w:pPr>
              <w:jc w:val="center"/>
              <w:rPr>
                <w:rFonts w:ascii="宋体" w:hAnsi="宋体" w:eastAsia="宋体" w:cs="宋体"/>
                <w:sz w:val="24"/>
                <w:szCs w:val="24"/>
              </w:rPr>
            </w:pPr>
            <w:r>
              <w:rPr>
                <w:rFonts w:hint="eastAsia" w:ascii="宋体" w:hAnsi="宋体" w:eastAsia="宋体"/>
              </w:rPr>
              <w:t>24国开15</w:t>
            </w:r>
          </w:p>
        </w:tc>
        <w:tc>
          <w:tcPr>
            <w:tcW w:w="0" w:type="auto"/>
            <w:shd w:val="clear" w:color="auto" w:fill="auto"/>
          </w:tcPr>
          <w:p w14:paraId="04BACD48">
            <w:pPr>
              <w:jc w:val="right"/>
              <w:rPr>
                <w:rFonts w:ascii="宋体" w:hAnsi="宋体" w:eastAsia="宋体" w:cs="宋体"/>
                <w:sz w:val="24"/>
                <w:szCs w:val="24"/>
              </w:rPr>
            </w:pPr>
            <w:r>
              <w:rPr>
                <w:rFonts w:hint="eastAsia" w:ascii="宋体" w:hAnsi="宋体" w:eastAsia="宋体"/>
              </w:rPr>
              <w:t>30,000</w:t>
            </w:r>
          </w:p>
        </w:tc>
        <w:tc>
          <w:tcPr>
            <w:tcW w:w="0" w:type="auto"/>
            <w:shd w:val="clear" w:color="auto" w:fill="auto"/>
          </w:tcPr>
          <w:p w14:paraId="6CCF0880">
            <w:pPr>
              <w:jc w:val="right"/>
              <w:rPr>
                <w:rFonts w:ascii="宋体" w:hAnsi="宋体" w:eastAsia="宋体" w:cs="宋体"/>
                <w:sz w:val="24"/>
                <w:szCs w:val="24"/>
              </w:rPr>
            </w:pPr>
            <w:r>
              <w:rPr>
                <w:rFonts w:hint="eastAsia" w:ascii="宋体" w:hAnsi="宋体" w:eastAsia="宋体"/>
              </w:rPr>
              <w:t>3,187,156.44</w:t>
            </w:r>
          </w:p>
        </w:tc>
        <w:tc>
          <w:tcPr>
            <w:tcW w:w="0" w:type="auto"/>
            <w:shd w:val="clear" w:color="auto" w:fill="auto"/>
          </w:tcPr>
          <w:p w14:paraId="416ED869">
            <w:pPr>
              <w:jc w:val="right"/>
              <w:rPr>
                <w:rFonts w:ascii="宋体" w:hAnsi="宋体" w:eastAsia="宋体" w:cs="宋体"/>
                <w:sz w:val="24"/>
                <w:szCs w:val="24"/>
              </w:rPr>
            </w:pPr>
            <w:r>
              <w:rPr>
                <w:rFonts w:hint="eastAsia" w:ascii="宋体" w:hAnsi="宋体" w:eastAsia="宋体"/>
              </w:rPr>
              <w:t>6.20</w:t>
            </w:r>
          </w:p>
        </w:tc>
      </w:tr>
    </w:tbl>
    <w:p w14:paraId="068E60AA">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5D132161">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290D5E03">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1C29D88D">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140C6C2A">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47BDA778">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419D0F41">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5305C4C9">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10490F55">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5B6BD8A2">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7FEA96D3">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63DD549C">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2D914726">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75CA43AE">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03B89E5A">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4D4A3405">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20BFB4DB">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7882229B">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0AC4AED0">
      <w:pPr>
        <w:pStyle w:val="7"/>
        <w:spacing w:before="0" w:beforeAutospacing="0" w:after="0" w:afterAutospacing="0" w:line="360" w:lineRule="auto"/>
        <w:ind w:firstLine="420"/>
        <w:rPr>
          <w:sz w:val="21"/>
          <w:szCs w:val="21"/>
        </w:rPr>
      </w:pPr>
      <w:r>
        <w:rPr>
          <w:rFonts w:hint="eastAsia"/>
          <w:sz w:val="21"/>
          <w:szCs w:val="21"/>
        </w:rPr>
        <w:t>本基金投资的前十名证券的发行主体中，国家开发银行在报告编制前一年受到中国人民银行湖北省分行、北京金融监管局、吉林金融监管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7E69A08F">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2FEDCABB">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1607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87E2CF">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C410DC3">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2D8649F1">
            <w:pPr>
              <w:jc w:val="center"/>
              <w:rPr>
                <w:rFonts w:ascii="宋体" w:hAnsi="宋体" w:eastAsia="宋体" w:cs="宋体"/>
                <w:sz w:val="24"/>
                <w:szCs w:val="24"/>
              </w:rPr>
            </w:pPr>
            <w:r>
              <w:rPr>
                <w:rFonts w:hint="eastAsia" w:ascii="宋体" w:hAnsi="宋体" w:eastAsia="宋体"/>
              </w:rPr>
              <w:t>金额(元)</w:t>
            </w:r>
          </w:p>
        </w:tc>
      </w:tr>
      <w:tr w14:paraId="13493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C553EB">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43B89C20">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4633905E">
            <w:pPr>
              <w:jc w:val="right"/>
              <w:rPr>
                <w:rFonts w:ascii="宋体" w:hAnsi="宋体" w:eastAsia="宋体" w:cs="宋体"/>
                <w:sz w:val="24"/>
                <w:szCs w:val="24"/>
              </w:rPr>
            </w:pPr>
            <w:r>
              <w:rPr>
                <w:rFonts w:hint="eastAsia" w:ascii="宋体" w:hAnsi="宋体" w:eastAsia="宋体"/>
              </w:rPr>
              <w:t>31,263.44</w:t>
            </w:r>
          </w:p>
        </w:tc>
      </w:tr>
      <w:tr w14:paraId="173C0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B37644">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B38D14E">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3A4C1B77">
            <w:pPr>
              <w:jc w:val="right"/>
              <w:rPr>
                <w:rFonts w:ascii="宋体" w:hAnsi="宋体" w:eastAsia="宋体" w:cs="宋体"/>
                <w:sz w:val="24"/>
                <w:szCs w:val="24"/>
              </w:rPr>
            </w:pPr>
            <w:r>
              <w:rPr>
                <w:rFonts w:hint="eastAsia" w:ascii="宋体" w:hAnsi="宋体" w:eastAsia="宋体"/>
              </w:rPr>
              <w:t>151,192.67</w:t>
            </w:r>
          </w:p>
        </w:tc>
      </w:tr>
      <w:tr w14:paraId="6FB3F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46AAC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5EE110EB">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5BA07A0D">
            <w:pPr>
              <w:jc w:val="right"/>
              <w:rPr>
                <w:rFonts w:ascii="宋体" w:hAnsi="宋体" w:eastAsia="宋体" w:cs="宋体"/>
                <w:sz w:val="24"/>
                <w:szCs w:val="24"/>
              </w:rPr>
            </w:pPr>
            <w:r>
              <w:rPr>
                <w:rFonts w:hint="eastAsia" w:ascii="宋体" w:hAnsi="宋体" w:eastAsia="宋体"/>
              </w:rPr>
              <w:t>19,416.46</w:t>
            </w:r>
          </w:p>
        </w:tc>
      </w:tr>
      <w:tr w14:paraId="0B74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31FCFC">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D0AA799">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1D42A992">
            <w:pPr>
              <w:jc w:val="right"/>
              <w:rPr>
                <w:rFonts w:ascii="宋体" w:hAnsi="宋体" w:eastAsia="宋体" w:cs="宋体"/>
                <w:sz w:val="24"/>
                <w:szCs w:val="24"/>
              </w:rPr>
            </w:pPr>
            <w:r>
              <w:rPr>
                <w:rFonts w:hint="eastAsia" w:ascii="宋体" w:hAnsi="宋体" w:eastAsia="宋体"/>
              </w:rPr>
              <w:t>-</w:t>
            </w:r>
          </w:p>
        </w:tc>
      </w:tr>
      <w:tr w14:paraId="3D112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5AB242">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6D1F62A8">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6B92686A">
            <w:pPr>
              <w:jc w:val="right"/>
              <w:rPr>
                <w:rFonts w:ascii="宋体" w:hAnsi="宋体" w:eastAsia="宋体" w:cs="宋体"/>
                <w:sz w:val="24"/>
                <w:szCs w:val="24"/>
              </w:rPr>
            </w:pPr>
            <w:r>
              <w:rPr>
                <w:rFonts w:hint="eastAsia" w:ascii="宋体" w:hAnsi="宋体" w:eastAsia="宋体"/>
              </w:rPr>
              <w:t>-</w:t>
            </w:r>
          </w:p>
        </w:tc>
      </w:tr>
      <w:tr w14:paraId="5BF9A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E031FF">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A3A1A68">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21A43FE6">
            <w:pPr>
              <w:jc w:val="right"/>
              <w:rPr>
                <w:rFonts w:ascii="宋体" w:hAnsi="宋体" w:eastAsia="宋体" w:cs="宋体"/>
                <w:sz w:val="24"/>
                <w:szCs w:val="24"/>
              </w:rPr>
            </w:pPr>
            <w:r>
              <w:rPr>
                <w:rFonts w:hint="eastAsia" w:ascii="宋体" w:hAnsi="宋体" w:eastAsia="宋体"/>
              </w:rPr>
              <w:t>-</w:t>
            </w:r>
          </w:p>
        </w:tc>
      </w:tr>
      <w:tr w14:paraId="6BDCD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A93AB7">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6492A67D">
            <w:pPr>
              <w:rPr>
                <w:rFonts w:ascii="宋体" w:hAnsi="宋体" w:eastAsia="宋体" w:cs="宋体"/>
                <w:sz w:val="24"/>
                <w:szCs w:val="24"/>
              </w:rPr>
            </w:pPr>
            <w:r>
              <w:rPr>
                <w:rFonts w:hint="eastAsia" w:ascii="宋体" w:hAnsi="宋体" w:eastAsia="宋体"/>
              </w:rPr>
              <w:t>待摊费用</w:t>
            </w:r>
          </w:p>
        </w:tc>
        <w:tc>
          <w:tcPr>
            <w:tcW w:w="0" w:type="auto"/>
            <w:shd w:val="clear" w:color="auto" w:fill="auto"/>
          </w:tcPr>
          <w:p w14:paraId="3C04C3A1">
            <w:pPr>
              <w:jc w:val="right"/>
              <w:rPr>
                <w:rFonts w:ascii="宋体" w:hAnsi="宋体" w:eastAsia="宋体" w:cs="宋体"/>
                <w:sz w:val="24"/>
                <w:szCs w:val="24"/>
              </w:rPr>
            </w:pPr>
            <w:r>
              <w:rPr>
                <w:rFonts w:hint="eastAsia" w:ascii="宋体" w:hAnsi="宋体" w:eastAsia="宋体"/>
              </w:rPr>
              <w:t>-</w:t>
            </w:r>
          </w:p>
        </w:tc>
      </w:tr>
      <w:tr w14:paraId="2F5DF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18696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5F52568">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71AD40A7">
            <w:pPr>
              <w:jc w:val="right"/>
              <w:rPr>
                <w:rFonts w:ascii="宋体" w:hAnsi="宋体" w:eastAsia="宋体" w:cs="宋体"/>
                <w:sz w:val="24"/>
                <w:szCs w:val="24"/>
              </w:rPr>
            </w:pPr>
            <w:r>
              <w:rPr>
                <w:rFonts w:hint="eastAsia" w:ascii="宋体" w:hAnsi="宋体" w:eastAsia="宋体"/>
              </w:rPr>
              <w:t>-</w:t>
            </w:r>
          </w:p>
        </w:tc>
      </w:tr>
      <w:tr w14:paraId="30F70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D8A9EF">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50F346C6">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DDA6696">
            <w:pPr>
              <w:jc w:val="right"/>
              <w:rPr>
                <w:rFonts w:ascii="宋体" w:hAnsi="宋体" w:eastAsia="宋体" w:cs="宋体"/>
                <w:sz w:val="24"/>
                <w:szCs w:val="24"/>
              </w:rPr>
            </w:pPr>
            <w:r>
              <w:rPr>
                <w:rFonts w:hint="eastAsia" w:ascii="宋体" w:hAnsi="宋体" w:eastAsia="宋体"/>
              </w:rPr>
              <w:t>201,872.57</w:t>
            </w:r>
          </w:p>
        </w:tc>
      </w:tr>
    </w:tbl>
    <w:p w14:paraId="66C3D250">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353"/>
        <w:gridCol w:w="1353"/>
        <w:gridCol w:w="1892"/>
        <w:gridCol w:w="3103"/>
      </w:tblGrid>
      <w:tr w14:paraId="38E3D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62BD2D8">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0111D39A">
            <w:pPr>
              <w:jc w:val="center"/>
              <w:rPr>
                <w:rFonts w:ascii="宋体" w:hAnsi="宋体" w:eastAsia="宋体" w:cs="宋体"/>
                <w:sz w:val="24"/>
                <w:szCs w:val="24"/>
              </w:rPr>
            </w:pPr>
            <w:r>
              <w:rPr>
                <w:rFonts w:hint="eastAsia" w:ascii="宋体" w:hAnsi="宋体" w:eastAsia="宋体"/>
              </w:rPr>
              <w:t>债券代码</w:t>
            </w:r>
          </w:p>
        </w:tc>
        <w:tc>
          <w:tcPr>
            <w:tcW w:w="0" w:type="auto"/>
            <w:shd w:val="clear" w:color="auto" w:fill="auto"/>
          </w:tcPr>
          <w:p w14:paraId="52AA7858">
            <w:pPr>
              <w:jc w:val="center"/>
              <w:rPr>
                <w:rFonts w:ascii="宋体" w:hAnsi="宋体" w:eastAsia="宋体" w:cs="宋体"/>
                <w:sz w:val="24"/>
                <w:szCs w:val="24"/>
              </w:rPr>
            </w:pPr>
            <w:r>
              <w:rPr>
                <w:rFonts w:hint="eastAsia" w:ascii="宋体" w:hAnsi="宋体" w:eastAsia="宋体"/>
              </w:rPr>
              <w:t>债券名称</w:t>
            </w:r>
          </w:p>
        </w:tc>
        <w:tc>
          <w:tcPr>
            <w:tcW w:w="0" w:type="auto"/>
            <w:shd w:val="clear" w:color="auto" w:fill="auto"/>
          </w:tcPr>
          <w:p w14:paraId="3BF3EAD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07886931">
            <w:pPr>
              <w:jc w:val="center"/>
              <w:rPr>
                <w:rFonts w:ascii="宋体" w:hAnsi="宋体" w:eastAsia="宋体" w:cs="宋体"/>
                <w:sz w:val="24"/>
                <w:szCs w:val="24"/>
              </w:rPr>
            </w:pPr>
            <w:r>
              <w:rPr>
                <w:rFonts w:hint="eastAsia" w:ascii="宋体" w:hAnsi="宋体" w:eastAsia="宋体"/>
              </w:rPr>
              <w:t>占基金资产净值比例(%)</w:t>
            </w:r>
          </w:p>
        </w:tc>
      </w:tr>
      <w:tr w14:paraId="4250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708720">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7DB31F47">
            <w:pPr>
              <w:jc w:val="center"/>
              <w:rPr>
                <w:rFonts w:ascii="宋体" w:hAnsi="宋体" w:eastAsia="宋体" w:cs="宋体"/>
                <w:sz w:val="24"/>
                <w:szCs w:val="24"/>
              </w:rPr>
            </w:pPr>
            <w:r>
              <w:rPr>
                <w:rFonts w:hint="eastAsia" w:ascii="宋体" w:hAnsi="宋体" w:eastAsia="宋体"/>
              </w:rPr>
              <w:t>113062</w:t>
            </w:r>
          </w:p>
        </w:tc>
        <w:tc>
          <w:tcPr>
            <w:tcW w:w="0" w:type="auto"/>
            <w:shd w:val="clear" w:color="auto" w:fill="auto"/>
          </w:tcPr>
          <w:p w14:paraId="6627DC4D">
            <w:pPr>
              <w:jc w:val="center"/>
              <w:rPr>
                <w:rFonts w:ascii="宋体" w:hAnsi="宋体" w:eastAsia="宋体" w:cs="宋体"/>
                <w:sz w:val="24"/>
                <w:szCs w:val="24"/>
              </w:rPr>
            </w:pPr>
            <w:r>
              <w:rPr>
                <w:rFonts w:hint="eastAsia" w:ascii="宋体" w:hAnsi="宋体" w:eastAsia="宋体"/>
              </w:rPr>
              <w:t>常银转债</w:t>
            </w:r>
          </w:p>
        </w:tc>
        <w:tc>
          <w:tcPr>
            <w:tcW w:w="0" w:type="auto"/>
            <w:shd w:val="clear" w:color="auto" w:fill="auto"/>
          </w:tcPr>
          <w:p w14:paraId="44D94761">
            <w:pPr>
              <w:jc w:val="right"/>
              <w:rPr>
                <w:rFonts w:ascii="宋体" w:hAnsi="宋体" w:eastAsia="宋体" w:cs="宋体"/>
                <w:sz w:val="24"/>
                <w:szCs w:val="24"/>
              </w:rPr>
            </w:pPr>
            <w:r>
              <w:rPr>
                <w:rFonts w:hint="eastAsia" w:ascii="宋体" w:hAnsi="宋体" w:eastAsia="宋体"/>
              </w:rPr>
              <w:t>385,750.19</w:t>
            </w:r>
          </w:p>
        </w:tc>
        <w:tc>
          <w:tcPr>
            <w:tcW w:w="0" w:type="auto"/>
            <w:shd w:val="clear" w:color="auto" w:fill="auto"/>
          </w:tcPr>
          <w:p w14:paraId="15041985">
            <w:pPr>
              <w:jc w:val="right"/>
              <w:rPr>
                <w:rFonts w:ascii="宋体" w:hAnsi="宋体" w:eastAsia="宋体" w:cs="宋体"/>
                <w:sz w:val="24"/>
                <w:szCs w:val="24"/>
              </w:rPr>
            </w:pPr>
            <w:r>
              <w:rPr>
                <w:rFonts w:hint="eastAsia" w:ascii="宋体" w:hAnsi="宋体" w:eastAsia="宋体"/>
              </w:rPr>
              <w:t>0.75</w:t>
            </w:r>
          </w:p>
        </w:tc>
      </w:tr>
      <w:tr w14:paraId="7F61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A9E8D11">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F62FF31">
            <w:pPr>
              <w:jc w:val="center"/>
              <w:rPr>
                <w:rFonts w:ascii="宋体" w:hAnsi="宋体" w:eastAsia="宋体" w:cs="宋体"/>
                <w:sz w:val="24"/>
                <w:szCs w:val="24"/>
              </w:rPr>
            </w:pPr>
            <w:r>
              <w:rPr>
                <w:rFonts w:hint="eastAsia" w:ascii="宋体" w:hAnsi="宋体" w:eastAsia="宋体"/>
              </w:rPr>
              <w:t>118013</w:t>
            </w:r>
          </w:p>
        </w:tc>
        <w:tc>
          <w:tcPr>
            <w:tcW w:w="0" w:type="auto"/>
            <w:shd w:val="clear" w:color="auto" w:fill="auto"/>
          </w:tcPr>
          <w:p w14:paraId="5447A70C">
            <w:pPr>
              <w:jc w:val="center"/>
              <w:rPr>
                <w:rFonts w:ascii="宋体" w:hAnsi="宋体" w:eastAsia="宋体" w:cs="宋体"/>
                <w:sz w:val="24"/>
                <w:szCs w:val="24"/>
              </w:rPr>
            </w:pPr>
            <w:r>
              <w:rPr>
                <w:rFonts w:hint="eastAsia" w:ascii="宋体" w:hAnsi="宋体" w:eastAsia="宋体"/>
              </w:rPr>
              <w:t>道通转债</w:t>
            </w:r>
          </w:p>
        </w:tc>
        <w:tc>
          <w:tcPr>
            <w:tcW w:w="0" w:type="auto"/>
            <w:shd w:val="clear" w:color="auto" w:fill="auto"/>
          </w:tcPr>
          <w:p w14:paraId="7B8E6625">
            <w:pPr>
              <w:jc w:val="right"/>
              <w:rPr>
                <w:rFonts w:ascii="宋体" w:hAnsi="宋体" w:eastAsia="宋体" w:cs="宋体"/>
                <w:sz w:val="24"/>
                <w:szCs w:val="24"/>
              </w:rPr>
            </w:pPr>
            <w:r>
              <w:rPr>
                <w:rFonts w:hint="eastAsia" w:ascii="宋体" w:hAnsi="宋体" w:eastAsia="宋体"/>
              </w:rPr>
              <w:t>285,749.32</w:t>
            </w:r>
          </w:p>
        </w:tc>
        <w:tc>
          <w:tcPr>
            <w:tcW w:w="0" w:type="auto"/>
            <w:shd w:val="clear" w:color="auto" w:fill="auto"/>
          </w:tcPr>
          <w:p w14:paraId="6FC2BA97">
            <w:pPr>
              <w:jc w:val="right"/>
              <w:rPr>
                <w:rFonts w:ascii="宋体" w:hAnsi="宋体" w:eastAsia="宋体" w:cs="宋体"/>
                <w:sz w:val="24"/>
                <w:szCs w:val="24"/>
              </w:rPr>
            </w:pPr>
            <w:r>
              <w:rPr>
                <w:rFonts w:hint="eastAsia" w:ascii="宋体" w:hAnsi="宋体" w:eastAsia="宋体"/>
              </w:rPr>
              <w:t>0.56</w:t>
            </w:r>
          </w:p>
        </w:tc>
      </w:tr>
      <w:tr w14:paraId="2F815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F93AB1">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2C2D9AF1">
            <w:pPr>
              <w:jc w:val="center"/>
              <w:rPr>
                <w:rFonts w:ascii="宋体" w:hAnsi="宋体" w:eastAsia="宋体" w:cs="宋体"/>
                <w:sz w:val="24"/>
                <w:szCs w:val="24"/>
              </w:rPr>
            </w:pPr>
            <w:r>
              <w:rPr>
                <w:rFonts w:hint="eastAsia" w:ascii="宋体" w:hAnsi="宋体" w:eastAsia="宋体"/>
              </w:rPr>
              <w:t>123222</w:t>
            </w:r>
          </w:p>
        </w:tc>
        <w:tc>
          <w:tcPr>
            <w:tcW w:w="0" w:type="auto"/>
            <w:shd w:val="clear" w:color="auto" w:fill="auto"/>
          </w:tcPr>
          <w:p w14:paraId="03F01222">
            <w:pPr>
              <w:jc w:val="center"/>
              <w:rPr>
                <w:rFonts w:ascii="宋体" w:hAnsi="宋体" w:eastAsia="宋体" w:cs="宋体"/>
                <w:sz w:val="24"/>
                <w:szCs w:val="24"/>
              </w:rPr>
            </w:pPr>
            <w:r>
              <w:rPr>
                <w:rFonts w:hint="eastAsia" w:ascii="宋体" w:hAnsi="宋体" w:eastAsia="宋体"/>
              </w:rPr>
              <w:t>博俊转债</w:t>
            </w:r>
          </w:p>
        </w:tc>
        <w:tc>
          <w:tcPr>
            <w:tcW w:w="0" w:type="auto"/>
            <w:shd w:val="clear" w:color="auto" w:fill="auto"/>
          </w:tcPr>
          <w:p w14:paraId="7561A713">
            <w:pPr>
              <w:jc w:val="right"/>
              <w:rPr>
                <w:rFonts w:ascii="宋体" w:hAnsi="宋体" w:eastAsia="宋体" w:cs="宋体"/>
                <w:sz w:val="24"/>
                <w:szCs w:val="24"/>
              </w:rPr>
            </w:pPr>
            <w:r>
              <w:rPr>
                <w:rFonts w:hint="eastAsia" w:ascii="宋体" w:hAnsi="宋体" w:eastAsia="宋体"/>
              </w:rPr>
              <w:t>282,804.20</w:t>
            </w:r>
          </w:p>
        </w:tc>
        <w:tc>
          <w:tcPr>
            <w:tcW w:w="0" w:type="auto"/>
            <w:shd w:val="clear" w:color="auto" w:fill="auto"/>
          </w:tcPr>
          <w:p w14:paraId="23736FF7">
            <w:pPr>
              <w:jc w:val="right"/>
              <w:rPr>
                <w:rFonts w:ascii="宋体" w:hAnsi="宋体" w:eastAsia="宋体" w:cs="宋体"/>
                <w:sz w:val="24"/>
                <w:szCs w:val="24"/>
              </w:rPr>
            </w:pPr>
            <w:r>
              <w:rPr>
                <w:rFonts w:hint="eastAsia" w:ascii="宋体" w:hAnsi="宋体" w:eastAsia="宋体"/>
              </w:rPr>
              <w:t>0.55</w:t>
            </w:r>
          </w:p>
        </w:tc>
      </w:tr>
      <w:tr w14:paraId="6B4BA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7EC688">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58ED9877">
            <w:pPr>
              <w:jc w:val="center"/>
              <w:rPr>
                <w:rFonts w:ascii="宋体" w:hAnsi="宋体" w:eastAsia="宋体" w:cs="宋体"/>
                <w:sz w:val="24"/>
                <w:szCs w:val="24"/>
              </w:rPr>
            </w:pPr>
            <w:r>
              <w:rPr>
                <w:rFonts w:hint="eastAsia" w:ascii="宋体" w:hAnsi="宋体" w:eastAsia="宋体"/>
              </w:rPr>
              <w:t>118030</w:t>
            </w:r>
          </w:p>
        </w:tc>
        <w:tc>
          <w:tcPr>
            <w:tcW w:w="0" w:type="auto"/>
            <w:shd w:val="clear" w:color="auto" w:fill="auto"/>
          </w:tcPr>
          <w:p w14:paraId="09DEBD6A">
            <w:pPr>
              <w:jc w:val="center"/>
              <w:rPr>
                <w:rFonts w:ascii="宋体" w:hAnsi="宋体" w:eastAsia="宋体" w:cs="宋体"/>
                <w:sz w:val="24"/>
                <w:szCs w:val="24"/>
              </w:rPr>
            </w:pPr>
            <w:r>
              <w:rPr>
                <w:rFonts w:hint="eastAsia" w:ascii="宋体" w:hAnsi="宋体" w:eastAsia="宋体"/>
              </w:rPr>
              <w:t>睿创转债</w:t>
            </w:r>
          </w:p>
        </w:tc>
        <w:tc>
          <w:tcPr>
            <w:tcW w:w="0" w:type="auto"/>
            <w:shd w:val="clear" w:color="auto" w:fill="auto"/>
          </w:tcPr>
          <w:p w14:paraId="762B0B0E">
            <w:pPr>
              <w:jc w:val="right"/>
              <w:rPr>
                <w:rFonts w:ascii="宋体" w:hAnsi="宋体" w:eastAsia="宋体" w:cs="宋体"/>
                <w:sz w:val="24"/>
                <w:szCs w:val="24"/>
              </w:rPr>
            </w:pPr>
            <w:r>
              <w:rPr>
                <w:rFonts w:hint="eastAsia" w:ascii="宋体" w:hAnsi="宋体" w:eastAsia="宋体"/>
              </w:rPr>
              <w:t>272,581.64</w:t>
            </w:r>
          </w:p>
        </w:tc>
        <w:tc>
          <w:tcPr>
            <w:tcW w:w="0" w:type="auto"/>
            <w:shd w:val="clear" w:color="auto" w:fill="auto"/>
          </w:tcPr>
          <w:p w14:paraId="51837C31">
            <w:pPr>
              <w:jc w:val="right"/>
              <w:rPr>
                <w:rFonts w:ascii="宋体" w:hAnsi="宋体" w:eastAsia="宋体" w:cs="宋体"/>
                <w:sz w:val="24"/>
                <w:szCs w:val="24"/>
              </w:rPr>
            </w:pPr>
            <w:r>
              <w:rPr>
                <w:rFonts w:hint="eastAsia" w:ascii="宋体" w:hAnsi="宋体" w:eastAsia="宋体"/>
              </w:rPr>
              <w:t>0.53</w:t>
            </w:r>
          </w:p>
        </w:tc>
      </w:tr>
      <w:tr w14:paraId="29980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3053B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2A1C2F7B">
            <w:pPr>
              <w:jc w:val="center"/>
              <w:rPr>
                <w:rFonts w:ascii="宋体" w:hAnsi="宋体" w:eastAsia="宋体" w:cs="宋体"/>
                <w:sz w:val="24"/>
                <w:szCs w:val="24"/>
              </w:rPr>
            </w:pPr>
            <w:r>
              <w:rPr>
                <w:rFonts w:hint="eastAsia" w:ascii="宋体" w:hAnsi="宋体" w:eastAsia="宋体"/>
              </w:rPr>
              <w:t>113042</w:t>
            </w:r>
          </w:p>
        </w:tc>
        <w:tc>
          <w:tcPr>
            <w:tcW w:w="0" w:type="auto"/>
            <w:shd w:val="clear" w:color="auto" w:fill="auto"/>
          </w:tcPr>
          <w:p w14:paraId="26EB7C19">
            <w:pPr>
              <w:jc w:val="center"/>
              <w:rPr>
                <w:rFonts w:ascii="宋体" w:hAnsi="宋体" w:eastAsia="宋体" w:cs="宋体"/>
                <w:sz w:val="24"/>
                <w:szCs w:val="24"/>
              </w:rPr>
            </w:pPr>
            <w:r>
              <w:rPr>
                <w:rFonts w:hint="eastAsia" w:ascii="宋体" w:hAnsi="宋体" w:eastAsia="宋体"/>
              </w:rPr>
              <w:t>上银转债</w:t>
            </w:r>
          </w:p>
        </w:tc>
        <w:tc>
          <w:tcPr>
            <w:tcW w:w="0" w:type="auto"/>
            <w:shd w:val="clear" w:color="auto" w:fill="auto"/>
          </w:tcPr>
          <w:p w14:paraId="0C57E400">
            <w:pPr>
              <w:jc w:val="right"/>
              <w:rPr>
                <w:rFonts w:ascii="宋体" w:hAnsi="宋体" w:eastAsia="宋体" w:cs="宋体"/>
                <w:sz w:val="24"/>
                <w:szCs w:val="24"/>
              </w:rPr>
            </w:pPr>
            <w:r>
              <w:rPr>
                <w:rFonts w:hint="eastAsia" w:ascii="宋体" w:hAnsi="宋体" w:eastAsia="宋体"/>
              </w:rPr>
              <w:t>255,388.77</w:t>
            </w:r>
          </w:p>
        </w:tc>
        <w:tc>
          <w:tcPr>
            <w:tcW w:w="0" w:type="auto"/>
            <w:shd w:val="clear" w:color="auto" w:fill="auto"/>
          </w:tcPr>
          <w:p w14:paraId="2645FD5F">
            <w:pPr>
              <w:jc w:val="right"/>
              <w:rPr>
                <w:rFonts w:ascii="宋体" w:hAnsi="宋体" w:eastAsia="宋体" w:cs="宋体"/>
                <w:sz w:val="24"/>
                <w:szCs w:val="24"/>
              </w:rPr>
            </w:pPr>
            <w:r>
              <w:rPr>
                <w:rFonts w:hint="eastAsia" w:ascii="宋体" w:hAnsi="宋体" w:eastAsia="宋体"/>
              </w:rPr>
              <w:t>0.50</w:t>
            </w:r>
          </w:p>
        </w:tc>
      </w:tr>
    </w:tbl>
    <w:p w14:paraId="609D22F3">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22DBF870">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6C187524">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76E63807">
      <w:pPr>
        <w:pStyle w:val="7"/>
        <w:spacing w:before="0" w:beforeAutospacing="0" w:after="0" w:afterAutospacing="0" w:line="360" w:lineRule="auto"/>
        <w:ind w:firstLine="420"/>
        <w:rPr>
          <w:sz w:val="21"/>
          <w:szCs w:val="21"/>
        </w:rPr>
      </w:pPr>
      <w:bookmarkStart w:id="137" w:name="chapter_level1_11_60_section_6_end"/>
      <w:bookmarkEnd w:id="137"/>
      <w:r>
        <w:rPr>
          <w:rFonts w:hint="eastAsia"/>
          <w:sz w:val="21"/>
          <w:szCs w:val="21"/>
        </w:rPr>
        <w:t>由于四舍五入的原因，分项之和与合计项之间可能存在尾差。</w:t>
      </w:r>
      <w:bookmarkStart w:id="138" w:name="field_0_fundportfolio_1_end"/>
      <w:bookmarkEnd w:id="138"/>
      <w:r>
        <w:rPr>
          <w:rFonts w:hint="eastAsia"/>
          <w:sz w:val="21"/>
          <w:szCs w:val="21"/>
        </w:rPr>
        <w:t xml:space="preserve"> </w:t>
      </w:r>
    </w:p>
    <w:p w14:paraId="5D00BCDD">
      <w:pPr>
        <w:widowControl/>
        <w:jc w:val="left"/>
        <w:rPr>
          <w:rFonts w:ascii="宋体" w:hAnsi="宋体" w:eastAsia="宋体"/>
        </w:rPr>
      </w:pPr>
      <w:r>
        <w:rPr>
          <w:rFonts w:ascii="宋体" w:hAnsi="宋体" w:eastAsia="宋体"/>
        </w:rPr>
        <w:br w:type="page"/>
      </w:r>
    </w:p>
    <w:p w14:paraId="6447D4CD">
      <w:pPr>
        <w:pStyle w:val="2"/>
        <w:jc w:val="center"/>
        <w:rPr>
          <w:rFonts w:ascii="宋体" w:hAnsi="宋体" w:eastAsia="宋体"/>
          <w:sz w:val="30"/>
        </w:rPr>
      </w:pPr>
      <w:bookmarkStart w:id="139" w:name="_Toc209538276"/>
      <w:bookmarkStart w:id="140" w:name="chapter_level1_12_3500"/>
      <w:r>
        <w:rPr>
          <w:rFonts w:hint="eastAsia" w:ascii="宋体" w:hAnsi="宋体" w:eastAsia="宋体"/>
          <w:sz w:val="30"/>
        </w:rPr>
        <w:t>第九部分 基金的业绩</w:t>
      </w:r>
      <w:bookmarkEnd w:id="139"/>
      <w:bookmarkEnd w:id="140"/>
    </w:p>
    <w:p w14:paraId="7F5F299B">
      <w:pPr>
        <w:pStyle w:val="7"/>
        <w:spacing w:before="0" w:beforeAutospacing="0" w:after="0" w:afterAutospacing="0" w:line="360" w:lineRule="auto"/>
        <w:ind w:firstLine="420"/>
        <w:rPr>
          <w:sz w:val="21"/>
          <w:szCs w:val="21"/>
        </w:rPr>
      </w:pPr>
      <w:bookmarkStart w:id="141" w:name="chapter_level1_12_3500_section_1"/>
      <w:bookmarkEnd w:id="141"/>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5648CAF5">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34EA0E18">
      <w:pPr>
        <w:pStyle w:val="7"/>
        <w:spacing w:before="0" w:beforeAutospacing="0" w:after="0" w:afterAutospacing="0" w:line="360" w:lineRule="auto"/>
        <w:ind w:firstLine="420"/>
        <w:rPr>
          <w:sz w:val="21"/>
          <w:szCs w:val="21"/>
        </w:rPr>
      </w:pPr>
      <w:bookmarkStart w:id="142" w:name="field_0_indatatable_1_start"/>
      <w:bookmarkEnd w:id="142"/>
      <w:r>
        <w:rPr>
          <w:rFonts w:hint="eastAsia"/>
          <w:sz w:val="21"/>
          <w:szCs w:val="21"/>
        </w:rPr>
        <w:t xml:space="preserve">博时恒盈稳健一年持有期混合A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24F3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529705">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4C1947F3">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0EAF32B8">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69FC86CD">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367C50C0">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38D4A770">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4303C218">
            <w:pPr>
              <w:jc w:val="center"/>
              <w:rPr>
                <w:rFonts w:ascii="宋体" w:hAnsi="宋体" w:eastAsia="宋体" w:cs="宋体"/>
                <w:sz w:val="24"/>
                <w:szCs w:val="24"/>
              </w:rPr>
            </w:pPr>
            <w:r>
              <w:rPr>
                <w:rFonts w:hint="eastAsia" w:ascii="宋体" w:hAnsi="宋体" w:eastAsia="宋体"/>
              </w:rPr>
              <w:t xml:space="preserve">②-④ </w:t>
            </w:r>
          </w:p>
        </w:tc>
      </w:tr>
      <w:tr w14:paraId="26C3C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39DD3F">
            <w:pPr>
              <w:jc w:val="center"/>
              <w:rPr>
                <w:rFonts w:ascii="宋体" w:hAnsi="宋体" w:eastAsia="宋体" w:cs="宋体"/>
                <w:sz w:val="24"/>
                <w:szCs w:val="24"/>
              </w:rPr>
            </w:pPr>
            <w:r>
              <w:rPr>
                <w:rFonts w:hint="eastAsia" w:ascii="宋体" w:hAnsi="宋体" w:eastAsia="宋体"/>
              </w:rPr>
              <w:t xml:space="preserve">2021.10.11-2021.12.31 </w:t>
            </w:r>
          </w:p>
        </w:tc>
        <w:tc>
          <w:tcPr>
            <w:tcW w:w="0" w:type="auto"/>
            <w:shd w:val="clear" w:color="auto" w:fill="auto"/>
          </w:tcPr>
          <w:p w14:paraId="74F7F921">
            <w:pPr>
              <w:jc w:val="center"/>
              <w:rPr>
                <w:rFonts w:ascii="宋体" w:hAnsi="宋体" w:eastAsia="宋体" w:cs="宋体"/>
                <w:sz w:val="24"/>
                <w:szCs w:val="24"/>
              </w:rPr>
            </w:pPr>
            <w:r>
              <w:rPr>
                <w:rFonts w:hint="eastAsia" w:ascii="宋体" w:hAnsi="宋体" w:eastAsia="宋体"/>
              </w:rPr>
              <w:t xml:space="preserve">0.48% </w:t>
            </w:r>
          </w:p>
        </w:tc>
        <w:tc>
          <w:tcPr>
            <w:tcW w:w="0" w:type="auto"/>
            <w:shd w:val="clear" w:color="auto" w:fill="auto"/>
          </w:tcPr>
          <w:p w14:paraId="3FF897C9">
            <w:pPr>
              <w:jc w:val="center"/>
              <w:rPr>
                <w:rFonts w:ascii="宋体" w:hAnsi="宋体" w:eastAsia="宋体" w:cs="宋体"/>
                <w:sz w:val="24"/>
                <w:szCs w:val="24"/>
              </w:rPr>
            </w:pPr>
            <w:r>
              <w:rPr>
                <w:rFonts w:hint="eastAsia" w:ascii="宋体" w:hAnsi="宋体" w:eastAsia="宋体"/>
              </w:rPr>
              <w:t xml:space="preserve">0.10% </w:t>
            </w:r>
          </w:p>
        </w:tc>
        <w:tc>
          <w:tcPr>
            <w:tcW w:w="0" w:type="auto"/>
            <w:shd w:val="clear" w:color="auto" w:fill="auto"/>
          </w:tcPr>
          <w:p w14:paraId="664CC25B">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7966D391">
            <w:pPr>
              <w:jc w:val="center"/>
              <w:rPr>
                <w:rFonts w:ascii="宋体" w:hAnsi="宋体" w:eastAsia="宋体" w:cs="宋体"/>
                <w:sz w:val="24"/>
                <w:szCs w:val="24"/>
              </w:rPr>
            </w:pPr>
            <w:r>
              <w:rPr>
                <w:rFonts w:hint="eastAsia" w:ascii="宋体" w:hAnsi="宋体" w:eastAsia="宋体"/>
              </w:rPr>
              <w:t xml:space="preserve">0.11% </w:t>
            </w:r>
          </w:p>
        </w:tc>
        <w:tc>
          <w:tcPr>
            <w:tcW w:w="0" w:type="auto"/>
            <w:shd w:val="clear" w:color="auto" w:fill="auto"/>
          </w:tcPr>
          <w:p w14:paraId="3C7F3717">
            <w:pPr>
              <w:jc w:val="center"/>
              <w:rPr>
                <w:rFonts w:ascii="宋体" w:hAnsi="宋体" w:eastAsia="宋体" w:cs="宋体"/>
                <w:sz w:val="24"/>
                <w:szCs w:val="24"/>
              </w:rPr>
            </w:pPr>
            <w:r>
              <w:rPr>
                <w:rFonts w:hint="eastAsia" w:ascii="宋体" w:hAnsi="宋体" w:eastAsia="宋体"/>
              </w:rPr>
              <w:t xml:space="preserve">-0.21% </w:t>
            </w:r>
          </w:p>
        </w:tc>
        <w:tc>
          <w:tcPr>
            <w:tcW w:w="0" w:type="auto"/>
            <w:shd w:val="clear" w:color="auto" w:fill="auto"/>
          </w:tcPr>
          <w:p w14:paraId="215CC09D">
            <w:pPr>
              <w:jc w:val="center"/>
              <w:rPr>
                <w:rFonts w:ascii="宋体" w:hAnsi="宋体" w:eastAsia="宋体" w:cs="宋体"/>
                <w:sz w:val="24"/>
                <w:szCs w:val="24"/>
              </w:rPr>
            </w:pPr>
            <w:r>
              <w:rPr>
                <w:rFonts w:hint="eastAsia" w:ascii="宋体" w:hAnsi="宋体" w:eastAsia="宋体"/>
              </w:rPr>
              <w:t xml:space="preserve">-0.01% </w:t>
            </w:r>
          </w:p>
        </w:tc>
      </w:tr>
      <w:tr w14:paraId="23051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6F9819">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607B5EDE">
            <w:pPr>
              <w:jc w:val="center"/>
              <w:rPr>
                <w:rFonts w:ascii="宋体" w:hAnsi="宋体" w:eastAsia="宋体" w:cs="宋体"/>
                <w:sz w:val="24"/>
                <w:szCs w:val="24"/>
              </w:rPr>
            </w:pPr>
            <w:r>
              <w:rPr>
                <w:rFonts w:hint="eastAsia" w:ascii="宋体" w:hAnsi="宋体" w:eastAsia="宋体"/>
              </w:rPr>
              <w:t xml:space="preserve">-1.93% </w:t>
            </w:r>
          </w:p>
        </w:tc>
        <w:tc>
          <w:tcPr>
            <w:tcW w:w="0" w:type="auto"/>
            <w:shd w:val="clear" w:color="auto" w:fill="auto"/>
          </w:tcPr>
          <w:p w14:paraId="7CC12684">
            <w:pPr>
              <w:jc w:val="center"/>
              <w:rPr>
                <w:rFonts w:ascii="宋体" w:hAnsi="宋体" w:eastAsia="宋体" w:cs="宋体"/>
                <w:sz w:val="24"/>
                <w:szCs w:val="24"/>
              </w:rPr>
            </w:pPr>
            <w:r>
              <w:rPr>
                <w:rFonts w:hint="eastAsia" w:ascii="宋体" w:hAnsi="宋体" w:eastAsia="宋体"/>
              </w:rPr>
              <w:t xml:space="preserve">0.16% </w:t>
            </w:r>
          </w:p>
        </w:tc>
        <w:tc>
          <w:tcPr>
            <w:tcW w:w="0" w:type="auto"/>
            <w:shd w:val="clear" w:color="auto" w:fill="auto"/>
          </w:tcPr>
          <w:p w14:paraId="3DF212AF">
            <w:pPr>
              <w:jc w:val="center"/>
              <w:rPr>
                <w:rFonts w:ascii="宋体" w:hAnsi="宋体" w:eastAsia="宋体" w:cs="宋体"/>
                <w:sz w:val="24"/>
                <w:szCs w:val="24"/>
              </w:rPr>
            </w:pPr>
            <w:r>
              <w:rPr>
                <w:rFonts w:hint="eastAsia" w:ascii="宋体" w:hAnsi="宋体" w:eastAsia="宋体"/>
              </w:rPr>
              <w:t xml:space="preserve">-0.02% </w:t>
            </w:r>
          </w:p>
        </w:tc>
        <w:tc>
          <w:tcPr>
            <w:tcW w:w="0" w:type="auto"/>
            <w:shd w:val="clear" w:color="auto" w:fill="auto"/>
          </w:tcPr>
          <w:p w14:paraId="3947678B">
            <w:pPr>
              <w:jc w:val="center"/>
              <w:rPr>
                <w:rFonts w:ascii="宋体" w:hAnsi="宋体" w:eastAsia="宋体" w:cs="宋体"/>
                <w:sz w:val="24"/>
                <w:szCs w:val="24"/>
              </w:rPr>
            </w:pPr>
            <w:r>
              <w:rPr>
                <w:rFonts w:hint="eastAsia" w:ascii="宋体" w:hAnsi="宋体" w:eastAsia="宋体"/>
              </w:rPr>
              <w:t xml:space="preserve">0.20% </w:t>
            </w:r>
          </w:p>
        </w:tc>
        <w:tc>
          <w:tcPr>
            <w:tcW w:w="0" w:type="auto"/>
            <w:shd w:val="clear" w:color="auto" w:fill="auto"/>
          </w:tcPr>
          <w:p w14:paraId="4E600D7A">
            <w:pPr>
              <w:jc w:val="center"/>
              <w:rPr>
                <w:rFonts w:ascii="宋体" w:hAnsi="宋体" w:eastAsia="宋体" w:cs="宋体"/>
                <w:sz w:val="24"/>
                <w:szCs w:val="24"/>
              </w:rPr>
            </w:pPr>
            <w:r>
              <w:rPr>
                <w:rFonts w:hint="eastAsia" w:ascii="宋体" w:hAnsi="宋体" w:eastAsia="宋体"/>
              </w:rPr>
              <w:t xml:space="preserve">-1.91% </w:t>
            </w:r>
          </w:p>
        </w:tc>
        <w:tc>
          <w:tcPr>
            <w:tcW w:w="0" w:type="auto"/>
            <w:shd w:val="clear" w:color="auto" w:fill="auto"/>
          </w:tcPr>
          <w:p w14:paraId="1C3DF342">
            <w:pPr>
              <w:jc w:val="center"/>
              <w:rPr>
                <w:rFonts w:ascii="宋体" w:hAnsi="宋体" w:eastAsia="宋体" w:cs="宋体"/>
                <w:sz w:val="24"/>
                <w:szCs w:val="24"/>
              </w:rPr>
            </w:pPr>
            <w:r>
              <w:rPr>
                <w:rFonts w:hint="eastAsia" w:ascii="宋体" w:hAnsi="宋体" w:eastAsia="宋体"/>
              </w:rPr>
              <w:t xml:space="preserve">-0.04% </w:t>
            </w:r>
          </w:p>
        </w:tc>
      </w:tr>
      <w:tr w14:paraId="421F5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7A9F03">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10094A80">
            <w:pPr>
              <w:jc w:val="center"/>
              <w:rPr>
                <w:rFonts w:ascii="宋体" w:hAnsi="宋体" w:eastAsia="宋体" w:cs="宋体"/>
                <w:sz w:val="24"/>
                <w:szCs w:val="24"/>
              </w:rPr>
            </w:pPr>
            <w:r>
              <w:rPr>
                <w:rFonts w:hint="eastAsia" w:ascii="宋体" w:hAnsi="宋体" w:eastAsia="宋体"/>
              </w:rPr>
              <w:t xml:space="preserve">-0.25% </w:t>
            </w:r>
          </w:p>
        </w:tc>
        <w:tc>
          <w:tcPr>
            <w:tcW w:w="0" w:type="auto"/>
            <w:shd w:val="clear" w:color="auto" w:fill="auto"/>
          </w:tcPr>
          <w:p w14:paraId="50BF5DD1">
            <w:pPr>
              <w:jc w:val="center"/>
              <w:rPr>
                <w:rFonts w:ascii="宋体" w:hAnsi="宋体" w:eastAsia="宋体" w:cs="宋体"/>
                <w:sz w:val="24"/>
                <w:szCs w:val="24"/>
              </w:rPr>
            </w:pPr>
            <w:r>
              <w:rPr>
                <w:rFonts w:hint="eastAsia" w:ascii="宋体" w:hAnsi="宋体" w:eastAsia="宋体"/>
              </w:rPr>
              <w:t xml:space="preserve">0.19% </w:t>
            </w:r>
          </w:p>
        </w:tc>
        <w:tc>
          <w:tcPr>
            <w:tcW w:w="0" w:type="auto"/>
            <w:shd w:val="clear" w:color="auto" w:fill="auto"/>
          </w:tcPr>
          <w:p w14:paraId="7008A996">
            <w:pPr>
              <w:jc w:val="center"/>
              <w:rPr>
                <w:rFonts w:ascii="宋体" w:hAnsi="宋体" w:eastAsia="宋体" w:cs="宋体"/>
                <w:sz w:val="24"/>
                <w:szCs w:val="24"/>
              </w:rPr>
            </w:pPr>
            <w:r>
              <w:rPr>
                <w:rFonts w:hint="eastAsia" w:ascii="宋体" w:hAnsi="宋体" w:eastAsia="宋体"/>
              </w:rPr>
              <w:t xml:space="preserve">2.02% </w:t>
            </w:r>
          </w:p>
        </w:tc>
        <w:tc>
          <w:tcPr>
            <w:tcW w:w="0" w:type="auto"/>
            <w:shd w:val="clear" w:color="auto" w:fill="auto"/>
          </w:tcPr>
          <w:p w14:paraId="2461D18D">
            <w:pPr>
              <w:jc w:val="center"/>
              <w:rPr>
                <w:rFonts w:ascii="宋体" w:hAnsi="宋体" w:eastAsia="宋体" w:cs="宋体"/>
                <w:sz w:val="24"/>
                <w:szCs w:val="24"/>
              </w:rPr>
            </w:pPr>
            <w:r>
              <w:rPr>
                <w:rFonts w:hint="eastAsia" w:ascii="宋体" w:hAnsi="宋体" w:eastAsia="宋体"/>
              </w:rPr>
              <w:t xml:space="preserve">0.13% </w:t>
            </w:r>
          </w:p>
        </w:tc>
        <w:tc>
          <w:tcPr>
            <w:tcW w:w="0" w:type="auto"/>
            <w:shd w:val="clear" w:color="auto" w:fill="auto"/>
          </w:tcPr>
          <w:p w14:paraId="4330CA41">
            <w:pPr>
              <w:jc w:val="center"/>
              <w:rPr>
                <w:rFonts w:ascii="宋体" w:hAnsi="宋体" w:eastAsia="宋体" w:cs="宋体"/>
                <w:sz w:val="24"/>
                <w:szCs w:val="24"/>
              </w:rPr>
            </w:pPr>
            <w:r>
              <w:rPr>
                <w:rFonts w:hint="eastAsia" w:ascii="宋体" w:hAnsi="宋体" w:eastAsia="宋体"/>
              </w:rPr>
              <w:t xml:space="preserve">-2.27% </w:t>
            </w:r>
          </w:p>
        </w:tc>
        <w:tc>
          <w:tcPr>
            <w:tcW w:w="0" w:type="auto"/>
            <w:shd w:val="clear" w:color="auto" w:fill="auto"/>
          </w:tcPr>
          <w:p w14:paraId="0BCACBF9">
            <w:pPr>
              <w:jc w:val="center"/>
              <w:rPr>
                <w:rFonts w:ascii="宋体" w:hAnsi="宋体" w:eastAsia="宋体" w:cs="宋体"/>
                <w:sz w:val="24"/>
                <w:szCs w:val="24"/>
              </w:rPr>
            </w:pPr>
            <w:r>
              <w:rPr>
                <w:rFonts w:hint="eastAsia" w:ascii="宋体" w:hAnsi="宋体" w:eastAsia="宋体"/>
              </w:rPr>
              <w:t xml:space="preserve">0.06% </w:t>
            </w:r>
          </w:p>
        </w:tc>
      </w:tr>
      <w:tr w14:paraId="5A4C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A374C93">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20F8F251">
            <w:pPr>
              <w:jc w:val="center"/>
              <w:rPr>
                <w:rFonts w:ascii="宋体" w:hAnsi="宋体" w:eastAsia="宋体" w:cs="宋体"/>
                <w:sz w:val="24"/>
                <w:szCs w:val="24"/>
              </w:rPr>
            </w:pPr>
            <w:r>
              <w:rPr>
                <w:rFonts w:hint="eastAsia" w:ascii="宋体" w:hAnsi="宋体" w:eastAsia="宋体"/>
              </w:rPr>
              <w:t xml:space="preserve">8.52% </w:t>
            </w:r>
          </w:p>
        </w:tc>
        <w:tc>
          <w:tcPr>
            <w:tcW w:w="0" w:type="auto"/>
            <w:shd w:val="clear" w:color="auto" w:fill="auto"/>
          </w:tcPr>
          <w:p w14:paraId="2CEDAD77">
            <w:pPr>
              <w:jc w:val="center"/>
              <w:rPr>
                <w:rFonts w:ascii="宋体" w:hAnsi="宋体" w:eastAsia="宋体" w:cs="宋体"/>
                <w:sz w:val="24"/>
                <w:szCs w:val="24"/>
              </w:rPr>
            </w:pPr>
            <w:r>
              <w:rPr>
                <w:rFonts w:hint="eastAsia" w:ascii="宋体" w:hAnsi="宋体" w:eastAsia="宋体"/>
              </w:rPr>
              <w:t xml:space="preserve">0.46% </w:t>
            </w:r>
          </w:p>
        </w:tc>
        <w:tc>
          <w:tcPr>
            <w:tcW w:w="0" w:type="auto"/>
            <w:shd w:val="clear" w:color="auto" w:fill="auto"/>
          </w:tcPr>
          <w:p w14:paraId="13D5B95F">
            <w:pPr>
              <w:jc w:val="center"/>
              <w:rPr>
                <w:rFonts w:ascii="宋体" w:hAnsi="宋体" w:eastAsia="宋体" w:cs="宋体"/>
                <w:sz w:val="24"/>
                <w:szCs w:val="24"/>
              </w:rPr>
            </w:pPr>
            <w:r>
              <w:rPr>
                <w:rFonts w:hint="eastAsia" w:ascii="宋体" w:hAnsi="宋体" w:eastAsia="宋体"/>
              </w:rPr>
              <w:t xml:space="preserve">8.77% </w:t>
            </w:r>
          </w:p>
        </w:tc>
        <w:tc>
          <w:tcPr>
            <w:tcW w:w="0" w:type="auto"/>
            <w:shd w:val="clear" w:color="auto" w:fill="auto"/>
          </w:tcPr>
          <w:p w14:paraId="295B94C7">
            <w:pPr>
              <w:jc w:val="center"/>
              <w:rPr>
                <w:rFonts w:ascii="宋体" w:hAnsi="宋体" w:eastAsia="宋体" w:cs="宋体"/>
                <w:sz w:val="24"/>
                <w:szCs w:val="24"/>
              </w:rPr>
            </w:pPr>
            <w:r>
              <w:rPr>
                <w:rFonts w:hint="eastAsia" w:ascii="宋体" w:hAnsi="宋体" w:eastAsia="宋体"/>
              </w:rPr>
              <w:t xml:space="preserve">0.17% </w:t>
            </w:r>
          </w:p>
        </w:tc>
        <w:tc>
          <w:tcPr>
            <w:tcW w:w="0" w:type="auto"/>
            <w:shd w:val="clear" w:color="auto" w:fill="auto"/>
          </w:tcPr>
          <w:p w14:paraId="7A450223">
            <w:pPr>
              <w:jc w:val="center"/>
              <w:rPr>
                <w:rFonts w:ascii="宋体" w:hAnsi="宋体" w:eastAsia="宋体" w:cs="宋体"/>
                <w:sz w:val="24"/>
                <w:szCs w:val="24"/>
              </w:rPr>
            </w:pPr>
            <w:r>
              <w:rPr>
                <w:rFonts w:hint="eastAsia" w:ascii="宋体" w:hAnsi="宋体" w:eastAsia="宋体"/>
              </w:rPr>
              <w:t xml:space="preserve">-0.25% </w:t>
            </w:r>
          </w:p>
        </w:tc>
        <w:tc>
          <w:tcPr>
            <w:tcW w:w="0" w:type="auto"/>
            <w:shd w:val="clear" w:color="auto" w:fill="auto"/>
          </w:tcPr>
          <w:p w14:paraId="48630122">
            <w:pPr>
              <w:jc w:val="center"/>
              <w:rPr>
                <w:rFonts w:ascii="宋体" w:hAnsi="宋体" w:eastAsia="宋体" w:cs="宋体"/>
                <w:sz w:val="24"/>
                <w:szCs w:val="24"/>
              </w:rPr>
            </w:pPr>
            <w:r>
              <w:rPr>
                <w:rFonts w:hint="eastAsia" w:ascii="宋体" w:hAnsi="宋体" w:eastAsia="宋体"/>
              </w:rPr>
              <w:t xml:space="preserve">0.29% </w:t>
            </w:r>
          </w:p>
        </w:tc>
      </w:tr>
      <w:tr w14:paraId="01DF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1A078F">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3928711A">
            <w:pPr>
              <w:jc w:val="center"/>
              <w:rPr>
                <w:rFonts w:ascii="宋体" w:hAnsi="宋体" w:eastAsia="宋体" w:cs="宋体"/>
                <w:sz w:val="24"/>
                <w:szCs w:val="24"/>
              </w:rPr>
            </w:pPr>
            <w:r>
              <w:rPr>
                <w:rFonts w:hint="eastAsia" w:ascii="宋体" w:hAnsi="宋体" w:eastAsia="宋体"/>
              </w:rPr>
              <w:t xml:space="preserve">3.17% </w:t>
            </w:r>
          </w:p>
        </w:tc>
        <w:tc>
          <w:tcPr>
            <w:tcW w:w="0" w:type="auto"/>
            <w:shd w:val="clear" w:color="auto" w:fill="auto"/>
          </w:tcPr>
          <w:p w14:paraId="6C9E9570">
            <w:pPr>
              <w:jc w:val="center"/>
              <w:rPr>
                <w:rFonts w:ascii="宋体" w:hAnsi="宋体" w:eastAsia="宋体" w:cs="宋体"/>
                <w:sz w:val="24"/>
                <w:szCs w:val="24"/>
              </w:rPr>
            </w:pPr>
            <w:r>
              <w:rPr>
                <w:rFonts w:hint="eastAsia" w:ascii="宋体" w:hAnsi="宋体" w:eastAsia="宋体"/>
              </w:rPr>
              <w:t xml:space="preserve">0.34% </w:t>
            </w:r>
          </w:p>
        </w:tc>
        <w:tc>
          <w:tcPr>
            <w:tcW w:w="0" w:type="auto"/>
            <w:shd w:val="clear" w:color="auto" w:fill="auto"/>
          </w:tcPr>
          <w:p w14:paraId="743048DE">
            <w:pPr>
              <w:jc w:val="center"/>
              <w:rPr>
                <w:rFonts w:ascii="宋体" w:hAnsi="宋体" w:eastAsia="宋体" w:cs="宋体"/>
                <w:sz w:val="24"/>
                <w:szCs w:val="24"/>
              </w:rPr>
            </w:pPr>
            <w:r>
              <w:rPr>
                <w:rFonts w:hint="eastAsia" w:ascii="宋体" w:hAnsi="宋体" w:eastAsia="宋体"/>
              </w:rPr>
              <w:t xml:space="preserve">1.81% </w:t>
            </w:r>
          </w:p>
        </w:tc>
        <w:tc>
          <w:tcPr>
            <w:tcW w:w="0" w:type="auto"/>
            <w:shd w:val="clear" w:color="auto" w:fill="auto"/>
          </w:tcPr>
          <w:p w14:paraId="7FEB0634">
            <w:pPr>
              <w:jc w:val="center"/>
              <w:rPr>
                <w:rFonts w:ascii="宋体" w:hAnsi="宋体" w:eastAsia="宋体" w:cs="宋体"/>
                <w:sz w:val="24"/>
                <w:szCs w:val="24"/>
              </w:rPr>
            </w:pPr>
            <w:r>
              <w:rPr>
                <w:rFonts w:hint="eastAsia" w:ascii="宋体" w:hAnsi="宋体" w:eastAsia="宋体"/>
              </w:rPr>
              <w:t xml:space="preserve">0.16% </w:t>
            </w:r>
          </w:p>
        </w:tc>
        <w:tc>
          <w:tcPr>
            <w:tcW w:w="0" w:type="auto"/>
            <w:shd w:val="clear" w:color="auto" w:fill="auto"/>
          </w:tcPr>
          <w:p w14:paraId="003A75B0">
            <w:pPr>
              <w:jc w:val="center"/>
              <w:rPr>
                <w:rFonts w:ascii="宋体" w:hAnsi="宋体" w:eastAsia="宋体" w:cs="宋体"/>
                <w:sz w:val="24"/>
                <w:szCs w:val="24"/>
              </w:rPr>
            </w:pPr>
            <w:r>
              <w:rPr>
                <w:rFonts w:hint="eastAsia" w:ascii="宋体" w:hAnsi="宋体" w:eastAsia="宋体"/>
              </w:rPr>
              <w:t xml:space="preserve">1.36% </w:t>
            </w:r>
          </w:p>
        </w:tc>
        <w:tc>
          <w:tcPr>
            <w:tcW w:w="0" w:type="auto"/>
            <w:shd w:val="clear" w:color="auto" w:fill="auto"/>
          </w:tcPr>
          <w:p w14:paraId="3E92DDE7">
            <w:pPr>
              <w:jc w:val="center"/>
              <w:rPr>
                <w:rFonts w:ascii="宋体" w:hAnsi="宋体" w:eastAsia="宋体" w:cs="宋体"/>
                <w:sz w:val="24"/>
                <w:szCs w:val="24"/>
              </w:rPr>
            </w:pPr>
            <w:r>
              <w:rPr>
                <w:rFonts w:hint="eastAsia" w:ascii="宋体" w:hAnsi="宋体" w:eastAsia="宋体"/>
              </w:rPr>
              <w:t xml:space="preserve">0.18% </w:t>
            </w:r>
          </w:p>
        </w:tc>
      </w:tr>
      <w:tr w14:paraId="141E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62279D">
            <w:pPr>
              <w:jc w:val="center"/>
              <w:rPr>
                <w:rFonts w:ascii="宋体" w:hAnsi="宋体" w:eastAsia="宋体" w:cs="宋体"/>
                <w:sz w:val="24"/>
                <w:szCs w:val="24"/>
              </w:rPr>
            </w:pPr>
            <w:r>
              <w:rPr>
                <w:rFonts w:hint="eastAsia" w:ascii="宋体" w:hAnsi="宋体" w:eastAsia="宋体"/>
              </w:rPr>
              <w:t xml:space="preserve">2021.10.11-2025.06.30 </w:t>
            </w:r>
          </w:p>
        </w:tc>
        <w:tc>
          <w:tcPr>
            <w:tcW w:w="0" w:type="auto"/>
            <w:shd w:val="clear" w:color="auto" w:fill="auto"/>
          </w:tcPr>
          <w:p w14:paraId="326A46D9">
            <w:pPr>
              <w:jc w:val="center"/>
              <w:rPr>
                <w:rFonts w:ascii="宋体" w:hAnsi="宋体" w:eastAsia="宋体" w:cs="宋体"/>
                <w:sz w:val="24"/>
                <w:szCs w:val="24"/>
              </w:rPr>
            </w:pPr>
            <w:r>
              <w:rPr>
                <w:rFonts w:hint="eastAsia" w:ascii="宋体" w:hAnsi="宋体" w:eastAsia="宋体"/>
              </w:rPr>
              <w:t xml:space="preserve">10.04% </w:t>
            </w:r>
          </w:p>
        </w:tc>
        <w:tc>
          <w:tcPr>
            <w:tcW w:w="0" w:type="auto"/>
            <w:shd w:val="clear" w:color="auto" w:fill="auto"/>
          </w:tcPr>
          <w:p w14:paraId="4C78DA4E">
            <w:pPr>
              <w:jc w:val="center"/>
              <w:rPr>
                <w:rFonts w:ascii="宋体" w:hAnsi="宋体" w:eastAsia="宋体" w:cs="宋体"/>
                <w:sz w:val="24"/>
                <w:szCs w:val="24"/>
              </w:rPr>
            </w:pPr>
            <w:r>
              <w:rPr>
                <w:rFonts w:hint="eastAsia" w:ascii="宋体" w:hAnsi="宋体" w:eastAsia="宋体"/>
              </w:rPr>
              <w:t xml:space="preserve">0.30% </w:t>
            </w:r>
          </w:p>
        </w:tc>
        <w:tc>
          <w:tcPr>
            <w:tcW w:w="0" w:type="auto"/>
            <w:shd w:val="clear" w:color="auto" w:fill="auto"/>
          </w:tcPr>
          <w:p w14:paraId="741FDD02">
            <w:pPr>
              <w:jc w:val="center"/>
              <w:rPr>
                <w:rFonts w:ascii="宋体" w:hAnsi="宋体" w:eastAsia="宋体" w:cs="宋体"/>
                <w:sz w:val="24"/>
                <w:szCs w:val="24"/>
              </w:rPr>
            </w:pPr>
            <w:r>
              <w:rPr>
                <w:rFonts w:hint="eastAsia" w:ascii="宋体" w:hAnsi="宋体" w:eastAsia="宋体"/>
              </w:rPr>
              <w:t xml:space="preserve">13.74% </w:t>
            </w:r>
          </w:p>
        </w:tc>
        <w:tc>
          <w:tcPr>
            <w:tcW w:w="0" w:type="auto"/>
            <w:shd w:val="clear" w:color="auto" w:fill="auto"/>
          </w:tcPr>
          <w:p w14:paraId="43696BAB">
            <w:pPr>
              <w:jc w:val="center"/>
              <w:rPr>
                <w:rFonts w:ascii="宋体" w:hAnsi="宋体" w:eastAsia="宋体" w:cs="宋体"/>
                <w:sz w:val="24"/>
                <w:szCs w:val="24"/>
              </w:rPr>
            </w:pPr>
            <w:r>
              <w:rPr>
                <w:rFonts w:hint="eastAsia" w:ascii="宋体" w:hAnsi="宋体" w:eastAsia="宋体"/>
              </w:rPr>
              <w:t xml:space="preserve">0.17% </w:t>
            </w:r>
          </w:p>
        </w:tc>
        <w:tc>
          <w:tcPr>
            <w:tcW w:w="0" w:type="auto"/>
            <w:shd w:val="clear" w:color="auto" w:fill="auto"/>
          </w:tcPr>
          <w:p w14:paraId="43A51978">
            <w:pPr>
              <w:jc w:val="center"/>
              <w:rPr>
                <w:rFonts w:ascii="宋体" w:hAnsi="宋体" w:eastAsia="宋体" w:cs="宋体"/>
                <w:sz w:val="24"/>
                <w:szCs w:val="24"/>
              </w:rPr>
            </w:pPr>
            <w:r>
              <w:rPr>
                <w:rFonts w:hint="eastAsia" w:ascii="宋体" w:hAnsi="宋体" w:eastAsia="宋体"/>
              </w:rPr>
              <w:t xml:space="preserve">-3.70% </w:t>
            </w:r>
          </w:p>
        </w:tc>
        <w:tc>
          <w:tcPr>
            <w:tcW w:w="0" w:type="auto"/>
            <w:shd w:val="clear" w:color="auto" w:fill="auto"/>
          </w:tcPr>
          <w:p w14:paraId="02F34A62">
            <w:pPr>
              <w:jc w:val="center"/>
              <w:rPr>
                <w:rFonts w:ascii="宋体" w:hAnsi="宋体" w:eastAsia="宋体" w:cs="宋体"/>
                <w:sz w:val="24"/>
                <w:szCs w:val="24"/>
              </w:rPr>
            </w:pPr>
            <w:r>
              <w:rPr>
                <w:rFonts w:hint="eastAsia" w:ascii="宋体" w:hAnsi="宋体" w:eastAsia="宋体"/>
              </w:rPr>
              <w:t xml:space="preserve">0.13% </w:t>
            </w:r>
          </w:p>
        </w:tc>
      </w:tr>
    </w:tbl>
    <w:p w14:paraId="62FA5857">
      <w:pPr>
        <w:pStyle w:val="7"/>
        <w:spacing w:before="0" w:beforeAutospacing="0" w:after="0" w:afterAutospacing="0" w:line="360" w:lineRule="auto"/>
        <w:ind w:firstLine="420"/>
        <w:rPr>
          <w:sz w:val="21"/>
          <w:szCs w:val="21"/>
        </w:rPr>
      </w:pPr>
      <w:r>
        <w:rPr>
          <w:rFonts w:hint="eastAsia"/>
          <w:sz w:val="21"/>
          <w:szCs w:val="21"/>
        </w:rPr>
        <w:t xml:space="preserve">博时恒盈稳健一年持有期混合C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82"/>
        <w:gridCol w:w="1037"/>
        <w:gridCol w:w="1165"/>
        <w:gridCol w:w="1219"/>
        <w:gridCol w:w="846"/>
        <w:gridCol w:w="846"/>
      </w:tblGrid>
      <w:tr w14:paraId="714E4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1AD2DC9">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77EEA778">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0112C6CC">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0A068AF3">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48AA49E5">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39FBCDDE">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731CE832">
            <w:pPr>
              <w:jc w:val="center"/>
              <w:rPr>
                <w:rFonts w:ascii="宋体" w:hAnsi="宋体" w:eastAsia="宋体" w:cs="宋体"/>
                <w:sz w:val="24"/>
                <w:szCs w:val="24"/>
              </w:rPr>
            </w:pPr>
            <w:r>
              <w:rPr>
                <w:rFonts w:hint="eastAsia" w:ascii="宋体" w:hAnsi="宋体" w:eastAsia="宋体"/>
              </w:rPr>
              <w:t xml:space="preserve">②-④ </w:t>
            </w:r>
          </w:p>
        </w:tc>
      </w:tr>
      <w:tr w14:paraId="3D926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CE18CB">
            <w:pPr>
              <w:jc w:val="center"/>
              <w:rPr>
                <w:rFonts w:ascii="宋体" w:hAnsi="宋体" w:eastAsia="宋体" w:cs="宋体"/>
                <w:sz w:val="24"/>
                <w:szCs w:val="24"/>
              </w:rPr>
            </w:pPr>
            <w:r>
              <w:rPr>
                <w:rFonts w:hint="eastAsia" w:ascii="宋体" w:hAnsi="宋体" w:eastAsia="宋体"/>
              </w:rPr>
              <w:t xml:space="preserve">2021.10.11-2021.12.31 </w:t>
            </w:r>
          </w:p>
        </w:tc>
        <w:tc>
          <w:tcPr>
            <w:tcW w:w="0" w:type="auto"/>
            <w:shd w:val="clear" w:color="auto" w:fill="auto"/>
          </w:tcPr>
          <w:p w14:paraId="39B29EEC">
            <w:pPr>
              <w:jc w:val="center"/>
              <w:rPr>
                <w:rFonts w:ascii="宋体" w:hAnsi="宋体" w:eastAsia="宋体" w:cs="宋体"/>
                <w:sz w:val="24"/>
                <w:szCs w:val="24"/>
              </w:rPr>
            </w:pPr>
            <w:r>
              <w:rPr>
                <w:rFonts w:hint="eastAsia" w:ascii="宋体" w:hAnsi="宋体" w:eastAsia="宋体"/>
              </w:rPr>
              <w:t xml:space="preserve">0.37% </w:t>
            </w:r>
          </w:p>
        </w:tc>
        <w:tc>
          <w:tcPr>
            <w:tcW w:w="0" w:type="auto"/>
            <w:shd w:val="clear" w:color="auto" w:fill="auto"/>
          </w:tcPr>
          <w:p w14:paraId="45F4B30A">
            <w:pPr>
              <w:jc w:val="center"/>
              <w:rPr>
                <w:rFonts w:ascii="宋体" w:hAnsi="宋体" w:eastAsia="宋体" w:cs="宋体"/>
                <w:sz w:val="24"/>
                <w:szCs w:val="24"/>
              </w:rPr>
            </w:pPr>
            <w:r>
              <w:rPr>
                <w:rFonts w:hint="eastAsia" w:ascii="宋体" w:hAnsi="宋体" w:eastAsia="宋体"/>
              </w:rPr>
              <w:t xml:space="preserve">0.10% </w:t>
            </w:r>
          </w:p>
        </w:tc>
        <w:tc>
          <w:tcPr>
            <w:tcW w:w="0" w:type="auto"/>
            <w:shd w:val="clear" w:color="auto" w:fill="auto"/>
          </w:tcPr>
          <w:p w14:paraId="2FB24AF4">
            <w:pPr>
              <w:jc w:val="center"/>
              <w:rPr>
                <w:rFonts w:ascii="宋体" w:hAnsi="宋体" w:eastAsia="宋体" w:cs="宋体"/>
                <w:sz w:val="24"/>
                <w:szCs w:val="24"/>
              </w:rPr>
            </w:pPr>
            <w:r>
              <w:rPr>
                <w:rFonts w:hint="eastAsia" w:ascii="宋体" w:hAnsi="宋体" w:eastAsia="宋体"/>
              </w:rPr>
              <w:t xml:space="preserve">0.69% </w:t>
            </w:r>
          </w:p>
        </w:tc>
        <w:tc>
          <w:tcPr>
            <w:tcW w:w="0" w:type="auto"/>
            <w:shd w:val="clear" w:color="auto" w:fill="auto"/>
          </w:tcPr>
          <w:p w14:paraId="6732BDC6">
            <w:pPr>
              <w:jc w:val="center"/>
              <w:rPr>
                <w:rFonts w:ascii="宋体" w:hAnsi="宋体" w:eastAsia="宋体" w:cs="宋体"/>
                <w:sz w:val="24"/>
                <w:szCs w:val="24"/>
              </w:rPr>
            </w:pPr>
            <w:r>
              <w:rPr>
                <w:rFonts w:hint="eastAsia" w:ascii="宋体" w:hAnsi="宋体" w:eastAsia="宋体"/>
              </w:rPr>
              <w:t xml:space="preserve">0.11% </w:t>
            </w:r>
          </w:p>
        </w:tc>
        <w:tc>
          <w:tcPr>
            <w:tcW w:w="0" w:type="auto"/>
            <w:shd w:val="clear" w:color="auto" w:fill="auto"/>
          </w:tcPr>
          <w:p w14:paraId="5CC5ADD5">
            <w:pPr>
              <w:jc w:val="center"/>
              <w:rPr>
                <w:rFonts w:ascii="宋体" w:hAnsi="宋体" w:eastAsia="宋体" w:cs="宋体"/>
                <w:sz w:val="24"/>
                <w:szCs w:val="24"/>
              </w:rPr>
            </w:pPr>
            <w:r>
              <w:rPr>
                <w:rFonts w:hint="eastAsia" w:ascii="宋体" w:hAnsi="宋体" w:eastAsia="宋体"/>
              </w:rPr>
              <w:t xml:space="preserve">-0.32% </w:t>
            </w:r>
          </w:p>
        </w:tc>
        <w:tc>
          <w:tcPr>
            <w:tcW w:w="0" w:type="auto"/>
            <w:shd w:val="clear" w:color="auto" w:fill="auto"/>
          </w:tcPr>
          <w:p w14:paraId="41712D9E">
            <w:pPr>
              <w:jc w:val="center"/>
              <w:rPr>
                <w:rFonts w:ascii="宋体" w:hAnsi="宋体" w:eastAsia="宋体" w:cs="宋体"/>
                <w:sz w:val="24"/>
                <w:szCs w:val="24"/>
              </w:rPr>
            </w:pPr>
            <w:r>
              <w:rPr>
                <w:rFonts w:hint="eastAsia" w:ascii="宋体" w:hAnsi="宋体" w:eastAsia="宋体"/>
              </w:rPr>
              <w:t xml:space="preserve">-0.01% </w:t>
            </w:r>
          </w:p>
        </w:tc>
      </w:tr>
      <w:tr w14:paraId="55E25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B08497">
            <w:pPr>
              <w:jc w:val="center"/>
              <w:rPr>
                <w:rFonts w:ascii="宋体" w:hAnsi="宋体" w:eastAsia="宋体" w:cs="宋体"/>
                <w:sz w:val="24"/>
                <w:szCs w:val="24"/>
              </w:rPr>
            </w:pPr>
            <w:r>
              <w:rPr>
                <w:rFonts w:hint="eastAsia" w:ascii="宋体" w:hAnsi="宋体" w:eastAsia="宋体"/>
              </w:rPr>
              <w:t xml:space="preserve">2022.01.01-2022.12.31 </w:t>
            </w:r>
          </w:p>
        </w:tc>
        <w:tc>
          <w:tcPr>
            <w:tcW w:w="0" w:type="auto"/>
            <w:shd w:val="clear" w:color="auto" w:fill="auto"/>
          </w:tcPr>
          <w:p w14:paraId="7CE4B1B1">
            <w:pPr>
              <w:jc w:val="center"/>
              <w:rPr>
                <w:rFonts w:ascii="宋体" w:hAnsi="宋体" w:eastAsia="宋体" w:cs="宋体"/>
                <w:sz w:val="24"/>
                <w:szCs w:val="24"/>
              </w:rPr>
            </w:pPr>
            <w:r>
              <w:rPr>
                <w:rFonts w:hint="eastAsia" w:ascii="宋体" w:hAnsi="宋体" w:eastAsia="宋体"/>
              </w:rPr>
              <w:t xml:space="preserve">-2.36% </w:t>
            </w:r>
          </w:p>
        </w:tc>
        <w:tc>
          <w:tcPr>
            <w:tcW w:w="0" w:type="auto"/>
            <w:shd w:val="clear" w:color="auto" w:fill="auto"/>
          </w:tcPr>
          <w:p w14:paraId="1096FF1E">
            <w:pPr>
              <w:jc w:val="center"/>
              <w:rPr>
                <w:rFonts w:ascii="宋体" w:hAnsi="宋体" w:eastAsia="宋体" w:cs="宋体"/>
                <w:sz w:val="24"/>
                <w:szCs w:val="24"/>
              </w:rPr>
            </w:pPr>
            <w:r>
              <w:rPr>
                <w:rFonts w:hint="eastAsia" w:ascii="宋体" w:hAnsi="宋体" w:eastAsia="宋体"/>
              </w:rPr>
              <w:t xml:space="preserve">0.16% </w:t>
            </w:r>
          </w:p>
        </w:tc>
        <w:tc>
          <w:tcPr>
            <w:tcW w:w="0" w:type="auto"/>
            <w:shd w:val="clear" w:color="auto" w:fill="auto"/>
          </w:tcPr>
          <w:p w14:paraId="594A29DB">
            <w:pPr>
              <w:jc w:val="center"/>
              <w:rPr>
                <w:rFonts w:ascii="宋体" w:hAnsi="宋体" w:eastAsia="宋体" w:cs="宋体"/>
                <w:sz w:val="24"/>
                <w:szCs w:val="24"/>
              </w:rPr>
            </w:pPr>
            <w:r>
              <w:rPr>
                <w:rFonts w:hint="eastAsia" w:ascii="宋体" w:hAnsi="宋体" w:eastAsia="宋体"/>
              </w:rPr>
              <w:t xml:space="preserve">-0.02% </w:t>
            </w:r>
          </w:p>
        </w:tc>
        <w:tc>
          <w:tcPr>
            <w:tcW w:w="0" w:type="auto"/>
            <w:shd w:val="clear" w:color="auto" w:fill="auto"/>
          </w:tcPr>
          <w:p w14:paraId="28612ADB">
            <w:pPr>
              <w:jc w:val="center"/>
              <w:rPr>
                <w:rFonts w:ascii="宋体" w:hAnsi="宋体" w:eastAsia="宋体" w:cs="宋体"/>
                <w:sz w:val="24"/>
                <w:szCs w:val="24"/>
              </w:rPr>
            </w:pPr>
            <w:r>
              <w:rPr>
                <w:rFonts w:hint="eastAsia" w:ascii="宋体" w:hAnsi="宋体" w:eastAsia="宋体"/>
              </w:rPr>
              <w:t xml:space="preserve">0.20% </w:t>
            </w:r>
          </w:p>
        </w:tc>
        <w:tc>
          <w:tcPr>
            <w:tcW w:w="0" w:type="auto"/>
            <w:shd w:val="clear" w:color="auto" w:fill="auto"/>
          </w:tcPr>
          <w:p w14:paraId="5D408D4C">
            <w:pPr>
              <w:jc w:val="center"/>
              <w:rPr>
                <w:rFonts w:ascii="宋体" w:hAnsi="宋体" w:eastAsia="宋体" w:cs="宋体"/>
                <w:sz w:val="24"/>
                <w:szCs w:val="24"/>
              </w:rPr>
            </w:pPr>
            <w:r>
              <w:rPr>
                <w:rFonts w:hint="eastAsia" w:ascii="宋体" w:hAnsi="宋体" w:eastAsia="宋体"/>
              </w:rPr>
              <w:t xml:space="preserve">-2.34% </w:t>
            </w:r>
          </w:p>
        </w:tc>
        <w:tc>
          <w:tcPr>
            <w:tcW w:w="0" w:type="auto"/>
            <w:shd w:val="clear" w:color="auto" w:fill="auto"/>
          </w:tcPr>
          <w:p w14:paraId="1818E116">
            <w:pPr>
              <w:jc w:val="center"/>
              <w:rPr>
                <w:rFonts w:ascii="宋体" w:hAnsi="宋体" w:eastAsia="宋体" w:cs="宋体"/>
                <w:sz w:val="24"/>
                <w:szCs w:val="24"/>
              </w:rPr>
            </w:pPr>
            <w:r>
              <w:rPr>
                <w:rFonts w:hint="eastAsia" w:ascii="宋体" w:hAnsi="宋体" w:eastAsia="宋体"/>
              </w:rPr>
              <w:t xml:space="preserve">-0.04% </w:t>
            </w:r>
          </w:p>
        </w:tc>
      </w:tr>
      <w:tr w14:paraId="32382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D53954">
            <w:pPr>
              <w:jc w:val="center"/>
              <w:rPr>
                <w:rFonts w:ascii="宋体" w:hAnsi="宋体" w:eastAsia="宋体" w:cs="宋体"/>
                <w:sz w:val="24"/>
                <w:szCs w:val="24"/>
              </w:rPr>
            </w:pPr>
            <w:r>
              <w:rPr>
                <w:rFonts w:hint="eastAsia" w:ascii="宋体" w:hAnsi="宋体" w:eastAsia="宋体"/>
              </w:rPr>
              <w:t xml:space="preserve">2023.01.01-2023.12.31 </w:t>
            </w:r>
          </w:p>
        </w:tc>
        <w:tc>
          <w:tcPr>
            <w:tcW w:w="0" w:type="auto"/>
            <w:shd w:val="clear" w:color="auto" w:fill="auto"/>
          </w:tcPr>
          <w:p w14:paraId="5EF343CA">
            <w:pPr>
              <w:jc w:val="center"/>
              <w:rPr>
                <w:rFonts w:ascii="宋体" w:hAnsi="宋体" w:eastAsia="宋体" w:cs="宋体"/>
                <w:sz w:val="24"/>
                <w:szCs w:val="24"/>
              </w:rPr>
            </w:pPr>
            <w:r>
              <w:rPr>
                <w:rFonts w:hint="eastAsia" w:ascii="宋体" w:hAnsi="宋体" w:eastAsia="宋体"/>
              </w:rPr>
              <w:t xml:space="preserve">-0.70% </w:t>
            </w:r>
          </w:p>
        </w:tc>
        <w:tc>
          <w:tcPr>
            <w:tcW w:w="0" w:type="auto"/>
            <w:shd w:val="clear" w:color="auto" w:fill="auto"/>
          </w:tcPr>
          <w:p w14:paraId="206FE6C5">
            <w:pPr>
              <w:jc w:val="center"/>
              <w:rPr>
                <w:rFonts w:ascii="宋体" w:hAnsi="宋体" w:eastAsia="宋体" w:cs="宋体"/>
                <w:sz w:val="24"/>
                <w:szCs w:val="24"/>
              </w:rPr>
            </w:pPr>
            <w:r>
              <w:rPr>
                <w:rFonts w:hint="eastAsia" w:ascii="宋体" w:hAnsi="宋体" w:eastAsia="宋体"/>
              </w:rPr>
              <w:t xml:space="preserve">0.19% </w:t>
            </w:r>
          </w:p>
        </w:tc>
        <w:tc>
          <w:tcPr>
            <w:tcW w:w="0" w:type="auto"/>
            <w:shd w:val="clear" w:color="auto" w:fill="auto"/>
          </w:tcPr>
          <w:p w14:paraId="6FA475A9">
            <w:pPr>
              <w:jc w:val="center"/>
              <w:rPr>
                <w:rFonts w:ascii="宋体" w:hAnsi="宋体" w:eastAsia="宋体" w:cs="宋体"/>
                <w:sz w:val="24"/>
                <w:szCs w:val="24"/>
              </w:rPr>
            </w:pPr>
            <w:r>
              <w:rPr>
                <w:rFonts w:hint="eastAsia" w:ascii="宋体" w:hAnsi="宋体" w:eastAsia="宋体"/>
              </w:rPr>
              <w:t xml:space="preserve">2.02% </w:t>
            </w:r>
          </w:p>
        </w:tc>
        <w:tc>
          <w:tcPr>
            <w:tcW w:w="0" w:type="auto"/>
            <w:shd w:val="clear" w:color="auto" w:fill="auto"/>
          </w:tcPr>
          <w:p w14:paraId="178AA2D2">
            <w:pPr>
              <w:jc w:val="center"/>
              <w:rPr>
                <w:rFonts w:ascii="宋体" w:hAnsi="宋体" w:eastAsia="宋体" w:cs="宋体"/>
                <w:sz w:val="24"/>
                <w:szCs w:val="24"/>
              </w:rPr>
            </w:pPr>
            <w:r>
              <w:rPr>
                <w:rFonts w:hint="eastAsia" w:ascii="宋体" w:hAnsi="宋体" w:eastAsia="宋体"/>
              </w:rPr>
              <w:t xml:space="preserve">0.13% </w:t>
            </w:r>
          </w:p>
        </w:tc>
        <w:tc>
          <w:tcPr>
            <w:tcW w:w="0" w:type="auto"/>
            <w:shd w:val="clear" w:color="auto" w:fill="auto"/>
          </w:tcPr>
          <w:p w14:paraId="46A4A534">
            <w:pPr>
              <w:jc w:val="center"/>
              <w:rPr>
                <w:rFonts w:ascii="宋体" w:hAnsi="宋体" w:eastAsia="宋体" w:cs="宋体"/>
                <w:sz w:val="24"/>
                <w:szCs w:val="24"/>
              </w:rPr>
            </w:pPr>
            <w:r>
              <w:rPr>
                <w:rFonts w:hint="eastAsia" w:ascii="宋体" w:hAnsi="宋体" w:eastAsia="宋体"/>
              </w:rPr>
              <w:t xml:space="preserve">-2.72% </w:t>
            </w:r>
          </w:p>
        </w:tc>
        <w:tc>
          <w:tcPr>
            <w:tcW w:w="0" w:type="auto"/>
            <w:shd w:val="clear" w:color="auto" w:fill="auto"/>
          </w:tcPr>
          <w:p w14:paraId="4AFC0C2F">
            <w:pPr>
              <w:jc w:val="center"/>
              <w:rPr>
                <w:rFonts w:ascii="宋体" w:hAnsi="宋体" w:eastAsia="宋体" w:cs="宋体"/>
                <w:sz w:val="24"/>
                <w:szCs w:val="24"/>
              </w:rPr>
            </w:pPr>
            <w:r>
              <w:rPr>
                <w:rFonts w:hint="eastAsia" w:ascii="宋体" w:hAnsi="宋体" w:eastAsia="宋体"/>
              </w:rPr>
              <w:t xml:space="preserve">0.06% </w:t>
            </w:r>
          </w:p>
        </w:tc>
      </w:tr>
      <w:tr w14:paraId="161FD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592D3D">
            <w:pPr>
              <w:jc w:val="center"/>
              <w:rPr>
                <w:rFonts w:ascii="宋体" w:hAnsi="宋体" w:eastAsia="宋体" w:cs="宋体"/>
                <w:sz w:val="24"/>
                <w:szCs w:val="24"/>
              </w:rPr>
            </w:pPr>
            <w:r>
              <w:rPr>
                <w:rFonts w:hint="eastAsia" w:ascii="宋体" w:hAnsi="宋体" w:eastAsia="宋体"/>
              </w:rPr>
              <w:t xml:space="preserve">2024.01.01-2024.12.31 </w:t>
            </w:r>
          </w:p>
        </w:tc>
        <w:tc>
          <w:tcPr>
            <w:tcW w:w="0" w:type="auto"/>
            <w:shd w:val="clear" w:color="auto" w:fill="auto"/>
          </w:tcPr>
          <w:p w14:paraId="5C7493BC">
            <w:pPr>
              <w:jc w:val="center"/>
              <w:rPr>
                <w:rFonts w:ascii="宋体" w:hAnsi="宋体" w:eastAsia="宋体" w:cs="宋体"/>
                <w:sz w:val="24"/>
                <w:szCs w:val="24"/>
              </w:rPr>
            </w:pPr>
            <w:r>
              <w:rPr>
                <w:rFonts w:hint="eastAsia" w:ascii="宋体" w:hAnsi="宋体" w:eastAsia="宋体"/>
              </w:rPr>
              <w:t xml:space="preserve">8.05% </w:t>
            </w:r>
          </w:p>
        </w:tc>
        <w:tc>
          <w:tcPr>
            <w:tcW w:w="0" w:type="auto"/>
            <w:shd w:val="clear" w:color="auto" w:fill="auto"/>
          </w:tcPr>
          <w:p w14:paraId="6D91E441">
            <w:pPr>
              <w:jc w:val="center"/>
              <w:rPr>
                <w:rFonts w:ascii="宋体" w:hAnsi="宋体" w:eastAsia="宋体" w:cs="宋体"/>
                <w:sz w:val="24"/>
                <w:szCs w:val="24"/>
              </w:rPr>
            </w:pPr>
            <w:r>
              <w:rPr>
                <w:rFonts w:hint="eastAsia" w:ascii="宋体" w:hAnsi="宋体" w:eastAsia="宋体"/>
              </w:rPr>
              <w:t xml:space="preserve">0.46% </w:t>
            </w:r>
          </w:p>
        </w:tc>
        <w:tc>
          <w:tcPr>
            <w:tcW w:w="0" w:type="auto"/>
            <w:shd w:val="clear" w:color="auto" w:fill="auto"/>
          </w:tcPr>
          <w:p w14:paraId="0E6B5B3B">
            <w:pPr>
              <w:jc w:val="center"/>
              <w:rPr>
                <w:rFonts w:ascii="宋体" w:hAnsi="宋体" w:eastAsia="宋体" w:cs="宋体"/>
                <w:sz w:val="24"/>
                <w:szCs w:val="24"/>
              </w:rPr>
            </w:pPr>
            <w:r>
              <w:rPr>
                <w:rFonts w:hint="eastAsia" w:ascii="宋体" w:hAnsi="宋体" w:eastAsia="宋体"/>
              </w:rPr>
              <w:t xml:space="preserve">8.77% </w:t>
            </w:r>
          </w:p>
        </w:tc>
        <w:tc>
          <w:tcPr>
            <w:tcW w:w="0" w:type="auto"/>
            <w:shd w:val="clear" w:color="auto" w:fill="auto"/>
          </w:tcPr>
          <w:p w14:paraId="562E1C53">
            <w:pPr>
              <w:jc w:val="center"/>
              <w:rPr>
                <w:rFonts w:ascii="宋体" w:hAnsi="宋体" w:eastAsia="宋体" w:cs="宋体"/>
                <w:sz w:val="24"/>
                <w:szCs w:val="24"/>
              </w:rPr>
            </w:pPr>
            <w:r>
              <w:rPr>
                <w:rFonts w:hint="eastAsia" w:ascii="宋体" w:hAnsi="宋体" w:eastAsia="宋体"/>
              </w:rPr>
              <w:t xml:space="preserve">0.17% </w:t>
            </w:r>
          </w:p>
        </w:tc>
        <w:tc>
          <w:tcPr>
            <w:tcW w:w="0" w:type="auto"/>
            <w:shd w:val="clear" w:color="auto" w:fill="auto"/>
          </w:tcPr>
          <w:p w14:paraId="23CAB1E5">
            <w:pPr>
              <w:jc w:val="center"/>
              <w:rPr>
                <w:rFonts w:ascii="宋体" w:hAnsi="宋体" w:eastAsia="宋体" w:cs="宋体"/>
                <w:sz w:val="24"/>
                <w:szCs w:val="24"/>
              </w:rPr>
            </w:pPr>
            <w:r>
              <w:rPr>
                <w:rFonts w:hint="eastAsia" w:ascii="宋体" w:hAnsi="宋体" w:eastAsia="宋体"/>
              </w:rPr>
              <w:t xml:space="preserve">-0.72% </w:t>
            </w:r>
          </w:p>
        </w:tc>
        <w:tc>
          <w:tcPr>
            <w:tcW w:w="0" w:type="auto"/>
            <w:shd w:val="clear" w:color="auto" w:fill="auto"/>
          </w:tcPr>
          <w:p w14:paraId="75FAB306">
            <w:pPr>
              <w:jc w:val="center"/>
              <w:rPr>
                <w:rFonts w:ascii="宋体" w:hAnsi="宋体" w:eastAsia="宋体" w:cs="宋体"/>
                <w:sz w:val="24"/>
                <w:szCs w:val="24"/>
              </w:rPr>
            </w:pPr>
            <w:r>
              <w:rPr>
                <w:rFonts w:hint="eastAsia" w:ascii="宋体" w:hAnsi="宋体" w:eastAsia="宋体"/>
              </w:rPr>
              <w:t xml:space="preserve">0.29% </w:t>
            </w:r>
          </w:p>
        </w:tc>
      </w:tr>
      <w:tr w14:paraId="53CC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759DBD">
            <w:pPr>
              <w:jc w:val="center"/>
              <w:rPr>
                <w:rFonts w:ascii="宋体" w:hAnsi="宋体" w:eastAsia="宋体" w:cs="宋体"/>
                <w:sz w:val="24"/>
                <w:szCs w:val="24"/>
              </w:rPr>
            </w:pPr>
            <w:r>
              <w:rPr>
                <w:rFonts w:hint="eastAsia" w:ascii="宋体" w:hAnsi="宋体" w:eastAsia="宋体"/>
              </w:rPr>
              <w:t xml:space="preserve">2025.01.01-2025.06.30 </w:t>
            </w:r>
          </w:p>
        </w:tc>
        <w:tc>
          <w:tcPr>
            <w:tcW w:w="0" w:type="auto"/>
            <w:shd w:val="clear" w:color="auto" w:fill="auto"/>
          </w:tcPr>
          <w:p w14:paraId="3D9093AB">
            <w:pPr>
              <w:jc w:val="center"/>
              <w:rPr>
                <w:rFonts w:ascii="宋体" w:hAnsi="宋体" w:eastAsia="宋体" w:cs="宋体"/>
                <w:sz w:val="24"/>
                <w:szCs w:val="24"/>
              </w:rPr>
            </w:pPr>
            <w:r>
              <w:rPr>
                <w:rFonts w:hint="eastAsia" w:ascii="宋体" w:hAnsi="宋体" w:eastAsia="宋体"/>
              </w:rPr>
              <w:t xml:space="preserve">2.94% </w:t>
            </w:r>
          </w:p>
        </w:tc>
        <w:tc>
          <w:tcPr>
            <w:tcW w:w="0" w:type="auto"/>
            <w:shd w:val="clear" w:color="auto" w:fill="auto"/>
          </w:tcPr>
          <w:p w14:paraId="2E7532DD">
            <w:pPr>
              <w:jc w:val="center"/>
              <w:rPr>
                <w:rFonts w:ascii="宋体" w:hAnsi="宋体" w:eastAsia="宋体" w:cs="宋体"/>
                <w:sz w:val="24"/>
                <w:szCs w:val="24"/>
              </w:rPr>
            </w:pPr>
            <w:r>
              <w:rPr>
                <w:rFonts w:hint="eastAsia" w:ascii="宋体" w:hAnsi="宋体" w:eastAsia="宋体"/>
              </w:rPr>
              <w:t xml:space="preserve">0.34% </w:t>
            </w:r>
          </w:p>
        </w:tc>
        <w:tc>
          <w:tcPr>
            <w:tcW w:w="0" w:type="auto"/>
            <w:shd w:val="clear" w:color="auto" w:fill="auto"/>
          </w:tcPr>
          <w:p w14:paraId="3B33FE74">
            <w:pPr>
              <w:jc w:val="center"/>
              <w:rPr>
                <w:rFonts w:ascii="宋体" w:hAnsi="宋体" w:eastAsia="宋体" w:cs="宋体"/>
                <w:sz w:val="24"/>
                <w:szCs w:val="24"/>
              </w:rPr>
            </w:pPr>
            <w:r>
              <w:rPr>
                <w:rFonts w:hint="eastAsia" w:ascii="宋体" w:hAnsi="宋体" w:eastAsia="宋体"/>
              </w:rPr>
              <w:t xml:space="preserve">1.81% </w:t>
            </w:r>
          </w:p>
        </w:tc>
        <w:tc>
          <w:tcPr>
            <w:tcW w:w="0" w:type="auto"/>
            <w:shd w:val="clear" w:color="auto" w:fill="auto"/>
          </w:tcPr>
          <w:p w14:paraId="6D853FE2">
            <w:pPr>
              <w:jc w:val="center"/>
              <w:rPr>
                <w:rFonts w:ascii="宋体" w:hAnsi="宋体" w:eastAsia="宋体" w:cs="宋体"/>
                <w:sz w:val="24"/>
                <w:szCs w:val="24"/>
              </w:rPr>
            </w:pPr>
            <w:r>
              <w:rPr>
                <w:rFonts w:hint="eastAsia" w:ascii="宋体" w:hAnsi="宋体" w:eastAsia="宋体"/>
              </w:rPr>
              <w:t xml:space="preserve">0.16% </w:t>
            </w:r>
          </w:p>
        </w:tc>
        <w:tc>
          <w:tcPr>
            <w:tcW w:w="0" w:type="auto"/>
            <w:shd w:val="clear" w:color="auto" w:fill="auto"/>
          </w:tcPr>
          <w:p w14:paraId="4669DD57">
            <w:pPr>
              <w:jc w:val="center"/>
              <w:rPr>
                <w:rFonts w:ascii="宋体" w:hAnsi="宋体" w:eastAsia="宋体" w:cs="宋体"/>
                <w:sz w:val="24"/>
                <w:szCs w:val="24"/>
              </w:rPr>
            </w:pPr>
            <w:r>
              <w:rPr>
                <w:rFonts w:hint="eastAsia" w:ascii="宋体" w:hAnsi="宋体" w:eastAsia="宋体"/>
              </w:rPr>
              <w:t xml:space="preserve">1.13% </w:t>
            </w:r>
          </w:p>
        </w:tc>
        <w:tc>
          <w:tcPr>
            <w:tcW w:w="0" w:type="auto"/>
            <w:shd w:val="clear" w:color="auto" w:fill="auto"/>
          </w:tcPr>
          <w:p w14:paraId="66D20CB9">
            <w:pPr>
              <w:jc w:val="center"/>
              <w:rPr>
                <w:rFonts w:ascii="宋体" w:hAnsi="宋体" w:eastAsia="宋体" w:cs="宋体"/>
                <w:sz w:val="24"/>
                <w:szCs w:val="24"/>
              </w:rPr>
            </w:pPr>
            <w:r>
              <w:rPr>
                <w:rFonts w:hint="eastAsia" w:ascii="宋体" w:hAnsi="宋体" w:eastAsia="宋体"/>
              </w:rPr>
              <w:t xml:space="preserve">0.18% </w:t>
            </w:r>
          </w:p>
        </w:tc>
      </w:tr>
      <w:tr w14:paraId="31A50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920F60D">
            <w:pPr>
              <w:jc w:val="center"/>
              <w:rPr>
                <w:rFonts w:ascii="宋体" w:hAnsi="宋体" w:eastAsia="宋体" w:cs="宋体"/>
                <w:sz w:val="24"/>
                <w:szCs w:val="24"/>
              </w:rPr>
            </w:pPr>
            <w:r>
              <w:rPr>
                <w:rFonts w:hint="eastAsia" w:ascii="宋体" w:hAnsi="宋体" w:eastAsia="宋体"/>
              </w:rPr>
              <w:t xml:space="preserve">2021.10.11-2025.06.30 </w:t>
            </w:r>
          </w:p>
        </w:tc>
        <w:tc>
          <w:tcPr>
            <w:tcW w:w="0" w:type="auto"/>
            <w:shd w:val="clear" w:color="auto" w:fill="auto"/>
          </w:tcPr>
          <w:p w14:paraId="333DFEE9">
            <w:pPr>
              <w:jc w:val="center"/>
              <w:rPr>
                <w:rFonts w:ascii="宋体" w:hAnsi="宋体" w:eastAsia="宋体" w:cs="宋体"/>
                <w:sz w:val="24"/>
                <w:szCs w:val="24"/>
              </w:rPr>
            </w:pPr>
            <w:r>
              <w:rPr>
                <w:rFonts w:hint="eastAsia" w:ascii="宋体" w:hAnsi="宋体" w:eastAsia="宋体"/>
              </w:rPr>
              <w:t xml:space="preserve">8.23% </w:t>
            </w:r>
          </w:p>
        </w:tc>
        <w:tc>
          <w:tcPr>
            <w:tcW w:w="0" w:type="auto"/>
            <w:shd w:val="clear" w:color="auto" w:fill="auto"/>
          </w:tcPr>
          <w:p w14:paraId="458A543F">
            <w:pPr>
              <w:jc w:val="center"/>
              <w:rPr>
                <w:rFonts w:ascii="宋体" w:hAnsi="宋体" w:eastAsia="宋体" w:cs="宋体"/>
                <w:sz w:val="24"/>
                <w:szCs w:val="24"/>
              </w:rPr>
            </w:pPr>
            <w:r>
              <w:rPr>
                <w:rFonts w:hint="eastAsia" w:ascii="宋体" w:hAnsi="宋体" w:eastAsia="宋体"/>
              </w:rPr>
              <w:t xml:space="preserve">0.30% </w:t>
            </w:r>
          </w:p>
        </w:tc>
        <w:tc>
          <w:tcPr>
            <w:tcW w:w="0" w:type="auto"/>
            <w:shd w:val="clear" w:color="auto" w:fill="auto"/>
          </w:tcPr>
          <w:p w14:paraId="21E3596A">
            <w:pPr>
              <w:jc w:val="center"/>
              <w:rPr>
                <w:rFonts w:ascii="宋体" w:hAnsi="宋体" w:eastAsia="宋体" w:cs="宋体"/>
                <w:sz w:val="24"/>
                <w:szCs w:val="24"/>
              </w:rPr>
            </w:pPr>
            <w:r>
              <w:rPr>
                <w:rFonts w:hint="eastAsia" w:ascii="宋体" w:hAnsi="宋体" w:eastAsia="宋体"/>
              </w:rPr>
              <w:t xml:space="preserve">13.74% </w:t>
            </w:r>
          </w:p>
        </w:tc>
        <w:tc>
          <w:tcPr>
            <w:tcW w:w="0" w:type="auto"/>
            <w:shd w:val="clear" w:color="auto" w:fill="auto"/>
          </w:tcPr>
          <w:p w14:paraId="745F3E6B">
            <w:pPr>
              <w:jc w:val="center"/>
              <w:rPr>
                <w:rFonts w:ascii="宋体" w:hAnsi="宋体" w:eastAsia="宋体" w:cs="宋体"/>
                <w:sz w:val="24"/>
                <w:szCs w:val="24"/>
              </w:rPr>
            </w:pPr>
            <w:r>
              <w:rPr>
                <w:rFonts w:hint="eastAsia" w:ascii="宋体" w:hAnsi="宋体" w:eastAsia="宋体"/>
              </w:rPr>
              <w:t xml:space="preserve">0.17% </w:t>
            </w:r>
          </w:p>
        </w:tc>
        <w:tc>
          <w:tcPr>
            <w:tcW w:w="0" w:type="auto"/>
            <w:shd w:val="clear" w:color="auto" w:fill="auto"/>
          </w:tcPr>
          <w:p w14:paraId="0A4244E6">
            <w:pPr>
              <w:jc w:val="center"/>
              <w:rPr>
                <w:rFonts w:ascii="宋体" w:hAnsi="宋体" w:eastAsia="宋体" w:cs="宋体"/>
                <w:sz w:val="24"/>
                <w:szCs w:val="24"/>
              </w:rPr>
            </w:pPr>
            <w:r>
              <w:rPr>
                <w:rFonts w:hint="eastAsia" w:ascii="宋体" w:hAnsi="宋体" w:eastAsia="宋体"/>
              </w:rPr>
              <w:t xml:space="preserve">-5.51% </w:t>
            </w:r>
          </w:p>
        </w:tc>
        <w:tc>
          <w:tcPr>
            <w:tcW w:w="0" w:type="auto"/>
            <w:shd w:val="clear" w:color="auto" w:fill="auto"/>
          </w:tcPr>
          <w:p w14:paraId="4ABCFE9A">
            <w:pPr>
              <w:jc w:val="center"/>
              <w:rPr>
                <w:rFonts w:ascii="宋体" w:hAnsi="宋体" w:eastAsia="宋体" w:cs="宋体"/>
                <w:sz w:val="24"/>
                <w:szCs w:val="24"/>
              </w:rPr>
            </w:pPr>
            <w:r>
              <w:rPr>
                <w:rFonts w:hint="eastAsia" w:ascii="宋体" w:hAnsi="宋体" w:eastAsia="宋体"/>
              </w:rPr>
              <w:t xml:space="preserve">0.13% </w:t>
            </w:r>
          </w:p>
        </w:tc>
      </w:tr>
    </w:tbl>
    <w:p w14:paraId="28FE65BA">
      <w:pPr>
        <w:pStyle w:val="7"/>
        <w:spacing w:before="0" w:beforeAutospacing="0" w:after="0" w:afterAutospacing="0" w:line="360" w:lineRule="auto"/>
        <w:ind w:firstLine="420"/>
        <w:rPr>
          <w:sz w:val="21"/>
          <w:szCs w:val="21"/>
        </w:rPr>
      </w:pPr>
      <w:bookmarkStart w:id="143" w:name="chapter_level1_12_3500_section_1_end"/>
      <w:bookmarkEnd w:id="143"/>
      <w:bookmarkStart w:id="144" w:name="field_0_indatatable_1_end"/>
      <w:bookmarkEnd w:id="144"/>
      <w:r>
        <w:rPr>
          <w:rFonts w:hint="eastAsia"/>
          <w:sz w:val="21"/>
          <w:szCs w:val="21"/>
        </w:rPr>
        <w:t xml:space="preserve">  </w:t>
      </w:r>
    </w:p>
    <w:p w14:paraId="4F1A10B7">
      <w:pPr>
        <w:widowControl/>
        <w:jc w:val="left"/>
        <w:rPr>
          <w:rFonts w:ascii="宋体" w:hAnsi="宋体" w:eastAsia="宋体"/>
        </w:rPr>
      </w:pPr>
      <w:r>
        <w:rPr>
          <w:rFonts w:ascii="宋体" w:hAnsi="宋体" w:eastAsia="宋体"/>
        </w:rPr>
        <w:br w:type="page"/>
      </w:r>
    </w:p>
    <w:p w14:paraId="70051995">
      <w:pPr>
        <w:pStyle w:val="2"/>
        <w:jc w:val="center"/>
        <w:rPr>
          <w:rFonts w:ascii="宋体" w:hAnsi="宋体" w:eastAsia="宋体"/>
          <w:sz w:val="30"/>
        </w:rPr>
      </w:pPr>
      <w:bookmarkStart w:id="145" w:name="chapter_level1_13_62"/>
      <w:bookmarkStart w:id="146" w:name="_Toc209538277"/>
      <w:r>
        <w:rPr>
          <w:rFonts w:hint="eastAsia" w:ascii="宋体" w:hAnsi="宋体" w:eastAsia="宋体"/>
          <w:sz w:val="30"/>
        </w:rPr>
        <w:t>第十部分  基金的财产</w:t>
      </w:r>
      <w:bookmarkEnd w:id="145"/>
      <w:bookmarkEnd w:id="146"/>
    </w:p>
    <w:p w14:paraId="7620005C">
      <w:pPr>
        <w:pStyle w:val="7"/>
        <w:spacing w:before="0" w:beforeAutospacing="0" w:after="0" w:afterAutospacing="0" w:line="360" w:lineRule="auto"/>
        <w:ind w:firstLine="420"/>
        <w:rPr>
          <w:sz w:val="21"/>
          <w:szCs w:val="21"/>
        </w:rPr>
      </w:pPr>
      <w:bookmarkStart w:id="147" w:name="chapter_level1_13_62_section_1"/>
      <w:bookmarkEnd w:id="147"/>
      <w:r>
        <w:rPr>
          <w:rStyle w:val="11"/>
          <w:rFonts w:hint="eastAsia"/>
          <w:sz w:val="21"/>
          <w:szCs w:val="21"/>
        </w:rPr>
        <w:t>一、基金资产总值</w:t>
      </w:r>
    </w:p>
    <w:p w14:paraId="73437C87">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基金资产总值是指基金拥有的各类有价证券、银行存款本息和基金应收款项以及其他资产的价值总和。 </w:t>
      </w:r>
    </w:p>
    <w:p w14:paraId="168CF731">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4E1871E1">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367B0AE8">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0A5E522D">
      <w:pPr>
        <w:pStyle w:val="7"/>
        <w:spacing w:before="0" w:beforeAutospacing="0" w:after="0" w:afterAutospacing="0" w:line="360" w:lineRule="auto"/>
        <w:ind w:firstLine="420"/>
        <w:rPr>
          <w:sz w:val="21"/>
          <w:szCs w:val="21"/>
        </w:rPr>
      </w:pPr>
      <w:r>
        <w:rPr>
          <w:rFonts w:hint="eastAsia"/>
          <w:sz w:val="21"/>
          <w:szCs w:val="21"/>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1CF8B97F">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727868EC">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进行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201FA339">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48" w:name="chapter_level1_13_62_section_1_end"/>
      <w:bookmarkEnd w:id="148"/>
      <w:r>
        <w:rPr>
          <w:rFonts w:hint="eastAsia"/>
          <w:sz w:val="21"/>
          <w:szCs w:val="21"/>
        </w:rPr>
        <w:t xml:space="preserve">得相互抵销。非因基金财产本身承担的债务，不得对基金财产强制执行。 </w:t>
      </w:r>
    </w:p>
    <w:p w14:paraId="72BCF3C6">
      <w:pPr>
        <w:widowControl/>
        <w:jc w:val="left"/>
        <w:rPr>
          <w:rFonts w:ascii="宋体" w:hAnsi="宋体" w:eastAsia="宋体"/>
        </w:rPr>
      </w:pPr>
      <w:r>
        <w:rPr>
          <w:rFonts w:ascii="宋体" w:hAnsi="宋体" w:eastAsia="宋体"/>
        </w:rPr>
        <w:br w:type="page"/>
      </w:r>
    </w:p>
    <w:p w14:paraId="0A03FCB9">
      <w:pPr>
        <w:pStyle w:val="2"/>
        <w:jc w:val="center"/>
        <w:rPr>
          <w:rFonts w:ascii="宋体" w:hAnsi="宋体" w:eastAsia="宋体"/>
          <w:sz w:val="30"/>
        </w:rPr>
      </w:pPr>
      <w:bookmarkStart w:id="149" w:name="chapter_level1_14_63"/>
      <w:bookmarkStart w:id="150" w:name="_Toc209538278"/>
      <w:r>
        <w:rPr>
          <w:rFonts w:hint="eastAsia" w:ascii="宋体" w:hAnsi="宋体" w:eastAsia="宋体"/>
          <w:sz w:val="30"/>
        </w:rPr>
        <w:t>第十一部分  基金资产的估值</w:t>
      </w:r>
      <w:bookmarkEnd w:id="149"/>
      <w:bookmarkEnd w:id="150"/>
    </w:p>
    <w:p w14:paraId="1023C4BD">
      <w:pPr>
        <w:pStyle w:val="7"/>
        <w:spacing w:before="0" w:beforeAutospacing="0" w:after="0" w:afterAutospacing="0" w:line="360" w:lineRule="auto"/>
        <w:ind w:firstLine="420"/>
        <w:rPr>
          <w:sz w:val="21"/>
          <w:szCs w:val="21"/>
        </w:rPr>
      </w:pPr>
      <w:bookmarkStart w:id="151" w:name="chapter_level1_14_63_section_1"/>
      <w:bookmarkEnd w:id="151"/>
      <w:r>
        <w:rPr>
          <w:rStyle w:val="11"/>
          <w:rFonts w:hint="eastAsia"/>
          <w:sz w:val="21"/>
          <w:szCs w:val="21"/>
        </w:rPr>
        <w:t>一、估值日</w:t>
      </w:r>
    </w:p>
    <w:p w14:paraId="4BF3E13A">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35B9D710">
      <w:pPr>
        <w:pStyle w:val="7"/>
        <w:spacing w:before="0" w:beforeAutospacing="0" w:after="0" w:afterAutospacing="0" w:line="360" w:lineRule="auto"/>
        <w:ind w:firstLine="420"/>
        <w:rPr>
          <w:sz w:val="21"/>
          <w:szCs w:val="21"/>
        </w:rPr>
      </w:pPr>
      <w:r>
        <w:rPr>
          <w:rStyle w:val="11"/>
          <w:rFonts w:hint="eastAsia"/>
          <w:sz w:val="21"/>
          <w:szCs w:val="21"/>
        </w:rPr>
        <w:t>二、估值对象</w:t>
      </w:r>
    </w:p>
    <w:p w14:paraId="12ACE95B">
      <w:pPr>
        <w:pStyle w:val="7"/>
        <w:spacing w:before="0" w:beforeAutospacing="0" w:after="0" w:afterAutospacing="0" w:line="360" w:lineRule="auto"/>
        <w:ind w:firstLine="420"/>
        <w:rPr>
          <w:sz w:val="21"/>
          <w:szCs w:val="21"/>
        </w:rPr>
      </w:pPr>
      <w:r>
        <w:rPr>
          <w:rFonts w:hint="eastAsia"/>
          <w:sz w:val="21"/>
          <w:szCs w:val="21"/>
        </w:rPr>
        <w:t xml:space="preserve">基金所拥有的股票、股指期货合约、国债期货合约、股票期权合约、信用衍生品、债券和银行存款本息、应收款项、资产支持证券、其它投资等资产及负债。 </w:t>
      </w:r>
    </w:p>
    <w:p w14:paraId="6D59664A">
      <w:pPr>
        <w:pStyle w:val="7"/>
        <w:spacing w:before="0" w:beforeAutospacing="0" w:after="0" w:afterAutospacing="0" w:line="360" w:lineRule="auto"/>
        <w:ind w:firstLine="420"/>
        <w:rPr>
          <w:sz w:val="21"/>
          <w:szCs w:val="21"/>
        </w:rPr>
      </w:pPr>
      <w:r>
        <w:rPr>
          <w:rStyle w:val="11"/>
          <w:rFonts w:hint="eastAsia"/>
          <w:sz w:val="21"/>
          <w:szCs w:val="21"/>
        </w:rPr>
        <w:t>三、估值原则</w:t>
      </w:r>
    </w:p>
    <w:p w14:paraId="3C792913">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7BFDCD9E">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1E729CC0">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5A94DE98">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0195A415">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3E656D48">
      <w:pPr>
        <w:pStyle w:val="7"/>
        <w:spacing w:before="0" w:beforeAutospacing="0" w:after="0" w:afterAutospacing="0" w:line="360" w:lineRule="auto"/>
        <w:ind w:firstLine="420"/>
        <w:rPr>
          <w:sz w:val="21"/>
          <w:szCs w:val="21"/>
        </w:rPr>
      </w:pPr>
      <w:r>
        <w:rPr>
          <w:rStyle w:val="11"/>
          <w:rFonts w:hint="eastAsia"/>
          <w:sz w:val="21"/>
          <w:szCs w:val="21"/>
        </w:rPr>
        <w:t>四、估值方法</w:t>
      </w:r>
    </w:p>
    <w:p w14:paraId="7B6FD185">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0C68332E">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CA96A45">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35F7F633">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19410E0A">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30F00644">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52545FB1">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0BD12EEC">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4F15361E">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0DF7A2FB">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0129AC2A">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10028667">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1A378921">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4F6BEB7B">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1C3063C7">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34BB9453">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01667DD8">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5D0F0D18">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0832DBA9">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64073A5D">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10AAA350">
      <w:pPr>
        <w:pStyle w:val="7"/>
        <w:spacing w:before="0" w:beforeAutospacing="0" w:after="0" w:afterAutospacing="0" w:line="360" w:lineRule="auto"/>
        <w:ind w:firstLine="420"/>
        <w:rPr>
          <w:sz w:val="21"/>
          <w:szCs w:val="21"/>
        </w:rPr>
      </w:pPr>
      <w:r>
        <w:rPr>
          <w:rFonts w:hint="eastAsia"/>
          <w:sz w:val="21"/>
          <w:szCs w:val="21"/>
        </w:rPr>
        <w:t xml:space="preserve">8、本基金投资信用衍生品，信用衍生品按照第三方机构提供的当日估值价进行估值，但基金管理人依法应当承担的估值责任不因委托而免除。选定的第三方机构未提供估值价格的，依照有关法律法规及企业会计准则要求，采用合理估值技术确定公允价值。 </w:t>
      </w:r>
    </w:p>
    <w:p w14:paraId="22853939">
      <w:pPr>
        <w:pStyle w:val="7"/>
        <w:spacing w:before="0" w:beforeAutospacing="0" w:after="0" w:afterAutospacing="0" w:line="360" w:lineRule="auto"/>
        <w:ind w:firstLine="420"/>
        <w:rPr>
          <w:sz w:val="21"/>
          <w:szCs w:val="21"/>
        </w:rPr>
      </w:pPr>
      <w:r>
        <w:rPr>
          <w:rFonts w:hint="eastAsia"/>
          <w:sz w:val="21"/>
          <w:szCs w:val="21"/>
        </w:rPr>
        <w:t xml:space="preserve">9、汇率 </w:t>
      </w:r>
    </w:p>
    <w:p w14:paraId="1DBF01CA">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462105C9">
      <w:pPr>
        <w:pStyle w:val="7"/>
        <w:spacing w:before="0" w:beforeAutospacing="0" w:after="0" w:afterAutospacing="0" w:line="360" w:lineRule="auto"/>
        <w:ind w:firstLine="420"/>
        <w:rPr>
          <w:sz w:val="21"/>
          <w:szCs w:val="21"/>
        </w:rPr>
      </w:pPr>
      <w:r>
        <w:rPr>
          <w:rFonts w:hint="eastAsia"/>
          <w:sz w:val="21"/>
          <w:szCs w:val="21"/>
        </w:rPr>
        <w:t xml:space="preserve">10、本基金参与融资业务，按照相关法律法规和行业协会的相关规定进行估值。 </w:t>
      </w:r>
    </w:p>
    <w:p w14:paraId="486CE8C9">
      <w:pPr>
        <w:pStyle w:val="7"/>
        <w:spacing w:before="0" w:beforeAutospacing="0" w:after="0" w:afterAutospacing="0" w:line="360" w:lineRule="auto"/>
        <w:ind w:firstLine="420"/>
        <w:rPr>
          <w:sz w:val="21"/>
          <w:szCs w:val="21"/>
        </w:rPr>
      </w:pPr>
      <w:r>
        <w:rPr>
          <w:rFonts w:hint="eastAsia"/>
          <w:sz w:val="21"/>
          <w:szCs w:val="21"/>
        </w:rPr>
        <w:t xml:space="preserve">11、当发生大额申购或赎回情形时，基金管理人可以采用摆动定价机制，以确保基金估值的公平性。具体处理原则与操作规范遵循相关法律法规以及监管部门、自律规则的规定。 </w:t>
      </w:r>
    </w:p>
    <w:p w14:paraId="5E45FB95">
      <w:pPr>
        <w:pStyle w:val="7"/>
        <w:spacing w:before="0" w:beforeAutospacing="0" w:after="0" w:afterAutospacing="0" w:line="360" w:lineRule="auto"/>
        <w:ind w:firstLine="420"/>
        <w:rPr>
          <w:sz w:val="21"/>
          <w:szCs w:val="21"/>
        </w:rPr>
      </w:pPr>
      <w:r>
        <w:rPr>
          <w:rFonts w:hint="eastAsia"/>
          <w:sz w:val="21"/>
          <w:szCs w:val="21"/>
        </w:rPr>
        <w:t xml:space="preserve">12、本基金投资存托凭证的估值核算，依照境内上市交易的股票执行。 </w:t>
      </w:r>
    </w:p>
    <w:p w14:paraId="226CB657">
      <w:pPr>
        <w:pStyle w:val="7"/>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13、如有确凿证据表明按上述方法进行估值不能客观反映其公允价值的，基金管理人可根据具体情况与基金托管人商定后，按最能反映公允价值的价格估值。 </w:t>
      </w:r>
    </w:p>
    <w:p w14:paraId="18DDBE1B">
      <w:pPr>
        <w:pStyle w:val="7"/>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1BAF157D">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FA1C7FF">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52" w:name="chapter_level1_14_63_section_1_end"/>
      <w:bookmarkEnd w:id="152"/>
      <w:r>
        <w:rPr>
          <w:rFonts w:hint="eastAsia"/>
          <w:sz w:val="21"/>
          <w:szCs w:val="21"/>
        </w:rPr>
        <w:t xml:space="preserve">对外予以公布。 </w:t>
      </w:r>
    </w:p>
    <w:p w14:paraId="6BDFB70C">
      <w:pPr>
        <w:pStyle w:val="7"/>
        <w:spacing w:before="0" w:beforeAutospacing="0" w:after="0" w:afterAutospacing="0" w:line="360" w:lineRule="auto"/>
        <w:ind w:firstLine="420"/>
        <w:rPr>
          <w:sz w:val="21"/>
          <w:szCs w:val="21"/>
        </w:rPr>
      </w:pPr>
      <w:bookmarkStart w:id="153" w:name="chapter_level1_14_63_section_2"/>
      <w:bookmarkEnd w:id="153"/>
      <w:r>
        <w:rPr>
          <w:rStyle w:val="11"/>
          <w:rFonts w:hint="eastAsia"/>
          <w:sz w:val="21"/>
          <w:szCs w:val="21"/>
        </w:rPr>
        <w:t>五、估值程序</w:t>
      </w:r>
    </w:p>
    <w:p w14:paraId="453243EC">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1、各类基金份额净值是按照每个工作日闭市后，该类基金资产净值除以当日该类基金份额的余额数量计算，均精确到</w:t>
      </w:r>
      <w:bookmarkStart w:id="154" w:name="field_63_netdecimalvalue_1"/>
      <w:r>
        <w:rPr>
          <w:sz w:val="21"/>
          <w:szCs w:val="21"/>
        </w:rPr>
        <w:t>0.0001</w:t>
      </w:r>
      <w:bookmarkEnd w:id="154"/>
      <w:r>
        <w:rPr>
          <w:rFonts w:hint="eastAsia"/>
          <w:sz w:val="21"/>
          <w:szCs w:val="21"/>
        </w:rPr>
        <w:t>元，小数点后第</w:t>
      </w:r>
      <w:bookmarkStart w:id="155" w:name="field_0_netdecimaladd1_1"/>
      <w:r>
        <w:rPr>
          <w:sz w:val="21"/>
          <w:szCs w:val="21"/>
        </w:rPr>
        <w:t>5</w:t>
      </w:r>
      <w:bookmarkEnd w:id="155"/>
      <w:r>
        <w:rPr>
          <w:rFonts w:hint="eastAsia"/>
          <w:sz w:val="21"/>
          <w:szCs w:val="21"/>
        </w:rPr>
        <w:t xml:space="preserve">位四舍五入。基金管理人可以设立大额赎回情形下的净值精度应急调整机制。国家另有规定的，从其规定。 </w:t>
      </w:r>
    </w:p>
    <w:p w14:paraId="2EA6039E">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2A25DB25">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7D3753E3">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54188AB0">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56" w:name="field_63_netdecimal_1"/>
      <w:r>
        <w:rPr>
          <w:sz w:val="21"/>
          <w:szCs w:val="21"/>
        </w:rPr>
        <w:t>4</w:t>
      </w:r>
      <w:bookmarkEnd w:id="156"/>
      <w:r>
        <w:rPr>
          <w:rFonts w:hint="eastAsia"/>
          <w:sz w:val="21"/>
          <w:szCs w:val="21"/>
        </w:rPr>
        <w:t>位以内(含第</w:t>
      </w:r>
      <w:bookmarkStart w:id="157" w:name="field_63_netdecimal_2"/>
      <w:r>
        <w:rPr>
          <w:sz w:val="21"/>
          <w:szCs w:val="21"/>
        </w:rPr>
        <w:t>4</w:t>
      </w:r>
      <w:bookmarkEnd w:id="157"/>
      <w:r>
        <w:rPr>
          <w:rFonts w:hint="eastAsia"/>
          <w:sz w:val="21"/>
          <w:szCs w:val="21"/>
        </w:rPr>
        <w:t xml:space="preserve">位)发生估值错误时，视为该类基金份额净值错误。 </w:t>
      </w:r>
    </w:p>
    <w:p w14:paraId="14884794">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50E69ADC">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1E5EE66A">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4571EA8B">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0C376553">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7B04E85F">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121EA432">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083EDE1E">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54AB8CB2">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B07DFE2">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0F8BA03D">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5872B43C">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740B1D62">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7752B72A">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5B42794F">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6980CC7C">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08150A95">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8F685E9">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22607FC1">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3CBF15E5">
      <w:pPr>
        <w:pStyle w:val="7"/>
        <w:spacing w:before="0" w:beforeAutospacing="0" w:after="0" w:afterAutospacing="0" w:line="360" w:lineRule="auto"/>
        <w:ind w:firstLine="420"/>
        <w:rPr>
          <w:sz w:val="21"/>
          <w:szCs w:val="21"/>
        </w:rPr>
      </w:pPr>
      <w:r>
        <w:rPr>
          <w:rFonts w:hint="eastAsia"/>
          <w:sz w:val="21"/>
          <w:szCs w:val="21"/>
        </w:rPr>
        <w:t xml:space="preserve">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5734C698">
      <w:pPr>
        <w:pStyle w:val="7"/>
        <w:spacing w:before="0" w:beforeAutospacing="0" w:after="0" w:afterAutospacing="0" w:line="360" w:lineRule="auto"/>
        <w:ind w:firstLine="420"/>
        <w:rPr>
          <w:sz w:val="21"/>
          <w:szCs w:val="21"/>
        </w:rPr>
      </w:pPr>
      <w:r>
        <w:rPr>
          <w:rFonts w:hint="eastAsia"/>
          <w:sz w:val="21"/>
          <w:szCs w:val="21"/>
        </w:rPr>
        <w:t xml:space="preserve">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5F4BED10">
      <w:pPr>
        <w:pStyle w:val="7"/>
        <w:spacing w:before="0" w:beforeAutospacing="0" w:after="0" w:afterAutospacing="0" w:line="360" w:lineRule="auto"/>
        <w:ind w:firstLine="420"/>
        <w:rPr>
          <w:sz w:val="21"/>
          <w:szCs w:val="21"/>
        </w:rPr>
      </w:pPr>
      <w:r>
        <w:rPr>
          <w:rFonts w:hint="eastAsia"/>
          <w:sz w:val="21"/>
          <w:szCs w:val="21"/>
        </w:rPr>
        <w:t xml:space="preserve">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6016DA7C">
      <w:pPr>
        <w:pStyle w:val="7"/>
        <w:spacing w:before="0" w:beforeAutospacing="0" w:after="0" w:afterAutospacing="0" w:line="360" w:lineRule="auto"/>
        <w:ind w:firstLine="420"/>
        <w:rPr>
          <w:sz w:val="21"/>
          <w:szCs w:val="21"/>
        </w:rPr>
      </w:pPr>
      <w:r>
        <w:rPr>
          <w:rFonts w:hint="eastAsia"/>
          <w:sz w:val="21"/>
          <w:szCs w:val="21"/>
        </w:rPr>
        <w:t xml:space="preserve">④由于基金管理人提供的信息错误（包括但不限于基金申购或赎回金额等），进而导致基金份额净值计算错误而引起的基金份额持有人和基金财产的损失，由基金管理人负责赔付。 </w:t>
      </w:r>
    </w:p>
    <w:p w14:paraId="4847C9BE">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6F4FCA89">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2C92755A">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38D2A1B1">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05184FEC">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6A51AA2A">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2426378">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0AC6EABB">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3977AB7E">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3120C047">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1、基金管理人或基金托管人按估值方法的第13项进行估值时，所造成的误差不作为基金资产估值错误处理。 </w:t>
      </w:r>
    </w:p>
    <w:p w14:paraId="4A1322D2">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4FBD8FEB">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6A539448">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58" w:name="chapter_level1_14_63_section_2_end"/>
      <w:bookmarkEnd w:id="158"/>
      <w:r>
        <w:rPr>
          <w:rFonts w:hint="eastAsia"/>
          <w:sz w:val="21"/>
          <w:szCs w:val="21"/>
        </w:rPr>
        <w:t xml:space="preserve">的基金净值信息，暂停披露侧袋账户份额净值。 </w:t>
      </w:r>
    </w:p>
    <w:p w14:paraId="5BEF32BD">
      <w:pPr>
        <w:widowControl/>
        <w:jc w:val="left"/>
        <w:rPr>
          <w:rFonts w:ascii="宋体" w:hAnsi="宋体" w:eastAsia="宋体"/>
        </w:rPr>
      </w:pPr>
      <w:r>
        <w:rPr>
          <w:rFonts w:ascii="宋体" w:hAnsi="宋体" w:eastAsia="宋体"/>
        </w:rPr>
        <w:br w:type="page"/>
      </w:r>
    </w:p>
    <w:p w14:paraId="78D08767">
      <w:pPr>
        <w:pStyle w:val="2"/>
        <w:jc w:val="center"/>
        <w:rPr>
          <w:rFonts w:ascii="宋体" w:hAnsi="宋体" w:eastAsia="宋体"/>
          <w:sz w:val="30"/>
        </w:rPr>
      </w:pPr>
      <w:bookmarkStart w:id="159" w:name="chapter_level1_15_64"/>
      <w:bookmarkStart w:id="160" w:name="_Toc209538279"/>
      <w:r>
        <w:rPr>
          <w:rFonts w:hint="eastAsia" w:ascii="宋体" w:hAnsi="宋体" w:eastAsia="宋体"/>
          <w:sz w:val="30"/>
        </w:rPr>
        <w:t>第十二部分  基金的收益与分配</w:t>
      </w:r>
      <w:bookmarkEnd w:id="159"/>
      <w:bookmarkEnd w:id="160"/>
    </w:p>
    <w:p w14:paraId="3375B2D4">
      <w:pPr>
        <w:pStyle w:val="7"/>
        <w:spacing w:before="0" w:beforeAutospacing="0" w:after="0" w:afterAutospacing="0" w:line="360" w:lineRule="auto"/>
        <w:ind w:firstLine="420"/>
        <w:rPr>
          <w:sz w:val="21"/>
          <w:szCs w:val="21"/>
        </w:rPr>
      </w:pPr>
      <w:bookmarkStart w:id="161" w:name="chapter_level1_15_64_section_1"/>
      <w:bookmarkEnd w:id="161"/>
      <w:r>
        <w:rPr>
          <w:rStyle w:val="11"/>
          <w:rFonts w:hint="eastAsia"/>
          <w:sz w:val="21"/>
          <w:szCs w:val="21"/>
        </w:rPr>
        <w:t>一、基金利润的构成</w:t>
      </w:r>
    </w:p>
    <w:p w14:paraId="40984F22">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4C483925">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0566FB3C">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0D52EFDA">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66B280C4">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若投资者不选择，本基金默认的收益分配方式是现金分红；通过红利再投资所得基金份额的最短持有期起始日与该认/申购份额最短持有期起始日相同； </w:t>
      </w:r>
    </w:p>
    <w:p w14:paraId="0BEE305D">
      <w:pPr>
        <w:pStyle w:val="7"/>
        <w:spacing w:before="0" w:beforeAutospacing="0" w:after="0" w:afterAutospacing="0" w:line="360" w:lineRule="auto"/>
        <w:ind w:firstLine="420"/>
        <w:rPr>
          <w:sz w:val="21"/>
          <w:szCs w:val="21"/>
        </w:rPr>
      </w:pPr>
      <w:r>
        <w:rPr>
          <w:rFonts w:hint="eastAsia"/>
          <w:sz w:val="21"/>
          <w:szCs w:val="21"/>
        </w:rPr>
        <w:t xml:space="preserve">2、基金收益分配后各类基金份额净值不能低于面值，即基金收益分配基准日的各类基金份额净值减去每单位该类基金份额收益分配金额后不能低于面值； </w:t>
      </w:r>
    </w:p>
    <w:p w14:paraId="6D0D2D25">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3、由于本基金A类基金份额不收取销售服务费，C类基金份额收取销售服务费，各基金份额类别对应的可分配收益将有所不同。本基金同一类别每一基金份额享有同等分配权； </w:t>
      </w:r>
    </w:p>
    <w:p w14:paraId="455D09AC">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2709E33A">
      <w:pPr>
        <w:pStyle w:val="7"/>
        <w:spacing w:before="0" w:beforeAutospacing="0" w:after="0" w:afterAutospacing="0" w:line="360" w:lineRule="auto"/>
        <w:ind w:firstLine="420"/>
        <w:rPr>
          <w:sz w:val="21"/>
          <w:szCs w:val="21"/>
        </w:rPr>
      </w:pPr>
      <w:r>
        <w:rPr>
          <w:rFonts w:hint="eastAsia"/>
          <w:sz w:val="21"/>
          <w:szCs w:val="21"/>
        </w:rPr>
        <w:t>在符合法律法规及基金合同约定，并对基金份额持有人利益无实质不利影响的前提下，</w:t>
      </w:r>
      <w:bookmarkStart w:id="162" w:name="chapter_level1_15_64_section_1_end"/>
      <w:bookmarkEnd w:id="162"/>
      <w:r>
        <w:rPr>
          <w:rFonts w:hint="eastAsia"/>
          <w:sz w:val="21"/>
          <w:szCs w:val="21"/>
        </w:rPr>
        <w:t xml:space="preserve">基金管理人可对基金收益分配原则和支付方式进行调整，不需召开基金份额持有人大会。 </w:t>
      </w:r>
    </w:p>
    <w:p w14:paraId="1F34C4A0">
      <w:pPr>
        <w:pStyle w:val="7"/>
        <w:spacing w:before="0" w:beforeAutospacing="0" w:after="0" w:afterAutospacing="0" w:line="360" w:lineRule="auto"/>
        <w:ind w:firstLine="420"/>
        <w:rPr>
          <w:sz w:val="21"/>
          <w:szCs w:val="21"/>
        </w:rPr>
      </w:pPr>
      <w:bookmarkStart w:id="163" w:name="chapter_level1_15_64_section_2"/>
      <w:bookmarkEnd w:id="163"/>
      <w:r>
        <w:rPr>
          <w:rStyle w:val="11"/>
          <w:rFonts w:hint="eastAsia"/>
          <w:sz w:val="21"/>
          <w:szCs w:val="21"/>
        </w:rPr>
        <w:t>四、收益分配方案</w:t>
      </w:r>
    </w:p>
    <w:p w14:paraId="5DB028FD">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基金收益分配方案中应载明截止收益分配基准日的可供分配利润、基金收益分配对象、分配时间、分配数额及比例、分配方式等内容。 </w:t>
      </w:r>
    </w:p>
    <w:p w14:paraId="27C37D50">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0FCD3414">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4578C6A8">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26E98777">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1A204502">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26AAE266">
      <w:pPr>
        <w:pStyle w:val="7"/>
        <w:spacing w:before="0" w:beforeAutospacing="0" w:after="0" w:afterAutospacing="0" w:line="360" w:lineRule="auto"/>
        <w:ind w:firstLine="420"/>
        <w:rPr>
          <w:sz w:val="21"/>
          <w:szCs w:val="21"/>
        </w:rPr>
      </w:pPr>
      <w:bookmarkStart w:id="164" w:name="chapter_level1_15_64_section_2_end"/>
      <w:bookmarkEnd w:id="164"/>
      <w:r>
        <w:rPr>
          <w:rFonts w:hint="eastAsia"/>
          <w:sz w:val="21"/>
          <w:szCs w:val="21"/>
        </w:rPr>
        <w:t xml:space="preserve">本基金实施侧袋机制的，侧袋账户不进行收益分配。 </w:t>
      </w:r>
    </w:p>
    <w:p w14:paraId="22F7A78F">
      <w:pPr>
        <w:widowControl/>
        <w:jc w:val="left"/>
        <w:rPr>
          <w:rFonts w:ascii="宋体" w:hAnsi="宋体" w:eastAsia="宋体"/>
        </w:rPr>
      </w:pPr>
      <w:r>
        <w:rPr>
          <w:rFonts w:ascii="宋体" w:hAnsi="宋体" w:eastAsia="宋体"/>
        </w:rPr>
        <w:br w:type="page"/>
      </w:r>
    </w:p>
    <w:p w14:paraId="0F3B13B7">
      <w:pPr>
        <w:pStyle w:val="2"/>
        <w:jc w:val="center"/>
        <w:rPr>
          <w:rFonts w:ascii="宋体" w:hAnsi="宋体" w:eastAsia="宋体"/>
          <w:sz w:val="30"/>
        </w:rPr>
      </w:pPr>
      <w:bookmarkStart w:id="165" w:name="_Toc209538280"/>
      <w:bookmarkStart w:id="166" w:name="chapter_level1_16_65"/>
      <w:r>
        <w:rPr>
          <w:rFonts w:hint="eastAsia" w:ascii="宋体" w:hAnsi="宋体" w:eastAsia="宋体"/>
          <w:sz w:val="30"/>
        </w:rPr>
        <w:t>第十三部分  基金的费用与税收</w:t>
      </w:r>
      <w:bookmarkEnd w:id="165"/>
      <w:bookmarkEnd w:id="166"/>
    </w:p>
    <w:p w14:paraId="34420098">
      <w:pPr>
        <w:pStyle w:val="7"/>
        <w:spacing w:before="0" w:beforeAutospacing="0" w:after="0" w:afterAutospacing="0" w:line="360" w:lineRule="auto"/>
        <w:ind w:firstLine="420"/>
        <w:rPr>
          <w:sz w:val="21"/>
          <w:szCs w:val="21"/>
        </w:rPr>
      </w:pPr>
      <w:bookmarkStart w:id="167" w:name="chapter_level1_16_65_section_1"/>
      <w:bookmarkEnd w:id="167"/>
      <w:r>
        <w:rPr>
          <w:rStyle w:val="11"/>
          <w:rFonts w:hint="eastAsia"/>
          <w:sz w:val="21"/>
          <w:szCs w:val="21"/>
        </w:rPr>
        <w:t>一、基金费用的种类</w:t>
      </w:r>
    </w:p>
    <w:p w14:paraId="057673C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048B6B55">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6EEE6C1C">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541463BF">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3A1D9A30">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5、《基金合同》生效后与基金相关的会计师费、律师费、诉讼费和仲裁费； </w:t>
      </w:r>
    </w:p>
    <w:p w14:paraId="11A06596">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50C41CDD">
      <w:pPr>
        <w:pStyle w:val="7"/>
        <w:spacing w:before="0" w:beforeAutospacing="0" w:after="0" w:afterAutospacing="0" w:line="360" w:lineRule="auto"/>
        <w:ind w:firstLine="420"/>
        <w:rPr>
          <w:sz w:val="21"/>
          <w:szCs w:val="21"/>
        </w:rPr>
      </w:pPr>
      <w:r>
        <w:rPr>
          <w:rFonts w:hint="eastAsia"/>
          <w:sz w:val="21"/>
          <w:szCs w:val="21"/>
        </w:rPr>
        <w:t xml:space="preserve">7、基金的证券、期货、股票期权交易费用； </w:t>
      </w:r>
    </w:p>
    <w:p w14:paraId="0EA8A665">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6F03FA8A">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26BA0C49">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3E028DC8">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45C91DC0">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6B45C51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421538CF">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68" w:name="field_0_managementrate_1"/>
      <w:r>
        <w:rPr>
          <w:sz w:val="21"/>
          <w:szCs w:val="21"/>
        </w:rPr>
        <w:t>0.80</w:t>
      </w:r>
      <w:bookmarkEnd w:id="168"/>
      <w:r>
        <w:rPr>
          <w:rFonts w:hint="eastAsia"/>
          <w:sz w:val="21"/>
          <w:szCs w:val="21"/>
        </w:rPr>
        <w:t xml:space="preserve">%年费率计提。管理费的计算方法如下： </w:t>
      </w:r>
    </w:p>
    <w:p w14:paraId="48560A07">
      <w:pPr>
        <w:pStyle w:val="7"/>
        <w:spacing w:before="0" w:beforeAutospacing="0" w:after="0" w:afterAutospacing="0" w:line="360" w:lineRule="auto"/>
        <w:ind w:firstLine="420"/>
        <w:rPr>
          <w:sz w:val="21"/>
          <w:szCs w:val="21"/>
        </w:rPr>
      </w:pPr>
      <w:r>
        <w:rPr>
          <w:rFonts w:hint="eastAsia"/>
          <w:sz w:val="21"/>
          <w:szCs w:val="21"/>
        </w:rPr>
        <w:t>H＝E×</w:t>
      </w:r>
      <w:bookmarkStart w:id="169" w:name="field_0_managementrate_2"/>
      <w:r>
        <w:rPr>
          <w:sz w:val="21"/>
          <w:szCs w:val="21"/>
        </w:rPr>
        <w:t>0.80</w:t>
      </w:r>
      <w:bookmarkEnd w:id="169"/>
      <w:r>
        <w:rPr>
          <w:rFonts w:hint="eastAsia"/>
          <w:sz w:val="21"/>
          <w:szCs w:val="21"/>
        </w:rPr>
        <w:t xml:space="preserve">%÷当年天数 </w:t>
      </w:r>
    </w:p>
    <w:p w14:paraId="5424E76D">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2EE95F7A">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187DA658">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前3个工作日内从基金财产中一次性支付给基金管理人。若遇法定节假日、休息日或不可抗力等致使无法按时支付的，顺延至最近可支付日支付。 </w:t>
      </w:r>
    </w:p>
    <w:p w14:paraId="3F6C7D1C">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7A9099B9">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70" w:name="field_0_trusteerate_1"/>
      <w:r>
        <w:rPr>
          <w:sz w:val="21"/>
          <w:szCs w:val="21"/>
        </w:rPr>
        <w:t>0.15</w:t>
      </w:r>
      <w:bookmarkEnd w:id="170"/>
      <w:r>
        <w:rPr>
          <w:rFonts w:hint="eastAsia"/>
          <w:sz w:val="21"/>
          <w:szCs w:val="21"/>
        </w:rPr>
        <w:t xml:space="preserve">%年费率计提。托管费的计算方法如下： </w:t>
      </w:r>
    </w:p>
    <w:p w14:paraId="31B3E131">
      <w:pPr>
        <w:pStyle w:val="7"/>
        <w:spacing w:before="0" w:beforeAutospacing="0" w:after="0" w:afterAutospacing="0" w:line="360" w:lineRule="auto"/>
        <w:ind w:firstLine="420"/>
        <w:rPr>
          <w:sz w:val="21"/>
          <w:szCs w:val="21"/>
        </w:rPr>
      </w:pPr>
      <w:r>
        <w:rPr>
          <w:rFonts w:hint="eastAsia"/>
          <w:sz w:val="21"/>
          <w:szCs w:val="21"/>
        </w:rPr>
        <w:t>H＝E×</w:t>
      </w:r>
      <w:bookmarkStart w:id="171" w:name="field_0_trusteerate_2"/>
      <w:r>
        <w:rPr>
          <w:sz w:val="21"/>
          <w:szCs w:val="21"/>
        </w:rPr>
        <w:t>0.15</w:t>
      </w:r>
      <w:bookmarkEnd w:id="171"/>
      <w:r>
        <w:rPr>
          <w:rFonts w:hint="eastAsia"/>
          <w:sz w:val="21"/>
          <w:szCs w:val="21"/>
        </w:rPr>
        <w:t xml:space="preserve">%÷当年天数 </w:t>
      </w:r>
    </w:p>
    <w:p w14:paraId="0F907002">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20F0DF98">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319CEAF">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前3个工作日内从基金财产中一次性支取。若遇法定节假日、休息日或不可抗力等致使无法按时支付的，顺延至最近可支付日支付。 </w:t>
      </w:r>
    </w:p>
    <w:p w14:paraId="2923FED9">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39E6B47E">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本基金A类基金份额不收取销售服务费，C类基金份额的销售服务费按前一日C类基金份额资产净值的0.45%年费率计提。计算方法如下： </w:t>
      </w:r>
    </w:p>
    <w:p w14:paraId="6A43A145">
      <w:pPr>
        <w:pStyle w:val="7"/>
        <w:spacing w:before="0" w:beforeAutospacing="0" w:after="0" w:afterAutospacing="0" w:line="360" w:lineRule="auto"/>
        <w:ind w:firstLine="420"/>
        <w:rPr>
          <w:sz w:val="21"/>
          <w:szCs w:val="21"/>
        </w:rPr>
      </w:pPr>
      <w:r>
        <w:rPr>
          <w:rFonts w:hint="eastAsia"/>
          <w:sz w:val="21"/>
          <w:szCs w:val="21"/>
        </w:rPr>
        <w:t xml:space="preserve">H＝E×0.45%÷当年天数 </w:t>
      </w:r>
    </w:p>
    <w:p w14:paraId="01E456A0">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0A076904">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3D295B3A">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前3个工作日内从基金财产中一次性划出，由登记机构代收，登记机构收到后按相关合同规定支付给基金销售机构等。若遇法定节假日、休息日或不可抗力等致使无法按时支付的，顺延至最近可支付日支付。 </w:t>
      </w:r>
    </w:p>
    <w:p w14:paraId="4832A76E">
      <w:pPr>
        <w:pStyle w:val="7"/>
        <w:spacing w:before="0" w:beforeAutospacing="0" w:after="0" w:afterAutospacing="0" w:line="360" w:lineRule="auto"/>
        <w:ind w:firstLine="420"/>
        <w:rPr>
          <w:sz w:val="21"/>
          <w:szCs w:val="21"/>
        </w:rPr>
      </w:pPr>
      <w:r>
        <w:rPr>
          <w:rFonts w:hint="eastAsia"/>
          <w:sz w:val="21"/>
          <w:szCs w:val="21"/>
        </w:rPr>
        <w:t xml:space="preserve">销售服务费由登记机构代收，登记机构收到后按相关合同规定支付给基金销售机构等。 </w:t>
      </w:r>
    </w:p>
    <w:p w14:paraId="4FB5C33B">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62837E33">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57C64969">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2ACA3AB5">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26C4F8F7">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487BEB36">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38137A8C">
      <w:pPr>
        <w:pStyle w:val="7"/>
        <w:spacing w:before="0" w:beforeAutospacing="0" w:after="0" w:afterAutospacing="0" w:line="360" w:lineRule="auto"/>
        <w:ind w:firstLine="420"/>
        <w:rPr>
          <w:sz w:val="21"/>
          <w:szCs w:val="21"/>
        </w:rPr>
      </w:pPr>
      <w:r>
        <w:rPr>
          <w:rFonts w:hint="eastAsia"/>
          <w:sz w:val="21"/>
          <w:szCs w:val="21"/>
        </w:rPr>
        <w:t xml:space="preserve">4、其他根据相关法律法规及中国证监会的有关规定不得列入基金费用的项目。 </w:t>
      </w:r>
    </w:p>
    <w:p w14:paraId="120C37C3">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5AEA9FA0">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本基金实施侧袋机制的，与侧袋账户有关的费用可以从侧袋账户中列支，但应待侧袋账户资产变现后方可列支，有关费用可酌情收取或减免，但不得收取管理费，详见本招募说明书“侧袋机制”章节的规定。 </w:t>
      </w:r>
    </w:p>
    <w:p w14:paraId="688D447E">
      <w:pPr>
        <w:pStyle w:val="7"/>
        <w:spacing w:before="0" w:beforeAutospacing="0" w:after="0" w:afterAutospacing="0" w:line="360" w:lineRule="auto"/>
        <w:ind w:firstLine="420"/>
        <w:rPr>
          <w:sz w:val="21"/>
          <w:szCs w:val="21"/>
        </w:rPr>
      </w:pPr>
      <w:r>
        <w:rPr>
          <w:rStyle w:val="11"/>
          <w:rFonts w:hint="eastAsia"/>
          <w:sz w:val="21"/>
          <w:szCs w:val="21"/>
        </w:rPr>
        <w:t>五、基金税收</w:t>
      </w:r>
    </w:p>
    <w:p w14:paraId="5E96560B">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72" w:name="chapter_level1_16_65_section_1_end"/>
      <w:bookmarkEnd w:id="172"/>
      <w:r>
        <w:rPr>
          <w:rFonts w:hint="eastAsia"/>
          <w:sz w:val="21"/>
          <w:szCs w:val="21"/>
        </w:rPr>
        <w:t xml:space="preserve">税收征收的规定代扣代缴。 </w:t>
      </w:r>
    </w:p>
    <w:p w14:paraId="2CA0C6C6">
      <w:pPr>
        <w:widowControl/>
        <w:jc w:val="left"/>
        <w:rPr>
          <w:rFonts w:ascii="宋体" w:hAnsi="宋体" w:eastAsia="宋体"/>
        </w:rPr>
      </w:pPr>
      <w:r>
        <w:rPr>
          <w:rFonts w:ascii="宋体" w:hAnsi="宋体" w:eastAsia="宋体"/>
        </w:rPr>
        <w:br w:type="page"/>
      </w:r>
    </w:p>
    <w:p w14:paraId="471394F7">
      <w:pPr>
        <w:pStyle w:val="2"/>
        <w:jc w:val="center"/>
        <w:rPr>
          <w:rFonts w:ascii="宋体" w:hAnsi="宋体" w:eastAsia="宋体"/>
          <w:sz w:val="30"/>
        </w:rPr>
      </w:pPr>
      <w:bookmarkStart w:id="173" w:name="_Toc209538281"/>
      <w:bookmarkStart w:id="174" w:name="chapter_level1_17_66"/>
      <w:r>
        <w:rPr>
          <w:rFonts w:hint="eastAsia" w:ascii="宋体" w:hAnsi="宋体" w:eastAsia="宋体"/>
          <w:sz w:val="30"/>
        </w:rPr>
        <w:t>第十四部分  基金的会计与审计</w:t>
      </w:r>
      <w:bookmarkEnd w:id="173"/>
      <w:bookmarkEnd w:id="174"/>
    </w:p>
    <w:p w14:paraId="74D4383E">
      <w:pPr>
        <w:pStyle w:val="7"/>
        <w:spacing w:before="0" w:beforeAutospacing="0" w:after="0" w:afterAutospacing="0" w:line="360" w:lineRule="auto"/>
        <w:ind w:firstLine="420"/>
        <w:rPr>
          <w:sz w:val="21"/>
          <w:szCs w:val="21"/>
        </w:rPr>
      </w:pPr>
      <w:bookmarkStart w:id="175" w:name="chapter_level1_17_66_section_1"/>
      <w:bookmarkEnd w:id="175"/>
      <w:r>
        <w:rPr>
          <w:rStyle w:val="11"/>
          <w:rFonts w:hint="eastAsia"/>
          <w:sz w:val="21"/>
          <w:szCs w:val="21"/>
        </w:rPr>
        <w:t>一、基金会计政策</w:t>
      </w:r>
    </w:p>
    <w:p w14:paraId="5DC719A7">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3BB36FDF">
      <w:pPr>
        <w:pStyle w:val="7"/>
        <w:spacing w:before="0" w:beforeAutospacing="0" w:after="0" w:afterAutospacing="0" w:line="360" w:lineRule="auto"/>
        <w:ind w:firstLine="420"/>
        <w:rPr>
          <w:sz w:val="21"/>
          <w:szCs w:val="21"/>
        </w:rPr>
      </w:pPr>
      <w:r>
        <w:rPr>
          <w:rFonts w:hint="eastAsia"/>
          <w:sz w:val="21"/>
          <w:szCs w:val="21"/>
        </w:rPr>
        <w:t xml:space="preserve">2、基金的会计年度为公历年度的1月1日至12月31日；基金首次募集的会计年度按如下原则：如果《基金合同》生效少于2个月，可以并入下一个会计年度披露； </w:t>
      </w:r>
    </w:p>
    <w:p w14:paraId="622F429D">
      <w:pPr>
        <w:pStyle w:val="7"/>
        <w:spacing w:before="0" w:beforeAutospacing="0" w:after="0" w:afterAutospacing="0" w:line="360" w:lineRule="auto"/>
        <w:ind w:firstLine="420"/>
        <w:rPr>
          <w:sz w:val="21"/>
          <w:szCs w:val="21"/>
        </w:rPr>
      </w:pPr>
      <w:r>
        <w:rPr>
          <w:rFonts w:hint="eastAsia"/>
          <w:sz w:val="21"/>
          <w:szCs w:val="21"/>
        </w:rPr>
        <w:t xml:space="preserve">3、基金核算以人民币为记账本位币，以人民币元为记账单位； </w:t>
      </w:r>
    </w:p>
    <w:p w14:paraId="378C1B58">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1052DF66">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3E23216E">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05006E62">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7、基金托管人每月与基金管理人就基金的会计核算、报表编制等进行核对并以书面约定的方式确认。 </w:t>
      </w:r>
    </w:p>
    <w:p w14:paraId="78201ABE">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7CA60552">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1、基金管理人聘请与基金管理人、基金托管人相互独立且符合《证券法》规定的会计师事务所及其注册会计师对本基金的年度财务报表进行审计。 </w:t>
      </w:r>
    </w:p>
    <w:p w14:paraId="661845B5">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2E79052D">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76" w:name="chapter_level1_17_66_section_1_end"/>
      <w:bookmarkEnd w:id="176"/>
      <w:r>
        <w:rPr>
          <w:rFonts w:hint="eastAsia"/>
          <w:sz w:val="21"/>
          <w:szCs w:val="21"/>
        </w:rPr>
        <w:t xml:space="preserve">务所需按规定在规定媒介公告。 </w:t>
      </w:r>
    </w:p>
    <w:p w14:paraId="25D72971">
      <w:pPr>
        <w:widowControl/>
        <w:jc w:val="left"/>
        <w:rPr>
          <w:rFonts w:ascii="宋体" w:hAnsi="宋体" w:eastAsia="宋体"/>
        </w:rPr>
      </w:pPr>
      <w:r>
        <w:rPr>
          <w:rFonts w:ascii="宋体" w:hAnsi="宋体" w:eastAsia="宋体"/>
        </w:rPr>
        <w:br w:type="page"/>
      </w:r>
    </w:p>
    <w:p w14:paraId="158340CA">
      <w:pPr>
        <w:pStyle w:val="2"/>
        <w:jc w:val="center"/>
        <w:rPr>
          <w:rFonts w:ascii="宋体" w:hAnsi="宋体" w:eastAsia="宋体"/>
          <w:sz w:val="30"/>
        </w:rPr>
      </w:pPr>
      <w:bookmarkStart w:id="177" w:name="_Toc209538282"/>
      <w:bookmarkStart w:id="178" w:name="chapter_level1_18_67"/>
      <w:r>
        <w:rPr>
          <w:rFonts w:hint="eastAsia" w:ascii="宋体" w:hAnsi="宋体" w:eastAsia="宋体"/>
          <w:sz w:val="30"/>
        </w:rPr>
        <w:t>第十五部分  基金的信息披露</w:t>
      </w:r>
      <w:bookmarkEnd w:id="177"/>
      <w:bookmarkEnd w:id="178"/>
    </w:p>
    <w:p w14:paraId="0218D50F">
      <w:pPr>
        <w:pStyle w:val="7"/>
        <w:spacing w:before="0" w:beforeAutospacing="0" w:after="0" w:afterAutospacing="0" w:line="360" w:lineRule="auto"/>
        <w:ind w:firstLine="420"/>
        <w:rPr>
          <w:sz w:val="21"/>
          <w:szCs w:val="21"/>
        </w:rPr>
      </w:pPr>
      <w:bookmarkStart w:id="179" w:name="chapter_level1_18_67_section_1"/>
      <w:bookmarkEnd w:id="179"/>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11165B56">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01D81256">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本基金信息披露义务人包括基金管理人、基金托管人、召集基金份额持有人大会的基金份额持有人等法律、行政法规和中国证监会规定的自然人、法人和非法人组织。 </w:t>
      </w:r>
    </w:p>
    <w:p w14:paraId="6C3F6436">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72E92147">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 </w:t>
      </w:r>
    </w:p>
    <w:p w14:paraId="348245D1">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436558D0">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34CCCC2E">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22EFE87E">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7541003A">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3AF70B3F">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5C779A28">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1B3E64FF">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1B484562">
      <w:pPr>
        <w:pStyle w:val="7"/>
        <w:spacing w:before="0" w:beforeAutospacing="0" w:after="0" w:afterAutospacing="0" w:line="360" w:lineRule="auto"/>
        <w:ind w:firstLine="420"/>
        <w:rPr>
          <w:sz w:val="21"/>
          <w:szCs w:val="21"/>
        </w:rPr>
      </w:pPr>
      <w:bookmarkStart w:id="180" w:name="chapter_level1_18_67_section_1_end"/>
      <w:bookmarkEnd w:id="180"/>
      <w:r>
        <w:rPr>
          <w:rFonts w:hint="eastAsia"/>
          <w:sz w:val="21"/>
          <w:szCs w:val="21"/>
        </w:rPr>
        <w:t xml:space="preserve">本基金公开披露的信息采用阿拉伯数字；除特别说明外，货币单位为人民币元。 </w:t>
      </w:r>
    </w:p>
    <w:p w14:paraId="12437587">
      <w:pPr>
        <w:pStyle w:val="7"/>
        <w:spacing w:before="0" w:beforeAutospacing="0" w:after="0" w:afterAutospacing="0" w:line="360" w:lineRule="auto"/>
        <w:ind w:firstLine="420"/>
        <w:rPr>
          <w:sz w:val="21"/>
          <w:szCs w:val="21"/>
        </w:rPr>
      </w:pPr>
      <w:bookmarkStart w:id="181" w:name="chapter_level1_18_67_section_2"/>
      <w:bookmarkEnd w:id="181"/>
      <w:r>
        <w:rPr>
          <w:rStyle w:val="11"/>
          <w:rFonts w:hint="eastAsia"/>
          <w:sz w:val="21"/>
          <w:szCs w:val="21"/>
        </w:rPr>
        <w:t>五、公开披露的基金信息</w:t>
      </w:r>
    </w:p>
    <w:p w14:paraId="1FE7164B">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38F90C9E">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12EB636E">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378A6166">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71A81982">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7D8C8557">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238E538E">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4AB30965">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784DE49A">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基金管理人应当就基金份额发售的具体事宜编制基金份额发售公告，并在披露招募说明书的当日登载于规定媒介上。 </w:t>
      </w:r>
    </w:p>
    <w:p w14:paraId="690B6783">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44941E24">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基金管理人应当在收到中国证监会确认文件的次日在规定媒介上登载《基金合同》生效公告。 </w:t>
      </w:r>
    </w:p>
    <w:p w14:paraId="6A3DED4C">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253A363F">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《基金合同》生效后，在开始办理基金份额申购或者赎回前，基金管理人应当至少每周在规定网站披露一次各类基金份额净值和各类基金份额累计净值。 </w:t>
      </w:r>
    </w:p>
    <w:p w14:paraId="7A96C417">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在开始办理基金份额申购或者赎回后，基金管理人应当在不晚于每个开放日的次日，通过规定网站、基金销售机构网站或者营业网点披露开放日的各类基金份额净值和各类基金份额累计净值。 </w:t>
      </w:r>
    </w:p>
    <w:p w14:paraId="72466E20">
      <w:pPr>
        <w:pStyle w:val="7"/>
        <w:spacing w:before="0" w:beforeAutospacing="0" w:after="0" w:afterAutospacing="0" w:line="360" w:lineRule="auto"/>
        <w:ind w:firstLine="420"/>
        <w:rPr>
          <w:sz w:val="21"/>
          <w:szCs w:val="21"/>
        </w:rPr>
      </w:pPr>
      <w:r>
        <w:rPr>
          <w:rFonts w:hint="eastAsia"/>
          <w:sz w:val="21"/>
          <w:szCs w:val="21"/>
        </w:rPr>
        <w:t xml:space="preserve">基金管理人应当在不晚于半年度和年度最后一日的次日，在规定网站披露半年度和年度最后一日的各类基金份额净值和各类基金份额累计净值。 </w:t>
      </w:r>
    </w:p>
    <w:p w14:paraId="358553AA">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4CECD6EC">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2B805DB9">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（六）基金定期报告，包括基金年度报告、基金中期报告和基金季度报告（含资产组合季度报告） </w:t>
      </w:r>
    </w:p>
    <w:p w14:paraId="1B3E9B98">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38E8B1E6">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基金管理人应当在上半年结束之日起两个月内，编制完成基金中期报告，将中期报告登载在规定网站上，并将中期报告提示性公告登载在规定报刊上。 </w:t>
      </w:r>
    </w:p>
    <w:p w14:paraId="726BEC58">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57EBA838">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1AC533C7">
      <w:pPr>
        <w:pStyle w:val="7"/>
        <w:spacing w:before="0" w:beforeAutospacing="0" w:after="0" w:afterAutospacing="0" w:line="360" w:lineRule="auto"/>
        <w:ind w:firstLine="420"/>
        <w:rPr>
          <w:sz w:val="21"/>
          <w:szCs w:val="21"/>
        </w:rPr>
      </w:pPr>
      <w:r>
        <w:rPr>
          <w:rFonts w:hint="eastAsia"/>
          <w:sz w:val="21"/>
          <w:szCs w:val="21"/>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3A8F9F99">
      <w:pPr>
        <w:pStyle w:val="7"/>
        <w:spacing w:before="0" w:beforeAutospacing="0" w:after="0" w:afterAutospacing="0" w:line="360" w:lineRule="auto"/>
        <w:ind w:firstLine="420"/>
        <w:rPr>
          <w:sz w:val="21"/>
          <w:szCs w:val="21"/>
        </w:rPr>
      </w:pPr>
      <w:r>
        <w:rPr>
          <w:rFonts w:hint="eastAsia"/>
          <w:sz w:val="21"/>
          <w:szCs w:val="21"/>
        </w:rPr>
        <w:t xml:space="preserve">基金管理人应当在基金年度报告和中期报告中披露基金组合资产情况及其流动性风险分析等。 </w:t>
      </w:r>
    </w:p>
    <w:p w14:paraId="053B65AA">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61E82226">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本基金发生重大事件，有关信息披露义务人应当按规定编制临时报告书，并登载在规定报刊和规定网站上。 </w:t>
      </w:r>
    </w:p>
    <w:p w14:paraId="4F89BEC5">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568EE3B4">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67A26D91">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19F32F26">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058C2EDE">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266DE2AC">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66035A4F">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78FAAD0C">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0DA5AAB4">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3116380B">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2A6A368">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 </w:t>
      </w:r>
    </w:p>
    <w:p w14:paraId="06335C5B">
      <w:pPr>
        <w:pStyle w:val="7"/>
        <w:spacing w:before="0" w:beforeAutospacing="0" w:after="0" w:afterAutospacing="0" w:line="360" w:lineRule="auto"/>
        <w:ind w:firstLine="420"/>
        <w:rPr>
          <w:sz w:val="21"/>
          <w:szCs w:val="21"/>
        </w:rPr>
      </w:pPr>
      <w:r>
        <w:rPr>
          <w:rFonts w:hint="eastAsia"/>
          <w:sz w:val="21"/>
          <w:szCs w:val="21"/>
        </w:rPr>
        <w:t xml:space="preserve">11、基金管理人、基金托管人专门基金托管部门的主要业务人员在最近12个月内变动超过百分之三十； </w:t>
      </w:r>
    </w:p>
    <w:p w14:paraId="3BD6D754">
      <w:pPr>
        <w:pStyle w:val="7"/>
        <w:spacing w:before="0" w:beforeAutospacing="0" w:after="0" w:afterAutospacing="0" w:line="360" w:lineRule="auto"/>
        <w:ind w:firstLine="420"/>
        <w:rPr>
          <w:sz w:val="21"/>
          <w:szCs w:val="21"/>
        </w:rPr>
      </w:pPr>
      <w:r>
        <w:rPr>
          <w:rFonts w:hint="eastAsia"/>
          <w:sz w:val="21"/>
          <w:szCs w:val="21"/>
        </w:rPr>
        <w:t xml:space="preserve">12、涉及基金财产、基金管理业务、基金托管业务的诉讼或仲裁； </w:t>
      </w:r>
    </w:p>
    <w:p w14:paraId="2E0412CB">
      <w:pPr>
        <w:pStyle w:val="7"/>
        <w:spacing w:before="0" w:beforeAutospacing="0" w:after="0" w:afterAutospacing="0" w:line="360" w:lineRule="auto"/>
        <w:ind w:firstLine="420"/>
        <w:rPr>
          <w:sz w:val="21"/>
          <w:szCs w:val="21"/>
        </w:rPr>
      </w:pPr>
      <w:r>
        <w:rPr>
          <w:rFonts w:hint="eastAsia"/>
          <w:sz w:val="21"/>
          <w:szCs w:val="21"/>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2A56A72C">
      <w:pPr>
        <w:pStyle w:val="7"/>
        <w:spacing w:before="0" w:beforeAutospacing="0" w:after="0" w:afterAutospacing="0" w:line="360" w:lineRule="auto"/>
        <w:ind w:firstLine="420"/>
        <w:rPr>
          <w:sz w:val="21"/>
          <w:szCs w:val="21"/>
        </w:rPr>
      </w:pPr>
      <w:r>
        <w:rPr>
          <w:rFonts w:hint="eastAsia"/>
          <w:sz w:val="21"/>
          <w:szCs w:val="21"/>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231D0250">
      <w:pPr>
        <w:pStyle w:val="7"/>
        <w:spacing w:before="0" w:beforeAutospacing="0" w:after="0" w:afterAutospacing="0" w:line="360" w:lineRule="auto"/>
        <w:ind w:firstLine="420"/>
        <w:rPr>
          <w:sz w:val="21"/>
          <w:szCs w:val="21"/>
        </w:rPr>
      </w:pPr>
      <w:r>
        <w:rPr>
          <w:rFonts w:hint="eastAsia"/>
          <w:sz w:val="21"/>
          <w:szCs w:val="21"/>
        </w:rPr>
        <w:t xml:space="preserve">15、基金收益分配事项； </w:t>
      </w:r>
    </w:p>
    <w:p w14:paraId="34A0EEE2">
      <w:pPr>
        <w:pStyle w:val="7"/>
        <w:spacing w:before="0" w:beforeAutospacing="0" w:after="0" w:afterAutospacing="0" w:line="360" w:lineRule="auto"/>
        <w:ind w:firstLine="420"/>
        <w:rPr>
          <w:sz w:val="21"/>
          <w:szCs w:val="21"/>
        </w:rPr>
      </w:pPr>
      <w:r>
        <w:rPr>
          <w:rFonts w:hint="eastAsia"/>
          <w:sz w:val="21"/>
          <w:szCs w:val="21"/>
        </w:rPr>
        <w:t xml:space="preserve">16、管理费、托管费、销售服务费、申购费、赎回费等费用计提标准、计提方式和费率发生变更； </w:t>
      </w:r>
    </w:p>
    <w:p w14:paraId="5BE0E872">
      <w:pPr>
        <w:pStyle w:val="7"/>
        <w:spacing w:before="0" w:beforeAutospacing="0" w:after="0" w:afterAutospacing="0" w:line="360" w:lineRule="auto"/>
        <w:ind w:firstLine="420"/>
        <w:rPr>
          <w:sz w:val="21"/>
          <w:szCs w:val="21"/>
        </w:rPr>
      </w:pPr>
      <w:r>
        <w:rPr>
          <w:rFonts w:hint="eastAsia"/>
          <w:sz w:val="21"/>
          <w:szCs w:val="21"/>
        </w:rPr>
        <w:t xml:space="preserve">17、任一类基金份额净值估值错误达该类基金份额净值百分之零点五； </w:t>
      </w:r>
    </w:p>
    <w:p w14:paraId="0BE585FD">
      <w:pPr>
        <w:pStyle w:val="7"/>
        <w:spacing w:before="0" w:beforeAutospacing="0" w:after="0" w:afterAutospacing="0" w:line="360" w:lineRule="auto"/>
        <w:ind w:firstLine="420"/>
        <w:rPr>
          <w:sz w:val="21"/>
          <w:szCs w:val="21"/>
        </w:rPr>
      </w:pPr>
      <w:r>
        <w:rPr>
          <w:rFonts w:hint="eastAsia"/>
          <w:sz w:val="21"/>
          <w:szCs w:val="21"/>
        </w:rPr>
        <w:t xml:space="preserve">18、本基金开始办理申购、赎回； </w:t>
      </w:r>
    </w:p>
    <w:p w14:paraId="02B529B4">
      <w:pPr>
        <w:pStyle w:val="7"/>
        <w:spacing w:before="0" w:beforeAutospacing="0" w:after="0" w:afterAutospacing="0" w:line="360" w:lineRule="auto"/>
        <w:ind w:firstLine="420"/>
        <w:rPr>
          <w:sz w:val="21"/>
          <w:szCs w:val="21"/>
        </w:rPr>
      </w:pPr>
      <w:r>
        <w:rPr>
          <w:rFonts w:hint="eastAsia"/>
          <w:sz w:val="21"/>
          <w:szCs w:val="21"/>
        </w:rPr>
        <w:t xml:space="preserve">19、本基金发生巨额赎回并延期办理； </w:t>
      </w:r>
    </w:p>
    <w:p w14:paraId="00AA31B3">
      <w:pPr>
        <w:pStyle w:val="7"/>
        <w:spacing w:before="0" w:beforeAutospacing="0" w:after="0" w:afterAutospacing="0" w:line="360" w:lineRule="auto"/>
        <w:ind w:firstLine="420"/>
        <w:rPr>
          <w:sz w:val="21"/>
          <w:szCs w:val="21"/>
        </w:rPr>
      </w:pPr>
      <w:r>
        <w:rPr>
          <w:rFonts w:hint="eastAsia"/>
          <w:sz w:val="21"/>
          <w:szCs w:val="21"/>
        </w:rPr>
        <w:t xml:space="preserve">20、本基金连续发生巨额赎回并暂停接受赎回申请或延缓支付赎回款项； </w:t>
      </w:r>
    </w:p>
    <w:p w14:paraId="4BECD217">
      <w:pPr>
        <w:pStyle w:val="7"/>
        <w:spacing w:before="0" w:beforeAutospacing="0" w:after="0" w:afterAutospacing="0" w:line="360" w:lineRule="auto"/>
        <w:ind w:firstLine="420"/>
        <w:rPr>
          <w:sz w:val="21"/>
          <w:szCs w:val="21"/>
        </w:rPr>
      </w:pPr>
      <w:r>
        <w:rPr>
          <w:rFonts w:hint="eastAsia"/>
          <w:sz w:val="21"/>
          <w:szCs w:val="21"/>
        </w:rPr>
        <w:t xml:space="preserve">21、本基金暂停接受申购、赎回申请或重新接受申购、赎回申请； </w:t>
      </w:r>
    </w:p>
    <w:p w14:paraId="5A6826E4">
      <w:pPr>
        <w:pStyle w:val="7"/>
        <w:spacing w:before="0" w:beforeAutospacing="0" w:after="0" w:afterAutospacing="0" w:line="360" w:lineRule="auto"/>
        <w:ind w:firstLine="420"/>
        <w:rPr>
          <w:sz w:val="21"/>
          <w:szCs w:val="21"/>
        </w:rPr>
      </w:pPr>
      <w:r>
        <w:rPr>
          <w:rFonts w:hint="eastAsia"/>
          <w:sz w:val="21"/>
          <w:szCs w:val="21"/>
        </w:rPr>
        <w:t xml:space="preserve">22、调整基金份额类别的设置； </w:t>
      </w:r>
    </w:p>
    <w:p w14:paraId="01D1DE25">
      <w:pPr>
        <w:pStyle w:val="7"/>
        <w:spacing w:before="0" w:beforeAutospacing="0" w:after="0" w:afterAutospacing="0" w:line="360" w:lineRule="auto"/>
        <w:ind w:firstLine="420"/>
        <w:rPr>
          <w:sz w:val="21"/>
          <w:szCs w:val="21"/>
        </w:rPr>
      </w:pPr>
      <w:r>
        <w:rPr>
          <w:rFonts w:hint="eastAsia"/>
          <w:sz w:val="21"/>
          <w:szCs w:val="21"/>
        </w:rPr>
        <w:t xml:space="preserve">23、基金推出新业务或服务； </w:t>
      </w:r>
    </w:p>
    <w:p w14:paraId="49BBF05D">
      <w:pPr>
        <w:pStyle w:val="7"/>
        <w:spacing w:before="0" w:beforeAutospacing="0" w:after="0" w:afterAutospacing="0" w:line="360" w:lineRule="auto"/>
        <w:ind w:firstLine="420"/>
        <w:rPr>
          <w:sz w:val="21"/>
          <w:szCs w:val="21"/>
        </w:rPr>
      </w:pPr>
      <w:r>
        <w:rPr>
          <w:rFonts w:hint="eastAsia"/>
          <w:sz w:val="21"/>
          <w:szCs w:val="21"/>
        </w:rPr>
        <w:t xml:space="preserve">24、发生涉及本基金申购、赎回事项调整或潜在影响投资者赎回等重大事项时； </w:t>
      </w:r>
    </w:p>
    <w:p w14:paraId="5B44AE5C">
      <w:pPr>
        <w:pStyle w:val="7"/>
        <w:spacing w:before="0" w:beforeAutospacing="0" w:after="0" w:afterAutospacing="0" w:line="360" w:lineRule="auto"/>
        <w:ind w:firstLine="420"/>
        <w:rPr>
          <w:sz w:val="21"/>
          <w:szCs w:val="21"/>
        </w:rPr>
      </w:pPr>
      <w:r>
        <w:rPr>
          <w:rFonts w:hint="eastAsia"/>
          <w:sz w:val="21"/>
          <w:szCs w:val="21"/>
        </w:rPr>
        <w:t xml:space="preserve">25、基金管理人采用摆动定价机制进行估值时； </w:t>
      </w:r>
    </w:p>
    <w:p w14:paraId="2C38502D">
      <w:pPr>
        <w:pStyle w:val="7"/>
        <w:spacing w:before="0" w:beforeAutospacing="0" w:after="0" w:afterAutospacing="0" w:line="360" w:lineRule="auto"/>
        <w:ind w:firstLine="420"/>
        <w:rPr>
          <w:sz w:val="21"/>
          <w:szCs w:val="21"/>
        </w:rPr>
      </w:pPr>
      <w:r>
        <w:rPr>
          <w:rFonts w:hint="eastAsia"/>
          <w:sz w:val="21"/>
          <w:szCs w:val="21"/>
        </w:rPr>
        <w:t xml:space="preserve">26、连续30个工作日、40个工作日及45个工作日出现基金份额持有人数量不满二百人或者基金资产净值低于五千万元情形的； </w:t>
      </w:r>
    </w:p>
    <w:p w14:paraId="6DCA631F">
      <w:pPr>
        <w:pStyle w:val="7"/>
        <w:spacing w:before="0" w:beforeAutospacing="0" w:after="0" w:afterAutospacing="0" w:line="360" w:lineRule="auto"/>
        <w:ind w:firstLine="420"/>
        <w:rPr>
          <w:sz w:val="21"/>
          <w:szCs w:val="21"/>
        </w:rPr>
      </w:pPr>
      <w:r>
        <w:rPr>
          <w:rFonts w:hint="eastAsia"/>
          <w:sz w:val="21"/>
          <w:szCs w:val="21"/>
        </w:rPr>
        <w:t xml:space="preserve">27、基金信息披露义务人认为可能对基金份额持有人权益或者基金份额的价格产生重大影响的其他事项或中国证监会规定的其他事项。 </w:t>
      </w:r>
    </w:p>
    <w:p w14:paraId="71AB8F79">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5FD06251">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2D109862">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67E1172C">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17CFBC3C">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4CAE94AF">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0CEEFB16">
      <w:pPr>
        <w:pStyle w:val="7"/>
        <w:spacing w:before="0" w:beforeAutospacing="0" w:after="0" w:afterAutospacing="0" w:line="360" w:lineRule="auto"/>
        <w:ind w:firstLine="420"/>
        <w:rPr>
          <w:sz w:val="21"/>
          <w:szCs w:val="21"/>
        </w:rPr>
      </w:pPr>
      <w:r>
        <w:rPr>
          <w:rFonts w:hint="eastAsia"/>
          <w:sz w:val="21"/>
          <w:szCs w:val="21"/>
        </w:rPr>
        <w:t xml:space="preserve">（十一）投资股指期货、国债期货、股票期权的信息披露 </w:t>
      </w:r>
    </w:p>
    <w:p w14:paraId="6585F92A">
      <w:pPr>
        <w:pStyle w:val="7"/>
        <w:spacing w:before="0" w:beforeAutospacing="0" w:after="0" w:afterAutospacing="0" w:line="360" w:lineRule="auto"/>
        <w:ind w:firstLine="420"/>
        <w:rPr>
          <w:sz w:val="21"/>
          <w:szCs w:val="21"/>
        </w:rPr>
      </w:pPr>
      <w:r>
        <w:rPr>
          <w:rFonts w:hint="eastAsia"/>
          <w:sz w:val="21"/>
          <w:szCs w:val="21"/>
        </w:rPr>
        <w:t xml:space="preserve">基金管理人应当在基金季度报告、基金中期报告、基金年度报告等定期报告和招募说明书（更新）等文件中披露股指期货、国债期货、股票期权交易情况，包括投资政策、持仓情况、损益情况、风险指标等，并充分揭示股指期货、国债期货、股票期权交易对基金总体风险的影响以及是否符合既定的投资政策和投资目标等。 </w:t>
      </w:r>
    </w:p>
    <w:p w14:paraId="1BA62142">
      <w:pPr>
        <w:pStyle w:val="7"/>
        <w:spacing w:before="0" w:beforeAutospacing="0" w:after="0" w:afterAutospacing="0" w:line="360" w:lineRule="auto"/>
        <w:ind w:firstLine="420"/>
        <w:rPr>
          <w:sz w:val="21"/>
          <w:szCs w:val="21"/>
        </w:rPr>
      </w:pPr>
      <w:r>
        <w:rPr>
          <w:rFonts w:hint="eastAsia"/>
          <w:sz w:val="21"/>
          <w:szCs w:val="21"/>
        </w:rPr>
        <w:t xml:space="preserve">（十二）投资资产支持证券的信息披露 </w:t>
      </w:r>
    </w:p>
    <w:p w14:paraId="058B1F7F">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1EB6E576">
      <w:pPr>
        <w:pStyle w:val="7"/>
        <w:spacing w:before="0" w:beforeAutospacing="0" w:after="0" w:afterAutospacing="0" w:line="360" w:lineRule="auto"/>
        <w:ind w:firstLine="420"/>
        <w:rPr>
          <w:sz w:val="21"/>
          <w:szCs w:val="21"/>
        </w:rPr>
      </w:pPr>
      <w:r>
        <w:rPr>
          <w:rFonts w:hint="eastAsia"/>
          <w:sz w:val="21"/>
          <w:szCs w:val="21"/>
        </w:rPr>
        <w:t xml:space="preserve">（十三）投资港股通标的股票的信息披露 </w:t>
      </w:r>
    </w:p>
    <w:p w14:paraId="5C58CF9C">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 </w:t>
      </w:r>
    </w:p>
    <w:p w14:paraId="03B3AAD6">
      <w:pPr>
        <w:pStyle w:val="7"/>
        <w:spacing w:before="0" w:beforeAutospacing="0" w:after="0" w:afterAutospacing="0" w:line="360" w:lineRule="auto"/>
        <w:ind w:firstLine="420"/>
        <w:rPr>
          <w:sz w:val="21"/>
          <w:szCs w:val="21"/>
        </w:rPr>
      </w:pPr>
      <w:r>
        <w:rPr>
          <w:rFonts w:hint="eastAsia"/>
          <w:sz w:val="21"/>
          <w:szCs w:val="21"/>
        </w:rPr>
        <w:t xml:space="preserve">（十四）投资流通受限证券的信息披露 </w:t>
      </w:r>
    </w:p>
    <w:p w14:paraId="679C4204">
      <w:pPr>
        <w:pStyle w:val="7"/>
        <w:spacing w:before="0" w:beforeAutospacing="0" w:after="0" w:afterAutospacing="0" w:line="360" w:lineRule="auto"/>
        <w:ind w:firstLine="420"/>
        <w:rPr>
          <w:sz w:val="21"/>
          <w:szCs w:val="21"/>
        </w:rPr>
      </w:pPr>
      <w:r>
        <w:rPr>
          <w:rFonts w:hint="eastAsia"/>
          <w:sz w:val="21"/>
          <w:szCs w:val="21"/>
        </w:rPr>
        <w:t xml:space="preserve">基金管理人应在基金年度报告及中期报告中披露其持有的流通受限证券总额、流通受限证券市值占基金净资产的比例和报告期内所有的流通受限证券明细。基金管理人应在基金季度报告中披露其持有的流通受限证券总额、流通受限证券市值占基金净资产的比例和报告期末按市值占基金净资产比例大小排序的前10名流通受限证券明细。 </w:t>
      </w:r>
    </w:p>
    <w:p w14:paraId="0334EFFB">
      <w:pPr>
        <w:pStyle w:val="7"/>
        <w:spacing w:before="0" w:beforeAutospacing="0" w:after="0" w:afterAutospacing="0" w:line="360" w:lineRule="auto"/>
        <w:ind w:firstLine="420"/>
        <w:rPr>
          <w:sz w:val="21"/>
          <w:szCs w:val="21"/>
        </w:rPr>
      </w:pPr>
      <w:r>
        <w:rPr>
          <w:rFonts w:hint="eastAsia"/>
          <w:sz w:val="21"/>
          <w:szCs w:val="21"/>
        </w:rPr>
        <w:t xml:space="preserve">（十五）投资信用衍生品的信息披露 </w:t>
      </w:r>
    </w:p>
    <w:p w14:paraId="14F2B4D8">
      <w:pPr>
        <w:pStyle w:val="7"/>
        <w:spacing w:before="0" w:beforeAutospacing="0" w:after="0" w:afterAutospacing="0" w:line="360" w:lineRule="auto"/>
        <w:ind w:firstLine="420"/>
        <w:rPr>
          <w:sz w:val="21"/>
          <w:szCs w:val="21"/>
        </w:rPr>
      </w:pPr>
      <w:r>
        <w:rPr>
          <w:rFonts w:hint="eastAsia"/>
          <w:sz w:val="21"/>
          <w:szCs w:val="21"/>
        </w:rPr>
        <w:t xml:space="preserve">基金管理人应当在定期报告及招募说明书（更新）等文件中详细披露信用衍生品的投资情况，包括投资策略、持仓情况等，并充分揭示投资信用衍生品对基金总体风险的影响以及是否符合既定的投资目标及策略。 </w:t>
      </w:r>
    </w:p>
    <w:p w14:paraId="4A556402">
      <w:pPr>
        <w:pStyle w:val="7"/>
        <w:spacing w:before="0" w:beforeAutospacing="0" w:after="0" w:afterAutospacing="0" w:line="360" w:lineRule="auto"/>
        <w:ind w:firstLine="420"/>
        <w:rPr>
          <w:sz w:val="21"/>
          <w:szCs w:val="21"/>
        </w:rPr>
      </w:pPr>
      <w:r>
        <w:rPr>
          <w:rFonts w:hint="eastAsia"/>
          <w:sz w:val="21"/>
          <w:szCs w:val="21"/>
        </w:rPr>
        <w:t xml:space="preserve">（十六）参与融资业务的信息披露 </w:t>
      </w:r>
    </w:p>
    <w:p w14:paraId="337087F1">
      <w:pPr>
        <w:pStyle w:val="7"/>
        <w:spacing w:before="0" w:beforeAutospacing="0" w:after="0" w:afterAutospacing="0" w:line="360" w:lineRule="auto"/>
        <w:ind w:firstLine="420"/>
        <w:rPr>
          <w:sz w:val="21"/>
          <w:szCs w:val="21"/>
        </w:rPr>
      </w:pPr>
      <w:r>
        <w:rPr>
          <w:rFonts w:hint="eastAsia"/>
          <w:sz w:val="21"/>
          <w:szCs w:val="21"/>
        </w:rPr>
        <w:t xml:space="preserve">本基金参与融资业务，基金管理人应在季度报告、中期报告、年度报告等定期报告和招募说明书（更新）等文件中披露参与融资交易情况，包括投资策略、业务开展情况、损益情况、风险及其管理情况等。 </w:t>
      </w:r>
    </w:p>
    <w:p w14:paraId="68ABC78E">
      <w:pPr>
        <w:pStyle w:val="7"/>
        <w:spacing w:before="0" w:beforeAutospacing="0" w:after="0" w:afterAutospacing="0" w:line="360" w:lineRule="auto"/>
        <w:ind w:firstLine="420"/>
        <w:rPr>
          <w:sz w:val="21"/>
          <w:szCs w:val="21"/>
        </w:rPr>
      </w:pPr>
      <w:r>
        <w:rPr>
          <w:rFonts w:hint="eastAsia"/>
          <w:sz w:val="21"/>
          <w:szCs w:val="21"/>
        </w:rPr>
        <w:t xml:space="preserve">（十七）实施侧袋机制期间的信息披露 </w:t>
      </w:r>
    </w:p>
    <w:p w14:paraId="38152080">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本基金实施侧袋机制的，相关信息披露义务人应当根据法律法规、基金合同和招募说明书的规定进行信息披露，详见招募说明书“侧袋机制”章节的规定。 </w:t>
      </w:r>
    </w:p>
    <w:p w14:paraId="3122D362">
      <w:pPr>
        <w:pStyle w:val="7"/>
        <w:spacing w:before="0" w:beforeAutospacing="0" w:after="0" w:afterAutospacing="0" w:line="360" w:lineRule="auto"/>
        <w:ind w:firstLine="420"/>
        <w:rPr>
          <w:sz w:val="21"/>
          <w:szCs w:val="21"/>
        </w:rPr>
      </w:pPr>
      <w:bookmarkStart w:id="182" w:name="chapter_level1_18_67_section_2_end"/>
      <w:bookmarkEnd w:id="182"/>
      <w:r>
        <w:rPr>
          <w:rFonts w:hint="eastAsia"/>
          <w:sz w:val="21"/>
          <w:szCs w:val="21"/>
        </w:rPr>
        <w:t xml:space="preserve">（十八）中国证监会规定的其他信息 </w:t>
      </w:r>
    </w:p>
    <w:p w14:paraId="7A581A5B">
      <w:pPr>
        <w:pStyle w:val="7"/>
        <w:spacing w:before="0" w:beforeAutospacing="0" w:after="0" w:afterAutospacing="0" w:line="360" w:lineRule="auto"/>
        <w:ind w:firstLine="420"/>
        <w:rPr>
          <w:sz w:val="21"/>
          <w:szCs w:val="21"/>
        </w:rPr>
      </w:pPr>
      <w:bookmarkStart w:id="183" w:name="chapter_level1_18_67_section_3"/>
      <w:bookmarkEnd w:id="183"/>
      <w:r>
        <w:rPr>
          <w:rStyle w:val="11"/>
          <w:rFonts w:hint="eastAsia"/>
          <w:sz w:val="21"/>
          <w:szCs w:val="21"/>
        </w:rPr>
        <w:t>六、信息披露事务管理</w:t>
      </w:r>
    </w:p>
    <w:p w14:paraId="475575D9">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0165A727">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基金信息披露义务人公开披露基金信息，应当符合中国证监会相关基金信息披露内容与格式准则等法规规定。 </w:t>
      </w:r>
    </w:p>
    <w:p w14:paraId="47B46383">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相关基金信息进行复核、审查，并向基金管理人进行书面或电子确认。 </w:t>
      </w:r>
    </w:p>
    <w:p w14:paraId="22E829A2">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基金管理人、基金托管人应当在规定报刊中选择披露本基金信息的报刊。基金管理人、基金托管人应当向中国证监会基金电子披露网站报送拟披露的基金信息，并保证相关报送信息的真实、准确、完整、及时。 </w:t>
      </w:r>
    </w:p>
    <w:p w14:paraId="789954A7">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0D14B9C8">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502BE13C">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64B3CC1F">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依法必须披露的信息发布后，基金管理人、基金托管人应当按照相关法律法规规定将信息置备于各自住所，供社会公众查阅、复制。 </w:t>
      </w:r>
    </w:p>
    <w:p w14:paraId="2909E165">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686D3EE6">
      <w:pPr>
        <w:pStyle w:val="7"/>
        <w:spacing w:before="0" w:beforeAutospacing="0" w:after="0" w:afterAutospacing="0" w:line="360" w:lineRule="auto"/>
        <w:ind w:firstLine="420"/>
        <w:rPr>
          <w:sz w:val="21"/>
          <w:szCs w:val="21"/>
        </w:rPr>
      </w:pPr>
      <w:r>
        <w:rPr>
          <w:rFonts w:hint="eastAsia"/>
          <w:sz w:val="21"/>
          <w:szCs w:val="21"/>
        </w:rPr>
        <w:t xml:space="preserve">1、因不可抗力或其他情形致使基金管理人、基金托管人无法准确评估基金资产价值时； </w:t>
      </w:r>
    </w:p>
    <w:p w14:paraId="0118975A">
      <w:pPr>
        <w:pStyle w:val="7"/>
        <w:spacing w:before="0" w:beforeAutospacing="0" w:after="0" w:afterAutospacing="0" w:line="360" w:lineRule="auto"/>
        <w:ind w:firstLine="420"/>
        <w:rPr>
          <w:sz w:val="21"/>
          <w:szCs w:val="21"/>
        </w:rPr>
      </w:pPr>
      <w:r>
        <w:rPr>
          <w:rFonts w:hint="eastAsia"/>
          <w:sz w:val="21"/>
          <w:szCs w:val="21"/>
        </w:rPr>
        <w:t xml:space="preserve">2、基金投资所涉及的证券、期货交易所或外汇市场遇法定节假日或因其他原因暂停营业时； </w:t>
      </w:r>
    </w:p>
    <w:p w14:paraId="4CCCF927">
      <w:pPr>
        <w:pStyle w:val="7"/>
        <w:spacing w:before="0" w:beforeAutospacing="0" w:after="0" w:afterAutospacing="0" w:line="360" w:lineRule="auto"/>
        <w:ind w:firstLine="420"/>
        <w:rPr>
          <w:sz w:val="21"/>
          <w:szCs w:val="21"/>
        </w:rPr>
      </w:pPr>
      <w:bookmarkStart w:id="184" w:name="chapter_level1_18_67_section_3_end"/>
      <w:bookmarkEnd w:id="184"/>
      <w:r>
        <w:rPr>
          <w:rFonts w:hint="eastAsia"/>
          <w:sz w:val="21"/>
          <w:szCs w:val="21"/>
        </w:rPr>
        <w:t xml:space="preserve">3、法律法规规定、中国证监会或基金合同认定的其他情形。 </w:t>
      </w:r>
    </w:p>
    <w:p w14:paraId="251EBB37">
      <w:pPr>
        <w:widowControl/>
        <w:jc w:val="left"/>
        <w:rPr>
          <w:rFonts w:ascii="宋体" w:hAnsi="宋体" w:eastAsia="宋体"/>
        </w:rPr>
      </w:pPr>
      <w:r>
        <w:rPr>
          <w:rFonts w:ascii="宋体" w:hAnsi="宋体" w:eastAsia="宋体"/>
        </w:rPr>
        <w:br w:type="page"/>
      </w:r>
    </w:p>
    <w:p w14:paraId="04D7DDC2">
      <w:pPr>
        <w:pStyle w:val="2"/>
        <w:jc w:val="center"/>
        <w:rPr>
          <w:rFonts w:ascii="宋体" w:hAnsi="宋体" w:eastAsia="宋体"/>
          <w:sz w:val="30"/>
        </w:rPr>
      </w:pPr>
      <w:bookmarkStart w:id="185" w:name="_Toc209538283"/>
      <w:bookmarkStart w:id="186" w:name="chapter_level1_19_66952"/>
      <w:r>
        <w:rPr>
          <w:rFonts w:hint="eastAsia" w:ascii="宋体" w:hAnsi="宋体" w:eastAsia="宋体"/>
          <w:sz w:val="30"/>
        </w:rPr>
        <w:t>第十六部分  侧袋机制</w:t>
      </w:r>
      <w:bookmarkEnd w:id="185"/>
      <w:bookmarkEnd w:id="186"/>
    </w:p>
    <w:p w14:paraId="058F8241">
      <w:pPr>
        <w:pStyle w:val="7"/>
        <w:spacing w:before="0" w:beforeAutospacing="0" w:after="0" w:afterAutospacing="0" w:line="360" w:lineRule="auto"/>
        <w:ind w:firstLine="420"/>
        <w:rPr>
          <w:sz w:val="21"/>
          <w:szCs w:val="21"/>
        </w:rPr>
      </w:pPr>
      <w:bookmarkStart w:id="187" w:name="chapter_level1_19_66952_section_1"/>
      <w:bookmarkEnd w:id="187"/>
      <w:r>
        <w:rPr>
          <w:rFonts w:hint="eastAsia"/>
          <w:b/>
          <w:bCs/>
          <w:sz w:val="21"/>
          <w:szCs w:val="21"/>
        </w:rPr>
        <w:t>一、侧袋机制的实施条件、实施程序和特定资产范围 </w:t>
      </w:r>
    </w:p>
    <w:p w14:paraId="149F152A">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基金管理人应当在启用侧袋机制当日报中国证监会及公司所在地中国证监会派出机构备案。 </w:t>
      </w:r>
    </w:p>
    <w:p w14:paraId="1343F212">
      <w:pPr>
        <w:pStyle w:val="7"/>
        <w:spacing w:before="0" w:beforeAutospacing="0" w:after="0" w:afterAutospacing="0" w:line="360" w:lineRule="auto"/>
        <w:ind w:firstLine="420"/>
        <w:rPr>
          <w:sz w:val="21"/>
          <w:szCs w:val="21"/>
        </w:rPr>
      </w:pPr>
      <w:r>
        <w:rPr>
          <w:rFonts w:hint="eastAsia"/>
          <w:sz w:val="21"/>
          <w:szCs w:val="21"/>
        </w:rPr>
        <w:t xml:space="preserve">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 </w:t>
      </w:r>
    </w:p>
    <w:p w14:paraId="5A277379">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启用侧袋机制当日，基金管理人应以基金份额持有人的原有账户份额为基础，确认相应侧袋账户基金份额持有人名册和份额。 </w:t>
      </w:r>
    </w:p>
    <w:p w14:paraId="5CB05067">
      <w:pPr>
        <w:pStyle w:val="7"/>
        <w:spacing w:before="0" w:beforeAutospacing="0" w:after="0" w:afterAutospacing="0" w:line="360" w:lineRule="auto"/>
        <w:ind w:firstLine="420"/>
        <w:rPr>
          <w:sz w:val="21"/>
          <w:szCs w:val="21"/>
        </w:rPr>
      </w:pPr>
      <w:r>
        <w:rPr>
          <w:rFonts w:hint="eastAsia"/>
          <w:b/>
          <w:bCs/>
          <w:sz w:val="21"/>
          <w:szCs w:val="21"/>
        </w:rPr>
        <w:t>二、侧袋机制实施期间的基金运作安排</w:t>
      </w:r>
    </w:p>
    <w:p w14:paraId="147F7403">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1A025776">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02C1B1A9">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1C2522AC">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42FA65F3">
      <w:pPr>
        <w:pStyle w:val="7"/>
        <w:spacing w:before="0" w:beforeAutospacing="0" w:after="0" w:afterAutospacing="0" w:line="360" w:lineRule="auto"/>
        <w:ind w:firstLine="420"/>
        <w:rPr>
          <w:sz w:val="21"/>
          <w:szCs w:val="21"/>
        </w:rPr>
      </w:pPr>
      <w:r>
        <w:rPr>
          <w:rFonts w:hint="eastAsia"/>
          <w:sz w:val="21"/>
          <w:szCs w:val="21"/>
        </w:rPr>
        <w:t xml:space="preserve">（二）基金的投资 </w:t>
      </w:r>
    </w:p>
    <w:p w14:paraId="736D1C75">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 </w:t>
      </w:r>
    </w:p>
    <w:p w14:paraId="584BA151">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2AA1921C">
      <w:pPr>
        <w:pStyle w:val="7"/>
        <w:spacing w:before="0" w:beforeAutospacing="0" w:after="0" w:afterAutospacing="0" w:line="360" w:lineRule="auto"/>
        <w:ind w:firstLine="420"/>
        <w:rPr>
          <w:sz w:val="21"/>
          <w:szCs w:val="21"/>
        </w:rPr>
      </w:pPr>
      <w:r>
        <w:rPr>
          <w:rFonts w:hint="eastAsia"/>
          <w:sz w:val="21"/>
          <w:szCs w:val="21"/>
        </w:rPr>
        <w:t xml:space="preserve">（三）基金的费用 </w:t>
      </w:r>
    </w:p>
    <w:p w14:paraId="2932014C">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侧袋机制实施期间，侧袋账户资产不收取管理费。如法律法规对于侧袋账户资产托管费的收取另有规定的，以法律法规最新要求为准。 </w:t>
      </w:r>
    </w:p>
    <w:p w14:paraId="6C87D6C4">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58E74DCF">
      <w:pPr>
        <w:pStyle w:val="7"/>
        <w:spacing w:before="0" w:beforeAutospacing="0" w:after="0" w:afterAutospacing="0" w:line="360" w:lineRule="auto"/>
        <w:ind w:firstLine="420"/>
        <w:rPr>
          <w:sz w:val="21"/>
          <w:szCs w:val="21"/>
        </w:rPr>
      </w:pPr>
      <w:r>
        <w:rPr>
          <w:rFonts w:hint="eastAsia"/>
          <w:sz w:val="21"/>
          <w:szCs w:val="21"/>
        </w:rPr>
        <w:t xml:space="preserve">（四）基金的收益分配 </w:t>
      </w:r>
    </w:p>
    <w:p w14:paraId="792489A0">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56CB97B0">
      <w:pPr>
        <w:pStyle w:val="7"/>
        <w:spacing w:before="0" w:beforeAutospacing="0" w:after="0" w:afterAutospacing="0" w:line="360" w:lineRule="auto"/>
        <w:ind w:firstLine="420"/>
        <w:rPr>
          <w:sz w:val="21"/>
          <w:szCs w:val="21"/>
        </w:rPr>
      </w:pPr>
      <w:r>
        <w:rPr>
          <w:rFonts w:hint="eastAsia"/>
          <w:sz w:val="21"/>
          <w:szCs w:val="21"/>
        </w:rPr>
        <w:t xml:space="preserve">（五）基金的信息披露 </w:t>
      </w:r>
    </w:p>
    <w:p w14:paraId="4B36EC15">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3BBD606A">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侧袋机制实施期间，基金管理人应当暂停披露侧袋账户的基金份额净值。 </w:t>
      </w:r>
    </w:p>
    <w:p w14:paraId="6BD8D8E6">
      <w:pPr>
        <w:pStyle w:val="7"/>
        <w:spacing w:before="0" w:beforeAutospacing="0" w:after="0" w:afterAutospacing="0" w:line="360" w:lineRule="auto"/>
        <w:ind w:firstLine="420"/>
        <w:rPr>
          <w:sz w:val="21"/>
          <w:szCs w:val="21"/>
        </w:rPr>
      </w:pPr>
      <w:r>
        <w:rPr>
          <w:rFonts w:hint="eastAsia"/>
          <w:sz w:val="21"/>
          <w:szCs w:val="21"/>
        </w:rPr>
        <w:t xml:space="preserve">2、定期报告  </w:t>
      </w:r>
    </w:p>
    <w:p w14:paraId="0B72282F">
      <w:pPr>
        <w:pStyle w:val="7"/>
        <w:spacing w:before="0" w:beforeAutospacing="0" w:after="0" w:afterAutospacing="0" w:line="360" w:lineRule="auto"/>
        <w:ind w:firstLine="420"/>
        <w:rPr>
          <w:sz w:val="21"/>
          <w:szCs w:val="21"/>
        </w:rPr>
      </w:pPr>
      <w:r>
        <w:rPr>
          <w:rFonts w:hint="eastAsia"/>
          <w:sz w:val="21"/>
          <w:szCs w:val="21"/>
        </w:rPr>
        <w:t xml:space="preserve">基金管理人应当在基金定期报告中披露报告期内特定资产处置进展情况。基金管理人披露报告期末特定资产可变现净值或净值区间的，该净值或净值区间并不代表特定资产最终变现价格。 </w:t>
      </w:r>
    </w:p>
    <w:p w14:paraId="17D3FE6A">
      <w:pPr>
        <w:pStyle w:val="7"/>
        <w:spacing w:before="0" w:beforeAutospacing="0" w:after="0" w:afterAutospacing="0" w:line="360" w:lineRule="auto"/>
        <w:ind w:firstLine="420"/>
        <w:rPr>
          <w:sz w:val="21"/>
          <w:szCs w:val="21"/>
        </w:rPr>
      </w:pPr>
      <w:r>
        <w:rPr>
          <w:rFonts w:hint="eastAsia"/>
          <w:sz w:val="21"/>
          <w:szCs w:val="21"/>
        </w:rPr>
        <w:t xml:space="preserve">3、临时报告  </w:t>
      </w:r>
    </w:p>
    <w:p w14:paraId="7D088674">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07857B5D">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0131781A">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 </w:t>
      </w:r>
    </w:p>
    <w:p w14:paraId="475B0D27">
      <w:pPr>
        <w:pStyle w:val="7"/>
        <w:spacing w:before="0" w:beforeAutospacing="0" w:after="0" w:afterAutospacing="0" w:line="360" w:lineRule="auto"/>
        <w:ind w:firstLine="420"/>
        <w:rPr>
          <w:sz w:val="21"/>
          <w:szCs w:val="21"/>
        </w:rPr>
      </w:pPr>
      <w:r>
        <w:rPr>
          <w:rFonts w:hint="eastAsia"/>
          <w:sz w:val="21"/>
          <w:szCs w:val="21"/>
        </w:rPr>
        <w:t xml:space="preserve">（六）特定资产处置清算 </w:t>
      </w:r>
    </w:p>
    <w:p w14:paraId="69E27EDD">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 </w:t>
      </w:r>
    </w:p>
    <w:p w14:paraId="1693D9B2">
      <w:pPr>
        <w:pStyle w:val="7"/>
        <w:spacing w:before="0" w:beforeAutospacing="0" w:after="0" w:afterAutospacing="0" w:line="360" w:lineRule="auto"/>
        <w:ind w:firstLine="420"/>
        <w:rPr>
          <w:sz w:val="21"/>
          <w:szCs w:val="21"/>
        </w:rPr>
      </w:pPr>
      <w:r>
        <w:rPr>
          <w:rFonts w:hint="eastAsia"/>
          <w:sz w:val="21"/>
          <w:szCs w:val="21"/>
        </w:rPr>
        <w:t xml:space="preserve">（七）侧袋的审计 </w:t>
      </w:r>
    </w:p>
    <w:p w14:paraId="330BFCB1">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基金管理人应当在启用侧袋机制和终止侧袋机制后，及时聘请符合《证券法》规定的会计师事务所进行审计并披露专项审计意见。 </w:t>
      </w:r>
    </w:p>
    <w:p w14:paraId="1F8C8639">
      <w:pPr>
        <w:pStyle w:val="7"/>
        <w:spacing w:before="0" w:beforeAutospacing="0" w:after="0" w:afterAutospacing="0" w:line="360" w:lineRule="auto"/>
        <w:ind w:firstLine="420"/>
        <w:rPr>
          <w:sz w:val="21"/>
          <w:szCs w:val="21"/>
        </w:rPr>
      </w:pPr>
      <w:r>
        <w:rPr>
          <w:rFonts w:hint="eastAsia"/>
          <w:b/>
          <w:bCs/>
          <w:sz w:val="21"/>
          <w:szCs w:val="21"/>
        </w:rPr>
        <w:t>三、本部分关于侧袋机制的相关规定，凡是直接引用法律法规或监管规则的部分，如将来法律法规或监管规则修改导致相关内容被取消或变更的，或将来法律法规或监管规则针对侧袋机制的内容有进一步规定的，基金管理人经与基金托管人协商一致并履行适当程序后，在对基金份额持有人利益无实质性不利影响的前提下，可直接对本部分内容进行修</w:t>
      </w:r>
      <w:bookmarkStart w:id="188" w:name="chapter_level1_19_66952_section_1_end"/>
      <w:bookmarkEnd w:id="188"/>
      <w:r>
        <w:rPr>
          <w:rFonts w:hint="eastAsia"/>
          <w:b/>
          <w:bCs/>
          <w:sz w:val="21"/>
          <w:szCs w:val="21"/>
        </w:rPr>
        <w:t>改、调整或补充，无需召开基金份额持有人大会审议。</w:t>
      </w:r>
    </w:p>
    <w:p w14:paraId="20522F5A">
      <w:pPr>
        <w:widowControl/>
        <w:jc w:val="left"/>
        <w:rPr>
          <w:rFonts w:ascii="宋体" w:hAnsi="宋体" w:eastAsia="宋体"/>
        </w:rPr>
      </w:pPr>
      <w:r>
        <w:rPr>
          <w:rFonts w:ascii="宋体" w:hAnsi="宋体" w:eastAsia="宋体"/>
        </w:rPr>
        <w:br w:type="page"/>
      </w:r>
    </w:p>
    <w:p w14:paraId="0E801B06">
      <w:pPr>
        <w:pStyle w:val="2"/>
        <w:jc w:val="center"/>
        <w:rPr>
          <w:rFonts w:ascii="宋体" w:hAnsi="宋体" w:eastAsia="宋体"/>
          <w:sz w:val="30"/>
        </w:rPr>
      </w:pPr>
      <w:bookmarkStart w:id="189" w:name="chapter_level1_20_68"/>
      <w:bookmarkStart w:id="190" w:name="_Toc209538284"/>
      <w:r>
        <w:rPr>
          <w:rFonts w:hint="eastAsia" w:ascii="宋体" w:hAnsi="宋体" w:eastAsia="宋体"/>
          <w:sz w:val="30"/>
        </w:rPr>
        <w:t>第十七部分  风险揭示</w:t>
      </w:r>
      <w:bookmarkEnd w:id="189"/>
      <w:bookmarkEnd w:id="190"/>
    </w:p>
    <w:p w14:paraId="535887B8">
      <w:pPr>
        <w:pStyle w:val="7"/>
        <w:spacing w:before="0" w:beforeAutospacing="0" w:after="0" w:afterAutospacing="0" w:line="360" w:lineRule="auto"/>
        <w:ind w:firstLine="420"/>
        <w:rPr>
          <w:sz w:val="21"/>
          <w:szCs w:val="21"/>
        </w:rPr>
      </w:pPr>
      <w:bookmarkStart w:id="191" w:name="chapter_level1_20_68_section_1"/>
      <w:bookmarkEnd w:id="191"/>
      <w:r>
        <w:rPr>
          <w:rStyle w:val="11"/>
          <w:rFonts w:hint="eastAsia"/>
          <w:sz w:val="21"/>
          <w:szCs w:val="21"/>
        </w:rPr>
        <w:t>一、投资于本基金的主要风险</w:t>
      </w:r>
    </w:p>
    <w:p w14:paraId="3E786318">
      <w:pPr>
        <w:pStyle w:val="7"/>
        <w:spacing w:before="0" w:beforeAutospacing="0" w:after="0" w:afterAutospacing="0" w:line="360" w:lineRule="auto"/>
        <w:ind w:firstLine="420"/>
        <w:rPr>
          <w:sz w:val="21"/>
          <w:szCs w:val="21"/>
        </w:rPr>
      </w:pPr>
      <w:r>
        <w:rPr>
          <w:rFonts w:hint="eastAsia"/>
          <w:sz w:val="21"/>
          <w:szCs w:val="21"/>
        </w:rPr>
        <w:t xml:space="preserve">投资于本基金的主要风险有： </w:t>
      </w:r>
    </w:p>
    <w:p w14:paraId="545EEE7B">
      <w:pPr>
        <w:pStyle w:val="7"/>
        <w:spacing w:before="0" w:beforeAutospacing="0" w:after="0" w:afterAutospacing="0" w:line="360" w:lineRule="auto"/>
        <w:ind w:firstLine="420"/>
        <w:rPr>
          <w:sz w:val="21"/>
          <w:szCs w:val="21"/>
        </w:rPr>
      </w:pPr>
      <w:r>
        <w:rPr>
          <w:rFonts w:hint="eastAsia"/>
          <w:sz w:val="21"/>
          <w:szCs w:val="21"/>
        </w:rPr>
        <w:t xml:space="preserve">1、市场风险 </w:t>
      </w:r>
    </w:p>
    <w:p w14:paraId="693E8378">
      <w:pPr>
        <w:pStyle w:val="7"/>
        <w:spacing w:before="0" w:beforeAutospacing="0" w:after="0" w:afterAutospacing="0" w:line="360" w:lineRule="auto"/>
        <w:ind w:firstLine="420"/>
        <w:rPr>
          <w:sz w:val="21"/>
          <w:szCs w:val="21"/>
        </w:rPr>
      </w:pPr>
      <w:r>
        <w:rPr>
          <w:rFonts w:hint="eastAsia"/>
          <w:sz w:val="21"/>
          <w:szCs w:val="21"/>
        </w:rPr>
        <w:t xml:space="preserve">证券市场价格受到各种因素的影响，导致基金收益水平变化而产生风险，主要包括： </w:t>
      </w:r>
    </w:p>
    <w:p w14:paraId="54454B6D">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69E1B1A8">
      <w:pPr>
        <w:pStyle w:val="7"/>
        <w:spacing w:before="0" w:beforeAutospacing="0" w:after="0" w:afterAutospacing="0" w:line="360" w:lineRule="auto"/>
        <w:ind w:firstLine="420"/>
        <w:rPr>
          <w:sz w:val="21"/>
          <w:szCs w:val="21"/>
        </w:rPr>
      </w:pPr>
      <w:r>
        <w:rPr>
          <w:rFonts w:hint="eastAsia"/>
          <w:sz w:val="21"/>
          <w:szCs w:val="21"/>
        </w:rPr>
        <w:t xml:space="preserve">（2）经济周期风险。随着经济运行的周期性变化，证券市场的收益水平也呈周期性变化。 </w:t>
      </w:r>
    </w:p>
    <w:p w14:paraId="06C17C59">
      <w:pPr>
        <w:pStyle w:val="7"/>
        <w:spacing w:before="0" w:beforeAutospacing="0" w:after="0" w:afterAutospacing="0" w:line="360" w:lineRule="auto"/>
        <w:ind w:firstLine="420"/>
        <w:rPr>
          <w:sz w:val="21"/>
          <w:szCs w:val="21"/>
        </w:rPr>
      </w:pPr>
      <w:r>
        <w:rPr>
          <w:rFonts w:hint="eastAsia"/>
          <w:sz w:val="21"/>
          <w:szCs w:val="21"/>
        </w:rPr>
        <w:t xml:space="preserve">（3）利率风险。金融市场利率的波动会导致证券市场价格和收益率的变动。 </w:t>
      </w:r>
    </w:p>
    <w:p w14:paraId="78055729">
      <w:pPr>
        <w:pStyle w:val="7"/>
        <w:spacing w:before="0" w:beforeAutospacing="0" w:after="0" w:afterAutospacing="0" w:line="360" w:lineRule="auto"/>
        <w:ind w:firstLine="420"/>
        <w:rPr>
          <w:sz w:val="21"/>
          <w:szCs w:val="21"/>
        </w:rPr>
      </w:pPr>
      <w:r>
        <w:rPr>
          <w:rFonts w:hint="eastAsia"/>
          <w:sz w:val="21"/>
          <w:szCs w:val="21"/>
        </w:rPr>
        <w:t xml:space="preserve">（4）通货膨胀风险。如果发生通货膨胀，基金投资于证券所获得的收益可能会被通货膨胀抵消，从而影响基金资产的保值增值。 </w:t>
      </w:r>
    </w:p>
    <w:p w14:paraId="0A6D1539">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 </w:t>
      </w:r>
    </w:p>
    <w:p w14:paraId="44A12212">
      <w:pPr>
        <w:pStyle w:val="7"/>
        <w:spacing w:before="0" w:beforeAutospacing="0" w:after="0" w:afterAutospacing="0" w:line="360" w:lineRule="auto"/>
        <w:ind w:firstLine="420"/>
        <w:rPr>
          <w:sz w:val="21"/>
          <w:szCs w:val="21"/>
        </w:rPr>
      </w:pPr>
      <w:r>
        <w:rPr>
          <w:rFonts w:hint="eastAsia"/>
          <w:sz w:val="21"/>
          <w:szCs w:val="21"/>
        </w:rPr>
        <w:t xml:space="preserve">（6）杠杆风险 </w:t>
      </w:r>
    </w:p>
    <w:p w14:paraId="284E4813">
      <w:pPr>
        <w:pStyle w:val="7"/>
        <w:spacing w:before="0" w:beforeAutospacing="0" w:after="0" w:afterAutospacing="0" w:line="360" w:lineRule="auto"/>
        <w:ind w:firstLine="420"/>
        <w:rPr>
          <w:sz w:val="21"/>
          <w:szCs w:val="21"/>
        </w:rPr>
      </w:pPr>
      <w:r>
        <w:rPr>
          <w:rFonts w:hint="eastAsia"/>
          <w:sz w:val="21"/>
          <w:szCs w:val="21"/>
        </w:rPr>
        <w:t xml:space="preserve">本基金可以通过债券回购放大杠杆，进行杠杆操作将会放大组合收益波动，对组合业绩稳定性有较大影响，同时杠杆成本波动也会影响组合收益率水平，在市场下行或杠杆成本异常上升时，有可能导致基金财产收益的超预期下降风险。 </w:t>
      </w:r>
    </w:p>
    <w:p w14:paraId="0886E597">
      <w:pPr>
        <w:pStyle w:val="7"/>
        <w:spacing w:before="0" w:beforeAutospacing="0" w:after="0" w:afterAutospacing="0" w:line="360" w:lineRule="auto"/>
        <w:ind w:firstLine="420"/>
        <w:rPr>
          <w:sz w:val="21"/>
          <w:szCs w:val="21"/>
        </w:rPr>
      </w:pPr>
      <w:r>
        <w:rPr>
          <w:rFonts w:hint="eastAsia"/>
          <w:sz w:val="21"/>
          <w:szCs w:val="21"/>
        </w:rPr>
        <w:t xml:space="preserve">（7）波动性风险 </w:t>
      </w:r>
    </w:p>
    <w:p w14:paraId="2AFDC412">
      <w:pPr>
        <w:pStyle w:val="7"/>
        <w:spacing w:before="0" w:beforeAutospacing="0" w:after="0" w:afterAutospacing="0" w:line="360" w:lineRule="auto"/>
        <w:ind w:firstLine="420"/>
        <w:rPr>
          <w:sz w:val="21"/>
          <w:szCs w:val="21"/>
        </w:rPr>
      </w:pPr>
      <w:r>
        <w:rPr>
          <w:rFonts w:hint="eastAsia"/>
          <w:sz w:val="21"/>
          <w:szCs w:val="21"/>
        </w:rPr>
        <w:t xml:space="preserve">波动性风险主要存在于可转债的投资中，具体表现为可转债的价格受到其相对应股票价格波动的影响，同时可转债还有信用风险与转股风险。转股风险指相对应股票价格跌破转股价，不能获得转股收益，从而无法弥补当初付出的转股期权价值。 </w:t>
      </w:r>
    </w:p>
    <w:p w14:paraId="196D1771">
      <w:pPr>
        <w:pStyle w:val="7"/>
        <w:spacing w:before="0" w:beforeAutospacing="0" w:after="0" w:afterAutospacing="0" w:line="360" w:lineRule="auto"/>
        <w:ind w:firstLine="420"/>
        <w:rPr>
          <w:sz w:val="21"/>
          <w:szCs w:val="21"/>
        </w:rPr>
      </w:pPr>
      <w:r>
        <w:rPr>
          <w:rFonts w:hint="eastAsia"/>
          <w:sz w:val="21"/>
          <w:szCs w:val="21"/>
        </w:rPr>
        <w:t xml:space="preserve">2、信用风险 </w:t>
      </w:r>
    </w:p>
    <w:p w14:paraId="5774D23D">
      <w:pPr>
        <w:pStyle w:val="7"/>
        <w:spacing w:before="0" w:beforeAutospacing="0" w:after="0" w:afterAutospacing="0" w:line="360" w:lineRule="auto"/>
        <w:ind w:firstLine="420"/>
        <w:rPr>
          <w:sz w:val="21"/>
          <w:szCs w:val="21"/>
        </w:rPr>
      </w:pPr>
      <w:r>
        <w:rPr>
          <w:rFonts w:hint="eastAsia"/>
          <w:sz w:val="21"/>
          <w:szCs w:val="21"/>
        </w:rPr>
        <w:t xml:space="preserve">信用风险主要指债券、资产支持证券等信用证券发行主体信用状况恶化，导致信用评级下降甚至到期不能履行合约进行兑付的风险，另外，信用风险也包括证券交易对手因违约而产生的证券交割风险。 </w:t>
      </w:r>
    </w:p>
    <w:p w14:paraId="2785CC90">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2A4CAF6F">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5846014C">
      <w:pPr>
        <w:pStyle w:val="7"/>
        <w:spacing w:before="0" w:beforeAutospacing="0" w:after="0" w:afterAutospacing="0" w:line="360" w:lineRule="auto"/>
        <w:ind w:firstLine="420"/>
        <w:rPr>
          <w:sz w:val="21"/>
          <w:szCs w:val="21"/>
        </w:rPr>
      </w:pPr>
      <w:r>
        <w:rPr>
          <w:rFonts w:hint="eastAsia"/>
          <w:sz w:val="21"/>
          <w:szCs w:val="21"/>
        </w:rPr>
        <w:t xml:space="preserve">（1）本基金的申购、赎回安排 </w:t>
      </w:r>
    </w:p>
    <w:p w14:paraId="65E8E2E2">
      <w:pPr>
        <w:pStyle w:val="7"/>
        <w:spacing w:before="0" w:beforeAutospacing="0" w:after="0" w:afterAutospacing="0" w:line="360" w:lineRule="auto"/>
        <w:ind w:firstLine="420"/>
        <w:rPr>
          <w:sz w:val="21"/>
          <w:szCs w:val="21"/>
        </w:rPr>
      </w:pPr>
      <w:r>
        <w:rPr>
          <w:rFonts w:hint="eastAsia"/>
          <w:sz w:val="21"/>
          <w:szCs w:val="21"/>
        </w:rPr>
        <w:t xml:space="preserve">本基金基于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9917084">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666A41E7">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期货交易所、全国银行间债券市场等流动性较好的规范型交易场所，主要投资对象为具有良好流动性的金融工具（包括国内依法发行上市的股票、港股通标的股票、债券、资产支持证券、股指期货、国债期货、股票期权、信用衍生品和货币市场工具等），同时本基金基于分散投资的原则在行业和个券方面未有高集中度的特征，综合评估在正常市场环境下本基金的流动性风险适中。 </w:t>
      </w:r>
    </w:p>
    <w:p w14:paraId="6FB1F29B">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56D034FA">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或部分延期赎回。同时，如本基金单个基金份额持有人在单个开放日申请赎回基金份额超过基金总份额一定比例以上的，基金管理人有权对其采取延期办理赎回申请的措施。 </w:t>
      </w:r>
    </w:p>
    <w:p w14:paraId="6AB65797">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5EA3A63F">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摆动定价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5CEEAA20">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7F4554F1">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份额净值，并不得办理申购、赎回和转换。因特定资产的变现时间具有不确定性，最终变现价格也具有不确定性并且有可能大幅低于启用侧袋机制时的特定资产的估值，基金份额持有人可能因此面临损失。 </w:t>
      </w:r>
    </w:p>
    <w:p w14:paraId="589B7BEA">
      <w:pPr>
        <w:pStyle w:val="7"/>
        <w:spacing w:before="0" w:beforeAutospacing="0" w:after="0" w:afterAutospacing="0" w:line="360" w:lineRule="auto"/>
        <w:ind w:firstLine="420"/>
        <w:rPr>
          <w:sz w:val="21"/>
          <w:szCs w:val="21"/>
        </w:rPr>
      </w:pPr>
      <w:r>
        <w:rPr>
          <w:rFonts w:hint="eastAsia"/>
          <w:sz w:val="21"/>
          <w:szCs w:val="21"/>
        </w:rPr>
        <w:t xml:space="preserve">4、操作风险 </w:t>
      </w:r>
    </w:p>
    <w:p w14:paraId="774EB3B6">
      <w:pPr>
        <w:pStyle w:val="7"/>
        <w:spacing w:before="0" w:beforeAutospacing="0" w:after="0" w:afterAutospacing="0" w:line="360" w:lineRule="auto"/>
        <w:ind w:firstLine="420"/>
        <w:rPr>
          <w:sz w:val="21"/>
          <w:szCs w:val="21"/>
        </w:rPr>
      </w:pPr>
      <w:r>
        <w:rPr>
          <w:rFonts w:hint="eastAsia"/>
          <w:sz w:val="21"/>
          <w:szCs w:val="21"/>
        </w:rPr>
        <w:t xml:space="preserve">操作风险是指基金运作过程中，因内部控制存在缺陷或者人为因素造成操作失误或违反操作规程等引致的风险，例如，越权违规交易、会计部门欺诈、交易错误、IT系统故障等风险。 </w:t>
      </w:r>
    </w:p>
    <w:p w14:paraId="3EEEC98D">
      <w:pPr>
        <w:pStyle w:val="7"/>
        <w:spacing w:before="0" w:beforeAutospacing="0" w:after="0" w:afterAutospacing="0" w:line="360" w:lineRule="auto"/>
        <w:ind w:firstLine="420"/>
        <w:rPr>
          <w:sz w:val="21"/>
          <w:szCs w:val="21"/>
        </w:rPr>
      </w:pPr>
      <w:r>
        <w:rPr>
          <w:rFonts w:hint="eastAsia"/>
          <w:sz w:val="21"/>
          <w:szCs w:val="21"/>
        </w:rPr>
        <w:t xml:space="preserve">5、管理风险 </w:t>
      </w:r>
    </w:p>
    <w:p w14:paraId="725C2758">
      <w:pPr>
        <w:pStyle w:val="7"/>
        <w:spacing w:before="0" w:beforeAutospacing="0" w:after="0" w:afterAutospacing="0" w:line="360" w:lineRule="auto"/>
        <w:ind w:firstLine="420"/>
        <w:rPr>
          <w:sz w:val="21"/>
          <w:szCs w:val="21"/>
        </w:rPr>
      </w:pPr>
      <w:r>
        <w:rPr>
          <w:rFonts w:hint="eastAsia"/>
          <w:sz w:val="21"/>
          <w:szCs w:val="21"/>
        </w:rPr>
        <w:t xml:space="preserve">在基金管理运作过程中，基金管理人的研究水平、投资管理水平直接影响基金收益水平，如果基金管理人对经济形势和证券市场判断不准确、获取的信息不充分、投资操作出现失误等，都会影响基金的收益水平。 </w:t>
      </w:r>
    </w:p>
    <w:p w14:paraId="01DD6CB0">
      <w:pPr>
        <w:pStyle w:val="7"/>
        <w:spacing w:before="0" w:beforeAutospacing="0" w:after="0" w:afterAutospacing="0" w:line="360" w:lineRule="auto"/>
        <w:ind w:firstLine="420"/>
        <w:rPr>
          <w:sz w:val="21"/>
          <w:szCs w:val="21"/>
        </w:rPr>
      </w:pPr>
      <w:r>
        <w:rPr>
          <w:rFonts w:hint="eastAsia"/>
          <w:sz w:val="21"/>
          <w:szCs w:val="21"/>
        </w:rPr>
        <w:t xml:space="preserve">6、合规风险 </w:t>
      </w:r>
    </w:p>
    <w:p w14:paraId="7D195AF1">
      <w:pPr>
        <w:pStyle w:val="7"/>
        <w:spacing w:before="0" w:beforeAutospacing="0" w:after="0" w:afterAutospacing="0" w:line="360" w:lineRule="auto"/>
        <w:ind w:firstLine="420"/>
        <w:rPr>
          <w:sz w:val="21"/>
          <w:szCs w:val="21"/>
        </w:rPr>
      </w:pPr>
      <w:r>
        <w:rPr>
          <w:rFonts w:hint="eastAsia"/>
          <w:sz w:val="21"/>
          <w:szCs w:val="21"/>
        </w:rPr>
        <w:t xml:space="preserve">合规风险指基金管理或运作过程中，违反国家法律、法规的规定，或者违反《基金合同》有关规定的风险。 </w:t>
      </w:r>
    </w:p>
    <w:p w14:paraId="3C2D601F">
      <w:pPr>
        <w:pStyle w:val="7"/>
        <w:spacing w:before="0" w:beforeAutospacing="0" w:after="0" w:afterAutospacing="0" w:line="360" w:lineRule="auto"/>
        <w:ind w:firstLine="420"/>
        <w:rPr>
          <w:sz w:val="21"/>
          <w:szCs w:val="21"/>
        </w:rPr>
      </w:pPr>
      <w:r>
        <w:rPr>
          <w:rFonts w:hint="eastAsia"/>
          <w:sz w:val="21"/>
          <w:szCs w:val="21"/>
        </w:rPr>
        <w:t xml:space="preserve">7、本基金的特有风险 </w:t>
      </w:r>
    </w:p>
    <w:p w14:paraId="36F191E8">
      <w:pPr>
        <w:pStyle w:val="7"/>
        <w:spacing w:before="0" w:beforeAutospacing="0" w:after="0" w:afterAutospacing="0" w:line="360" w:lineRule="auto"/>
        <w:ind w:firstLine="420"/>
        <w:rPr>
          <w:sz w:val="21"/>
          <w:szCs w:val="21"/>
        </w:rPr>
      </w:pPr>
      <w:r>
        <w:rPr>
          <w:rFonts w:hint="eastAsia"/>
          <w:sz w:val="21"/>
          <w:szCs w:val="21"/>
        </w:rPr>
        <w:t xml:space="preserve">（1）港股通机制下，港股投资风险 </w:t>
      </w:r>
    </w:p>
    <w:p w14:paraId="4B135F40">
      <w:pPr>
        <w:pStyle w:val="7"/>
        <w:spacing w:before="0" w:beforeAutospacing="0" w:after="0" w:afterAutospacing="0" w:line="360" w:lineRule="auto"/>
        <w:ind w:firstLine="420"/>
        <w:rPr>
          <w:sz w:val="21"/>
          <w:szCs w:val="21"/>
        </w:rPr>
      </w:pPr>
      <w:r>
        <w:rPr>
          <w:rFonts w:hint="eastAsia"/>
          <w:sz w:val="21"/>
          <w:szCs w:val="21"/>
        </w:rPr>
        <w:t xml:space="preserve">本基金投资范围为具有良好流动性的金融工具，包括沪/深港股票市场交易互联互通机制下允许投资的香港联合交易所上市的股票，除与其他投资于内地市场股票的基金所面临的共同风险外，本基金还面临港股通机制下因投资环境、投资者结构、投资标的构成、市场制度以及交易规则等差异所带来的特有风险，包括但不限于： </w:t>
      </w:r>
    </w:p>
    <w:p w14:paraId="32B09DBA">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074144A6">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 </w:t>
      </w:r>
    </w:p>
    <w:p w14:paraId="5243C2B1">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712C6103">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710A3A15">
      <w:pPr>
        <w:pStyle w:val="7"/>
        <w:spacing w:before="0" w:beforeAutospacing="0" w:after="0" w:afterAutospacing="0" w:line="360" w:lineRule="auto"/>
        <w:ind w:firstLine="420"/>
        <w:rPr>
          <w:sz w:val="21"/>
          <w:szCs w:val="21"/>
        </w:rPr>
      </w:pPr>
      <w:r>
        <w:rPr>
          <w:rFonts w:hint="eastAsia"/>
          <w:sz w:val="21"/>
          <w:szCs w:val="21"/>
        </w:rPr>
        <w:t xml:space="preserve">3）汇率风险 </w:t>
      </w:r>
    </w:p>
    <w:p w14:paraId="69E43CF0">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0622744D">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3E2F4079">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6731BE1E">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现行的港股通规则，对港股通设有总额度以及每日额度上限的限制；本基金可能因为港股通市场总额度或每日额度不足，而不能买入看好之投资标的进而错失投资机会的风险。 </w:t>
      </w:r>
    </w:p>
    <w:p w14:paraId="76C74228">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7893F34E">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3E7B71F6">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2E43A070">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520EA494">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2CF3E0DF">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4F86DED1">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34550598">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4E8042E3">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5CC493C5">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39D64900">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2705D3AF">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7C5C50A1">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6A87C4EE">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02CE0329">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534FFABA">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16A64975">
      <w:pPr>
        <w:pStyle w:val="7"/>
        <w:spacing w:before="0" w:beforeAutospacing="0" w:after="0" w:afterAutospacing="0" w:line="360" w:lineRule="auto"/>
        <w:ind w:firstLine="420"/>
        <w:rPr>
          <w:sz w:val="21"/>
          <w:szCs w:val="21"/>
        </w:rPr>
      </w:pPr>
      <w:r>
        <w:rPr>
          <w:rFonts w:hint="eastAsia"/>
          <w:sz w:val="21"/>
          <w:szCs w:val="21"/>
        </w:rPr>
        <w:t xml:space="preserve">①除因股票交易而发生的佣金、交易征费、交易费、交易系统费、印花税、过户费等税费外，在不进行交易时也可能要继续缴纳证券组合费等项费用，本基金存在因费用估算不准而导致账户透支的风险； </w:t>
      </w:r>
    </w:p>
    <w:p w14:paraId="1BE40DA4">
      <w:pPr>
        <w:pStyle w:val="7"/>
        <w:spacing w:before="0" w:beforeAutospacing="0" w:after="0" w:afterAutospacing="0" w:line="360" w:lineRule="auto"/>
        <w:ind w:firstLine="420"/>
        <w:rPr>
          <w:sz w:val="21"/>
          <w:szCs w:val="21"/>
        </w:rPr>
      </w:pPr>
      <w:r>
        <w:rPr>
          <w:rFonts w:hint="eastAsia"/>
          <w:sz w:val="21"/>
          <w:szCs w:val="21"/>
        </w:rPr>
        <w:t xml:space="preserve">②在香港市场，部分中小市值港股成交量则相对较少，流动较为缺乏，本基金投资此类股票可能因缺乏交易对手而面临个股流动性风险； </w:t>
      </w:r>
    </w:p>
    <w:p w14:paraId="369E5ABF">
      <w:pPr>
        <w:pStyle w:val="7"/>
        <w:spacing w:before="0" w:beforeAutospacing="0" w:after="0" w:afterAutospacing="0" w:line="360" w:lineRule="auto"/>
        <w:ind w:firstLine="420"/>
        <w:rPr>
          <w:sz w:val="21"/>
          <w:szCs w:val="21"/>
        </w:rPr>
      </w:pPr>
      <w:r>
        <w:rPr>
          <w:rFonts w:hint="eastAsia"/>
          <w:sz w:val="21"/>
          <w:szCs w:val="21"/>
        </w:rPr>
        <w:t xml:space="preserve">③在本基金参与港股通交易中若香港联交所与内地交易所的证券交易服务公司之间的报盘系统或者通信链路出现故障，可能导致15分钟以上不能申报和撤销申报的交易中断风险； </w:t>
      </w:r>
    </w:p>
    <w:p w14:paraId="66DFF1CF">
      <w:pPr>
        <w:pStyle w:val="7"/>
        <w:spacing w:before="0" w:beforeAutospacing="0" w:after="0" w:afterAutospacing="0" w:line="360" w:lineRule="auto"/>
        <w:ind w:firstLine="420"/>
        <w:rPr>
          <w:sz w:val="21"/>
          <w:szCs w:val="21"/>
        </w:rPr>
      </w:pPr>
      <w:r>
        <w:rPr>
          <w:rFonts w:hint="eastAsia"/>
          <w:sz w:val="21"/>
          <w:szCs w:val="21"/>
        </w:rPr>
        <w:t xml:space="preserve">④存在港股通香港结算机构因极端情况下无法交付证券和资金的结算风险；另外港股通境内结算实施分级结算原则，本基金可能面临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57E51610">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1E24E5F2">
      <w:pPr>
        <w:pStyle w:val="7"/>
        <w:spacing w:before="0" w:beforeAutospacing="0" w:after="0" w:afterAutospacing="0" w:line="360" w:lineRule="auto"/>
        <w:ind w:firstLine="420"/>
        <w:rPr>
          <w:sz w:val="21"/>
          <w:szCs w:val="21"/>
        </w:rPr>
      </w:pPr>
      <w:r>
        <w:rPr>
          <w:rFonts w:hint="eastAsia"/>
          <w:sz w:val="21"/>
          <w:szCs w:val="21"/>
        </w:rPr>
        <w:t xml:space="preserve">（2）股指期货、国债期货、股票期权等金融衍生品投资风险 </w:t>
      </w:r>
    </w:p>
    <w:p w14:paraId="497899AD">
      <w:pPr>
        <w:pStyle w:val="7"/>
        <w:spacing w:before="0" w:beforeAutospacing="0" w:after="0" w:afterAutospacing="0" w:line="360" w:lineRule="auto"/>
        <w:ind w:firstLine="420"/>
        <w:rPr>
          <w:sz w:val="21"/>
          <w:szCs w:val="21"/>
        </w:rPr>
      </w:pPr>
      <w:r>
        <w:rPr>
          <w:rFonts w:hint="eastAsia"/>
          <w:sz w:val="21"/>
          <w:szCs w:val="21"/>
        </w:rPr>
        <w:t xml:space="preserve">金融衍生品是一种金融合约，其价值取决于一种或多种基础资产或指数，其评价主要源自于对挂钩资产的价格与价格波动的预期。投资于衍生品需承受市场风险、信用风险、流动性风险、操作风险和法律风险等。由于衍生品通常具有杠杆效应，价格波动比标的工具更为剧烈，有时候比投资标的资产要承担更高的风险。并且由于衍生品定价相当复杂，不适当的估值有可能使基金资产面临损失风险。 </w:t>
      </w:r>
    </w:p>
    <w:p w14:paraId="21AFAFAE">
      <w:pPr>
        <w:pStyle w:val="7"/>
        <w:spacing w:before="0" w:beforeAutospacing="0" w:after="0" w:afterAutospacing="0" w:line="360" w:lineRule="auto"/>
        <w:ind w:firstLine="420"/>
        <w:rPr>
          <w:sz w:val="21"/>
          <w:szCs w:val="21"/>
        </w:rPr>
      </w:pPr>
      <w:r>
        <w:rPr>
          <w:rFonts w:hint="eastAsia"/>
          <w:sz w:val="21"/>
          <w:szCs w:val="21"/>
        </w:rPr>
        <w:t xml:space="preserve">本基金将股指期货纳入到投资范围中，股指期货采用保证金交易制度，由于保证金交易具有杠杆性，当出现不利行情时，微小的变动就可能会使投资人权益遭受较大损失。同时，股指期货采用每日无负债结算制度，如果没有在规定的时间内补足保证金，按规定将被强制平仓，可能给基金净值带来重大损失。 </w:t>
      </w:r>
    </w:p>
    <w:p w14:paraId="6010D12B">
      <w:pPr>
        <w:pStyle w:val="7"/>
        <w:spacing w:before="0" w:beforeAutospacing="0" w:after="0" w:afterAutospacing="0" w:line="360" w:lineRule="auto"/>
        <w:ind w:firstLine="420"/>
        <w:rPr>
          <w:sz w:val="21"/>
          <w:szCs w:val="21"/>
        </w:rPr>
      </w:pPr>
      <w:r>
        <w:rPr>
          <w:rFonts w:hint="eastAsia"/>
          <w:sz w:val="21"/>
          <w:szCs w:val="21"/>
        </w:rPr>
        <w:t xml:space="preserve">本基金投资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4E03EDE7">
      <w:pPr>
        <w:pStyle w:val="7"/>
        <w:spacing w:before="0" w:beforeAutospacing="0" w:after="0" w:afterAutospacing="0" w:line="360" w:lineRule="auto"/>
        <w:ind w:firstLine="420"/>
        <w:rPr>
          <w:sz w:val="21"/>
          <w:szCs w:val="21"/>
        </w:rPr>
      </w:pPr>
      <w:r>
        <w:rPr>
          <w:rFonts w:hint="eastAsia"/>
          <w:sz w:val="21"/>
          <w:szCs w:val="21"/>
        </w:rPr>
        <w:t xml:space="preserve">本基金参与股票期权交易以套期保值为主要目的，投资股票期权的主要风险包括价格波动风险、市场流动性风险、强制平仓风险、合约到期风险、行权失败风险、交易违约风险等。影响期权价格的因素较多，有时会出现价格较大波动，而且期权有到期日，不同的期权合约又有不同的到期日，若到期日当天没有做好行权准备，期权合约就会作废，不再有任何价值。此外，行权失败和交收违约也是股票期权交易可能出现的风险，期权义务方无法在较首日备齐足额资金或证券用于交收履约，会被判为交收违约并受罚，相应地，行权投资者就会面临行权失败而失去交易机会。 </w:t>
      </w:r>
    </w:p>
    <w:p w14:paraId="68714BF5">
      <w:pPr>
        <w:pStyle w:val="7"/>
        <w:spacing w:before="0" w:beforeAutospacing="0" w:after="0" w:afterAutospacing="0" w:line="360" w:lineRule="auto"/>
        <w:ind w:firstLine="420"/>
        <w:rPr>
          <w:sz w:val="21"/>
          <w:szCs w:val="21"/>
        </w:rPr>
      </w:pPr>
      <w:r>
        <w:rPr>
          <w:rFonts w:hint="eastAsia"/>
          <w:sz w:val="21"/>
          <w:szCs w:val="21"/>
        </w:rPr>
        <w:t xml:space="preserve">（3）投资资产支持证券（ABS）的风险 </w:t>
      </w:r>
    </w:p>
    <w:p w14:paraId="39FBECEB">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4AF38BA5">
      <w:pPr>
        <w:pStyle w:val="7"/>
        <w:spacing w:before="0" w:beforeAutospacing="0" w:after="0" w:afterAutospacing="0" w:line="360" w:lineRule="auto"/>
        <w:ind w:firstLine="420"/>
        <w:rPr>
          <w:sz w:val="21"/>
          <w:szCs w:val="21"/>
        </w:rPr>
      </w:pPr>
      <w:r>
        <w:rPr>
          <w:rFonts w:hint="eastAsia"/>
          <w:sz w:val="21"/>
          <w:szCs w:val="21"/>
        </w:rPr>
        <w:t xml:space="preserve">（4）投资信用衍生品的风险 </w:t>
      </w:r>
    </w:p>
    <w:p w14:paraId="5B7F5E90">
      <w:pPr>
        <w:pStyle w:val="7"/>
        <w:spacing w:before="0" w:beforeAutospacing="0" w:after="0" w:afterAutospacing="0" w:line="360" w:lineRule="auto"/>
        <w:ind w:firstLine="420"/>
        <w:rPr>
          <w:sz w:val="21"/>
          <w:szCs w:val="21"/>
        </w:rPr>
      </w:pPr>
      <w:r>
        <w:rPr>
          <w:rFonts w:hint="eastAsia"/>
          <w:sz w:val="21"/>
          <w:szCs w:val="21"/>
        </w:rPr>
        <w:t xml:space="preserve">为对冲信用风险，本基金可能投资信用衍生品，信用衍生品的投资可能面临流动性风险、偿付风险以及价格波动风险。 </w:t>
      </w:r>
    </w:p>
    <w:p w14:paraId="47DBC990">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7C4AB839">
      <w:pPr>
        <w:pStyle w:val="7"/>
        <w:spacing w:before="0" w:beforeAutospacing="0" w:after="0" w:afterAutospacing="0" w:line="360" w:lineRule="auto"/>
        <w:ind w:firstLine="420"/>
        <w:rPr>
          <w:sz w:val="21"/>
          <w:szCs w:val="21"/>
        </w:rPr>
      </w:pPr>
      <w:r>
        <w:rPr>
          <w:rFonts w:hint="eastAsia"/>
          <w:sz w:val="21"/>
          <w:szCs w:val="21"/>
        </w:rPr>
        <w:t xml:space="preserve">信用衍生品在交易转让过程中因无法找到交易对手或交易对手较少，导致难以将信用衍生品以合理价格变现的风险。 </w:t>
      </w:r>
    </w:p>
    <w:p w14:paraId="4D27C5A1">
      <w:pPr>
        <w:pStyle w:val="7"/>
        <w:spacing w:before="0" w:beforeAutospacing="0" w:after="0" w:afterAutospacing="0" w:line="360" w:lineRule="auto"/>
        <w:ind w:firstLine="420"/>
        <w:rPr>
          <w:sz w:val="21"/>
          <w:szCs w:val="21"/>
        </w:rPr>
      </w:pPr>
      <w:r>
        <w:rPr>
          <w:rFonts w:hint="eastAsia"/>
          <w:sz w:val="21"/>
          <w:szCs w:val="21"/>
        </w:rPr>
        <w:t xml:space="preserve">2）偿付风险 </w:t>
      </w:r>
    </w:p>
    <w:p w14:paraId="5EBFE646">
      <w:pPr>
        <w:pStyle w:val="7"/>
        <w:spacing w:before="0" w:beforeAutospacing="0" w:after="0" w:afterAutospacing="0" w:line="360" w:lineRule="auto"/>
        <w:ind w:firstLine="420"/>
        <w:rPr>
          <w:sz w:val="21"/>
          <w:szCs w:val="21"/>
        </w:rPr>
      </w:pPr>
      <w:r>
        <w:rPr>
          <w:rFonts w:hint="eastAsia"/>
          <w:sz w:val="21"/>
          <w:szCs w:val="21"/>
        </w:rPr>
        <w:t xml:space="preserve">在信用衍生品存续期间，由于不可控制的市场及环境变化，创设机构可能出现经营状况不佳或创设机构的现金流与预期发生一定偏差，从而影响信用衍生品结算的风险。 </w:t>
      </w:r>
    </w:p>
    <w:p w14:paraId="3BCEB874">
      <w:pPr>
        <w:pStyle w:val="7"/>
        <w:spacing w:before="0" w:beforeAutospacing="0" w:after="0" w:afterAutospacing="0" w:line="360" w:lineRule="auto"/>
        <w:ind w:firstLine="420"/>
        <w:rPr>
          <w:sz w:val="21"/>
          <w:szCs w:val="21"/>
        </w:rPr>
      </w:pPr>
      <w:r>
        <w:rPr>
          <w:rFonts w:hint="eastAsia"/>
          <w:sz w:val="21"/>
          <w:szCs w:val="21"/>
        </w:rPr>
        <w:t xml:space="preserve">3）价格波动风险 </w:t>
      </w:r>
    </w:p>
    <w:p w14:paraId="0A0E25AA">
      <w:pPr>
        <w:pStyle w:val="7"/>
        <w:spacing w:before="0" w:beforeAutospacing="0" w:after="0" w:afterAutospacing="0" w:line="360" w:lineRule="auto"/>
        <w:ind w:firstLine="420"/>
        <w:rPr>
          <w:sz w:val="21"/>
          <w:szCs w:val="21"/>
        </w:rPr>
      </w:pPr>
      <w:r>
        <w:rPr>
          <w:rFonts w:hint="eastAsia"/>
          <w:sz w:val="21"/>
          <w:szCs w:val="21"/>
        </w:rPr>
        <w:t xml:space="preserve">由于创设机构或所受保护的债券主体经营状况或利率环境发生变化，引起信用衍生品价格出现波动的风险。 </w:t>
      </w:r>
    </w:p>
    <w:p w14:paraId="3C530FFC">
      <w:pPr>
        <w:pStyle w:val="7"/>
        <w:spacing w:before="0" w:beforeAutospacing="0" w:after="0" w:afterAutospacing="0" w:line="360" w:lineRule="auto"/>
        <w:ind w:firstLine="420"/>
        <w:rPr>
          <w:sz w:val="21"/>
          <w:szCs w:val="21"/>
        </w:rPr>
      </w:pPr>
      <w:r>
        <w:rPr>
          <w:rFonts w:hint="eastAsia"/>
          <w:sz w:val="21"/>
          <w:szCs w:val="21"/>
        </w:rPr>
        <w:t xml:space="preserve">（5）投资于存托凭证的风险 </w:t>
      </w:r>
    </w:p>
    <w:p w14:paraId="015EB7BC">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沪深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045A023">
      <w:pPr>
        <w:pStyle w:val="7"/>
        <w:spacing w:before="0" w:beforeAutospacing="0" w:after="0" w:afterAutospacing="0" w:line="360" w:lineRule="auto"/>
        <w:ind w:firstLine="420"/>
        <w:rPr>
          <w:sz w:val="21"/>
          <w:szCs w:val="21"/>
        </w:rPr>
      </w:pPr>
      <w:r>
        <w:rPr>
          <w:rFonts w:hint="eastAsia"/>
          <w:sz w:val="21"/>
          <w:szCs w:val="21"/>
        </w:rPr>
        <w:t xml:space="preserve">（6）基金存续期内，连续50个工作日出现基金份额持有人数量不满二百人或者基金资产净值低于五千万元情形的，基金合同终止，不需召开基金份额持有人大会。因此本基金有面临自动清算的风险。 </w:t>
      </w:r>
    </w:p>
    <w:p w14:paraId="1F136D20">
      <w:pPr>
        <w:pStyle w:val="7"/>
        <w:spacing w:before="0" w:beforeAutospacing="0" w:after="0" w:afterAutospacing="0" w:line="360" w:lineRule="auto"/>
        <w:ind w:firstLine="420"/>
        <w:rPr>
          <w:sz w:val="21"/>
          <w:szCs w:val="21"/>
        </w:rPr>
      </w:pPr>
      <w:r>
        <w:rPr>
          <w:rFonts w:hint="eastAsia"/>
          <w:sz w:val="21"/>
          <w:szCs w:val="21"/>
        </w:rPr>
        <w:t xml:space="preserve">（7）本基金对每份基金份额设置一年的最短持有期。在基金份额的最短持有期到期日之前（不含当日），投资者不能提出赎回申请，最短持有期期满后（含最短持有期到期日当日）投资者可以申请赎回。因此，对于基金份额持有人而言，存在投资本基金后，一年内无法赎回的风险。 </w:t>
      </w:r>
    </w:p>
    <w:p w14:paraId="2EB53B2E">
      <w:pPr>
        <w:pStyle w:val="7"/>
        <w:spacing w:before="0" w:beforeAutospacing="0" w:after="0" w:afterAutospacing="0" w:line="360" w:lineRule="auto"/>
        <w:ind w:firstLine="420"/>
        <w:rPr>
          <w:sz w:val="21"/>
          <w:szCs w:val="21"/>
        </w:rPr>
      </w:pPr>
      <w:r>
        <w:rPr>
          <w:rFonts w:hint="eastAsia"/>
          <w:sz w:val="21"/>
          <w:szCs w:val="21"/>
        </w:rPr>
        <w:t xml:space="preserve">8、操作或技术风险 </w:t>
      </w:r>
    </w:p>
    <w:p w14:paraId="6BC96544">
      <w:pPr>
        <w:pStyle w:val="7"/>
        <w:spacing w:before="0" w:beforeAutospacing="0" w:after="0" w:afterAutospacing="0" w:line="360" w:lineRule="auto"/>
        <w:ind w:firstLine="420"/>
        <w:rPr>
          <w:sz w:val="21"/>
          <w:szCs w:val="21"/>
        </w:rPr>
      </w:pPr>
      <w:r>
        <w:rPr>
          <w:rFonts w:hint="eastAsia"/>
          <w:sz w:val="21"/>
          <w:szCs w:val="21"/>
        </w:rPr>
        <w:t xml:space="preserve">（1）技术风险：在定向资产管理业务的日常交易中，可能因为技术系统的故障或者差错而影响交易的正常进行或者导致投资者的利益受到影响。这种技术风险可能来自管理人、托管人、证券交易所、期货交易所、证券登记结算机构等。 </w:t>
      </w:r>
    </w:p>
    <w:p w14:paraId="7EE867CB">
      <w:pPr>
        <w:pStyle w:val="7"/>
        <w:spacing w:before="0" w:beforeAutospacing="0" w:after="0" w:afterAutospacing="0" w:line="360" w:lineRule="auto"/>
        <w:ind w:firstLine="420"/>
        <w:rPr>
          <w:sz w:val="21"/>
          <w:szCs w:val="21"/>
        </w:rPr>
      </w:pPr>
      <w:r>
        <w:rPr>
          <w:rFonts w:hint="eastAsia"/>
          <w:sz w:val="21"/>
          <w:szCs w:val="21"/>
        </w:rPr>
        <w:t xml:space="preserve">（2）操作风险：证券交易所、期货交易所、证券登记结算机构等在业务操作过程中，因操作失误或违反操作规程而引起的风险。 </w:t>
      </w:r>
    </w:p>
    <w:p w14:paraId="753F15D2">
      <w:pPr>
        <w:pStyle w:val="7"/>
        <w:spacing w:before="0" w:beforeAutospacing="0" w:after="0" w:afterAutospacing="0" w:line="360" w:lineRule="auto"/>
        <w:ind w:firstLine="420"/>
        <w:rPr>
          <w:sz w:val="21"/>
          <w:szCs w:val="21"/>
        </w:rPr>
      </w:pPr>
      <w:r>
        <w:rPr>
          <w:rFonts w:hint="eastAsia"/>
          <w:sz w:val="21"/>
          <w:szCs w:val="21"/>
        </w:rPr>
        <w:t xml:space="preserve">9、其它风险 </w:t>
      </w:r>
    </w:p>
    <w:p w14:paraId="5854CEF2">
      <w:pPr>
        <w:pStyle w:val="7"/>
        <w:spacing w:before="0" w:beforeAutospacing="0" w:after="0" w:afterAutospacing="0" w:line="360" w:lineRule="auto"/>
        <w:ind w:firstLine="420"/>
        <w:rPr>
          <w:sz w:val="21"/>
          <w:szCs w:val="21"/>
        </w:rPr>
      </w:pPr>
      <w:r>
        <w:rPr>
          <w:rFonts w:hint="eastAsia"/>
          <w:sz w:val="21"/>
          <w:szCs w:val="21"/>
        </w:rPr>
        <w:t xml:space="preserve">（1）战争、自然灾害等不可抗力因素的出现，将会严重影响证券市场的运行，可能导致委托财产的损失； </w:t>
      </w:r>
    </w:p>
    <w:p w14:paraId="561A8E95">
      <w:pPr>
        <w:pStyle w:val="7"/>
        <w:spacing w:before="0" w:beforeAutospacing="0" w:after="0" w:afterAutospacing="0" w:line="360" w:lineRule="auto"/>
        <w:ind w:firstLine="420"/>
        <w:rPr>
          <w:sz w:val="21"/>
          <w:szCs w:val="21"/>
        </w:rPr>
      </w:pPr>
      <w:r>
        <w:rPr>
          <w:rFonts w:hint="eastAsia"/>
          <w:sz w:val="21"/>
          <w:szCs w:val="21"/>
        </w:rPr>
        <w:t xml:space="preserve">（2）金融市场危机、行业竞争、代理商违约等超出基金管理人自身直接控制能力之外的风险，也可能导致资产委托人利益受损。 </w:t>
      </w:r>
    </w:p>
    <w:p w14:paraId="7F0678A8">
      <w:pPr>
        <w:pStyle w:val="7"/>
        <w:spacing w:before="0" w:beforeAutospacing="0" w:after="0" w:afterAutospacing="0" w:line="360" w:lineRule="auto"/>
        <w:ind w:firstLine="420"/>
        <w:rPr>
          <w:sz w:val="21"/>
          <w:szCs w:val="21"/>
        </w:rPr>
      </w:pPr>
      <w:r>
        <w:rPr>
          <w:rStyle w:val="11"/>
          <w:rFonts w:hint="eastAsia"/>
          <w:sz w:val="21"/>
          <w:szCs w:val="21"/>
        </w:rPr>
        <w:t>二、声明</w:t>
      </w:r>
    </w:p>
    <w:p w14:paraId="73211951">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51979F70">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2、除基金管理人直接办理本基金的销售外，本基金还通过基金销售机构销售，基金管</w:t>
      </w:r>
      <w:bookmarkStart w:id="192" w:name="chapter_level1_20_68_section_1_end"/>
      <w:bookmarkEnd w:id="192"/>
      <w:r>
        <w:rPr>
          <w:rFonts w:hint="eastAsia"/>
          <w:sz w:val="21"/>
          <w:szCs w:val="21"/>
        </w:rPr>
        <w:t xml:space="preserve">理人与基金销售机构都不能保证其收益或本金安全。 </w:t>
      </w:r>
    </w:p>
    <w:p w14:paraId="263BFA0C">
      <w:pPr>
        <w:widowControl/>
        <w:jc w:val="left"/>
        <w:rPr>
          <w:rFonts w:ascii="宋体" w:hAnsi="宋体" w:eastAsia="宋体"/>
        </w:rPr>
      </w:pPr>
      <w:r>
        <w:rPr>
          <w:rFonts w:ascii="宋体" w:hAnsi="宋体" w:eastAsia="宋体"/>
        </w:rPr>
        <w:br w:type="page"/>
      </w:r>
    </w:p>
    <w:p w14:paraId="1278C028">
      <w:pPr>
        <w:pStyle w:val="2"/>
        <w:jc w:val="center"/>
        <w:rPr>
          <w:rFonts w:ascii="宋体" w:hAnsi="宋体" w:eastAsia="宋体"/>
          <w:sz w:val="30"/>
        </w:rPr>
      </w:pPr>
      <w:bookmarkStart w:id="193" w:name="_Toc209538285"/>
      <w:bookmarkStart w:id="194" w:name="chapter_level1_21_69"/>
      <w:r>
        <w:rPr>
          <w:rFonts w:hint="eastAsia" w:ascii="宋体" w:hAnsi="宋体" w:eastAsia="宋体"/>
          <w:sz w:val="30"/>
        </w:rPr>
        <w:t>第十八部分  基金合同的变更、终止与基金财产的清算</w:t>
      </w:r>
      <w:bookmarkEnd w:id="193"/>
      <w:bookmarkEnd w:id="194"/>
    </w:p>
    <w:p w14:paraId="4F96E552">
      <w:pPr>
        <w:pStyle w:val="7"/>
        <w:spacing w:before="0" w:beforeAutospacing="0" w:after="0" w:afterAutospacing="0" w:line="360" w:lineRule="auto"/>
        <w:ind w:firstLine="420"/>
        <w:rPr>
          <w:sz w:val="21"/>
          <w:szCs w:val="21"/>
        </w:rPr>
      </w:pPr>
      <w:bookmarkStart w:id="195" w:name="chapter_level1_21_69_section_1"/>
      <w:bookmarkEnd w:id="195"/>
      <w:r>
        <w:rPr>
          <w:rStyle w:val="11"/>
          <w:rFonts w:hint="eastAsia"/>
          <w:sz w:val="21"/>
          <w:szCs w:val="21"/>
        </w:rPr>
        <w:t>一、《基金合同》的变更</w:t>
      </w:r>
    </w:p>
    <w:p w14:paraId="2542ED70">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5F4E514B">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1A89FED3">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5C4E9D0F">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CF9C9BE">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F9912F9">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7453519F">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CF2FC36">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3B9B3C9A">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2A0B8FE1">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2722A840">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31BBF46">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398D6309">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1AA37C11">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2222F599">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5BEF39BA">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41CA21A">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697ADBA">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3C6817F2">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3945853">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7AD22585">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8B25B9C">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3C204172">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67F400FE">
      <w:pPr>
        <w:pStyle w:val="7"/>
        <w:spacing w:before="0" w:beforeAutospacing="0" w:after="0" w:afterAutospacing="0" w:line="360" w:lineRule="auto"/>
        <w:ind w:firstLine="420"/>
        <w:rPr>
          <w:sz w:val="21"/>
          <w:szCs w:val="21"/>
        </w:rPr>
      </w:pPr>
      <w:r>
        <w:rPr>
          <w:rStyle w:val="11"/>
          <w:rFonts w:hint="eastAsia"/>
          <w:sz w:val="21"/>
          <w:szCs w:val="21"/>
        </w:rPr>
        <w:t>四、清算费用</w:t>
      </w:r>
    </w:p>
    <w:p w14:paraId="55A7475E">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31DA20B1">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6E3B21EF">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2B155C50">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2C3975A3">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715DCE7F">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5EE51E56">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7500AB44">
      <w:pPr>
        <w:pStyle w:val="7"/>
        <w:spacing w:before="0" w:beforeAutospacing="0" w:after="0" w:afterAutospacing="0" w:line="360" w:lineRule="auto"/>
        <w:ind w:firstLine="420"/>
        <w:rPr>
          <w:sz w:val="21"/>
          <w:szCs w:val="21"/>
        </w:rPr>
      </w:pPr>
      <w:r>
        <w:rPr>
          <w:rStyle w:val="11"/>
          <w:rFonts w:hint="eastAsia"/>
          <w:sz w:val="21"/>
          <w:szCs w:val="21"/>
        </w:rPr>
        <w:t>八、基金合并</w:t>
      </w:r>
    </w:p>
    <w:p w14:paraId="2D1921DC">
      <w:pPr>
        <w:pStyle w:val="7"/>
        <w:spacing w:before="0" w:beforeAutospacing="0" w:after="0" w:afterAutospacing="0" w:line="360" w:lineRule="auto"/>
        <w:ind w:firstLine="420"/>
        <w:rPr>
          <w:sz w:val="21"/>
          <w:szCs w:val="21"/>
        </w:rPr>
      </w:pPr>
      <w:bookmarkStart w:id="196" w:name="chapter_level1_21_69_section_1_end"/>
      <w:bookmarkEnd w:id="196"/>
      <w:r>
        <w:rPr>
          <w:rFonts w:hint="eastAsia"/>
          <w:sz w:val="21"/>
          <w:szCs w:val="21"/>
        </w:rPr>
        <w:t xml:space="preserve">本基金与其他基金的合并应当按照法律法规规定的程序进行。 </w:t>
      </w:r>
    </w:p>
    <w:p w14:paraId="678A14B6">
      <w:pPr>
        <w:widowControl/>
        <w:jc w:val="left"/>
        <w:rPr>
          <w:rFonts w:ascii="宋体" w:hAnsi="宋体" w:eastAsia="宋体"/>
        </w:rPr>
      </w:pPr>
      <w:r>
        <w:rPr>
          <w:rFonts w:ascii="宋体" w:hAnsi="宋体" w:eastAsia="宋体"/>
        </w:rPr>
        <w:br w:type="page"/>
      </w:r>
    </w:p>
    <w:p w14:paraId="6F5BDEF2">
      <w:pPr>
        <w:pStyle w:val="2"/>
        <w:jc w:val="center"/>
        <w:rPr>
          <w:rFonts w:ascii="宋体" w:hAnsi="宋体" w:eastAsia="宋体"/>
          <w:sz w:val="30"/>
        </w:rPr>
      </w:pPr>
      <w:bookmarkStart w:id="197" w:name="chapter_level1_22_71"/>
      <w:bookmarkStart w:id="198" w:name="_Toc209538286"/>
      <w:r>
        <w:rPr>
          <w:rFonts w:hint="eastAsia" w:ascii="宋体" w:hAnsi="宋体" w:eastAsia="宋体"/>
          <w:sz w:val="30"/>
        </w:rPr>
        <w:t>第十九部分  基金合同的内容摘要</w:t>
      </w:r>
      <w:bookmarkEnd w:id="197"/>
      <w:bookmarkEnd w:id="198"/>
    </w:p>
    <w:p w14:paraId="719A7DF2">
      <w:pPr>
        <w:pStyle w:val="7"/>
        <w:spacing w:before="0" w:beforeAutospacing="0" w:after="0" w:afterAutospacing="0" w:line="360" w:lineRule="auto"/>
        <w:ind w:firstLine="420"/>
        <w:rPr>
          <w:sz w:val="21"/>
          <w:szCs w:val="21"/>
        </w:rPr>
      </w:pPr>
      <w:bookmarkStart w:id="199" w:name="chapter_level1_22_71_section_1"/>
      <w:bookmarkEnd w:id="199"/>
      <w:r>
        <w:rPr>
          <w:rStyle w:val="11"/>
          <w:rFonts w:hint="eastAsia"/>
          <w:sz w:val="21"/>
          <w:szCs w:val="21"/>
        </w:rPr>
        <w:t>一、基金管理人、基金托管人及基金份额持有人的权利与义务</w:t>
      </w:r>
    </w:p>
    <w:p w14:paraId="34C7C25D">
      <w:pPr>
        <w:pStyle w:val="7"/>
        <w:spacing w:before="0" w:beforeAutospacing="0" w:after="0" w:afterAutospacing="0" w:line="360" w:lineRule="auto"/>
        <w:ind w:firstLine="420"/>
        <w:rPr>
          <w:sz w:val="21"/>
          <w:szCs w:val="21"/>
        </w:rPr>
      </w:pPr>
      <w:r>
        <w:rPr>
          <w:rFonts w:hint="eastAsia"/>
          <w:sz w:val="21"/>
          <w:szCs w:val="21"/>
        </w:rPr>
        <w:t xml:space="preserve">（一） 基金管理人的权利与义务 </w:t>
      </w:r>
    </w:p>
    <w:p w14:paraId="3571176A">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24AFE4D4">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09DB5B27">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039CB357">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445A91AF">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07CA7DF1">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2EB2B3D1">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6347211C">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2FDCFE95">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69D1FD36">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6C7C7B54">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4ABB77C9">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（11）在《基金合同》约定的范围内，拒绝或暂停受理申购、赎回与转换申请； </w:t>
      </w:r>
    </w:p>
    <w:p w14:paraId="21017109">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3D5BB147">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 </w:t>
      </w:r>
    </w:p>
    <w:p w14:paraId="03F60592">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357035A7">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3D7EC153">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371BE8D7">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（17）法律法规及中国证监会规定的和《基金合同》约定的其他权利。 </w:t>
      </w:r>
    </w:p>
    <w:p w14:paraId="542C8634">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0777F6D6">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4ECD9FCE">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DFD3128">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24863A2E">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661AE1AE">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3FF22B76">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222DDC6F">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12C4DC4F">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DE01711">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EF3B62D">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2215D17C">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3BD037A">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 </w:t>
      </w:r>
    </w:p>
    <w:p w14:paraId="43183152">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75135223">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1BD94BF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0F6E2F18">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（16）按规定保存基金财产管理业务活动的会计账册、报表、记录和其他相关资料不低于法律法规规定的最低期限； </w:t>
      </w:r>
    </w:p>
    <w:p w14:paraId="54554C8B">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B2ADE73">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3B51CE2A">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301B80B0">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73700E55">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4E080C0">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23EB94AE">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F1BF783">
      <w:pPr>
        <w:pStyle w:val="7"/>
        <w:spacing w:before="0" w:beforeAutospacing="0" w:after="0" w:afterAutospacing="0" w:line="360" w:lineRule="auto"/>
        <w:ind w:firstLine="420"/>
        <w:rPr>
          <w:sz w:val="21"/>
          <w:szCs w:val="21"/>
        </w:rPr>
      </w:pPr>
      <w:r>
        <w:rPr>
          <w:rFonts w:hint="eastAsia"/>
          <w:sz w:val="21"/>
          <w:szCs w:val="21"/>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55DF2F5B">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D99A421">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4BD1C80E">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6A6C05D6">
      <w:pPr>
        <w:pStyle w:val="7"/>
        <w:spacing w:before="0" w:beforeAutospacing="0" w:after="0" w:afterAutospacing="0" w:line="360" w:lineRule="auto"/>
        <w:ind w:firstLine="420"/>
        <w:rPr>
          <w:sz w:val="21"/>
          <w:szCs w:val="21"/>
        </w:rPr>
      </w:pPr>
      <w:r>
        <w:rPr>
          <w:rFonts w:hint="eastAsia"/>
          <w:sz w:val="21"/>
          <w:szCs w:val="21"/>
        </w:rPr>
        <w:t xml:space="preserve">（二） 基金托管人的权利与义务 </w:t>
      </w:r>
    </w:p>
    <w:p w14:paraId="69DFFAE8">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00F08EE7">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2E969117">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71128306">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5A486AB3">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7D36F062">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70875D50">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26D3A77C">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521B8898">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361231AD">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652CF0A6">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33618FB4">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592B3DFB">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6FBF2AC4">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3262D864">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（6）按规定开设基金财产的资金账户、证券账户等投资所需账户，按照《基金合同》的约定，根据基金管理人的投资指令，及时办理清算、交割事宜； </w:t>
      </w:r>
    </w:p>
    <w:p w14:paraId="62280E58">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 </w:t>
      </w:r>
    </w:p>
    <w:p w14:paraId="46E53557">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（8）复核、审查基金管理人计算的基金资产净值、基金份额净值、基金份额申购、赎回价格； </w:t>
      </w:r>
    </w:p>
    <w:p w14:paraId="535A20AD">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5A966497">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3BCCAAF5">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（11）保存基金托管业务活动的记录、账册、报表和其他相关资料不低于法律法规规定的最低期限； </w:t>
      </w:r>
    </w:p>
    <w:p w14:paraId="46C7AE8D">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77E22849">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1ADB852A">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4F261600">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34E528BF">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7642A1D2">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00F751FE">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（18）面临解散、依法被撤销或者被依法宣告破产时，及时报告中国证监会和银行监管机构，并通知基金管理人； </w:t>
      </w:r>
    </w:p>
    <w:p w14:paraId="64309900">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4BDB5140">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423D2087">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20029A99">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192ACC91">
      <w:pPr>
        <w:pStyle w:val="7"/>
        <w:spacing w:before="0" w:beforeAutospacing="0" w:after="0" w:afterAutospacing="0" w:line="360" w:lineRule="auto"/>
        <w:ind w:firstLine="420"/>
        <w:rPr>
          <w:sz w:val="21"/>
          <w:szCs w:val="21"/>
        </w:rPr>
      </w:pPr>
      <w:r>
        <w:rPr>
          <w:rFonts w:hint="eastAsia"/>
          <w:sz w:val="21"/>
          <w:szCs w:val="21"/>
        </w:rPr>
        <w:t xml:space="preserve">（三）基金份额持有人的权利和义务 </w:t>
      </w:r>
    </w:p>
    <w:p w14:paraId="30FA2BB3">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4A005CF1">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181508AD">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32AF4D25">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43EBFC2A">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DD20354">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0DC42086">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1DF41CB3">
      <w:pPr>
        <w:pStyle w:val="7"/>
        <w:spacing w:before="0" w:beforeAutospacing="0" w:after="0" w:afterAutospacing="0" w:line="360" w:lineRule="auto"/>
        <w:ind w:firstLine="420"/>
        <w:rPr>
          <w:sz w:val="21"/>
          <w:szCs w:val="21"/>
        </w:rPr>
      </w:pPr>
      <w:r>
        <w:rPr>
          <w:rFonts w:hint="eastAsia"/>
          <w:sz w:val="21"/>
          <w:szCs w:val="21"/>
        </w:rPr>
        <w:t xml:space="preserve">（5）出席或者委派代表出席基金份额持有人大会，对基金份额持有人大会审议事项行使表决权； </w:t>
      </w:r>
    </w:p>
    <w:p w14:paraId="4012CDE5">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6A0A9B51">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9488ABE">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719E8E43">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17EC81A7">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2E3A45DB">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（1）认真阅读并遵守《基金合同》、招募说明书等信息披露文件； </w:t>
      </w:r>
    </w:p>
    <w:p w14:paraId="58DAFB76">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1A0E906B">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20332E58">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452B9290">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4E39CEB6">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3D1ED8C3">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04F80323">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2EF78F8C">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07CDEB3F">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594BA41F">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同一类别每一基金份额拥有平等的投票权。 </w:t>
      </w:r>
    </w:p>
    <w:p w14:paraId="3F2A61D4">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64538F25">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287E7F10">
      <w:pPr>
        <w:pStyle w:val="7"/>
        <w:spacing w:before="0" w:beforeAutospacing="0" w:after="0" w:afterAutospacing="0" w:line="360" w:lineRule="auto"/>
        <w:ind w:firstLine="420"/>
        <w:rPr>
          <w:sz w:val="21"/>
          <w:szCs w:val="21"/>
        </w:rPr>
      </w:pPr>
      <w:r>
        <w:rPr>
          <w:rFonts w:hint="eastAsia"/>
          <w:sz w:val="21"/>
          <w:szCs w:val="21"/>
        </w:rPr>
        <w:t xml:space="preserve">1、除法律法规和中国证监会另有规定或《基金合同》另有约定外，当出现或需要决定下列事由之一的，应当召开基金份额持有人大会： </w:t>
      </w:r>
    </w:p>
    <w:p w14:paraId="2EC97449">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02F7E2A1">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24AEC059">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0797AFC5">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05BFBE90">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1AA10951">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2646B530">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59DDF577">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793C204F">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10585592">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377A3E7F">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1DBA66E6">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26D0B5D3">
      <w:pPr>
        <w:pStyle w:val="7"/>
        <w:spacing w:before="0" w:beforeAutospacing="0" w:after="0" w:afterAutospacing="0" w:line="360" w:lineRule="auto"/>
        <w:ind w:firstLine="420"/>
        <w:rPr>
          <w:sz w:val="21"/>
          <w:szCs w:val="21"/>
        </w:rPr>
      </w:pPr>
      <w:r>
        <w:rPr>
          <w:rFonts w:hint="eastAsia"/>
          <w:sz w:val="21"/>
          <w:szCs w:val="21"/>
        </w:rPr>
        <w:t xml:space="preserve">（13）法律法规、《基金合同》或中国证监会规定的其他应当召开基金份额持有人大会的事项。 </w:t>
      </w:r>
    </w:p>
    <w:p w14:paraId="095E6693">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74E78B1F">
      <w:pPr>
        <w:pStyle w:val="7"/>
        <w:spacing w:before="0" w:beforeAutospacing="0" w:after="0" w:afterAutospacing="0" w:line="360" w:lineRule="auto"/>
        <w:ind w:firstLine="420"/>
        <w:rPr>
          <w:sz w:val="21"/>
          <w:szCs w:val="21"/>
        </w:rPr>
      </w:pPr>
      <w:r>
        <w:rPr>
          <w:rFonts w:hint="eastAsia"/>
          <w:sz w:val="21"/>
          <w:szCs w:val="21"/>
        </w:rPr>
        <w:t xml:space="preserve">（1）法律法规要求增加的基金费用的收取； </w:t>
      </w:r>
    </w:p>
    <w:p w14:paraId="7AE4B573">
      <w:pPr>
        <w:pStyle w:val="7"/>
        <w:spacing w:before="0" w:beforeAutospacing="0" w:after="0" w:afterAutospacing="0" w:line="360" w:lineRule="auto"/>
        <w:ind w:firstLine="420"/>
        <w:rPr>
          <w:sz w:val="21"/>
          <w:szCs w:val="21"/>
        </w:rPr>
      </w:pPr>
      <w:r>
        <w:rPr>
          <w:rFonts w:hint="eastAsia"/>
          <w:sz w:val="21"/>
          <w:szCs w:val="21"/>
        </w:rPr>
        <w:t xml:space="preserve">（2）调整本基金的申购费率、调低赎回费率、调低销售服务费率或变更收费方式，调整基金份额类别设置、对基金份额分类办法及规则进行调整； </w:t>
      </w:r>
    </w:p>
    <w:p w14:paraId="4A0D4851">
      <w:pPr>
        <w:pStyle w:val="7"/>
        <w:spacing w:before="0" w:beforeAutospacing="0" w:after="0" w:afterAutospacing="0" w:line="360" w:lineRule="auto"/>
        <w:ind w:firstLine="420"/>
        <w:rPr>
          <w:sz w:val="21"/>
          <w:szCs w:val="21"/>
        </w:rPr>
      </w:pPr>
      <w:r>
        <w:rPr>
          <w:rFonts w:hint="eastAsia"/>
          <w:sz w:val="21"/>
          <w:szCs w:val="21"/>
        </w:rPr>
        <w:t xml:space="preserve">（3）因相应的法律法规发生变动而应当对《基金合同》进行修改； </w:t>
      </w:r>
    </w:p>
    <w:p w14:paraId="389CAEAE">
      <w:pPr>
        <w:pStyle w:val="7"/>
        <w:spacing w:before="0" w:beforeAutospacing="0" w:after="0" w:afterAutospacing="0" w:line="360" w:lineRule="auto"/>
        <w:ind w:firstLine="420"/>
        <w:rPr>
          <w:sz w:val="21"/>
          <w:szCs w:val="21"/>
        </w:rPr>
      </w:pPr>
      <w:r>
        <w:rPr>
          <w:rFonts w:hint="eastAsia"/>
          <w:sz w:val="21"/>
          <w:szCs w:val="21"/>
        </w:rPr>
        <w:t xml:space="preserve">（4）对《基金合同》的修改对基金份额持有人利益无实质性不利影响或修改不涉及《基金合同》当事人权利义务关系发生重大变化； </w:t>
      </w:r>
    </w:p>
    <w:p w14:paraId="272B4815">
      <w:pPr>
        <w:pStyle w:val="7"/>
        <w:spacing w:before="0" w:beforeAutospacing="0" w:after="0" w:afterAutospacing="0" w:line="360" w:lineRule="auto"/>
        <w:ind w:firstLine="420"/>
        <w:rPr>
          <w:sz w:val="21"/>
          <w:szCs w:val="21"/>
        </w:rPr>
      </w:pPr>
      <w:r>
        <w:rPr>
          <w:rFonts w:hint="eastAsia"/>
          <w:sz w:val="21"/>
          <w:szCs w:val="21"/>
        </w:rPr>
        <w:t xml:space="preserve">（5）基金管理人、登记机构、基金销售机构调整有关认购、申购、赎回、转换、基金交易、非交易过户、转托管等业务规则； </w:t>
      </w:r>
    </w:p>
    <w:p w14:paraId="496031B5">
      <w:pPr>
        <w:pStyle w:val="7"/>
        <w:spacing w:before="0" w:beforeAutospacing="0" w:after="0" w:afterAutospacing="0" w:line="360" w:lineRule="auto"/>
        <w:ind w:firstLine="420"/>
        <w:rPr>
          <w:sz w:val="21"/>
          <w:szCs w:val="21"/>
        </w:rPr>
      </w:pPr>
      <w:r>
        <w:rPr>
          <w:rFonts w:hint="eastAsia"/>
          <w:sz w:val="21"/>
          <w:szCs w:val="21"/>
        </w:rPr>
        <w:t xml:space="preserve">（6）履行相关程序后，基金推出新业务或服务； </w:t>
      </w:r>
    </w:p>
    <w:p w14:paraId="30014521">
      <w:pPr>
        <w:pStyle w:val="7"/>
        <w:spacing w:before="0" w:beforeAutospacing="0" w:after="0" w:afterAutospacing="0" w:line="360" w:lineRule="auto"/>
        <w:ind w:firstLine="420"/>
        <w:rPr>
          <w:sz w:val="21"/>
          <w:szCs w:val="21"/>
        </w:rPr>
      </w:pPr>
      <w:r>
        <w:rPr>
          <w:rFonts w:hint="eastAsia"/>
          <w:sz w:val="21"/>
          <w:szCs w:val="21"/>
        </w:rPr>
        <w:t xml:space="preserve">（7）按照法律法规和《基金合同》规定不需召开基金份额持有人大会的其他情形。 </w:t>
      </w:r>
    </w:p>
    <w:p w14:paraId="08A2DA98">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52AB3D14">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483608F6">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079859A8">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740339B4">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0C83395F">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7E033326">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3A84DEA8">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48F163BF">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1C4C13F2">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4C4912F3">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06552FFB">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4755901F">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55D07F12">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1D6F43DA">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4BF9DDBC">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4DCB7D60">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77550D20">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2A055F49">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2BA5169F">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29B5F88D">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47E74765">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33862F34">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6474E96A">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大会公告载明的其他方式在表决截止日以前送达至召集人指定的地址。通讯开会应以书面方式或大会公告载明的其他方式进行表决。 </w:t>
      </w:r>
    </w:p>
    <w:p w14:paraId="248ED26E">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3F092BFE">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17D2902D">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397B78EE">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746EAE5C">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2F6B34F1">
      <w:pPr>
        <w:pStyle w:val="7"/>
        <w:spacing w:before="0" w:beforeAutospacing="0" w:after="0" w:afterAutospacing="0" w:line="360" w:lineRule="auto"/>
        <w:ind w:firstLine="420"/>
        <w:rPr>
          <w:sz w:val="21"/>
          <w:szCs w:val="21"/>
        </w:rPr>
      </w:pPr>
      <w:r>
        <w:rPr>
          <w:rFonts w:hint="eastAsia"/>
          <w:sz w:val="21"/>
          <w:szCs w:val="21"/>
        </w:rPr>
        <w:t xml:space="preserve">3、在法律法规和监管机关允许的情况下，本基金的基金份额持有人亦可采用其他非书面方式授权其代理人出席基金份额持有人大会，授权方式可以采用书面、网络、电话、短信或其他方式，具体方式由会议召集人确定并在会议通知中列明。 </w:t>
      </w:r>
    </w:p>
    <w:p w14:paraId="16BA4BB9">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1D77005F">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15CF157C">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409AE501">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351FCA4A">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372C6EB3">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10A45821">
      <w:pPr>
        <w:pStyle w:val="7"/>
        <w:spacing w:before="0" w:beforeAutospacing="0" w:after="0" w:afterAutospacing="0" w:line="360" w:lineRule="auto"/>
        <w:ind w:firstLine="420"/>
        <w:rPr>
          <w:sz w:val="21"/>
          <w:szCs w:val="21"/>
        </w:rPr>
      </w:pPr>
      <w:r>
        <w:rPr>
          <w:rFonts w:hint="eastAsia"/>
          <w:sz w:val="21"/>
          <w:szCs w:val="21"/>
        </w:rPr>
        <w:t xml:space="preserve">2、议事程序 </w:t>
      </w:r>
    </w:p>
    <w:p w14:paraId="60F0512B">
      <w:pPr>
        <w:pStyle w:val="7"/>
        <w:spacing w:before="0" w:beforeAutospacing="0" w:after="0" w:afterAutospacing="0" w:line="360" w:lineRule="auto"/>
        <w:ind w:firstLine="420"/>
        <w:rPr>
          <w:sz w:val="21"/>
          <w:szCs w:val="21"/>
        </w:rPr>
      </w:pPr>
      <w:r>
        <w:rPr>
          <w:rFonts w:hint="eastAsia"/>
          <w:sz w:val="21"/>
          <w:szCs w:val="21"/>
        </w:rPr>
        <w:t xml:space="preserve">（1）现场开会 </w:t>
      </w:r>
    </w:p>
    <w:p w14:paraId="3F390A1A">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088A9AB6">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63AF23A9">
      <w:pPr>
        <w:pStyle w:val="7"/>
        <w:spacing w:before="0" w:beforeAutospacing="0" w:after="0" w:afterAutospacing="0" w:line="360" w:lineRule="auto"/>
        <w:ind w:firstLine="420"/>
        <w:rPr>
          <w:sz w:val="21"/>
          <w:szCs w:val="21"/>
        </w:rPr>
      </w:pPr>
      <w:r>
        <w:rPr>
          <w:rFonts w:hint="eastAsia"/>
          <w:sz w:val="21"/>
          <w:szCs w:val="21"/>
        </w:rPr>
        <w:t xml:space="preserve">（2）通讯开会 </w:t>
      </w:r>
    </w:p>
    <w:p w14:paraId="6D7820C9">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283B46BB">
      <w:pPr>
        <w:pStyle w:val="7"/>
        <w:spacing w:before="0" w:beforeAutospacing="0" w:after="0" w:afterAutospacing="0" w:line="360" w:lineRule="auto"/>
        <w:ind w:firstLine="420"/>
        <w:rPr>
          <w:sz w:val="21"/>
          <w:szCs w:val="21"/>
        </w:rPr>
      </w:pPr>
      <w:r>
        <w:rPr>
          <w:rFonts w:hint="eastAsia"/>
          <w:sz w:val="21"/>
          <w:szCs w:val="21"/>
        </w:rPr>
        <w:t xml:space="preserve">（六）表决 </w:t>
      </w:r>
    </w:p>
    <w:p w14:paraId="518AFC4F">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6090913E">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4BCEB448">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4347F966">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 </w:t>
      </w:r>
    </w:p>
    <w:p w14:paraId="58D83E4D">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45DD077D">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46ED4633">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74B3F171">
      <w:pPr>
        <w:pStyle w:val="7"/>
        <w:spacing w:before="0" w:beforeAutospacing="0" w:after="0" w:afterAutospacing="0" w:line="360" w:lineRule="auto"/>
        <w:ind w:firstLine="420"/>
        <w:rPr>
          <w:sz w:val="21"/>
          <w:szCs w:val="21"/>
        </w:rPr>
      </w:pPr>
      <w:r>
        <w:rPr>
          <w:rFonts w:hint="eastAsia"/>
          <w:sz w:val="21"/>
          <w:szCs w:val="21"/>
        </w:rPr>
        <w:t xml:space="preserve">（七）计票 </w:t>
      </w:r>
    </w:p>
    <w:p w14:paraId="0C39AEC1">
      <w:pPr>
        <w:pStyle w:val="7"/>
        <w:spacing w:before="0" w:beforeAutospacing="0" w:after="0" w:afterAutospacing="0" w:line="360" w:lineRule="auto"/>
        <w:ind w:firstLine="420"/>
        <w:rPr>
          <w:sz w:val="21"/>
          <w:szCs w:val="21"/>
        </w:rPr>
      </w:pPr>
      <w:r>
        <w:rPr>
          <w:rFonts w:hint="eastAsia"/>
          <w:sz w:val="21"/>
          <w:szCs w:val="21"/>
        </w:rPr>
        <w:t xml:space="preserve">1、现场开会 </w:t>
      </w:r>
    </w:p>
    <w:p w14:paraId="012CE7A7">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0185EBF5">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3BE29103">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0A7E23A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AF15E70">
      <w:pPr>
        <w:pStyle w:val="7"/>
        <w:spacing w:before="0" w:beforeAutospacing="0" w:after="0" w:afterAutospacing="0" w:line="360" w:lineRule="auto"/>
        <w:ind w:firstLine="420"/>
        <w:rPr>
          <w:sz w:val="21"/>
          <w:szCs w:val="21"/>
        </w:rPr>
      </w:pPr>
      <w:r>
        <w:rPr>
          <w:rFonts w:hint="eastAsia"/>
          <w:sz w:val="21"/>
          <w:szCs w:val="21"/>
        </w:rPr>
        <w:t xml:space="preserve">2、通讯开会 </w:t>
      </w:r>
    </w:p>
    <w:p w14:paraId="22713E2D">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525EF798">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3817352B">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7D29B5AD">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5A90FC94">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45680552">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5799A113">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7AB4E7DA">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59D82012">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2BD80C59">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54911E58">
      <w:pPr>
        <w:pStyle w:val="7"/>
        <w:spacing w:before="0" w:beforeAutospacing="0" w:after="0" w:afterAutospacing="0" w:line="360" w:lineRule="auto"/>
        <w:ind w:firstLine="420"/>
        <w:rPr>
          <w:sz w:val="21"/>
          <w:szCs w:val="21"/>
        </w:rPr>
      </w:pPr>
      <w:r>
        <w:rPr>
          <w:rFonts w:hint="eastAsia"/>
          <w:sz w:val="21"/>
          <w:szCs w:val="21"/>
        </w:rPr>
        <w:t xml:space="preserve">3、通讯开会的直接出具书面意见或授权他人代表出具书面意见的基金份额持有人所持有的基金份额不小于在权益登记日相关基金份额的二分之一（含二分之一）； </w:t>
      </w:r>
    </w:p>
    <w:p w14:paraId="10ABC7E0">
      <w:pPr>
        <w:pStyle w:val="7"/>
        <w:spacing w:before="0" w:beforeAutospacing="0" w:after="0" w:afterAutospacing="0" w:line="360" w:lineRule="auto"/>
        <w:ind w:firstLine="420"/>
        <w:rPr>
          <w:sz w:val="21"/>
          <w:szCs w:val="21"/>
        </w:rPr>
      </w:pPr>
      <w:r>
        <w:rPr>
          <w:rFonts w:hint="eastAsia"/>
          <w:sz w:val="21"/>
          <w:szCs w:val="21"/>
        </w:rPr>
        <w:t xml:space="preserve">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25000E0C">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753F0AE3">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25E24B63">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006A9C5B">
      <w:pPr>
        <w:pStyle w:val="7"/>
        <w:spacing w:before="0" w:beforeAutospacing="0" w:after="0" w:afterAutospacing="0" w:line="360" w:lineRule="auto"/>
        <w:ind w:firstLine="420"/>
        <w:rPr>
          <w:sz w:val="21"/>
          <w:szCs w:val="21"/>
        </w:rPr>
      </w:pPr>
      <w:r>
        <w:rPr>
          <w:rFonts w:hint="eastAsia"/>
          <w:sz w:val="21"/>
          <w:szCs w:val="21"/>
        </w:rPr>
        <w:t xml:space="preserve">同一主侧袋账户内的每份基金份额具有平等的表决权。 </w:t>
      </w:r>
    </w:p>
    <w:p w14:paraId="4146319B">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则的部分，如将来法律法规或监管规则修改导致相关内容被取消或变更的，基金管理人提前公告后，可直接对本部分内容进行修改和调整，无需召开基金份额持有人大会审议。 </w:t>
      </w:r>
    </w:p>
    <w:p w14:paraId="1A964B69">
      <w:pPr>
        <w:pStyle w:val="7"/>
        <w:spacing w:before="0" w:beforeAutospacing="0" w:after="0" w:afterAutospacing="0" w:line="360" w:lineRule="auto"/>
        <w:ind w:firstLine="420"/>
        <w:rPr>
          <w:sz w:val="21"/>
          <w:szCs w:val="21"/>
        </w:rPr>
      </w:pPr>
      <w:r>
        <w:rPr>
          <w:rStyle w:val="11"/>
          <w:rFonts w:hint="eastAsia"/>
          <w:sz w:val="21"/>
          <w:szCs w:val="21"/>
        </w:rPr>
        <w:t>三、基金合同解除和终止的事由、程序以及基金财产清算方式</w:t>
      </w:r>
    </w:p>
    <w:p w14:paraId="6233E6E8">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1F02616A">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7F70009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2、关于《基金合同》变更的基金份额持有人大会决议自生效后方可执行，自决议生效后按规定在规定媒介公告。 </w:t>
      </w:r>
    </w:p>
    <w:p w14:paraId="7E24BEC3">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48A68861">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1F22F42F">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5394FD4E">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51A5A8DF">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FCDB172">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5F596838">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7974D4FC">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40D76C1">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3FA512CA">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770755C4">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289BDDF5">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460449B5">
      <w:pPr>
        <w:pStyle w:val="7"/>
        <w:spacing w:before="0" w:beforeAutospacing="0" w:after="0" w:afterAutospacing="0" w:line="360" w:lineRule="auto"/>
        <w:ind w:firstLine="420"/>
        <w:rPr>
          <w:sz w:val="21"/>
          <w:szCs w:val="21"/>
        </w:rPr>
      </w:pPr>
      <w:r>
        <w:rPr>
          <w:rFonts w:hint="eastAsia"/>
          <w:sz w:val="21"/>
          <w:szCs w:val="21"/>
        </w:rPr>
        <w:t xml:space="preserve">6、基金财产清算程序： </w:t>
      </w:r>
    </w:p>
    <w:p w14:paraId="3D2CA998">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335C37AB">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DBE9C78">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4A18D14">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398E06A1">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C7B6789">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0EECDAB2">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E4F71C8">
      <w:pPr>
        <w:pStyle w:val="7"/>
        <w:spacing w:before="0" w:beforeAutospacing="0" w:after="0" w:afterAutospacing="0" w:line="360" w:lineRule="auto"/>
        <w:ind w:firstLine="420"/>
        <w:rPr>
          <w:sz w:val="21"/>
          <w:szCs w:val="21"/>
        </w:rPr>
      </w:pPr>
      <w:r>
        <w:rPr>
          <w:rFonts w:hint="eastAsia"/>
          <w:sz w:val="21"/>
          <w:szCs w:val="21"/>
        </w:rPr>
        <w:t xml:space="preserve">7、基金财产清算的期限为6个月，但因本基金所持证券的流动性受到限制而不能及时变现的，清算期限可相应顺延。 </w:t>
      </w:r>
    </w:p>
    <w:p w14:paraId="5BBF68D1">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6B8449C2">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1697060B">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1C922A9B">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744914FB">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62571CAF">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4FA5025">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24A50832">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基金财产清算账册及有关文件由基金托管人保存20年以上，法律法规或监管规则另有规定的，从其规定。 </w:t>
      </w:r>
    </w:p>
    <w:p w14:paraId="14F8BCCF">
      <w:pPr>
        <w:pStyle w:val="7"/>
        <w:spacing w:before="0" w:beforeAutospacing="0" w:after="0" w:afterAutospacing="0" w:line="360" w:lineRule="auto"/>
        <w:ind w:firstLine="420"/>
        <w:rPr>
          <w:sz w:val="21"/>
          <w:szCs w:val="21"/>
        </w:rPr>
      </w:pPr>
      <w:r>
        <w:rPr>
          <w:rFonts w:hint="eastAsia"/>
          <w:sz w:val="21"/>
          <w:szCs w:val="21"/>
        </w:rPr>
        <w:t xml:space="preserve">（八）基金合并 </w:t>
      </w:r>
    </w:p>
    <w:p w14:paraId="0AE4E8A0">
      <w:pPr>
        <w:pStyle w:val="7"/>
        <w:spacing w:before="0" w:beforeAutospacing="0" w:after="0" w:afterAutospacing="0" w:line="360" w:lineRule="auto"/>
        <w:ind w:firstLine="420"/>
        <w:rPr>
          <w:sz w:val="21"/>
          <w:szCs w:val="21"/>
        </w:rPr>
      </w:pPr>
      <w:r>
        <w:rPr>
          <w:rFonts w:hint="eastAsia"/>
          <w:sz w:val="21"/>
          <w:szCs w:val="21"/>
        </w:rPr>
        <w:t xml:space="preserve">本基金与其他基金的合并应当按照法律法规规定的程序进行。 </w:t>
      </w:r>
    </w:p>
    <w:p w14:paraId="448588E3">
      <w:pPr>
        <w:pStyle w:val="7"/>
        <w:spacing w:before="0" w:beforeAutospacing="0" w:after="0" w:afterAutospacing="0" w:line="360" w:lineRule="auto"/>
        <w:ind w:firstLine="420"/>
        <w:rPr>
          <w:sz w:val="21"/>
          <w:szCs w:val="21"/>
        </w:rPr>
      </w:pPr>
      <w:r>
        <w:rPr>
          <w:rStyle w:val="11"/>
          <w:rFonts w:hint="eastAsia"/>
          <w:sz w:val="21"/>
          <w:szCs w:val="21"/>
        </w:rPr>
        <w:t>四、争议解决方式</w:t>
      </w:r>
    </w:p>
    <w:p w14:paraId="39CB6A86">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 </w:t>
      </w:r>
    </w:p>
    <w:p w14:paraId="0341F5C1">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争议处理期间，基金管理人、基金托管人应恪守基金管理人和基金托管人的职责，各自继续忠实、勤勉、尽责地履行基金合同和基金托管协议规定的义务，维护基金份额持有人的合法权益。 </w:t>
      </w:r>
    </w:p>
    <w:p w14:paraId="59847431">
      <w:pPr>
        <w:pStyle w:val="7"/>
        <w:spacing w:before="0" w:beforeAutospacing="0" w:after="0" w:afterAutospacing="0" w:line="360" w:lineRule="auto"/>
        <w:ind w:firstLine="420"/>
        <w:rPr>
          <w:sz w:val="21"/>
          <w:szCs w:val="21"/>
        </w:rPr>
      </w:pPr>
      <w:r>
        <w:rPr>
          <w:rFonts w:hint="eastAsia"/>
          <w:sz w:val="21"/>
          <w:szCs w:val="21"/>
        </w:rPr>
        <w:t xml:space="preserve">《基金合同》受中国法律（为本基金合同之目的，在此不包括香港、澳门特别行政区和台湾地区法律）管辖并从其解释。 </w:t>
      </w:r>
    </w:p>
    <w:p w14:paraId="6900297A">
      <w:pPr>
        <w:pStyle w:val="7"/>
        <w:spacing w:before="0" w:beforeAutospacing="0" w:after="0" w:afterAutospacing="0" w:line="360" w:lineRule="auto"/>
        <w:ind w:firstLine="420"/>
        <w:rPr>
          <w:sz w:val="21"/>
          <w:szCs w:val="21"/>
        </w:rPr>
      </w:pPr>
      <w:r>
        <w:rPr>
          <w:rStyle w:val="11"/>
          <w:rFonts w:hint="eastAsia"/>
          <w:sz w:val="21"/>
          <w:szCs w:val="21"/>
        </w:rPr>
        <w:t>五、基金合同存放地和投资人取得基金合同的方式</w:t>
      </w:r>
    </w:p>
    <w:p w14:paraId="21270DBE">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200" w:name="chapter_level1_22_71_section_1_end"/>
      <w:bookmarkEnd w:id="200"/>
      <w:r>
        <w:rPr>
          <w:rFonts w:hint="eastAsia"/>
          <w:sz w:val="21"/>
          <w:szCs w:val="21"/>
        </w:rPr>
        <w:t xml:space="preserve">和营业场所查阅。 </w:t>
      </w:r>
    </w:p>
    <w:p w14:paraId="4767461B">
      <w:pPr>
        <w:widowControl/>
        <w:jc w:val="left"/>
        <w:rPr>
          <w:rFonts w:ascii="宋体" w:hAnsi="宋体" w:eastAsia="宋体"/>
        </w:rPr>
      </w:pPr>
      <w:r>
        <w:rPr>
          <w:rFonts w:ascii="宋体" w:hAnsi="宋体" w:eastAsia="宋体"/>
        </w:rPr>
        <w:br w:type="page"/>
      </w:r>
    </w:p>
    <w:p w14:paraId="52301767">
      <w:pPr>
        <w:pStyle w:val="2"/>
        <w:jc w:val="center"/>
        <w:rPr>
          <w:rFonts w:ascii="宋体" w:hAnsi="宋体" w:eastAsia="宋体"/>
          <w:sz w:val="30"/>
        </w:rPr>
      </w:pPr>
      <w:bookmarkStart w:id="201" w:name="_Toc209538287"/>
      <w:bookmarkStart w:id="202" w:name="chapter_level1_23_72"/>
      <w:r>
        <w:rPr>
          <w:rFonts w:hint="eastAsia" w:ascii="宋体" w:hAnsi="宋体" w:eastAsia="宋体"/>
          <w:sz w:val="30"/>
        </w:rPr>
        <w:t>第二十部分  基金托管协议的内容摘要</w:t>
      </w:r>
      <w:bookmarkEnd w:id="201"/>
      <w:bookmarkEnd w:id="202"/>
    </w:p>
    <w:p w14:paraId="04D1498D">
      <w:pPr>
        <w:pStyle w:val="7"/>
        <w:spacing w:before="0" w:beforeAutospacing="0" w:after="0" w:afterAutospacing="0" w:line="360" w:lineRule="auto"/>
        <w:ind w:firstLine="420"/>
        <w:rPr>
          <w:sz w:val="21"/>
          <w:szCs w:val="21"/>
        </w:rPr>
      </w:pPr>
      <w:bookmarkStart w:id="203" w:name="chapter_level1_23_72_section_1"/>
      <w:bookmarkEnd w:id="203"/>
      <w:r>
        <w:rPr>
          <w:rStyle w:val="11"/>
          <w:rFonts w:hint="eastAsia"/>
          <w:sz w:val="21"/>
          <w:szCs w:val="21"/>
        </w:rPr>
        <w:t>一、托管协议当事人</w:t>
      </w:r>
    </w:p>
    <w:p w14:paraId="155F63A2">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3C9E2AA8">
      <w:pPr>
        <w:pStyle w:val="7"/>
        <w:spacing w:before="0" w:beforeAutospacing="0" w:after="0" w:afterAutospacing="0" w:line="360" w:lineRule="auto"/>
        <w:ind w:firstLine="420"/>
        <w:rPr>
          <w:sz w:val="21"/>
          <w:szCs w:val="21"/>
        </w:rPr>
      </w:pPr>
      <w:r>
        <w:rPr>
          <w:rFonts w:hint="eastAsia"/>
          <w:sz w:val="21"/>
          <w:szCs w:val="21"/>
        </w:rPr>
        <w:t>名称：</w:t>
      </w:r>
      <w:bookmarkStart w:id="204" w:name="field_0_managerorgfullname_6"/>
      <w:r>
        <w:rPr>
          <w:rFonts w:hint="eastAsia"/>
          <w:sz w:val="21"/>
          <w:szCs w:val="21"/>
        </w:rPr>
        <w:t>博时基金管理有限公司</w:t>
      </w:r>
      <w:bookmarkEnd w:id="204"/>
      <w:r>
        <w:rPr>
          <w:rFonts w:hint="eastAsia"/>
          <w:sz w:val="21"/>
          <w:szCs w:val="21"/>
        </w:rPr>
        <w:t xml:space="preserve">  </w:t>
      </w:r>
    </w:p>
    <w:p w14:paraId="67E0202A">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3035372E">
      <w:pPr>
        <w:pStyle w:val="7"/>
        <w:spacing w:before="0" w:beforeAutospacing="0" w:after="0" w:afterAutospacing="0" w:line="360" w:lineRule="auto"/>
        <w:ind w:firstLine="420"/>
        <w:rPr>
          <w:sz w:val="21"/>
          <w:szCs w:val="21"/>
        </w:rPr>
      </w:pPr>
      <w:r>
        <w:rPr>
          <w:rFonts w:hint="eastAsia"/>
          <w:sz w:val="21"/>
          <w:szCs w:val="21"/>
        </w:rPr>
        <w:t xml:space="preserve">办公地址：深圳市福田区莲花街道福新社区益田路5999号基金大厦21层 </w:t>
      </w:r>
    </w:p>
    <w:p w14:paraId="1364642E">
      <w:pPr>
        <w:pStyle w:val="7"/>
        <w:spacing w:before="0" w:beforeAutospacing="0" w:after="0" w:afterAutospacing="0" w:line="360" w:lineRule="auto"/>
        <w:ind w:firstLine="420"/>
        <w:rPr>
          <w:sz w:val="21"/>
          <w:szCs w:val="21"/>
        </w:rPr>
      </w:pPr>
      <w:r>
        <w:rPr>
          <w:rFonts w:hint="eastAsia"/>
          <w:sz w:val="21"/>
          <w:szCs w:val="21"/>
        </w:rPr>
        <w:t xml:space="preserve">邮政编码：518040 </w:t>
      </w:r>
    </w:p>
    <w:p w14:paraId="692F2A53">
      <w:pPr>
        <w:pStyle w:val="7"/>
        <w:spacing w:before="0" w:beforeAutospacing="0" w:after="0" w:afterAutospacing="0" w:line="360" w:lineRule="auto"/>
        <w:ind w:firstLine="420"/>
        <w:rPr>
          <w:sz w:val="21"/>
          <w:szCs w:val="21"/>
        </w:rPr>
      </w:pPr>
      <w:r>
        <w:rPr>
          <w:rFonts w:hint="eastAsia"/>
          <w:sz w:val="21"/>
          <w:szCs w:val="21"/>
        </w:rPr>
        <w:t>法定代表人：</w:t>
      </w:r>
      <w:r>
        <w:rPr>
          <w:rFonts w:hint="eastAsia"/>
          <w:sz w:val="21"/>
          <w:szCs w:val="21"/>
          <w:lang w:eastAsia="zh-CN"/>
        </w:rPr>
        <w:t>张东</w:t>
      </w:r>
      <w:r>
        <w:rPr>
          <w:rFonts w:hint="eastAsia"/>
          <w:sz w:val="21"/>
          <w:szCs w:val="21"/>
        </w:rPr>
        <w:t xml:space="preserve"> </w:t>
      </w:r>
    </w:p>
    <w:p w14:paraId="64C02BED">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62BAFD62">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37C78ED3">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020F497D">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4F2FF9F9">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64E7E39">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72AFAAAA">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6D27F10E">
      <w:pPr>
        <w:pStyle w:val="7"/>
        <w:spacing w:before="0" w:beforeAutospacing="0" w:after="0" w:afterAutospacing="0" w:line="360" w:lineRule="auto"/>
        <w:ind w:firstLine="420"/>
        <w:rPr>
          <w:sz w:val="21"/>
          <w:szCs w:val="21"/>
        </w:rPr>
      </w:pPr>
      <w:r>
        <w:rPr>
          <w:rFonts w:hint="eastAsia"/>
          <w:sz w:val="21"/>
          <w:szCs w:val="21"/>
        </w:rPr>
        <w:t>名称：</w:t>
      </w:r>
      <w:bookmarkStart w:id="205" w:name="field_0_trustorgfullname_2"/>
      <w:r>
        <w:rPr>
          <w:rFonts w:hint="eastAsia"/>
          <w:sz w:val="21"/>
          <w:szCs w:val="21"/>
        </w:rPr>
        <w:t>中国民生银行股份有限公司</w:t>
      </w:r>
      <w:bookmarkEnd w:id="205"/>
      <w:r>
        <w:rPr>
          <w:rFonts w:hint="eastAsia"/>
          <w:sz w:val="21"/>
          <w:szCs w:val="21"/>
        </w:rPr>
        <w:t xml:space="preserve">  </w:t>
      </w:r>
    </w:p>
    <w:p w14:paraId="2E215A48">
      <w:pPr>
        <w:pStyle w:val="7"/>
        <w:spacing w:before="0" w:beforeAutospacing="0" w:after="0" w:afterAutospacing="0" w:line="360" w:lineRule="auto"/>
        <w:ind w:firstLine="420"/>
        <w:rPr>
          <w:sz w:val="21"/>
          <w:szCs w:val="21"/>
        </w:rPr>
      </w:pPr>
      <w:r>
        <w:rPr>
          <w:rFonts w:hint="eastAsia"/>
          <w:sz w:val="21"/>
          <w:szCs w:val="21"/>
        </w:rPr>
        <w:t xml:space="preserve">注册地址：北京市西城区复兴门内大街2号 </w:t>
      </w:r>
    </w:p>
    <w:p w14:paraId="3C09C543">
      <w:pPr>
        <w:pStyle w:val="7"/>
        <w:spacing w:before="0" w:beforeAutospacing="0" w:after="0" w:afterAutospacing="0" w:line="360" w:lineRule="auto"/>
        <w:ind w:firstLine="420"/>
        <w:rPr>
          <w:sz w:val="21"/>
          <w:szCs w:val="21"/>
        </w:rPr>
      </w:pPr>
      <w:r>
        <w:rPr>
          <w:rFonts w:hint="eastAsia"/>
          <w:sz w:val="21"/>
          <w:szCs w:val="21"/>
        </w:rPr>
        <w:t xml:space="preserve">办公地址：北京市西城区复兴门内大街2号 </w:t>
      </w:r>
    </w:p>
    <w:p w14:paraId="69F70F94">
      <w:pPr>
        <w:pStyle w:val="7"/>
        <w:spacing w:before="0" w:beforeAutospacing="0" w:after="0" w:afterAutospacing="0" w:line="360" w:lineRule="auto"/>
        <w:ind w:firstLine="420"/>
        <w:rPr>
          <w:sz w:val="21"/>
          <w:szCs w:val="21"/>
        </w:rPr>
      </w:pPr>
      <w:r>
        <w:rPr>
          <w:rFonts w:hint="eastAsia"/>
          <w:sz w:val="21"/>
          <w:szCs w:val="21"/>
        </w:rPr>
        <w:t xml:space="preserve">邮政编码：100031 </w:t>
      </w:r>
    </w:p>
    <w:p w14:paraId="613FCD61">
      <w:pPr>
        <w:pStyle w:val="7"/>
        <w:spacing w:before="0" w:beforeAutospacing="0" w:after="0" w:afterAutospacing="0" w:line="360" w:lineRule="auto"/>
        <w:ind w:firstLine="420"/>
        <w:rPr>
          <w:sz w:val="21"/>
          <w:szCs w:val="21"/>
        </w:rPr>
      </w:pPr>
      <w:r>
        <w:rPr>
          <w:rFonts w:hint="eastAsia"/>
          <w:sz w:val="21"/>
          <w:szCs w:val="21"/>
        </w:rPr>
        <w:t xml:space="preserve">法定代表人：高迎欣 </w:t>
      </w:r>
    </w:p>
    <w:p w14:paraId="77461B83">
      <w:pPr>
        <w:pStyle w:val="7"/>
        <w:spacing w:before="0" w:beforeAutospacing="0" w:after="0" w:afterAutospacing="0" w:line="360" w:lineRule="auto"/>
        <w:ind w:firstLine="420"/>
        <w:rPr>
          <w:sz w:val="21"/>
          <w:szCs w:val="21"/>
        </w:rPr>
      </w:pPr>
      <w:r>
        <w:rPr>
          <w:rFonts w:hint="eastAsia"/>
          <w:sz w:val="21"/>
          <w:szCs w:val="21"/>
        </w:rPr>
        <w:t xml:space="preserve">成立日期：1996年2月7日 </w:t>
      </w:r>
    </w:p>
    <w:p w14:paraId="3A7082BE">
      <w:pPr>
        <w:pStyle w:val="7"/>
        <w:spacing w:before="0" w:beforeAutospacing="0" w:after="0" w:afterAutospacing="0" w:line="360" w:lineRule="auto"/>
        <w:ind w:firstLine="420"/>
        <w:rPr>
          <w:sz w:val="21"/>
          <w:szCs w:val="21"/>
        </w:rPr>
      </w:pPr>
      <w:r>
        <w:rPr>
          <w:rFonts w:hint="eastAsia"/>
          <w:sz w:val="21"/>
          <w:szCs w:val="21"/>
        </w:rPr>
        <w:t xml:space="preserve">基金托管业务批准文号：证监基金字[2004]101号 </w:t>
      </w:r>
    </w:p>
    <w:p w14:paraId="7750DBB6">
      <w:pPr>
        <w:pStyle w:val="7"/>
        <w:spacing w:before="0" w:beforeAutospacing="0" w:after="0" w:afterAutospacing="0" w:line="360" w:lineRule="auto"/>
        <w:ind w:firstLine="420"/>
        <w:rPr>
          <w:sz w:val="21"/>
          <w:szCs w:val="21"/>
        </w:rPr>
      </w:pPr>
      <w:r>
        <w:rPr>
          <w:rFonts w:hint="eastAsia"/>
          <w:sz w:val="21"/>
          <w:szCs w:val="21"/>
        </w:rPr>
        <w:t xml:space="preserve">组织形式：其他股份有限公司（上市） </w:t>
      </w:r>
    </w:p>
    <w:p w14:paraId="06C9218B">
      <w:pPr>
        <w:pStyle w:val="7"/>
        <w:spacing w:before="0" w:beforeAutospacing="0" w:after="0" w:afterAutospacing="0" w:line="360" w:lineRule="auto"/>
        <w:ind w:firstLine="420"/>
        <w:rPr>
          <w:sz w:val="21"/>
          <w:szCs w:val="21"/>
        </w:rPr>
      </w:pPr>
      <w:r>
        <w:rPr>
          <w:rFonts w:hint="eastAsia"/>
          <w:sz w:val="21"/>
          <w:szCs w:val="21"/>
        </w:rPr>
        <w:t xml:space="preserve">注册资本：28,365,585,227元人民币 </w:t>
      </w:r>
    </w:p>
    <w:p w14:paraId="3F8F2F96">
      <w:pPr>
        <w:pStyle w:val="7"/>
        <w:spacing w:before="0" w:beforeAutospacing="0" w:after="0" w:afterAutospacing="0" w:line="360" w:lineRule="auto"/>
        <w:ind w:firstLine="420"/>
        <w:rPr>
          <w:sz w:val="21"/>
          <w:szCs w:val="21"/>
        </w:rPr>
      </w:pPr>
      <w:r>
        <w:rPr>
          <w:rFonts w:hint="eastAsia"/>
          <w:sz w:val="21"/>
          <w:szCs w:val="21"/>
        </w:rPr>
        <w:t xml:space="preserve">存续期间：1996年2月7日至长期 </w:t>
      </w:r>
    </w:p>
    <w:p w14:paraId="5D425EC3">
      <w:pPr>
        <w:pStyle w:val="7"/>
        <w:spacing w:before="0" w:beforeAutospacing="0" w:after="0" w:afterAutospacing="0" w:line="360" w:lineRule="auto"/>
        <w:ind w:firstLine="420"/>
        <w:rPr>
          <w:sz w:val="21"/>
          <w:szCs w:val="21"/>
        </w:rPr>
      </w:pPr>
      <w:r>
        <w:rPr>
          <w:rFonts w:hint="eastAsia"/>
          <w:sz w:val="21"/>
          <w:szCs w:val="21"/>
        </w:rPr>
        <w:t xml:space="preserve">经营范围：吸收公众存款；发放短期、中期和长期贷款；办理国内外结算；办理票据承兑与贴现、发行金融债券；代理发行、代理兑付、承销政府债券；买卖政府债券、金融债券；从事同业拆借；买卖、代理买卖外汇；从事结汇、售汇业务；从事银行卡业务；提供信用证服务及担保；代理收付款项；提供保管箱服务；经国务院银行业监督管理机构批准的其他业务；保险兼业代理业务。（市场主体依法自主选择经营项目，开展经营活动；保险兼业代理业务以及依法须经批准的项目，经相关部门批准后依批准的内容开展经营活动；不得从事国家和本市产业政策禁止和限制类项目的经营活动。） </w:t>
      </w:r>
    </w:p>
    <w:p w14:paraId="51DA77D6">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4C922A3F">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投资比例的约定进行监督，对存在疑义的事项进行核查。基金管理人应通过电子邮件或双方认可的其他方式及时、完整、准确地向基金托管人提供投资品种池信息，如因基金管理人原因未向基金托管人提供投资品种池而造成基金托管人投资监督不及时的，基金托管人不承担相关责任。 </w:t>
      </w:r>
    </w:p>
    <w:p w14:paraId="50C7594D">
      <w:pPr>
        <w:pStyle w:val="7"/>
        <w:spacing w:before="0" w:beforeAutospacing="0" w:after="0" w:afterAutospacing="0" w:line="360" w:lineRule="auto"/>
        <w:ind w:firstLine="420"/>
        <w:rPr>
          <w:sz w:val="21"/>
          <w:szCs w:val="21"/>
        </w:rPr>
      </w:pPr>
      <w:r>
        <w:rPr>
          <w:rFonts w:hint="eastAsia"/>
          <w:sz w:val="21"/>
          <w:szCs w:val="21"/>
        </w:rPr>
        <w:t xml:space="preserve">本基金的投资范围为具有良好流动性的金融工具，包括国内依法发行或上市的股票（包括中小板、创业板及其他经中国证监会核准或注册上市的股票、存托凭证）、内地与香港股票市场交易互联互通机制下允许投资的香港联合交易所上市的股票（以下简称“港股通标的股票”）、债券（包括国债、金融债、地方政府债、政府支持机构债券、企业债、公司债、央行票据、中期票据、短期融资券、超短期融资券、可转换债券（含可分离交易可转换债券的纯债部分）、可交换债、公开发行的次级债、可续期公司债等）、资产支持证券、货币市场工具、银行存款、同业存单、债券回购、股指期货、国债期货、股票期权、信用衍生品以及法律法规或中国证监会允许基金投资的其他金融工具（但须符合中国证监会的相关规定）。 </w:t>
      </w:r>
    </w:p>
    <w:p w14:paraId="28772AF4">
      <w:pPr>
        <w:pStyle w:val="7"/>
        <w:spacing w:before="0" w:beforeAutospacing="0" w:after="0" w:afterAutospacing="0" w:line="360" w:lineRule="auto"/>
        <w:ind w:firstLine="420"/>
        <w:rPr>
          <w:sz w:val="21"/>
          <w:szCs w:val="21"/>
        </w:rPr>
      </w:pPr>
      <w:r>
        <w:rPr>
          <w:rFonts w:hint="eastAsia"/>
          <w:sz w:val="21"/>
          <w:szCs w:val="21"/>
        </w:rPr>
        <w:t xml:space="preserve">本基金可根据相关法律法规和基金合同的约定参与融资业务。 </w:t>
      </w:r>
    </w:p>
    <w:p w14:paraId="3105DA93">
      <w:pPr>
        <w:pStyle w:val="7"/>
        <w:spacing w:before="0" w:beforeAutospacing="0" w:after="0" w:afterAutospacing="0" w:line="360" w:lineRule="auto"/>
        <w:ind w:firstLine="420"/>
        <w:rPr>
          <w:sz w:val="21"/>
          <w:szCs w:val="21"/>
        </w:rPr>
      </w:pPr>
      <w:r>
        <w:rPr>
          <w:rFonts w:hint="eastAsia"/>
          <w:sz w:val="21"/>
          <w:szCs w:val="21"/>
        </w:rPr>
        <w:t xml:space="preserve">如法律法规或中国证监会以后允许基金投资其他品种，本基金管理人在履行适当程序后，可以将其纳入本基金的投资范围。 </w:t>
      </w:r>
    </w:p>
    <w:p w14:paraId="385B1B40">
      <w:pPr>
        <w:pStyle w:val="7"/>
        <w:spacing w:before="0" w:beforeAutospacing="0" w:after="0" w:afterAutospacing="0" w:line="360" w:lineRule="auto"/>
        <w:ind w:firstLine="420"/>
        <w:rPr>
          <w:sz w:val="21"/>
          <w:szCs w:val="21"/>
        </w:rPr>
      </w:pPr>
      <w:r>
        <w:rPr>
          <w:rFonts w:hint="eastAsia"/>
          <w:sz w:val="21"/>
          <w:szCs w:val="21"/>
        </w:rPr>
        <w:t xml:space="preserve">本基金的投资组合比例为：本基金的股票资产（含存托凭证）占基金资产的0%-30%，港股通标的股票的投资比例为股票资产的0%-50%；投资于同业存单的比例不超过基金资产的20%；每个交易日日终在扣除股指期货合约、股票期权合约、国债期货合约所需缴纳的交易保证金后，现金或到期日在一年以内的政府债券不低于基金资产净值的5%。前述现金不包括结算备付金、存出保证金、应收申购款等。 </w:t>
      </w:r>
    </w:p>
    <w:p w14:paraId="0A3B015C">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6898197D">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（二）基金托管人根据有关法律法规的规定及基金合同的约定，对基金投资比例进行监督。基金托管人按下述比例和调整期限进行监督： </w:t>
      </w:r>
    </w:p>
    <w:p w14:paraId="2D9B3103">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1890881E">
      <w:pPr>
        <w:pStyle w:val="7"/>
        <w:spacing w:before="0" w:beforeAutospacing="0" w:after="0" w:afterAutospacing="0" w:line="360" w:lineRule="auto"/>
        <w:ind w:firstLine="420"/>
        <w:rPr>
          <w:sz w:val="21"/>
          <w:szCs w:val="21"/>
        </w:rPr>
      </w:pPr>
      <w:r>
        <w:rPr>
          <w:rFonts w:hint="eastAsia"/>
          <w:sz w:val="21"/>
          <w:szCs w:val="21"/>
        </w:rPr>
        <w:t xml:space="preserve">（1）本基金的股票资产（含存托凭证）占基金资产的0%-30%，港股通标的股票的投资比例为股票资产的0%-50%； </w:t>
      </w:r>
    </w:p>
    <w:p w14:paraId="53E055DA">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合约、国债期货合约、股票期权合约需缴纳的交易保证金后，保持不低于基金资产净值5%的现金或者到期日在一年以内的政府债券，其中，现金不包括结算备付金、存出保证金、应收申购款等； </w:t>
      </w:r>
    </w:p>
    <w:p w14:paraId="1BA04B55">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 </w:t>
      </w:r>
    </w:p>
    <w:p w14:paraId="603C18C5">
      <w:pPr>
        <w:pStyle w:val="7"/>
        <w:spacing w:before="0" w:beforeAutospacing="0" w:after="0" w:afterAutospacing="0" w:line="360" w:lineRule="auto"/>
        <w:ind w:firstLine="420"/>
        <w:rPr>
          <w:sz w:val="21"/>
          <w:szCs w:val="21"/>
        </w:rPr>
      </w:pPr>
      <w:r>
        <w:rPr>
          <w:rFonts w:hint="eastAsia"/>
          <w:sz w:val="21"/>
          <w:szCs w:val="21"/>
        </w:rPr>
        <w:t xml:space="preserve">（4）本基金管理人管理且由本基金托管人托管的全部基金持有一家公司发行的证券，不超过该证券（若同时持有一家公司发行的A股和H股，则为A股与H股合计）的10%； </w:t>
      </w:r>
    </w:p>
    <w:p w14:paraId="7174C37E">
      <w:pPr>
        <w:pStyle w:val="7"/>
        <w:spacing w:before="0" w:beforeAutospacing="0" w:after="0" w:afterAutospacing="0" w:line="360" w:lineRule="auto"/>
        <w:ind w:firstLine="420"/>
        <w:rPr>
          <w:sz w:val="21"/>
          <w:szCs w:val="21"/>
        </w:rPr>
      </w:pPr>
      <w:r>
        <w:rPr>
          <w:rFonts w:hint="eastAsia"/>
          <w:sz w:val="21"/>
          <w:szCs w:val="21"/>
        </w:rPr>
        <w:t xml:space="preserve">（5）本基金投资于同一原始权益人的各类资产支持证券的比例，不得超过基金资产净值的10%； </w:t>
      </w:r>
    </w:p>
    <w:p w14:paraId="218615F7">
      <w:pPr>
        <w:pStyle w:val="7"/>
        <w:spacing w:before="0" w:beforeAutospacing="0" w:after="0" w:afterAutospacing="0" w:line="360" w:lineRule="auto"/>
        <w:ind w:firstLine="420"/>
        <w:rPr>
          <w:sz w:val="21"/>
          <w:szCs w:val="21"/>
        </w:rPr>
      </w:pPr>
      <w:r>
        <w:rPr>
          <w:rFonts w:hint="eastAsia"/>
          <w:sz w:val="21"/>
          <w:szCs w:val="21"/>
        </w:rPr>
        <w:t xml:space="preserve">（6）本基金持有的全部资产支持证券，其市值不得超过基金资产净值的 20%； </w:t>
      </w:r>
    </w:p>
    <w:p w14:paraId="662FC309">
      <w:pPr>
        <w:pStyle w:val="7"/>
        <w:spacing w:before="0" w:beforeAutospacing="0" w:after="0" w:afterAutospacing="0" w:line="360" w:lineRule="auto"/>
        <w:ind w:firstLine="420"/>
        <w:rPr>
          <w:sz w:val="21"/>
          <w:szCs w:val="21"/>
        </w:rPr>
      </w:pPr>
      <w:r>
        <w:rPr>
          <w:rFonts w:hint="eastAsia"/>
          <w:sz w:val="21"/>
          <w:szCs w:val="21"/>
        </w:rPr>
        <w:t xml:space="preserve">（7）本基金持有的同一(指同一信用级别)资产支持证券的比例，不得超过该资产支持证券规模的10%； </w:t>
      </w:r>
    </w:p>
    <w:p w14:paraId="4F2F778A">
      <w:pPr>
        <w:pStyle w:val="7"/>
        <w:spacing w:before="0" w:beforeAutospacing="0" w:after="0" w:afterAutospacing="0" w:line="360" w:lineRule="auto"/>
        <w:ind w:firstLine="420"/>
        <w:rPr>
          <w:sz w:val="21"/>
          <w:szCs w:val="21"/>
        </w:rPr>
      </w:pPr>
      <w:r>
        <w:rPr>
          <w:rFonts w:hint="eastAsia"/>
          <w:sz w:val="21"/>
          <w:szCs w:val="21"/>
        </w:rPr>
        <w:t xml:space="preserve">（8）本基金管理人管理且由本基金托管人托管的全部基金投资于同一原始权益人的各类资产支持证券，不得超过其各类资产支持证券合计规模的10%； </w:t>
      </w:r>
    </w:p>
    <w:p w14:paraId="11E386B8">
      <w:pPr>
        <w:pStyle w:val="7"/>
        <w:spacing w:before="0" w:beforeAutospacing="0" w:after="0" w:afterAutospacing="0" w:line="360" w:lineRule="auto"/>
        <w:ind w:firstLine="420"/>
        <w:rPr>
          <w:sz w:val="21"/>
          <w:szCs w:val="21"/>
        </w:rPr>
      </w:pPr>
      <w:r>
        <w:rPr>
          <w:rFonts w:hint="eastAsia"/>
          <w:sz w:val="21"/>
          <w:szCs w:val="21"/>
        </w:rPr>
        <w:t xml:space="preserve">（9）本基金应投资于信用级别评级为BBB以上(含BBB)的资产支持证券。基金持有资产支持证券期间，如果其信用等级下降、不再符合投资标准，应在评级报告发布之日起3个月内予以全部卖出； </w:t>
      </w:r>
    </w:p>
    <w:p w14:paraId="02D1127B">
      <w:pPr>
        <w:pStyle w:val="7"/>
        <w:spacing w:before="0" w:beforeAutospacing="0" w:after="0" w:afterAutospacing="0" w:line="360" w:lineRule="auto"/>
        <w:ind w:firstLine="420"/>
        <w:rPr>
          <w:sz w:val="21"/>
          <w:szCs w:val="21"/>
        </w:rPr>
      </w:pPr>
      <w:r>
        <w:rPr>
          <w:rFonts w:hint="eastAsia"/>
          <w:sz w:val="21"/>
          <w:szCs w:val="21"/>
        </w:rPr>
        <w:t xml:space="preserve">（10）本基金投资于同业存单的比例不超过基金资产的20%； </w:t>
      </w:r>
    </w:p>
    <w:p w14:paraId="51E2485D">
      <w:pPr>
        <w:pStyle w:val="7"/>
        <w:spacing w:before="0" w:beforeAutospacing="0" w:after="0" w:afterAutospacing="0" w:line="360" w:lineRule="auto"/>
        <w:ind w:firstLine="420"/>
        <w:rPr>
          <w:sz w:val="21"/>
          <w:szCs w:val="21"/>
        </w:rPr>
      </w:pPr>
      <w:r>
        <w:rPr>
          <w:rFonts w:hint="eastAsia"/>
          <w:sz w:val="21"/>
          <w:szCs w:val="21"/>
        </w:rPr>
        <w:t xml:space="preserve">（11）基金财产参与股票发行申购，本基金所申报的金额不超过本基金的总资产，本基金所申报的股票数量不超过拟发行股票公司本次发行股票的总量； </w:t>
      </w:r>
    </w:p>
    <w:p w14:paraId="6C2D8A3B">
      <w:pPr>
        <w:pStyle w:val="7"/>
        <w:spacing w:before="0" w:beforeAutospacing="0" w:after="0" w:afterAutospacing="0" w:line="360" w:lineRule="auto"/>
        <w:ind w:firstLine="420"/>
        <w:rPr>
          <w:sz w:val="21"/>
          <w:szCs w:val="21"/>
        </w:rPr>
      </w:pPr>
      <w:r>
        <w:rPr>
          <w:rFonts w:hint="eastAsia"/>
          <w:sz w:val="21"/>
          <w:szCs w:val="21"/>
        </w:rPr>
        <w:t xml:space="preserve">（12）本基金进入全国银行间同业市场进行债券回购的资金余额不得超过基金资产净值的40%，进入全国银行间同业市场进行债券回购的最长期限为1年，债券回购到期后不得展期； </w:t>
      </w:r>
    </w:p>
    <w:p w14:paraId="7A9B041B">
      <w:pPr>
        <w:pStyle w:val="7"/>
        <w:spacing w:before="0" w:beforeAutospacing="0" w:after="0" w:afterAutospacing="0" w:line="360" w:lineRule="auto"/>
        <w:ind w:firstLine="420"/>
        <w:rPr>
          <w:sz w:val="21"/>
          <w:szCs w:val="21"/>
        </w:rPr>
      </w:pPr>
      <w:r>
        <w:rPr>
          <w:rFonts w:hint="eastAsia"/>
          <w:sz w:val="21"/>
          <w:szCs w:val="21"/>
        </w:rPr>
        <w:t xml:space="preserve">（13）本基金参与股指期货、国债期货投资的，应遵循下列限制： </w:t>
      </w:r>
    </w:p>
    <w:p w14:paraId="39E44DBC">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6AA8DE22">
      <w:pPr>
        <w:pStyle w:val="7"/>
        <w:spacing w:before="0" w:beforeAutospacing="0" w:after="0" w:afterAutospacing="0" w:line="360" w:lineRule="auto"/>
        <w:ind w:firstLine="420"/>
        <w:rPr>
          <w:sz w:val="21"/>
          <w:szCs w:val="21"/>
        </w:rPr>
      </w:pPr>
      <w:r>
        <w:rPr>
          <w:rFonts w:hint="eastAsia"/>
          <w:sz w:val="21"/>
          <w:szCs w:val="21"/>
        </w:rPr>
        <w:t xml:space="preserve">2）任何交易日日终，本基金持有的买入股指期货和国债期货合约价值和有价证券市值之和，不得超过基金资产净值的95%；其中，有价证券指股票、债券（不含到期日在一年以内的政府债券）、资产支持证券、买入返售金融资产（不含质押式回购）等； </w:t>
      </w:r>
    </w:p>
    <w:p w14:paraId="600DFC86">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4C8923CC">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5269AD73">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3FF03247">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35EDB8A1">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10931C52">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497CA1D2">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4D992ACE">
      <w:pPr>
        <w:pStyle w:val="7"/>
        <w:spacing w:before="0" w:beforeAutospacing="0" w:after="0" w:afterAutospacing="0" w:line="360" w:lineRule="auto"/>
        <w:ind w:firstLine="420"/>
        <w:rPr>
          <w:sz w:val="21"/>
          <w:szCs w:val="21"/>
        </w:rPr>
      </w:pPr>
      <w:r>
        <w:rPr>
          <w:rFonts w:hint="eastAsia"/>
          <w:sz w:val="21"/>
          <w:szCs w:val="21"/>
        </w:rPr>
        <w:t xml:space="preserve">（14）本基金参与股票期权交易的，需遵守下列规定： </w:t>
      </w:r>
    </w:p>
    <w:p w14:paraId="63C838CF">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1858F024">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440FF35F">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3）未平仓的股票期权合约面值不得超过基金资产净值的20%。其中，合约面值按照行权价乘以合约乘数计算； </w:t>
      </w:r>
    </w:p>
    <w:p w14:paraId="73E1D966">
      <w:pPr>
        <w:pStyle w:val="7"/>
        <w:spacing w:before="0" w:beforeAutospacing="0" w:after="0" w:afterAutospacing="0" w:line="360" w:lineRule="auto"/>
        <w:ind w:firstLine="420"/>
        <w:rPr>
          <w:sz w:val="21"/>
          <w:szCs w:val="21"/>
        </w:rPr>
      </w:pPr>
      <w:r>
        <w:rPr>
          <w:rFonts w:hint="eastAsia"/>
          <w:sz w:val="21"/>
          <w:szCs w:val="21"/>
        </w:rPr>
        <w:t xml:space="preserve">（15）本基金资产总值不得超过基金资产净值的140%； </w:t>
      </w:r>
    </w:p>
    <w:p w14:paraId="0F1688F2">
      <w:pPr>
        <w:pStyle w:val="7"/>
        <w:spacing w:before="0" w:beforeAutospacing="0" w:after="0" w:afterAutospacing="0" w:line="360" w:lineRule="auto"/>
        <w:ind w:firstLine="420"/>
        <w:rPr>
          <w:sz w:val="21"/>
          <w:szCs w:val="21"/>
        </w:rPr>
      </w:pPr>
      <w:r>
        <w:rPr>
          <w:rFonts w:hint="eastAsia"/>
          <w:sz w:val="21"/>
          <w:szCs w:val="21"/>
        </w:rPr>
        <w:t xml:space="preserve">（16）本基金管理人管理且由本基金托管人托管的全部开放式基金持有一家上市公司发行的可流通股票，不得超过该上市公司可流通股票的15%；本基金管理人管理且由本基金托管人托管的全部投资组合持有一家上市公司发行的可流通股票，不得超过该上市公司可流通股票的30%； </w:t>
      </w:r>
    </w:p>
    <w:p w14:paraId="03FB5B94">
      <w:pPr>
        <w:pStyle w:val="7"/>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该基金资产净值的15%；因证券市场波动、上市公司股票停牌、基金规模变动等基金管理人之外的因素致使基金不符合该比例限制的，基金管理人不得主动新增流动性受限资产的投资； </w:t>
      </w:r>
    </w:p>
    <w:p w14:paraId="68274CF7">
      <w:pPr>
        <w:pStyle w:val="7"/>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25E3AD37">
      <w:pPr>
        <w:pStyle w:val="7"/>
        <w:spacing w:before="0" w:beforeAutospacing="0" w:after="0" w:afterAutospacing="0" w:line="360" w:lineRule="auto"/>
        <w:ind w:firstLine="420"/>
        <w:rPr>
          <w:sz w:val="21"/>
          <w:szCs w:val="21"/>
        </w:rPr>
      </w:pPr>
      <w:r>
        <w:rPr>
          <w:rFonts w:hint="eastAsia"/>
          <w:sz w:val="21"/>
          <w:szCs w:val="21"/>
        </w:rPr>
        <w:t xml:space="preserve">（19）本基金参与融资的，任何交易日日终，本基金持有的融资买入股票与其他有价证券市值之和，不得超过基金资产净值的95%； </w:t>
      </w:r>
    </w:p>
    <w:p w14:paraId="1B5CE64A">
      <w:pPr>
        <w:pStyle w:val="7"/>
        <w:spacing w:before="0" w:beforeAutospacing="0" w:after="0" w:afterAutospacing="0" w:line="360" w:lineRule="auto"/>
        <w:ind w:firstLine="420"/>
        <w:rPr>
          <w:sz w:val="21"/>
          <w:szCs w:val="21"/>
        </w:rPr>
      </w:pPr>
      <w:r>
        <w:rPr>
          <w:rFonts w:hint="eastAsia"/>
          <w:sz w:val="21"/>
          <w:szCs w:val="21"/>
        </w:rPr>
        <w:t xml:space="preserve">（20）本基金不持有具有信用保护卖方属性的信用衍生品，不持有合约类信用衍生品，本基金持有的信用衍生品名义本金不得超过本基金中所对应受保护债券面值的100%； </w:t>
      </w:r>
    </w:p>
    <w:p w14:paraId="0587040A">
      <w:pPr>
        <w:pStyle w:val="7"/>
        <w:spacing w:before="0" w:beforeAutospacing="0" w:after="0" w:afterAutospacing="0" w:line="360" w:lineRule="auto"/>
        <w:ind w:firstLine="420"/>
        <w:rPr>
          <w:sz w:val="21"/>
          <w:szCs w:val="21"/>
        </w:rPr>
      </w:pPr>
      <w:r>
        <w:rPr>
          <w:rFonts w:hint="eastAsia"/>
          <w:sz w:val="21"/>
          <w:szCs w:val="21"/>
        </w:rPr>
        <w:t xml:space="preserve">（21）本基金投资于同一信用保护卖方各类信用衍生品名义本金合计不得超过基金资产净值的10%；因证券/期货市场波动、证券发行人合并、基金规模变动等基金管理人之外的因素致使基金不符合前述所规定比例限制的，基金管理人应在3个月之内进行调整； </w:t>
      </w:r>
    </w:p>
    <w:p w14:paraId="16A43E17">
      <w:pPr>
        <w:pStyle w:val="7"/>
        <w:spacing w:before="0" w:beforeAutospacing="0" w:after="0" w:afterAutospacing="0" w:line="360" w:lineRule="auto"/>
        <w:ind w:firstLine="420"/>
        <w:rPr>
          <w:sz w:val="21"/>
          <w:szCs w:val="21"/>
        </w:rPr>
      </w:pPr>
      <w:r>
        <w:rPr>
          <w:rFonts w:hint="eastAsia"/>
          <w:sz w:val="21"/>
          <w:szCs w:val="21"/>
        </w:rPr>
        <w:t xml:space="preserve">（22）本基金投资存托凭证的比例限制依照境内上市交易的股票执行； </w:t>
      </w:r>
    </w:p>
    <w:p w14:paraId="37A88FEB">
      <w:pPr>
        <w:pStyle w:val="7"/>
        <w:spacing w:before="0" w:beforeAutospacing="0" w:after="0" w:afterAutospacing="0" w:line="360" w:lineRule="auto"/>
        <w:ind w:firstLine="420"/>
        <w:rPr>
          <w:sz w:val="21"/>
          <w:szCs w:val="21"/>
        </w:rPr>
      </w:pPr>
      <w:r>
        <w:rPr>
          <w:rFonts w:hint="eastAsia"/>
          <w:sz w:val="21"/>
          <w:szCs w:val="21"/>
        </w:rPr>
        <w:t xml:space="preserve">（23）法律法规及中国证监会规定的和《基金合同》约定的其他投资限制。 </w:t>
      </w:r>
    </w:p>
    <w:p w14:paraId="54FFE575">
      <w:pPr>
        <w:pStyle w:val="7"/>
        <w:spacing w:before="0" w:beforeAutospacing="0" w:after="0" w:afterAutospacing="0" w:line="360" w:lineRule="auto"/>
        <w:ind w:firstLine="420"/>
        <w:rPr>
          <w:sz w:val="21"/>
          <w:szCs w:val="21"/>
        </w:rPr>
      </w:pPr>
      <w:r>
        <w:rPr>
          <w:rFonts w:hint="eastAsia"/>
          <w:sz w:val="21"/>
          <w:szCs w:val="21"/>
        </w:rPr>
        <w:t xml:space="preserve">除上述（2）、（9）、（17）、（18）、（21）情形之外，因证券、期货市场波动、证券发行人合并、基金规模变动等基金管理人之外的因素致使基金投资比例不符合上述规定投资比例的，基金管理人应当在10个交易日内进行调整，但法律法规或中国证监会规定的特殊情形除外。 </w:t>
      </w:r>
    </w:p>
    <w:p w14:paraId="13E644D5">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至本基金进入清算期止。 </w:t>
      </w:r>
    </w:p>
    <w:p w14:paraId="23CFF647">
      <w:pPr>
        <w:pStyle w:val="7"/>
        <w:spacing w:before="0" w:beforeAutospacing="0" w:after="0" w:afterAutospacing="0" w:line="360" w:lineRule="auto"/>
        <w:ind w:firstLine="420"/>
        <w:rPr>
          <w:sz w:val="21"/>
          <w:szCs w:val="21"/>
        </w:rPr>
      </w:pPr>
      <w:r>
        <w:rPr>
          <w:rFonts w:hint="eastAsia"/>
          <w:sz w:val="21"/>
          <w:szCs w:val="21"/>
        </w:rPr>
        <w:t xml:space="preserve">如果法律法规或监管部门对上述投资组合比例限制进行变更的，以变更后的规定为准。法律法规或监管部门取消上述限制，如适用于本基金，基金管理人在履行适当程序后，则本基金投资不再受相关限制，自动遵守届时有效的法律法规或监管规定，不需另行召开基金份额持有人大会。 </w:t>
      </w:r>
    </w:p>
    <w:p w14:paraId="208A5CD9">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（三）基金托管人根据有关法律法规的规定及基金合同的约定，对本托管协议第十五条第九款基金投资禁止行为进行监督。基金托管人通过事后监督方式对基金管理人基金投资禁止行为进行监督。 </w:t>
      </w:r>
    </w:p>
    <w:p w14:paraId="20EA1364">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46DA3385">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法律、行政法规或监管部门取消或变更上述禁止性规定，如适用于本基金，基金管理人在履行适当程序后，则本基金投资不再受相关限制或按变更后的规定执行。 </w:t>
      </w:r>
    </w:p>
    <w:p w14:paraId="1B945015">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及时向基金托管人说明理由，协商解决。 </w:t>
      </w:r>
    </w:p>
    <w:p w14:paraId="690D32F7">
      <w:pPr>
        <w:pStyle w:val="7"/>
        <w:spacing w:before="0" w:beforeAutospacing="0" w:after="0" w:afterAutospacing="0" w:line="360" w:lineRule="auto"/>
        <w:ind w:firstLine="420"/>
        <w:rPr>
          <w:sz w:val="21"/>
          <w:szCs w:val="21"/>
        </w:rPr>
      </w:pPr>
      <w:r>
        <w:rPr>
          <w:rFonts w:hint="eastAsia"/>
          <w:sz w:val="21"/>
          <w:szCs w:val="21"/>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如基金托管人事后发现基金管理人没有按照事先约定的交易对手或交易方式进行交易时，基金托管人应及时提醒基金管理人，基金托管人不承担由此造成的任何损失和责任。 </w:t>
      </w:r>
    </w:p>
    <w:p w14:paraId="3B4A175D">
      <w:pPr>
        <w:pStyle w:val="7"/>
        <w:spacing w:before="0" w:beforeAutospacing="0" w:after="0" w:afterAutospacing="0" w:line="360" w:lineRule="auto"/>
        <w:ind w:firstLine="420"/>
        <w:rPr>
          <w:sz w:val="21"/>
          <w:szCs w:val="21"/>
        </w:rPr>
      </w:pPr>
      <w:r>
        <w:rPr>
          <w:rFonts w:hint="eastAsia"/>
          <w:sz w:val="21"/>
          <w:szCs w:val="21"/>
        </w:rPr>
        <w:t xml:space="preserve">（五）基金托管人根据有关法律法规的规定及基金合同的约定，对基金管理人投资流通受限证券相关事项进行监督。 </w:t>
      </w:r>
    </w:p>
    <w:p w14:paraId="2DF5500B">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首次投资流通受限证券前，基金管理人应与基金托管人就流通受限证券投资签订风险控制补充协议。 </w:t>
      </w:r>
    </w:p>
    <w:p w14:paraId="1194712B">
      <w:pPr>
        <w:pStyle w:val="7"/>
        <w:spacing w:before="0" w:beforeAutospacing="0" w:after="0" w:afterAutospacing="0" w:line="360" w:lineRule="auto"/>
        <w:ind w:firstLine="420"/>
        <w:rPr>
          <w:sz w:val="21"/>
          <w:szCs w:val="21"/>
        </w:rPr>
      </w:pPr>
      <w:r>
        <w:rPr>
          <w:rFonts w:hint="eastAsia"/>
          <w:sz w:val="21"/>
          <w:szCs w:val="21"/>
        </w:rPr>
        <w:t xml:space="preserve">1. 本基金投资的流通受限证券与上文提及的流动性受限资产并不完全一致，须为经中国证监会批准的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7D2DDEA7">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本基金投资的流通受限证券限于可由中国证券登记结算有限责任公司或中央国债登记结算有限责任公司、银行间市场清算所股份有限公司负责登记和存管，并可在证券交易所或全国银行间债券市场交易的证券。 </w:t>
      </w:r>
    </w:p>
    <w:p w14:paraId="7A7044D1">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716B5BAE">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 </w:t>
      </w:r>
    </w:p>
    <w:p w14:paraId="5530F88D">
      <w:pPr>
        <w:pStyle w:val="7"/>
        <w:spacing w:before="0" w:beforeAutospacing="0" w:after="0" w:afterAutospacing="0" w:line="360" w:lineRule="auto"/>
        <w:ind w:firstLine="420"/>
        <w:rPr>
          <w:sz w:val="21"/>
          <w:szCs w:val="21"/>
        </w:rPr>
      </w:pPr>
      <w:r>
        <w:rPr>
          <w:rFonts w:hint="eastAsia"/>
          <w:sz w:val="21"/>
          <w:szCs w:val="21"/>
        </w:rPr>
        <w:t xml:space="preserve">2. 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对本基金因投资流通受限证券导致的流动性风险，基金托管人不承担任何责任。如因基金管理人违反基金合同或预先确定的投资流通受限证券的比例导致本基金出现损失致使基金托管人承担连带赔偿责任的，基金管理人应赔偿基金托管人由此遭受的损失。 </w:t>
      </w:r>
    </w:p>
    <w:p w14:paraId="4FF616E2">
      <w:pPr>
        <w:pStyle w:val="7"/>
        <w:spacing w:before="0" w:beforeAutospacing="0" w:after="0" w:afterAutospacing="0" w:line="360" w:lineRule="auto"/>
        <w:ind w:firstLine="420"/>
        <w:rPr>
          <w:sz w:val="21"/>
          <w:szCs w:val="21"/>
        </w:rPr>
      </w:pPr>
      <w:r>
        <w:rPr>
          <w:rFonts w:hint="eastAsia"/>
          <w:sz w:val="21"/>
          <w:szCs w:val="21"/>
        </w:rPr>
        <w:t xml:space="preserve">3. 本基金有关投资流通受限证券比例如违反有关限制规定，在合理期限内未能进行及时调整，基金管理人应在两日内编制临时报告书，予以公告。 </w:t>
      </w:r>
    </w:p>
    <w:p w14:paraId="4A73A20F">
      <w:pPr>
        <w:pStyle w:val="7"/>
        <w:spacing w:before="0" w:beforeAutospacing="0" w:after="0" w:afterAutospacing="0" w:line="360" w:lineRule="auto"/>
        <w:ind w:firstLine="420"/>
        <w:rPr>
          <w:sz w:val="21"/>
          <w:szCs w:val="21"/>
        </w:rPr>
      </w:pPr>
      <w:r>
        <w:rPr>
          <w:rFonts w:hint="eastAsia"/>
          <w:sz w:val="21"/>
          <w:szCs w:val="21"/>
        </w:rPr>
        <w:t xml:space="preserve">4. 基金托管人根据有关规定有权对基金管理人进行以下事项监督： </w:t>
      </w:r>
    </w:p>
    <w:p w14:paraId="0C6953DC">
      <w:pPr>
        <w:pStyle w:val="7"/>
        <w:spacing w:before="0" w:beforeAutospacing="0" w:after="0" w:afterAutospacing="0" w:line="360" w:lineRule="auto"/>
        <w:ind w:firstLine="420"/>
        <w:rPr>
          <w:sz w:val="21"/>
          <w:szCs w:val="21"/>
        </w:rPr>
      </w:pPr>
      <w:r>
        <w:rPr>
          <w:rFonts w:hint="eastAsia"/>
          <w:sz w:val="21"/>
          <w:szCs w:val="21"/>
        </w:rPr>
        <w:t xml:space="preserve">1) 本基金投资流通受限证券时的法律法规遵守情况。 </w:t>
      </w:r>
    </w:p>
    <w:p w14:paraId="0EA95C87">
      <w:pPr>
        <w:pStyle w:val="7"/>
        <w:spacing w:before="0" w:beforeAutospacing="0" w:after="0" w:afterAutospacing="0" w:line="360" w:lineRule="auto"/>
        <w:ind w:firstLine="420"/>
        <w:rPr>
          <w:sz w:val="21"/>
          <w:szCs w:val="21"/>
        </w:rPr>
      </w:pPr>
      <w:r>
        <w:rPr>
          <w:rFonts w:hint="eastAsia"/>
          <w:sz w:val="21"/>
          <w:szCs w:val="21"/>
        </w:rPr>
        <w:t xml:space="preserve">2) 在基金投资流通受限证券管理工作方面有关制度、流动性风险处置预案的建立与完善情况。 </w:t>
      </w:r>
    </w:p>
    <w:p w14:paraId="6B9AA922">
      <w:pPr>
        <w:pStyle w:val="7"/>
        <w:spacing w:before="0" w:beforeAutospacing="0" w:after="0" w:afterAutospacing="0" w:line="360" w:lineRule="auto"/>
        <w:ind w:firstLine="420"/>
        <w:rPr>
          <w:sz w:val="21"/>
          <w:szCs w:val="21"/>
        </w:rPr>
      </w:pPr>
      <w:r>
        <w:rPr>
          <w:rFonts w:hint="eastAsia"/>
          <w:sz w:val="21"/>
          <w:szCs w:val="21"/>
        </w:rPr>
        <w:t xml:space="preserve">3) 有关比例限制的执行情况。 </w:t>
      </w:r>
    </w:p>
    <w:p w14:paraId="305B32F1">
      <w:pPr>
        <w:pStyle w:val="7"/>
        <w:spacing w:before="0" w:beforeAutospacing="0" w:after="0" w:afterAutospacing="0" w:line="360" w:lineRule="auto"/>
        <w:ind w:firstLine="420"/>
        <w:rPr>
          <w:sz w:val="21"/>
          <w:szCs w:val="21"/>
        </w:rPr>
      </w:pPr>
      <w:r>
        <w:rPr>
          <w:rFonts w:hint="eastAsia"/>
          <w:sz w:val="21"/>
          <w:szCs w:val="21"/>
        </w:rPr>
        <w:t xml:space="preserve">4) 信息披露情况。 </w:t>
      </w:r>
    </w:p>
    <w:p w14:paraId="4E5A1921">
      <w:pPr>
        <w:pStyle w:val="7"/>
        <w:spacing w:before="0" w:beforeAutospacing="0" w:after="0" w:afterAutospacing="0" w:line="360" w:lineRule="auto"/>
        <w:ind w:firstLine="420"/>
        <w:rPr>
          <w:sz w:val="21"/>
          <w:szCs w:val="21"/>
        </w:rPr>
      </w:pPr>
      <w:r>
        <w:rPr>
          <w:rFonts w:hint="eastAsia"/>
          <w:sz w:val="21"/>
          <w:szCs w:val="21"/>
        </w:rPr>
        <w:t xml:space="preserve">相关法律法规对基金投资流通受限证券有新规定的，从其规定。 </w:t>
      </w:r>
    </w:p>
    <w:p w14:paraId="14A8FEE0">
      <w:pPr>
        <w:pStyle w:val="7"/>
        <w:spacing w:before="0" w:beforeAutospacing="0" w:after="0" w:afterAutospacing="0" w:line="360" w:lineRule="auto"/>
        <w:ind w:firstLine="420"/>
        <w:rPr>
          <w:sz w:val="21"/>
          <w:szCs w:val="21"/>
        </w:rPr>
      </w:pPr>
      <w:r>
        <w:rPr>
          <w:rFonts w:hint="eastAsia"/>
          <w:sz w:val="21"/>
          <w:szCs w:val="21"/>
        </w:rPr>
        <w:t xml:space="preserve">（六）基金如投资银行存款，基金托管人根据有关法律法规的规定及基金合同的约定，对基金投资银行存款的交易对手范围是否符合有关规定进行监督；基金管理人在签署银行存款协议前，应将草拟的银行存款协议送基金托管人审核。 </w:t>
      </w:r>
    </w:p>
    <w:p w14:paraId="760B1952">
      <w:pPr>
        <w:pStyle w:val="7"/>
        <w:spacing w:before="0" w:beforeAutospacing="0" w:after="0" w:afterAutospacing="0" w:line="360" w:lineRule="auto"/>
        <w:ind w:firstLine="420"/>
        <w:rPr>
          <w:sz w:val="21"/>
          <w:szCs w:val="21"/>
        </w:rPr>
      </w:pPr>
      <w:r>
        <w:rPr>
          <w:rFonts w:hint="eastAsia"/>
          <w:sz w:val="21"/>
          <w:szCs w:val="21"/>
        </w:rPr>
        <w:t xml:space="preserve">（七）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3CB154C2">
      <w:pPr>
        <w:pStyle w:val="7"/>
        <w:spacing w:before="0" w:beforeAutospacing="0" w:after="0" w:afterAutospacing="0" w:line="360" w:lineRule="auto"/>
        <w:ind w:firstLine="420"/>
        <w:rPr>
          <w:sz w:val="21"/>
          <w:szCs w:val="21"/>
        </w:rPr>
      </w:pPr>
      <w:r>
        <w:rPr>
          <w:rFonts w:hint="eastAsia"/>
          <w:sz w:val="21"/>
          <w:szCs w:val="21"/>
        </w:rPr>
        <w:t xml:space="preserve">（八）基金托管人发现基金管理人的上述事项及投资指令或实际投资运作违反法律法规、基金合同和本托管协议的规定，应及时以电话提醒或书面提示等方式通知基金管理人限期纠正，并及时向中国证监会报告。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基金管理人指定专人接收托管人的通知和提示。在上述规定期限内，基金托管人有权随时对通知事项进行复查，督促基金管理人改正。基金管理人对基金托管人通知的违规事项未能在限期内纠正的，基金托管人应报告中国证监会。 </w:t>
      </w:r>
    </w:p>
    <w:p w14:paraId="7A761E5C">
      <w:pPr>
        <w:pStyle w:val="7"/>
        <w:spacing w:before="0" w:beforeAutospacing="0" w:after="0" w:afterAutospacing="0" w:line="360" w:lineRule="auto"/>
        <w:ind w:firstLine="420"/>
        <w:rPr>
          <w:sz w:val="21"/>
          <w:szCs w:val="21"/>
        </w:rPr>
      </w:pPr>
      <w:r>
        <w:rPr>
          <w:rFonts w:hint="eastAsia"/>
          <w:sz w:val="21"/>
          <w:szCs w:val="21"/>
        </w:rPr>
        <w:t xml:space="preserve">（九）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007581AA">
      <w:pPr>
        <w:pStyle w:val="7"/>
        <w:spacing w:before="0" w:beforeAutospacing="0" w:after="0" w:afterAutospacing="0" w:line="360" w:lineRule="auto"/>
        <w:ind w:firstLine="420"/>
        <w:rPr>
          <w:sz w:val="21"/>
          <w:szCs w:val="21"/>
        </w:rPr>
      </w:pPr>
      <w:r>
        <w:rPr>
          <w:rFonts w:hint="eastAsia"/>
          <w:sz w:val="21"/>
          <w:szCs w:val="21"/>
        </w:rPr>
        <w:t xml:space="preserve">（十）若基金托管人发现基金管理人依据交易程序已经生效的指令违反法律、行政法规和其他有关规定，或者违反基金合同约定的，应当立即通知基金管理人，由此造成的损失由基金管理人承担，并及时向中国证监会报告。 </w:t>
      </w:r>
    </w:p>
    <w:p w14:paraId="57A238DB">
      <w:pPr>
        <w:pStyle w:val="7"/>
        <w:spacing w:before="0" w:beforeAutospacing="0" w:after="0" w:afterAutospacing="0" w:line="360" w:lineRule="auto"/>
        <w:ind w:firstLine="420"/>
        <w:rPr>
          <w:sz w:val="21"/>
          <w:szCs w:val="21"/>
        </w:rPr>
      </w:pPr>
      <w:r>
        <w:rPr>
          <w:rFonts w:hint="eastAsia"/>
          <w:sz w:val="21"/>
          <w:szCs w:val="21"/>
        </w:rPr>
        <w:t xml:space="preserve">（十一）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 </w:t>
      </w:r>
    </w:p>
    <w:p w14:paraId="62461E28">
      <w:pPr>
        <w:pStyle w:val="7"/>
        <w:spacing w:before="0" w:beforeAutospacing="0" w:after="0" w:afterAutospacing="0" w:line="360" w:lineRule="auto"/>
        <w:ind w:firstLine="420"/>
        <w:rPr>
          <w:sz w:val="21"/>
          <w:szCs w:val="21"/>
        </w:rPr>
      </w:pPr>
      <w:r>
        <w:rPr>
          <w:rFonts w:hint="eastAsia"/>
          <w:sz w:val="21"/>
          <w:szCs w:val="21"/>
        </w:rPr>
        <w:t xml:space="preserve">（十二）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042E18BD">
      <w:pPr>
        <w:pStyle w:val="7"/>
        <w:spacing w:before="0" w:beforeAutospacing="0" w:after="0" w:afterAutospacing="0" w:line="360" w:lineRule="auto"/>
        <w:ind w:firstLine="420"/>
        <w:rPr>
          <w:sz w:val="21"/>
          <w:szCs w:val="21"/>
        </w:rPr>
      </w:pPr>
      <w:r>
        <w:rPr>
          <w:rFonts w:hint="eastAsia"/>
          <w:sz w:val="21"/>
          <w:szCs w:val="21"/>
        </w:rPr>
        <w:t xml:space="preserve">（十三）基金管理人进行信用衍生品业务投资前，应与基金托管人对投资方式和投资品种进行沟通，确认基金托管人系统支持后进行投资。 </w:t>
      </w:r>
    </w:p>
    <w:p w14:paraId="65D014D3">
      <w:pPr>
        <w:pStyle w:val="7"/>
        <w:spacing w:before="0" w:beforeAutospacing="0" w:after="0" w:afterAutospacing="0" w:line="360" w:lineRule="auto"/>
        <w:ind w:firstLine="420"/>
        <w:rPr>
          <w:sz w:val="21"/>
          <w:szCs w:val="21"/>
        </w:rPr>
      </w:pPr>
      <w:r>
        <w:rPr>
          <w:rFonts w:hint="eastAsia"/>
          <w:sz w:val="21"/>
          <w:szCs w:val="21"/>
        </w:rPr>
        <w:t xml:space="preserve">（十四）本基金进行信用债投资时，投资于AAA评级的信用债资产占比应不低于本基金所投信用债资产的30%；在此基础上，本基金投资于AA+评级的信用债资产占比应不高于本基金所投信用债资产的70%，本基金投资于AA评级的信用债资产占比应不高于本基金所投信用债资产的20%。具体可参见下表： </w:t>
      </w:r>
    </w:p>
    <w:tbl>
      <w:tblPr>
        <w:tblStyle w:val="9"/>
        <w:tblW w:w="4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1"/>
        <w:gridCol w:w="4452"/>
      </w:tblGrid>
      <w:tr w14:paraId="1F4BA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8F6117">
            <w:pPr>
              <w:pStyle w:val="7"/>
            </w:pPr>
            <w:r>
              <w:rPr>
                <w:rFonts w:hint="eastAsia"/>
              </w:rPr>
              <w:t xml:space="preserve">所投信用债评级 </w:t>
            </w:r>
          </w:p>
        </w:tc>
        <w:tc>
          <w:tcPr>
            <w:tcW w:w="0" w:type="auto"/>
            <w:shd w:val="clear" w:color="auto" w:fill="auto"/>
          </w:tcPr>
          <w:p w14:paraId="1F920889">
            <w:pPr>
              <w:pStyle w:val="7"/>
            </w:pPr>
            <w:r>
              <w:rPr>
                <w:rFonts w:hint="eastAsia"/>
              </w:rPr>
              <w:t xml:space="preserve">该评级信用债占信用债资产比例 </w:t>
            </w:r>
          </w:p>
        </w:tc>
      </w:tr>
      <w:tr w14:paraId="29AD6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222724">
            <w:pPr>
              <w:pStyle w:val="7"/>
            </w:pPr>
            <w:r>
              <w:rPr>
                <w:rFonts w:hint="eastAsia"/>
              </w:rPr>
              <w:t xml:space="preserve">AAA </w:t>
            </w:r>
          </w:p>
        </w:tc>
        <w:tc>
          <w:tcPr>
            <w:tcW w:w="0" w:type="auto"/>
            <w:shd w:val="clear" w:color="auto" w:fill="auto"/>
          </w:tcPr>
          <w:p w14:paraId="5AF559FC">
            <w:pPr>
              <w:pStyle w:val="7"/>
            </w:pPr>
            <w:r>
              <w:rPr>
                <w:rFonts w:hint="eastAsia"/>
              </w:rPr>
              <w:t xml:space="preserve">30%-100% </w:t>
            </w:r>
          </w:p>
        </w:tc>
      </w:tr>
      <w:tr w14:paraId="44755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shd w:val="clear" w:color="auto" w:fill="auto"/>
          </w:tcPr>
          <w:p w14:paraId="5C65ACA0">
            <w:pPr>
              <w:pStyle w:val="7"/>
            </w:pPr>
            <w:r>
              <w:rPr>
                <w:rFonts w:hint="eastAsia"/>
              </w:rPr>
              <w:t xml:space="preserve">其他： </w:t>
            </w:r>
          </w:p>
        </w:tc>
      </w:tr>
      <w:tr w14:paraId="5DDFF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FC6CFD">
            <w:pPr>
              <w:pStyle w:val="7"/>
            </w:pPr>
            <w:r>
              <w:rPr>
                <w:rFonts w:hint="eastAsia"/>
              </w:rPr>
              <w:t xml:space="preserve">AA+ </w:t>
            </w:r>
          </w:p>
        </w:tc>
        <w:tc>
          <w:tcPr>
            <w:tcW w:w="0" w:type="auto"/>
            <w:shd w:val="clear" w:color="auto" w:fill="auto"/>
          </w:tcPr>
          <w:p w14:paraId="68877321">
            <w:pPr>
              <w:pStyle w:val="7"/>
            </w:pPr>
            <w:r>
              <w:rPr>
                <w:rFonts w:hint="eastAsia"/>
              </w:rPr>
              <w:t xml:space="preserve">0%-70% </w:t>
            </w:r>
          </w:p>
        </w:tc>
      </w:tr>
      <w:tr w14:paraId="3F762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2D970B">
            <w:pPr>
              <w:pStyle w:val="7"/>
            </w:pPr>
            <w:r>
              <w:rPr>
                <w:rFonts w:hint="eastAsia"/>
              </w:rPr>
              <w:t xml:space="preserve">AA </w:t>
            </w:r>
          </w:p>
        </w:tc>
        <w:tc>
          <w:tcPr>
            <w:tcW w:w="0" w:type="auto"/>
            <w:shd w:val="clear" w:color="auto" w:fill="auto"/>
          </w:tcPr>
          <w:p w14:paraId="7C9B34D8">
            <w:pPr>
              <w:pStyle w:val="7"/>
            </w:pPr>
            <w:r>
              <w:rPr>
                <w:rFonts w:hint="eastAsia"/>
              </w:rPr>
              <w:t xml:space="preserve">0%-20% </w:t>
            </w:r>
          </w:p>
        </w:tc>
      </w:tr>
    </w:tbl>
    <w:p w14:paraId="211A8BAD">
      <w:pPr>
        <w:pStyle w:val="7"/>
        <w:spacing w:before="0" w:beforeAutospacing="0" w:after="0" w:afterAutospacing="0" w:line="360" w:lineRule="auto"/>
        <w:ind w:firstLine="420"/>
        <w:rPr>
          <w:sz w:val="21"/>
          <w:szCs w:val="21"/>
        </w:rPr>
      </w:pPr>
      <w:r>
        <w:rPr>
          <w:rFonts w:hint="eastAsia"/>
          <w:sz w:val="21"/>
          <w:szCs w:val="21"/>
        </w:rPr>
        <w:t xml:space="preserve">基金持有信用债期间，如果其信用等级下降、不再符合投资标准，应在评级报告发布后尽快调整。 </w:t>
      </w:r>
    </w:p>
    <w:p w14:paraId="05310E84">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193E9BD1">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证券账户等投资所需账户、复核基金管理人计算的基金资产净值、各类基金份额净值、根据基金管理人指令办理清算交收、相关信息披露和监督基金投资运作等行为。 </w:t>
      </w:r>
    </w:p>
    <w:p w14:paraId="69669726">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在下一工作日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07557397">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 </w:t>
      </w:r>
    </w:p>
    <w:p w14:paraId="68C16656">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140CD845">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3D139DCB">
      <w:pPr>
        <w:pStyle w:val="7"/>
        <w:spacing w:before="0" w:beforeAutospacing="0" w:after="0" w:afterAutospacing="0" w:line="360" w:lineRule="auto"/>
        <w:ind w:firstLine="420"/>
        <w:rPr>
          <w:sz w:val="21"/>
          <w:szCs w:val="21"/>
        </w:rPr>
      </w:pPr>
      <w:r>
        <w:rPr>
          <w:rFonts w:hint="eastAsia"/>
          <w:sz w:val="21"/>
          <w:szCs w:val="21"/>
        </w:rPr>
        <w:t xml:space="preserve">1. 基金财产应独立于基金管理人、基金托管人的固有财产。基金财产的债权不得与基金管理人、基金托管人固有财产的债务相抵销，不同基金财产的债权债务，不得相互抵销。基金管理人、基金托管人以其自有资产承担法律责任，其债权人不得对基金财产行使请求冻结、扣押和其他权利。 </w:t>
      </w:r>
    </w:p>
    <w:p w14:paraId="7738567B">
      <w:pPr>
        <w:pStyle w:val="7"/>
        <w:spacing w:before="0" w:beforeAutospacing="0" w:after="0" w:afterAutospacing="0" w:line="360" w:lineRule="auto"/>
        <w:ind w:firstLine="420"/>
        <w:rPr>
          <w:sz w:val="21"/>
          <w:szCs w:val="21"/>
        </w:rPr>
      </w:pPr>
      <w:r>
        <w:rPr>
          <w:rFonts w:hint="eastAsia"/>
          <w:sz w:val="21"/>
          <w:szCs w:val="21"/>
        </w:rPr>
        <w:t xml:space="preserve">2. 基金管理人、基金托管人因依法解散、被依法撤销或者被依法宣告破产等原因进行清算的，基金财产不属于其清算财产。 </w:t>
      </w:r>
    </w:p>
    <w:p w14:paraId="107B4352">
      <w:pPr>
        <w:pStyle w:val="7"/>
        <w:spacing w:before="0" w:beforeAutospacing="0" w:after="0" w:afterAutospacing="0" w:line="360" w:lineRule="auto"/>
        <w:ind w:firstLine="420"/>
        <w:rPr>
          <w:sz w:val="21"/>
          <w:szCs w:val="21"/>
        </w:rPr>
      </w:pPr>
      <w:r>
        <w:rPr>
          <w:rFonts w:hint="eastAsia"/>
          <w:sz w:val="21"/>
          <w:szCs w:val="21"/>
        </w:rPr>
        <w:t xml:space="preserve">3. 基金托管人应安全保管基金财产。未经基金管理人依据合法程序作出的合法合规指令，基金托管人不得自行运用、处分、分配基金的任何财产。非因基金财产本身承担的债务，不得对基金财产强制执行。 </w:t>
      </w:r>
    </w:p>
    <w:p w14:paraId="5B8FDF77">
      <w:pPr>
        <w:pStyle w:val="7"/>
        <w:spacing w:before="0" w:beforeAutospacing="0" w:after="0" w:afterAutospacing="0" w:line="360" w:lineRule="auto"/>
        <w:ind w:firstLine="420"/>
        <w:rPr>
          <w:sz w:val="21"/>
          <w:szCs w:val="21"/>
        </w:rPr>
      </w:pPr>
      <w:r>
        <w:rPr>
          <w:rFonts w:hint="eastAsia"/>
          <w:sz w:val="21"/>
          <w:szCs w:val="21"/>
        </w:rPr>
        <w:t xml:space="preserve">4. 基金托管人按照规定开设基金财产的资金账户和证券账户等投资所需账户。 </w:t>
      </w:r>
    </w:p>
    <w:p w14:paraId="0067DCA5">
      <w:pPr>
        <w:pStyle w:val="7"/>
        <w:spacing w:before="0" w:beforeAutospacing="0" w:after="0" w:afterAutospacing="0" w:line="360" w:lineRule="auto"/>
        <w:ind w:firstLine="420"/>
        <w:rPr>
          <w:sz w:val="21"/>
          <w:szCs w:val="21"/>
        </w:rPr>
      </w:pPr>
      <w:r>
        <w:rPr>
          <w:rFonts w:hint="eastAsia"/>
          <w:sz w:val="21"/>
          <w:szCs w:val="21"/>
        </w:rPr>
        <w:t xml:space="preserve">5. 基金托管人对所托管的不同基金财产分别设置账户，独立核算，分账管理，确保基金财产的完整与独立。 </w:t>
      </w:r>
    </w:p>
    <w:p w14:paraId="45624327">
      <w:pPr>
        <w:pStyle w:val="7"/>
        <w:spacing w:before="0" w:beforeAutospacing="0" w:after="0" w:afterAutospacing="0" w:line="360" w:lineRule="auto"/>
        <w:ind w:firstLine="420"/>
        <w:rPr>
          <w:sz w:val="21"/>
          <w:szCs w:val="21"/>
        </w:rPr>
      </w:pPr>
      <w:r>
        <w:rPr>
          <w:rFonts w:hint="eastAsia"/>
          <w:sz w:val="21"/>
          <w:szCs w:val="21"/>
        </w:rPr>
        <w:t xml:space="preserve">6. 基金托管人根据基金管理人的指令，按照基金合同和本协议的约定保管基金财产，如有特殊情况双方可另行协商解决。 </w:t>
      </w:r>
    </w:p>
    <w:p w14:paraId="3A68D93E">
      <w:pPr>
        <w:pStyle w:val="7"/>
        <w:spacing w:before="0" w:beforeAutospacing="0" w:after="0" w:afterAutospacing="0" w:line="360" w:lineRule="auto"/>
        <w:ind w:firstLine="420"/>
        <w:rPr>
          <w:sz w:val="21"/>
          <w:szCs w:val="21"/>
        </w:rPr>
      </w:pPr>
      <w:r>
        <w:rPr>
          <w:rFonts w:hint="eastAsia"/>
          <w:sz w:val="21"/>
          <w:szCs w:val="21"/>
        </w:rPr>
        <w:t xml:space="preserve">7. 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2363D881">
      <w:pPr>
        <w:pStyle w:val="7"/>
        <w:spacing w:before="0" w:beforeAutospacing="0" w:after="0" w:afterAutospacing="0" w:line="360" w:lineRule="auto"/>
        <w:ind w:firstLine="420"/>
        <w:rPr>
          <w:sz w:val="21"/>
          <w:szCs w:val="21"/>
        </w:rPr>
      </w:pPr>
      <w:r>
        <w:rPr>
          <w:rFonts w:hint="eastAsia"/>
          <w:sz w:val="21"/>
          <w:szCs w:val="21"/>
        </w:rPr>
        <w:t xml:space="preserve">8. 除依据法律法规和基金合同的规定外，基金托管人不得委托第三人托管基金财产。 </w:t>
      </w:r>
    </w:p>
    <w:p w14:paraId="751E1A7D">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0F0B7CEC">
      <w:pPr>
        <w:pStyle w:val="7"/>
        <w:spacing w:before="0" w:beforeAutospacing="0" w:after="0" w:afterAutospacing="0" w:line="360" w:lineRule="auto"/>
        <w:ind w:firstLine="420"/>
        <w:rPr>
          <w:sz w:val="21"/>
          <w:szCs w:val="21"/>
        </w:rPr>
      </w:pPr>
      <w:r>
        <w:rPr>
          <w:rFonts w:hint="eastAsia"/>
          <w:sz w:val="21"/>
          <w:szCs w:val="21"/>
        </w:rPr>
        <w:t xml:space="preserve">1. 基金募集期间应开立“基金募集专户”，用于存放募集的资金。该账户由基金管理人开立。 </w:t>
      </w:r>
    </w:p>
    <w:p w14:paraId="6E4BB378">
      <w:pPr>
        <w:pStyle w:val="7"/>
        <w:spacing w:before="0" w:beforeAutospacing="0" w:after="0" w:afterAutospacing="0" w:line="360" w:lineRule="auto"/>
        <w:ind w:firstLine="420"/>
        <w:rPr>
          <w:sz w:val="21"/>
          <w:szCs w:val="21"/>
        </w:rPr>
      </w:pPr>
      <w:r>
        <w:rPr>
          <w:rFonts w:hint="eastAsia"/>
          <w:sz w:val="21"/>
          <w:szCs w:val="21"/>
        </w:rPr>
        <w:t xml:space="preserve">2. 基金募集期满或基金停止募集时，基金募集金额、基金认购人数符合《基金法》、《运作办法》等有关规定后，基金管理人应将属于基金财产的全部资金划入基金托管人为本基金开立的基金银行账户，同时在规定时间内，聘请符合《证券法》规定的会计师事务所进行验资，出具验资报告。出具的验资报告由参加验资的2名或2名以上中国注册会计师签字并加盖会计师事务所公章方为有效。 </w:t>
      </w:r>
    </w:p>
    <w:p w14:paraId="778ACA07">
      <w:pPr>
        <w:pStyle w:val="7"/>
        <w:spacing w:before="0" w:beforeAutospacing="0" w:after="0" w:afterAutospacing="0" w:line="360" w:lineRule="auto"/>
        <w:ind w:firstLine="420"/>
        <w:rPr>
          <w:sz w:val="21"/>
          <w:szCs w:val="21"/>
        </w:rPr>
      </w:pPr>
      <w:r>
        <w:rPr>
          <w:rFonts w:hint="eastAsia"/>
          <w:sz w:val="21"/>
          <w:szCs w:val="21"/>
        </w:rPr>
        <w:t xml:space="preserve">3. 若基金募集期限届满或基金停止募集时，未能达到基金合同生效的条件，由基金管理人按规定办理退款等事宜，基金托管人应提供充分协助。 </w:t>
      </w:r>
    </w:p>
    <w:p w14:paraId="1158FEF5">
      <w:pPr>
        <w:pStyle w:val="7"/>
        <w:spacing w:before="0" w:beforeAutospacing="0" w:after="0" w:afterAutospacing="0" w:line="360" w:lineRule="auto"/>
        <w:ind w:firstLine="420"/>
        <w:rPr>
          <w:sz w:val="21"/>
          <w:szCs w:val="21"/>
        </w:rPr>
      </w:pPr>
      <w:r>
        <w:rPr>
          <w:rFonts w:hint="eastAsia"/>
          <w:sz w:val="21"/>
          <w:szCs w:val="21"/>
        </w:rPr>
        <w:t xml:space="preserve">（三）基金银行账户的开立和管理 </w:t>
      </w:r>
    </w:p>
    <w:p w14:paraId="689EF9D7">
      <w:pPr>
        <w:pStyle w:val="7"/>
        <w:spacing w:before="0" w:beforeAutospacing="0" w:after="0" w:afterAutospacing="0" w:line="360" w:lineRule="auto"/>
        <w:ind w:firstLine="420"/>
        <w:rPr>
          <w:sz w:val="21"/>
          <w:szCs w:val="21"/>
        </w:rPr>
      </w:pPr>
      <w:r>
        <w:rPr>
          <w:rFonts w:hint="eastAsia"/>
          <w:sz w:val="21"/>
          <w:szCs w:val="21"/>
        </w:rPr>
        <w:t xml:space="preserve">1. 基金托管人应负责本基金的银行账户的开设和管理。 </w:t>
      </w:r>
    </w:p>
    <w:p w14:paraId="7FD2C6B1">
      <w:pPr>
        <w:pStyle w:val="7"/>
        <w:spacing w:before="0" w:beforeAutospacing="0" w:after="0" w:afterAutospacing="0" w:line="360" w:lineRule="auto"/>
        <w:ind w:firstLine="420"/>
        <w:rPr>
          <w:sz w:val="21"/>
          <w:szCs w:val="21"/>
        </w:rPr>
      </w:pPr>
      <w:r>
        <w:rPr>
          <w:rFonts w:hint="eastAsia"/>
          <w:sz w:val="21"/>
          <w:szCs w:val="21"/>
        </w:rPr>
        <w:t xml:space="preserve">2. 基金托管人应以本基金名义在其营业机构开立基金的银行账户，并根据基金管理人合法合规的指令办理资金收付。账户名称、账户预留印鉴以基金管理人向基金托管人出具的开户委托文件为准，基金托管人负责账户预留印鉴的保管和使用。该账户为不可提现账户。基金管理人应依法履行客户身份识别等各项反洗钱义务，在开立托管账户时按照开户银行要求，就受益所有人识别等相关信息的提供、核实等提供必要的协助，并确保所提供信息以及证明材料的真实性、准确性。 </w:t>
      </w:r>
    </w:p>
    <w:p w14:paraId="57C555D0">
      <w:pPr>
        <w:pStyle w:val="7"/>
        <w:spacing w:before="0" w:beforeAutospacing="0" w:after="0" w:afterAutospacing="0" w:line="360" w:lineRule="auto"/>
        <w:ind w:firstLine="420"/>
        <w:rPr>
          <w:sz w:val="21"/>
          <w:szCs w:val="21"/>
        </w:rPr>
      </w:pPr>
      <w:r>
        <w:rPr>
          <w:rFonts w:hint="eastAsia"/>
          <w:sz w:val="21"/>
          <w:szCs w:val="21"/>
        </w:rPr>
        <w:t xml:space="preserve">3. 基金银行账户的开立和使用，限于满足开展本基金业务的需要。基金托管人和基金管理人不得假借本基金的名义开立任何其他银行账户；亦不得使用基金的任何账户进行本基金业务以外的活动。 </w:t>
      </w:r>
    </w:p>
    <w:p w14:paraId="7653D903">
      <w:pPr>
        <w:pStyle w:val="7"/>
        <w:spacing w:before="0" w:beforeAutospacing="0" w:after="0" w:afterAutospacing="0" w:line="360" w:lineRule="auto"/>
        <w:ind w:firstLine="420"/>
        <w:rPr>
          <w:sz w:val="21"/>
          <w:szCs w:val="21"/>
        </w:rPr>
      </w:pPr>
      <w:r>
        <w:rPr>
          <w:rFonts w:hint="eastAsia"/>
          <w:sz w:val="21"/>
          <w:szCs w:val="21"/>
        </w:rPr>
        <w:t xml:space="preserve">4. 基金银行账户的开立和管理应符合银行业监督管理机构的有关规定。 </w:t>
      </w:r>
    </w:p>
    <w:p w14:paraId="646F6207">
      <w:pPr>
        <w:pStyle w:val="7"/>
        <w:spacing w:before="0" w:beforeAutospacing="0" w:after="0" w:afterAutospacing="0" w:line="360" w:lineRule="auto"/>
        <w:ind w:firstLine="420"/>
        <w:rPr>
          <w:sz w:val="21"/>
          <w:szCs w:val="21"/>
        </w:rPr>
      </w:pPr>
      <w:r>
        <w:rPr>
          <w:rFonts w:hint="eastAsia"/>
          <w:sz w:val="21"/>
          <w:szCs w:val="21"/>
        </w:rPr>
        <w:t xml:space="preserve">5. 在符合法律法规规定的条件下，基金托管人可以通过基金托管人专用账户办理基金资产的支付。 </w:t>
      </w:r>
    </w:p>
    <w:p w14:paraId="2B80C67B">
      <w:pPr>
        <w:pStyle w:val="7"/>
        <w:spacing w:before="0" w:beforeAutospacing="0" w:after="0" w:afterAutospacing="0" w:line="360" w:lineRule="auto"/>
        <w:ind w:firstLine="420"/>
        <w:rPr>
          <w:sz w:val="21"/>
          <w:szCs w:val="21"/>
        </w:rPr>
      </w:pPr>
      <w:r>
        <w:rPr>
          <w:rFonts w:hint="eastAsia"/>
          <w:sz w:val="21"/>
          <w:szCs w:val="21"/>
        </w:rPr>
        <w:t xml:space="preserve">（四）基金证券账户和结算备付金账户的开立和管理 </w:t>
      </w:r>
    </w:p>
    <w:p w14:paraId="1801E818">
      <w:pPr>
        <w:pStyle w:val="7"/>
        <w:spacing w:before="0" w:beforeAutospacing="0" w:after="0" w:afterAutospacing="0" w:line="360" w:lineRule="auto"/>
        <w:ind w:firstLine="420"/>
        <w:rPr>
          <w:sz w:val="21"/>
          <w:szCs w:val="21"/>
        </w:rPr>
      </w:pPr>
      <w:r>
        <w:rPr>
          <w:rFonts w:hint="eastAsia"/>
          <w:sz w:val="21"/>
          <w:szCs w:val="21"/>
        </w:rPr>
        <w:t xml:space="preserve">1. 基金托管人在中国证券登记结算有限责任公司上海分公司、深圳分公司为本基金开立基金托管人与本基金联名的证券账户。 </w:t>
      </w:r>
    </w:p>
    <w:p w14:paraId="039E2392">
      <w:pPr>
        <w:pStyle w:val="7"/>
        <w:spacing w:before="0" w:beforeAutospacing="0" w:after="0" w:afterAutospacing="0" w:line="360" w:lineRule="auto"/>
        <w:ind w:firstLine="420"/>
        <w:rPr>
          <w:sz w:val="21"/>
          <w:szCs w:val="21"/>
        </w:rPr>
      </w:pPr>
      <w:r>
        <w:rPr>
          <w:rFonts w:hint="eastAsia"/>
          <w:sz w:val="21"/>
          <w:szCs w:val="21"/>
        </w:rPr>
        <w:t xml:space="preserve">2. 基金证券账户的开立和使用，仅限于满足开展本基金业务的需要。基金托管人和基金管理人不得出借或未经对方书面同意擅自转让基金的任何证券账户，亦不得使用基金的任何账户进行本基金业务以外的活动。 </w:t>
      </w:r>
    </w:p>
    <w:p w14:paraId="2D55DBAC">
      <w:pPr>
        <w:pStyle w:val="7"/>
        <w:spacing w:before="0" w:beforeAutospacing="0" w:after="0" w:afterAutospacing="0" w:line="360" w:lineRule="auto"/>
        <w:ind w:firstLine="420"/>
        <w:rPr>
          <w:sz w:val="21"/>
          <w:szCs w:val="21"/>
        </w:rPr>
      </w:pPr>
      <w:r>
        <w:rPr>
          <w:rFonts w:hint="eastAsia"/>
          <w:sz w:val="21"/>
          <w:szCs w:val="21"/>
        </w:rPr>
        <w:t xml:space="preserve">3. 基金证券账户的开立由基金托管人负责，账户资产的管理和运用由基金管理人负责。 </w:t>
      </w:r>
    </w:p>
    <w:p w14:paraId="04CFE90B">
      <w:pPr>
        <w:pStyle w:val="7"/>
        <w:spacing w:before="0" w:beforeAutospacing="0" w:after="0" w:afterAutospacing="0" w:line="360" w:lineRule="auto"/>
        <w:ind w:firstLine="420"/>
        <w:rPr>
          <w:sz w:val="21"/>
          <w:szCs w:val="21"/>
        </w:rPr>
      </w:pPr>
      <w:r>
        <w:rPr>
          <w:rFonts w:hint="eastAsia"/>
          <w:sz w:val="21"/>
          <w:szCs w:val="21"/>
        </w:rPr>
        <w:t xml:space="preserve">4. 基金托管人以自身法人名义在中国证券登记结算有限责任公司开立结算备付金账户，并代表所托管的基金完成与中国证券登记结算有限责任公司的一级法人清算工作，基金管理人应予以积极协助。结算备付金、证券结算保证金等的收取按照中国证券登记结算有限责任公司的规定执行。 </w:t>
      </w:r>
    </w:p>
    <w:p w14:paraId="3A1681AC">
      <w:pPr>
        <w:pStyle w:val="7"/>
        <w:spacing w:before="0" w:beforeAutospacing="0" w:after="0" w:afterAutospacing="0" w:line="360" w:lineRule="auto"/>
        <w:ind w:firstLine="420"/>
        <w:rPr>
          <w:sz w:val="21"/>
          <w:szCs w:val="21"/>
        </w:rPr>
      </w:pPr>
      <w:r>
        <w:rPr>
          <w:rFonts w:hint="eastAsia"/>
          <w:sz w:val="21"/>
          <w:szCs w:val="21"/>
        </w:rPr>
        <w:t xml:space="preserve">5. 若中国证监会或其他监管机构在本托管协议订立日之后允许基金从事其他投资品种的投资业务，涉及相关账户的开立、使用的，若无相关规定，则基金托管人比照上述关于账户开立、使用的规定执行。 </w:t>
      </w:r>
    </w:p>
    <w:p w14:paraId="4D6EEAE7">
      <w:pPr>
        <w:pStyle w:val="7"/>
        <w:spacing w:before="0" w:beforeAutospacing="0" w:after="0" w:afterAutospacing="0" w:line="360" w:lineRule="auto"/>
        <w:ind w:firstLine="420"/>
        <w:rPr>
          <w:sz w:val="21"/>
          <w:szCs w:val="21"/>
        </w:rPr>
      </w:pPr>
      <w:r>
        <w:rPr>
          <w:rFonts w:hint="eastAsia"/>
          <w:sz w:val="21"/>
          <w:szCs w:val="21"/>
        </w:rPr>
        <w:t xml:space="preserve">（五）债券托管账户的开设和管理 </w:t>
      </w:r>
    </w:p>
    <w:p w14:paraId="32ADBE3B">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代本基金向人民银行发起银行间债券市场准入备案，备案通过后，基金托管人代本基金根据中国人民银行、中央国债登记结算有限责任公司、银行间市场清算所股份有限公司的有关规定，以本基金的名义在中央国债登记结算有限责任公司、银行间市场清算所股份有限公司开立债券托管与结算账户，并代表基金进行银行间市场债券的结算，基金管理人应在过程中给予必要的配合。基金管理人代表本基金签订全国银行间债券市场债券回购主协议。 </w:t>
      </w:r>
    </w:p>
    <w:p w14:paraId="65DDB871">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57804D8C">
      <w:pPr>
        <w:pStyle w:val="7"/>
        <w:spacing w:before="0" w:beforeAutospacing="0" w:after="0" w:afterAutospacing="0" w:line="360" w:lineRule="auto"/>
        <w:ind w:firstLine="420"/>
        <w:rPr>
          <w:sz w:val="21"/>
          <w:szCs w:val="21"/>
        </w:rPr>
      </w:pPr>
      <w:r>
        <w:rPr>
          <w:rFonts w:hint="eastAsia"/>
          <w:sz w:val="21"/>
          <w:szCs w:val="21"/>
        </w:rPr>
        <w:t xml:space="preserve">1. 因业务发展需要而开立的其他账户，可以根据法律法规和基金合同的规定开立，在基金管理人和基金托管人商议后由基金托管人负责开立。新账户按有关规定使用并管理。 </w:t>
      </w:r>
    </w:p>
    <w:p w14:paraId="67FE2B9F">
      <w:pPr>
        <w:pStyle w:val="7"/>
        <w:spacing w:before="0" w:beforeAutospacing="0" w:after="0" w:afterAutospacing="0" w:line="360" w:lineRule="auto"/>
        <w:ind w:firstLine="420"/>
        <w:rPr>
          <w:sz w:val="21"/>
          <w:szCs w:val="21"/>
        </w:rPr>
      </w:pPr>
      <w:r>
        <w:rPr>
          <w:rFonts w:hint="eastAsia"/>
          <w:sz w:val="21"/>
          <w:szCs w:val="21"/>
        </w:rPr>
        <w:t xml:space="preserve">2. 法律法规等有关规定对相关账户的开立和管理另有规定的，从其规定办理。 </w:t>
      </w:r>
    </w:p>
    <w:p w14:paraId="686D446A">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2A014137">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存款开户证实书等有价凭证的购买和转让，由基金管理人和基金托管人共同办理。基金托管人对由基金托管人及基金托管人委托保管的机构以外机构实际有效控制的证券不承担保管责任，但基金托管人应妥善保管凭证。 </w:t>
      </w:r>
    </w:p>
    <w:p w14:paraId="4DC39DB8">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5C90C2BC">
      <w:pPr>
        <w:pStyle w:val="7"/>
        <w:spacing w:before="0" w:beforeAutospacing="0" w:after="0" w:afterAutospacing="0" w:line="360" w:lineRule="auto"/>
        <w:ind w:firstLine="420"/>
        <w:rPr>
          <w:sz w:val="21"/>
          <w:szCs w:val="21"/>
        </w:rPr>
      </w:pPr>
      <w:r>
        <w:rPr>
          <w:rFonts w:hint="eastAsia"/>
          <w:sz w:val="21"/>
          <w:szCs w:val="21"/>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托管人对重大合同的保管期限为基金合同终止后20年，法律法规或监管规则另有规定的从其规定。 </w:t>
      </w:r>
    </w:p>
    <w:p w14:paraId="484C8D46">
      <w:pPr>
        <w:pStyle w:val="7"/>
        <w:spacing w:before="0" w:beforeAutospacing="0" w:after="0" w:afterAutospacing="0" w:line="360" w:lineRule="auto"/>
        <w:ind w:firstLine="420"/>
        <w:rPr>
          <w:sz w:val="21"/>
          <w:szCs w:val="21"/>
        </w:rPr>
      </w:pPr>
      <w:r>
        <w:rPr>
          <w:rFonts w:hint="eastAsia"/>
          <w:sz w:val="21"/>
          <w:szCs w:val="21"/>
        </w:rPr>
        <w:t xml:space="preserve">对于无法取得二份以上的正本的，基金管理人应向基金托管人提供加盖授权业务章的合同传真件，未经双方协商或未在合同约定范围内，合同原件不得转移。 </w:t>
      </w:r>
    </w:p>
    <w:p w14:paraId="2B1FA6EB">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7662FB6F">
      <w:pPr>
        <w:pStyle w:val="7"/>
        <w:spacing w:before="0" w:beforeAutospacing="0" w:after="0" w:afterAutospacing="0" w:line="360" w:lineRule="auto"/>
        <w:ind w:firstLine="420"/>
        <w:rPr>
          <w:sz w:val="21"/>
          <w:szCs w:val="21"/>
        </w:rPr>
      </w:pPr>
      <w:r>
        <w:rPr>
          <w:rFonts w:hint="eastAsia"/>
          <w:sz w:val="21"/>
          <w:szCs w:val="21"/>
        </w:rPr>
        <w:t xml:space="preserve">（一）基金资产净值的计算及复核程序 </w:t>
      </w:r>
    </w:p>
    <w:p w14:paraId="3E7833EB">
      <w:pPr>
        <w:pStyle w:val="7"/>
        <w:spacing w:before="0" w:beforeAutospacing="0" w:after="0" w:afterAutospacing="0" w:line="360" w:lineRule="auto"/>
        <w:ind w:firstLine="420"/>
        <w:rPr>
          <w:sz w:val="21"/>
          <w:szCs w:val="21"/>
        </w:rPr>
      </w:pPr>
      <w:r>
        <w:rPr>
          <w:rFonts w:hint="eastAsia"/>
          <w:sz w:val="21"/>
          <w:szCs w:val="21"/>
        </w:rPr>
        <w:t xml:space="preserve">1. 基金资产净值 </w:t>
      </w:r>
    </w:p>
    <w:p w14:paraId="6399D2CC">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AD885F8">
      <w:pPr>
        <w:pStyle w:val="7"/>
        <w:spacing w:before="0" w:beforeAutospacing="0" w:after="0" w:afterAutospacing="0" w:line="360" w:lineRule="auto"/>
        <w:ind w:firstLine="420"/>
        <w:rPr>
          <w:sz w:val="21"/>
          <w:szCs w:val="21"/>
        </w:rPr>
      </w:pPr>
      <w:r>
        <w:rPr>
          <w:rFonts w:hint="eastAsia"/>
          <w:sz w:val="21"/>
          <w:szCs w:val="21"/>
        </w:rPr>
        <w:t xml:space="preserve">各类基金份额净值是按照每个工作日闭市后，该类基金资产净值除以当日该类基金份额的余额数量计算，均精确到0.0001元，小数点后第5位四舍五入。基金管理人可以设立大额赎回情形下的净值精度应急调整机制。国家另有规定的，从其规定。 </w:t>
      </w:r>
    </w:p>
    <w:p w14:paraId="450FF2BB">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3A701CB9">
      <w:pPr>
        <w:pStyle w:val="7"/>
        <w:spacing w:before="0" w:beforeAutospacing="0" w:after="0" w:afterAutospacing="0" w:line="360" w:lineRule="auto"/>
        <w:ind w:firstLine="420"/>
        <w:rPr>
          <w:sz w:val="21"/>
          <w:szCs w:val="21"/>
        </w:rPr>
      </w:pPr>
      <w:r>
        <w:rPr>
          <w:rFonts w:hint="eastAsia"/>
          <w:sz w:val="21"/>
          <w:szCs w:val="21"/>
        </w:rPr>
        <w:t xml:space="preserve">2. 复核程序 </w:t>
      </w:r>
    </w:p>
    <w:p w14:paraId="65C0A3FC">
      <w:pPr>
        <w:pStyle w:val="7"/>
        <w:spacing w:before="0" w:beforeAutospacing="0" w:after="0" w:afterAutospacing="0" w:line="360" w:lineRule="auto"/>
        <w:ind w:firstLine="420"/>
        <w:rPr>
          <w:sz w:val="21"/>
          <w:szCs w:val="21"/>
        </w:rPr>
      </w:pPr>
      <w:r>
        <w:rPr>
          <w:rFonts w:hint="eastAsia"/>
          <w:sz w:val="21"/>
          <w:szCs w:val="21"/>
        </w:rPr>
        <w:t xml:space="preserve">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522D71E2">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0832A9E3">
      <w:pPr>
        <w:pStyle w:val="7"/>
        <w:spacing w:before="0" w:beforeAutospacing="0" w:after="0" w:afterAutospacing="0" w:line="360" w:lineRule="auto"/>
        <w:ind w:firstLine="420"/>
        <w:rPr>
          <w:sz w:val="21"/>
          <w:szCs w:val="21"/>
        </w:rPr>
      </w:pPr>
      <w:r>
        <w:rPr>
          <w:rFonts w:hint="eastAsia"/>
          <w:sz w:val="21"/>
          <w:szCs w:val="21"/>
        </w:rPr>
        <w:t xml:space="preserve">1．估值对象 </w:t>
      </w:r>
    </w:p>
    <w:p w14:paraId="56E6E053">
      <w:pPr>
        <w:pStyle w:val="7"/>
        <w:spacing w:before="0" w:beforeAutospacing="0" w:after="0" w:afterAutospacing="0" w:line="360" w:lineRule="auto"/>
        <w:ind w:firstLine="420"/>
        <w:rPr>
          <w:sz w:val="21"/>
          <w:szCs w:val="21"/>
        </w:rPr>
      </w:pPr>
      <w:r>
        <w:rPr>
          <w:rFonts w:hint="eastAsia"/>
          <w:sz w:val="21"/>
          <w:szCs w:val="21"/>
        </w:rPr>
        <w:t xml:space="preserve">基金所拥有的股票、国债期货合约、股指期货合约、股票期权合约、信用衍生品、债券和银行存款本息、应收款项、资产支持证券、其它投资等资产及负债。 </w:t>
      </w:r>
    </w:p>
    <w:p w14:paraId="22385BC9">
      <w:pPr>
        <w:pStyle w:val="7"/>
        <w:spacing w:before="0" w:beforeAutospacing="0" w:after="0" w:afterAutospacing="0" w:line="360" w:lineRule="auto"/>
        <w:ind w:firstLine="420"/>
        <w:rPr>
          <w:sz w:val="21"/>
          <w:szCs w:val="21"/>
        </w:rPr>
      </w:pPr>
      <w:r>
        <w:rPr>
          <w:rFonts w:hint="eastAsia"/>
          <w:sz w:val="21"/>
          <w:szCs w:val="21"/>
        </w:rPr>
        <w:t xml:space="preserve">2. 估值方法 </w:t>
      </w:r>
    </w:p>
    <w:p w14:paraId="62FFCADC">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17DE72C1">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E15245C">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2）交易所市场上市交易或挂牌转让的固定收益品种（基金合同另有约定的除外），选取估值日第三方估值机构提供的相应品种对应的估值净价估值，具体估值机构由基金管理人与基金托管人共同确定； </w:t>
      </w:r>
    </w:p>
    <w:p w14:paraId="7ED39CAB">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67633BEE">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706A2BF4">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5B4A212A">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58AEB38F">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7A28B0BB">
      <w:pPr>
        <w:pStyle w:val="7"/>
        <w:spacing w:before="0" w:beforeAutospacing="0" w:after="0" w:afterAutospacing="0" w:line="360" w:lineRule="auto"/>
        <w:ind w:firstLine="420"/>
        <w:rPr>
          <w:sz w:val="21"/>
          <w:szCs w:val="21"/>
        </w:rPr>
      </w:pPr>
      <w:r>
        <w:rPr>
          <w:rFonts w:hint="eastAsia"/>
          <w:sz w:val="21"/>
          <w:szCs w:val="21"/>
        </w:rPr>
        <w:t xml:space="preserve">2）首次公开发行未上市或未挂牌转让的股票、债券，采用估值技术确定公允价值，在估值技术难以可靠计量公允价值的情况下，按成本估值； </w:t>
      </w:r>
    </w:p>
    <w:p w14:paraId="351FA850">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359B871F">
      <w:pPr>
        <w:pStyle w:val="7"/>
        <w:spacing w:before="0" w:beforeAutospacing="0" w:after="0" w:afterAutospacing="0" w:line="360" w:lineRule="auto"/>
        <w:ind w:firstLine="420"/>
        <w:rPr>
          <w:sz w:val="21"/>
          <w:szCs w:val="21"/>
        </w:rPr>
      </w:pPr>
      <w:r>
        <w:rPr>
          <w:rFonts w:hint="eastAsia"/>
          <w:sz w:val="21"/>
          <w:szCs w:val="21"/>
        </w:rPr>
        <w:t xml:space="preserve">（3）银行间的有价证券的估值 </w:t>
      </w:r>
    </w:p>
    <w:p w14:paraId="59EF0089">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134EC9BD">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3D2FA7C2">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3）对银行间市场未上市，且第三方估值机构未提供估值价格的债券，在发行利率与二级市场利率不存在明显差异、未上市期间市场利率没有发生大的变动的情况下，建议按成本估值。 </w:t>
      </w:r>
    </w:p>
    <w:p w14:paraId="74CD6FC2">
      <w:pPr>
        <w:pStyle w:val="7"/>
        <w:spacing w:before="0" w:beforeAutospacing="0" w:after="0" w:afterAutospacing="0" w:line="360" w:lineRule="auto"/>
        <w:ind w:firstLine="420"/>
        <w:rPr>
          <w:sz w:val="21"/>
          <w:szCs w:val="21"/>
        </w:rPr>
      </w:pPr>
      <w:r>
        <w:rPr>
          <w:rFonts w:hint="eastAsia"/>
          <w:sz w:val="21"/>
          <w:szCs w:val="21"/>
        </w:rPr>
        <w:t xml:space="preserve">（4）资产支持证券的估值 </w:t>
      </w:r>
    </w:p>
    <w:p w14:paraId="3ACDBD3E">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1F9003AC">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2E707B7A">
      <w:pPr>
        <w:pStyle w:val="7"/>
        <w:spacing w:before="0" w:beforeAutospacing="0" w:after="0" w:afterAutospacing="0" w:line="360" w:lineRule="auto"/>
        <w:ind w:firstLine="420"/>
        <w:rPr>
          <w:sz w:val="21"/>
          <w:szCs w:val="21"/>
        </w:rPr>
      </w:pPr>
      <w:r>
        <w:rPr>
          <w:rFonts w:hint="eastAsia"/>
          <w:sz w:val="21"/>
          <w:szCs w:val="21"/>
        </w:rPr>
        <w:t xml:space="preserve">（5）同一证券同时在两个或两个以上市场交易的，按证券所处的市场分别估值。 </w:t>
      </w:r>
    </w:p>
    <w:p w14:paraId="30A5CC3A">
      <w:pPr>
        <w:pStyle w:val="7"/>
        <w:spacing w:before="0" w:beforeAutospacing="0" w:after="0" w:afterAutospacing="0" w:line="360" w:lineRule="auto"/>
        <w:ind w:firstLine="420"/>
        <w:rPr>
          <w:sz w:val="21"/>
          <w:szCs w:val="21"/>
        </w:rPr>
      </w:pPr>
      <w:r>
        <w:rPr>
          <w:rFonts w:hint="eastAsia"/>
          <w:sz w:val="21"/>
          <w:szCs w:val="21"/>
        </w:rPr>
        <w:t xml:space="preserve">（6）本基金投资股指期货合约、国债期货合约，一般以估值当日结算价进行估值，估值当日无结算价的，且最近交易日后经济环境未发生重大变化的，采用最近交易日结算价估值。 </w:t>
      </w:r>
    </w:p>
    <w:p w14:paraId="6A2F93A5">
      <w:pPr>
        <w:pStyle w:val="7"/>
        <w:spacing w:before="0" w:beforeAutospacing="0" w:after="0" w:afterAutospacing="0" w:line="360" w:lineRule="auto"/>
        <w:ind w:firstLine="420"/>
        <w:rPr>
          <w:sz w:val="21"/>
          <w:szCs w:val="21"/>
        </w:rPr>
      </w:pPr>
      <w:r>
        <w:rPr>
          <w:rFonts w:hint="eastAsia"/>
          <w:sz w:val="21"/>
          <w:szCs w:val="21"/>
        </w:rPr>
        <w:t xml:space="preserve">（7）本基金投资股票期权，根据相关法律法规以及监管部门的规定估值。 </w:t>
      </w:r>
    </w:p>
    <w:p w14:paraId="17F4643F">
      <w:pPr>
        <w:pStyle w:val="7"/>
        <w:spacing w:before="0" w:beforeAutospacing="0" w:after="0" w:afterAutospacing="0" w:line="360" w:lineRule="auto"/>
        <w:ind w:firstLine="420"/>
        <w:rPr>
          <w:sz w:val="21"/>
          <w:szCs w:val="21"/>
        </w:rPr>
      </w:pPr>
      <w:r>
        <w:rPr>
          <w:rFonts w:hint="eastAsia"/>
          <w:sz w:val="21"/>
          <w:szCs w:val="21"/>
        </w:rPr>
        <w:t xml:space="preserve">（8）本基金投资信用衍生品，信用衍生品按照第三方机构提供的当日估值价进行估值，但基金管理人依法应当承担的估值责任不因委托而免除。选定的第三方机构未提供估值价格的，依照有关法律法规及企业会计准则要求，采用合理估值技术确定公允价值。 </w:t>
      </w:r>
    </w:p>
    <w:p w14:paraId="34BFCBF7">
      <w:pPr>
        <w:pStyle w:val="7"/>
        <w:spacing w:before="0" w:beforeAutospacing="0" w:after="0" w:afterAutospacing="0" w:line="360" w:lineRule="auto"/>
        <w:ind w:firstLine="420"/>
        <w:rPr>
          <w:sz w:val="21"/>
          <w:szCs w:val="21"/>
        </w:rPr>
      </w:pPr>
      <w:r>
        <w:rPr>
          <w:rFonts w:hint="eastAsia"/>
          <w:sz w:val="21"/>
          <w:szCs w:val="21"/>
        </w:rPr>
        <w:t xml:space="preserve">（9）汇率 </w:t>
      </w:r>
    </w:p>
    <w:p w14:paraId="445187A0">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涉及到其它币种与人民币之间的汇率，参照数据服务商提供的当日各种货币兑美元折算率采用套算的方法进行折算。 </w:t>
      </w:r>
    </w:p>
    <w:p w14:paraId="34CF7BD5">
      <w:pPr>
        <w:pStyle w:val="7"/>
        <w:spacing w:before="0" w:beforeAutospacing="0" w:after="0" w:afterAutospacing="0" w:line="360" w:lineRule="auto"/>
        <w:ind w:firstLine="420"/>
        <w:rPr>
          <w:sz w:val="21"/>
          <w:szCs w:val="21"/>
        </w:rPr>
      </w:pPr>
      <w:r>
        <w:rPr>
          <w:rFonts w:hint="eastAsia"/>
          <w:sz w:val="21"/>
          <w:szCs w:val="21"/>
        </w:rPr>
        <w:t xml:space="preserve">（10）本基金参与融资业务，按照相关法律法规和行业协会的相关规定进行估值。 </w:t>
      </w:r>
    </w:p>
    <w:p w14:paraId="0B0B357C">
      <w:pPr>
        <w:pStyle w:val="7"/>
        <w:spacing w:before="0" w:beforeAutospacing="0" w:after="0" w:afterAutospacing="0" w:line="360" w:lineRule="auto"/>
        <w:ind w:firstLine="420"/>
        <w:rPr>
          <w:sz w:val="21"/>
          <w:szCs w:val="21"/>
        </w:rPr>
      </w:pPr>
      <w:r>
        <w:rPr>
          <w:rFonts w:hint="eastAsia"/>
          <w:sz w:val="21"/>
          <w:szCs w:val="21"/>
        </w:rPr>
        <w:t xml:space="preserve">（11）当发生大额申购或赎回情形时，基金管理人可以采用摆动定价机制，以确保基金估值的公平性。具体处理原则与操作规范遵循相关法律法规以及监管部门、自律规则的规定。 </w:t>
      </w:r>
    </w:p>
    <w:p w14:paraId="5DAA7F19">
      <w:pPr>
        <w:pStyle w:val="7"/>
        <w:spacing w:before="0" w:beforeAutospacing="0" w:after="0" w:afterAutospacing="0" w:line="360" w:lineRule="auto"/>
        <w:ind w:firstLine="420"/>
        <w:rPr>
          <w:sz w:val="21"/>
          <w:szCs w:val="21"/>
        </w:rPr>
      </w:pPr>
      <w:r>
        <w:rPr>
          <w:rFonts w:hint="eastAsia"/>
          <w:sz w:val="21"/>
          <w:szCs w:val="21"/>
        </w:rPr>
        <w:t xml:space="preserve">（12）本基金投资存托凭证的估值核算，依照境内上市交易的股票执行。 </w:t>
      </w:r>
    </w:p>
    <w:p w14:paraId="467701B1">
      <w:pPr>
        <w:pStyle w:val="7"/>
        <w:spacing w:before="0" w:beforeAutospacing="0" w:after="0" w:afterAutospacing="0" w:line="360" w:lineRule="auto"/>
        <w:ind w:firstLine="420"/>
        <w:rPr>
          <w:sz w:val="21"/>
          <w:szCs w:val="21"/>
        </w:rPr>
      </w:pPr>
      <w:r>
        <w:rPr>
          <w:rFonts w:hint="eastAsia"/>
          <w:sz w:val="21"/>
          <w:szCs w:val="21"/>
        </w:rPr>
        <w:t xml:space="preserve">（13）如有确凿证据表明按上述方法进行估值不能客观反映其公允价值的，基金管理人可根据具体情况与基金托管人商定后，按最能反映公允价值的价格估值。 </w:t>
      </w:r>
    </w:p>
    <w:p w14:paraId="43006CD6">
      <w:pPr>
        <w:pStyle w:val="7"/>
        <w:spacing w:before="0" w:beforeAutospacing="0" w:after="0" w:afterAutospacing="0" w:line="360" w:lineRule="auto"/>
        <w:ind w:firstLine="420"/>
        <w:rPr>
          <w:sz w:val="21"/>
          <w:szCs w:val="21"/>
        </w:rPr>
      </w:pPr>
      <w:r>
        <w:rPr>
          <w:rFonts w:hint="eastAsia"/>
          <w:sz w:val="21"/>
          <w:szCs w:val="21"/>
        </w:rPr>
        <w:t xml:space="preserve">（14）相关法律法规以及监管部门有强制规定的，从其规定。如有新增事项，按国家最新规定估值。 </w:t>
      </w:r>
    </w:p>
    <w:p w14:paraId="73DBF451">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2D462A0E">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07D15E5">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0810ACE6">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（1）基金管理人或基金托管人按估值方法的第（13）项进行估值时，所造成的误差不作为基金资产估值错误处理。 </w:t>
      </w:r>
    </w:p>
    <w:p w14:paraId="639F7E0B">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非基金管理人与基金托管人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7AAC9B28">
      <w:pPr>
        <w:pStyle w:val="7"/>
        <w:spacing w:before="0" w:beforeAutospacing="0" w:after="0" w:afterAutospacing="0" w:line="360" w:lineRule="auto"/>
        <w:ind w:firstLine="420"/>
        <w:rPr>
          <w:sz w:val="21"/>
          <w:szCs w:val="21"/>
        </w:rPr>
      </w:pPr>
      <w:r>
        <w:rPr>
          <w:rFonts w:hint="eastAsia"/>
          <w:sz w:val="21"/>
          <w:szCs w:val="21"/>
        </w:rPr>
        <w:t xml:space="preserve">（三）估值错误的处理方式 </w:t>
      </w:r>
    </w:p>
    <w:p w14:paraId="327A1FBA">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7C531959">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4480CB3B">
      <w:pPr>
        <w:pStyle w:val="7"/>
        <w:spacing w:before="0" w:beforeAutospacing="0" w:after="0" w:afterAutospacing="0" w:line="360" w:lineRule="auto"/>
        <w:ind w:firstLine="420"/>
        <w:rPr>
          <w:sz w:val="21"/>
          <w:szCs w:val="21"/>
        </w:rPr>
      </w:pPr>
      <w:r>
        <w:rPr>
          <w:rFonts w:hint="eastAsia"/>
          <w:sz w:val="21"/>
          <w:szCs w:val="21"/>
        </w:rPr>
        <w:t xml:space="preserve">3、当基金份额净值计算差错给基金和基金份额持有人造成损失需要进行赔偿时，基金管理人和基金托管人应根据实际情况界定双方承担的责任，经确认后按以下条款进行赔偿： </w:t>
      </w:r>
    </w:p>
    <w:p w14:paraId="6F5D5C11">
      <w:pPr>
        <w:pStyle w:val="7"/>
        <w:spacing w:before="0" w:beforeAutospacing="0" w:after="0" w:afterAutospacing="0" w:line="360" w:lineRule="auto"/>
        <w:ind w:firstLine="420"/>
        <w:rPr>
          <w:sz w:val="21"/>
          <w:szCs w:val="21"/>
        </w:rPr>
      </w:pPr>
      <w:r>
        <w:rPr>
          <w:rFonts w:hint="eastAsia"/>
          <w:sz w:val="21"/>
          <w:szCs w:val="21"/>
        </w:rPr>
        <w:t xml:space="preserve">（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 </w:t>
      </w:r>
    </w:p>
    <w:p w14:paraId="0E9FF098">
      <w:pPr>
        <w:pStyle w:val="7"/>
        <w:spacing w:before="0" w:beforeAutospacing="0" w:after="0" w:afterAutospacing="0" w:line="360" w:lineRule="auto"/>
        <w:ind w:firstLine="420"/>
        <w:rPr>
          <w:sz w:val="21"/>
          <w:szCs w:val="21"/>
        </w:rPr>
      </w:pPr>
      <w:r>
        <w:rPr>
          <w:rFonts w:hint="eastAsia"/>
          <w:sz w:val="21"/>
          <w:szCs w:val="21"/>
        </w:rPr>
        <w:t xml:space="preserve">（2）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 </w:t>
      </w:r>
    </w:p>
    <w:p w14:paraId="5D22644E">
      <w:pPr>
        <w:pStyle w:val="7"/>
        <w:spacing w:before="0" w:beforeAutospacing="0" w:after="0" w:afterAutospacing="0" w:line="360" w:lineRule="auto"/>
        <w:ind w:firstLine="420"/>
        <w:rPr>
          <w:sz w:val="21"/>
          <w:szCs w:val="21"/>
        </w:rPr>
      </w:pPr>
      <w:r>
        <w:rPr>
          <w:rFonts w:hint="eastAsia"/>
          <w:sz w:val="21"/>
          <w:szCs w:val="21"/>
        </w:rPr>
        <w:t xml:space="preserve">（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 </w:t>
      </w:r>
    </w:p>
    <w:p w14:paraId="129F6911">
      <w:pPr>
        <w:pStyle w:val="7"/>
        <w:spacing w:before="0" w:beforeAutospacing="0" w:after="0" w:afterAutospacing="0" w:line="360" w:lineRule="auto"/>
        <w:ind w:firstLine="420"/>
        <w:rPr>
          <w:sz w:val="21"/>
          <w:szCs w:val="21"/>
        </w:rPr>
      </w:pPr>
      <w:r>
        <w:rPr>
          <w:rFonts w:hint="eastAsia"/>
          <w:sz w:val="21"/>
          <w:szCs w:val="21"/>
        </w:rPr>
        <w:t xml:space="preserve">（4）由于基金管理人提供的信息错误（包括但不限于基金申购或赎回金额等），进而导致基金份额净值计算错误而引起的基金份额持有人和基金财产的损失，由基金管理人负责赔付。 </w:t>
      </w:r>
    </w:p>
    <w:p w14:paraId="7ACDB999">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41F57874">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6A4D46E3">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790DB020">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CC37A7B">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3BA60235">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63911D06">
      <w:pPr>
        <w:pStyle w:val="7"/>
        <w:spacing w:before="0" w:beforeAutospacing="0" w:after="0" w:afterAutospacing="0" w:line="360" w:lineRule="auto"/>
        <w:ind w:firstLine="420"/>
        <w:rPr>
          <w:sz w:val="21"/>
          <w:szCs w:val="21"/>
        </w:rPr>
      </w:pPr>
      <w:r>
        <w:rPr>
          <w:rFonts w:hint="eastAsia"/>
          <w:sz w:val="21"/>
          <w:szCs w:val="21"/>
        </w:rPr>
        <w:t xml:space="preserve">（五）基金会计制度 </w:t>
      </w:r>
    </w:p>
    <w:p w14:paraId="7B1455ED">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20EB9AB9">
      <w:pPr>
        <w:pStyle w:val="7"/>
        <w:spacing w:before="0" w:beforeAutospacing="0" w:after="0" w:afterAutospacing="0" w:line="360" w:lineRule="auto"/>
        <w:ind w:firstLine="420"/>
        <w:rPr>
          <w:sz w:val="21"/>
          <w:szCs w:val="21"/>
        </w:rPr>
      </w:pPr>
      <w:r>
        <w:rPr>
          <w:rFonts w:hint="eastAsia"/>
          <w:sz w:val="21"/>
          <w:szCs w:val="21"/>
        </w:rPr>
        <w:t xml:space="preserve">（六）基金账册的建立 </w:t>
      </w:r>
    </w:p>
    <w:p w14:paraId="2A397C2B">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基金托管人分别独立地设置、记录和保管本基金的全套账册。基金托管人按规定制作相关账册并与基金管理人核对。若基金管理人和基金托管人对会计处理方法存在分歧，应以基金管理人的处理方法为准。若当日核对不符，暂时无法查找到错账的原因而影响到基金净值的计算和公告的，以基金管理人的账册为准。 </w:t>
      </w:r>
    </w:p>
    <w:p w14:paraId="5C67D7C2">
      <w:pPr>
        <w:pStyle w:val="7"/>
        <w:spacing w:before="0" w:beforeAutospacing="0" w:after="0" w:afterAutospacing="0" w:line="360" w:lineRule="auto"/>
        <w:ind w:firstLine="420"/>
        <w:rPr>
          <w:sz w:val="21"/>
          <w:szCs w:val="21"/>
        </w:rPr>
      </w:pPr>
      <w:r>
        <w:rPr>
          <w:rFonts w:hint="eastAsia"/>
          <w:sz w:val="21"/>
          <w:szCs w:val="21"/>
        </w:rPr>
        <w:t xml:space="preserve">（七）基金财务报表与报告的编制和复核 </w:t>
      </w:r>
    </w:p>
    <w:p w14:paraId="380D2670">
      <w:pPr>
        <w:pStyle w:val="7"/>
        <w:spacing w:before="0" w:beforeAutospacing="0" w:after="0" w:afterAutospacing="0" w:line="360" w:lineRule="auto"/>
        <w:ind w:firstLine="420"/>
        <w:rPr>
          <w:sz w:val="21"/>
          <w:szCs w:val="21"/>
        </w:rPr>
      </w:pPr>
      <w:r>
        <w:rPr>
          <w:rFonts w:hint="eastAsia"/>
          <w:sz w:val="21"/>
          <w:szCs w:val="21"/>
        </w:rPr>
        <w:t xml:space="preserve">1. 财务报表的编制 </w:t>
      </w:r>
    </w:p>
    <w:p w14:paraId="6A5E9916">
      <w:pPr>
        <w:pStyle w:val="7"/>
        <w:spacing w:before="0" w:beforeAutospacing="0" w:after="0" w:afterAutospacing="0" w:line="360" w:lineRule="auto"/>
        <w:ind w:firstLine="420"/>
        <w:rPr>
          <w:sz w:val="21"/>
          <w:szCs w:val="21"/>
        </w:rPr>
      </w:pPr>
      <w:r>
        <w:rPr>
          <w:rFonts w:hint="eastAsia"/>
          <w:sz w:val="21"/>
          <w:szCs w:val="21"/>
        </w:rPr>
        <w:t xml:space="preserve">基金财务报表由基金管理人编制，基金托管人复核。 </w:t>
      </w:r>
    </w:p>
    <w:p w14:paraId="51343FFB">
      <w:pPr>
        <w:pStyle w:val="7"/>
        <w:spacing w:before="0" w:beforeAutospacing="0" w:after="0" w:afterAutospacing="0" w:line="360" w:lineRule="auto"/>
        <w:ind w:firstLine="420"/>
        <w:rPr>
          <w:sz w:val="21"/>
          <w:szCs w:val="21"/>
        </w:rPr>
      </w:pPr>
      <w:r>
        <w:rPr>
          <w:rFonts w:hint="eastAsia"/>
          <w:sz w:val="21"/>
          <w:szCs w:val="21"/>
        </w:rPr>
        <w:t xml:space="preserve">2. 报表复核 </w:t>
      </w:r>
    </w:p>
    <w:p w14:paraId="4C578B97">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基金托管人在收到基金管理人编制的基金财务报表后，进行独立的复核。核对不符时，应及时通知基金管理人共同查出原因，进行调整，直至双方数据完全一致。 </w:t>
      </w:r>
    </w:p>
    <w:p w14:paraId="76953D5A">
      <w:pPr>
        <w:pStyle w:val="7"/>
        <w:spacing w:before="0" w:beforeAutospacing="0" w:after="0" w:afterAutospacing="0" w:line="360" w:lineRule="auto"/>
        <w:ind w:firstLine="420"/>
        <w:rPr>
          <w:sz w:val="21"/>
          <w:szCs w:val="21"/>
        </w:rPr>
      </w:pPr>
      <w:r>
        <w:rPr>
          <w:rFonts w:hint="eastAsia"/>
          <w:sz w:val="21"/>
          <w:szCs w:val="21"/>
        </w:rPr>
        <w:t xml:space="preserve">3. 财务报表的编制与复核时间安排 </w:t>
      </w:r>
    </w:p>
    <w:p w14:paraId="3E2BAEE9">
      <w:pPr>
        <w:pStyle w:val="7"/>
        <w:spacing w:before="0" w:beforeAutospacing="0" w:after="0" w:afterAutospacing="0" w:line="360" w:lineRule="auto"/>
        <w:ind w:firstLine="420"/>
        <w:rPr>
          <w:sz w:val="21"/>
          <w:szCs w:val="21"/>
        </w:rPr>
      </w:pPr>
      <w:r>
        <w:rPr>
          <w:rFonts w:hint="eastAsia"/>
          <w:sz w:val="21"/>
          <w:szCs w:val="21"/>
        </w:rPr>
        <w:t xml:space="preserve">1) 报表的编制 </w:t>
      </w:r>
    </w:p>
    <w:p w14:paraId="6AB3271B">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符合《证券法》规定的会计师事务所审计。基金合同生效不足两个月的，基金管理人可以不编制当期季度报告、中期报告或者年度报告。 </w:t>
      </w:r>
    </w:p>
    <w:p w14:paraId="535A0722">
      <w:pPr>
        <w:pStyle w:val="7"/>
        <w:spacing w:before="0" w:beforeAutospacing="0" w:after="0" w:afterAutospacing="0" w:line="360" w:lineRule="auto"/>
        <w:ind w:firstLine="420"/>
        <w:rPr>
          <w:sz w:val="21"/>
          <w:szCs w:val="21"/>
        </w:rPr>
      </w:pPr>
      <w:r>
        <w:rPr>
          <w:rFonts w:hint="eastAsia"/>
          <w:sz w:val="21"/>
          <w:szCs w:val="21"/>
        </w:rPr>
        <w:t xml:space="preserve">2) 报表的复核 </w:t>
      </w:r>
    </w:p>
    <w:p w14:paraId="7985C7EC">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基金管理人应及时完成报表编制，将有关报表提供基金托管人复核；基金托管人在复核过程中，发现双方的报表存在不符时，基金管理人和基金托管人应共同查明原因，进行调整，调整以国家有关规定为准。 </w:t>
      </w:r>
    </w:p>
    <w:p w14:paraId="4A95BFA6">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 </w:t>
      </w:r>
    </w:p>
    <w:p w14:paraId="753A2035">
      <w:pPr>
        <w:pStyle w:val="7"/>
        <w:spacing w:before="0" w:beforeAutospacing="0" w:after="0" w:afterAutospacing="0" w:line="360" w:lineRule="auto"/>
        <w:ind w:firstLine="420"/>
        <w:rPr>
          <w:sz w:val="21"/>
          <w:szCs w:val="21"/>
        </w:rPr>
      </w:pPr>
      <w:r>
        <w:rPr>
          <w:rFonts w:hint="eastAsia"/>
          <w:sz w:val="21"/>
          <w:szCs w:val="21"/>
        </w:rPr>
        <w:t xml:space="preserve">（八）基金管理人应在编制季度报告、中期报告或者年度报告之前及时向基金托管人提供基金业绩比较基准的基础数据和编制结果。 </w:t>
      </w:r>
    </w:p>
    <w:p w14:paraId="3D5C6420">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3A607978">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保存期自基金账户销户之日起不少于20年，基金管理人和基金托管人应分别保管基金份额持有人名册，保存期不少于20年，法律法规另有规定或有权机关另有要求的除外。如不能妥善保管，则按相关法规承担责任。 </w:t>
      </w:r>
    </w:p>
    <w:p w14:paraId="5E9EC16D">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度报告前，基金管理人应将有关资料送交基金托管人，不得无故拒绝或延误提供，并保证其的真实性、准确性和完整性。基金托管人不得将所保管的基金份额持有人名册用于基金托管业务以外的其他用途，并应遵守保密义务。 </w:t>
      </w:r>
    </w:p>
    <w:p w14:paraId="41A50EAD">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67A3A89C">
      <w:pPr>
        <w:pStyle w:val="7"/>
        <w:spacing w:before="0" w:beforeAutospacing="0" w:after="0" w:afterAutospacing="0" w:line="360" w:lineRule="auto"/>
        <w:ind w:firstLine="420"/>
        <w:rPr>
          <w:sz w:val="21"/>
          <w:szCs w:val="21"/>
        </w:rPr>
      </w:pPr>
      <w:r>
        <w:rPr>
          <w:rFonts w:hint="eastAsia"/>
          <w:sz w:val="21"/>
          <w:szCs w:val="21"/>
        </w:rPr>
        <w:t xml:space="preserve">因本托管协议产生或与之相关的争议，双方当事人应通过协商、调解解决，如不愿或者不能通过协商、调解解决的，任何一方均有权将争议提交深圳国际仲裁院（深圳仲裁委员会），按照深圳国际仲裁院（深圳仲裁委员会）届时有效的仲裁规则进行仲裁。仲裁地点为深圳市。仲裁裁决是终局的，对双方当事人均有约束力。除非仲裁裁决另有规定，仲裁费用、律师费用由败诉方承担。 </w:t>
      </w:r>
    </w:p>
    <w:p w14:paraId="548BAC95">
      <w:pPr>
        <w:pStyle w:val="7"/>
        <w:spacing w:before="0" w:beforeAutospacing="0" w:after="0" w:afterAutospacing="0" w:line="360" w:lineRule="auto"/>
        <w:ind w:firstLine="420"/>
        <w:rPr>
          <w:sz w:val="21"/>
          <w:szCs w:val="21"/>
        </w:rPr>
      </w:pPr>
      <w:r>
        <w:rPr>
          <w:rFonts w:hint="eastAsia"/>
          <w:sz w:val="21"/>
          <w:szCs w:val="21"/>
        </w:rPr>
        <w:t xml:space="preserve">争议处理期间，本托管协议双方当事人应恪守基金管理人和基金托管人职责，各自继续忠实、勤勉、尽责地履行基金合同和本托管协议规定的义务，维护基金份额持有人的合法权益。 </w:t>
      </w:r>
    </w:p>
    <w:p w14:paraId="7C2961BA">
      <w:pPr>
        <w:pStyle w:val="7"/>
        <w:spacing w:before="0" w:beforeAutospacing="0" w:after="0" w:afterAutospacing="0" w:line="360" w:lineRule="auto"/>
        <w:ind w:firstLine="420"/>
        <w:rPr>
          <w:sz w:val="21"/>
          <w:szCs w:val="21"/>
        </w:rPr>
      </w:pPr>
      <w:r>
        <w:rPr>
          <w:rFonts w:hint="eastAsia"/>
          <w:sz w:val="21"/>
          <w:szCs w:val="21"/>
        </w:rPr>
        <w:t xml:space="preserve">本协议受中国法律（为本协议之目的，在此不包括香港、澳门特别行政区和台湾地区法律）管辖，并按其解释。 </w:t>
      </w:r>
    </w:p>
    <w:p w14:paraId="0255127C">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3B2C773C">
      <w:pPr>
        <w:pStyle w:val="7"/>
        <w:spacing w:before="0" w:beforeAutospacing="0" w:after="0" w:afterAutospacing="0" w:line="360" w:lineRule="auto"/>
        <w:ind w:firstLine="420"/>
        <w:rPr>
          <w:sz w:val="21"/>
          <w:szCs w:val="21"/>
        </w:rPr>
      </w:pPr>
      <w:r>
        <w:rPr>
          <w:rFonts w:hint="eastAsia"/>
          <w:sz w:val="21"/>
          <w:szCs w:val="21"/>
        </w:rPr>
        <w:t xml:space="preserve">（一）本托管协议的变更程序 </w:t>
      </w:r>
    </w:p>
    <w:p w14:paraId="1D19AFA3">
      <w:pPr>
        <w:pStyle w:val="7"/>
        <w:spacing w:before="0" w:beforeAutospacing="0" w:after="0" w:afterAutospacing="0" w:line="360" w:lineRule="auto"/>
        <w:ind w:firstLine="420"/>
        <w:rPr>
          <w:sz w:val="21"/>
          <w:szCs w:val="21"/>
        </w:rPr>
      </w:pPr>
      <w:r>
        <w:rPr>
          <w:rFonts w:hint="eastAsia"/>
          <w:sz w:val="21"/>
          <w:szCs w:val="21"/>
        </w:rPr>
        <w:t xml:space="preserve">本托管协议双方当事人经协商一致，可以对本托管协议进行修改。修改后的新托管协议，其内容不得与基金合同的规定有任何冲突。基金托管协议的变更报中国证监会备案。 </w:t>
      </w:r>
    </w:p>
    <w:p w14:paraId="56E41B7E">
      <w:pPr>
        <w:pStyle w:val="7"/>
        <w:spacing w:before="0" w:beforeAutospacing="0" w:after="0" w:afterAutospacing="0" w:line="360" w:lineRule="auto"/>
        <w:ind w:firstLine="420"/>
        <w:rPr>
          <w:sz w:val="21"/>
          <w:szCs w:val="21"/>
        </w:rPr>
      </w:pPr>
      <w:r>
        <w:rPr>
          <w:rFonts w:hint="eastAsia"/>
          <w:sz w:val="21"/>
          <w:szCs w:val="21"/>
        </w:rPr>
        <w:t xml:space="preserve">（二）基金托管协议终止出现的情形 </w:t>
      </w:r>
    </w:p>
    <w:p w14:paraId="0C9FE0AD">
      <w:pPr>
        <w:pStyle w:val="7"/>
        <w:spacing w:before="0" w:beforeAutospacing="0" w:after="0" w:afterAutospacing="0" w:line="360" w:lineRule="auto"/>
        <w:ind w:firstLine="420"/>
        <w:rPr>
          <w:sz w:val="21"/>
          <w:szCs w:val="21"/>
        </w:rPr>
      </w:pPr>
      <w:r>
        <w:rPr>
          <w:rFonts w:hint="eastAsia"/>
          <w:sz w:val="21"/>
          <w:szCs w:val="21"/>
        </w:rPr>
        <w:t xml:space="preserve">1. 基金合同终止； </w:t>
      </w:r>
    </w:p>
    <w:p w14:paraId="41E49A00">
      <w:pPr>
        <w:pStyle w:val="7"/>
        <w:spacing w:before="0" w:beforeAutospacing="0" w:after="0" w:afterAutospacing="0" w:line="360" w:lineRule="auto"/>
        <w:ind w:firstLine="420"/>
        <w:rPr>
          <w:sz w:val="21"/>
          <w:szCs w:val="21"/>
        </w:rPr>
      </w:pPr>
      <w:r>
        <w:rPr>
          <w:rFonts w:hint="eastAsia"/>
          <w:sz w:val="21"/>
          <w:szCs w:val="21"/>
        </w:rPr>
        <w:t xml:space="preserve">2. 基金托管人解散、依法被撤销、破产或由其他基金托管人接管基金资产； </w:t>
      </w:r>
    </w:p>
    <w:p w14:paraId="6DCD0440">
      <w:pPr>
        <w:pStyle w:val="7"/>
        <w:spacing w:before="0" w:beforeAutospacing="0" w:after="0" w:afterAutospacing="0" w:line="360" w:lineRule="auto"/>
        <w:ind w:firstLine="420"/>
        <w:rPr>
          <w:sz w:val="21"/>
          <w:szCs w:val="21"/>
        </w:rPr>
      </w:pPr>
      <w:r>
        <w:rPr>
          <w:rFonts w:hint="eastAsia"/>
          <w:sz w:val="21"/>
          <w:szCs w:val="21"/>
        </w:rPr>
        <w:t xml:space="preserve">3. 基金管理人解散、依法被撤销、破产或由其他基金管理人接管基金管理权； </w:t>
      </w:r>
    </w:p>
    <w:p w14:paraId="6D0AF1E0">
      <w:pPr>
        <w:pStyle w:val="7"/>
        <w:spacing w:before="0" w:beforeAutospacing="0" w:after="0" w:afterAutospacing="0" w:line="360" w:lineRule="auto"/>
        <w:ind w:firstLine="420"/>
        <w:rPr>
          <w:sz w:val="21"/>
          <w:szCs w:val="21"/>
        </w:rPr>
      </w:pPr>
      <w:r>
        <w:rPr>
          <w:rFonts w:hint="eastAsia"/>
          <w:sz w:val="21"/>
          <w:szCs w:val="21"/>
        </w:rPr>
        <w:t xml:space="preserve">4. 发生法律法规、中国证监会或基金合同规定的终止事项。 </w:t>
      </w:r>
    </w:p>
    <w:p w14:paraId="66E8C7B7">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0911B682">
      <w:pPr>
        <w:pStyle w:val="7"/>
        <w:spacing w:before="0" w:beforeAutospacing="0" w:after="0" w:afterAutospacing="0" w:line="360" w:lineRule="auto"/>
        <w:ind w:firstLine="420"/>
        <w:rPr>
          <w:sz w:val="21"/>
          <w:szCs w:val="21"/>
        </w:rPr>
      </w:pPr>
      <w:r>
        <w:rPr>
          <w:rFonts w:hint="eastAsia"/>
          <w:sz w:val="21"/>
          <w:szCs w:val="21"/>
        </w:rPr>
        <w:t xml:space="preserve">1. 基金财产清算小组 </w:t>
      </w:r>
    </w:p>
    <w:p w14:paraId="1292398A">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305A82BE">
      <w:pPr>
        <w:pStyle w:val="7"/>
        <w:spacing w:before="0" w:beforeAutospacing="0" w:after="0" w:afterAutospacing="0" w:line="360" w:lineRule="auto"/>
        <w:ind w:firstLine="420"/>
        <w:rPr>
          <w:sz w:val="21"/>
          <w:szCs w:val="21"/>
        </w:rPr>
      </w:pPr>
      <w:r>
        <w:rPr>
          <w:rFonts w:hint="eastAsia"/>
          <w:sz w:val="21"/>
          <w:szCs w:val="21"/>
        </w:rPr>
        <w:t xml:space="preserve">（2）在基金财产清算小组接管基金财产之前，基金管理人和基金托管人应按照《基金合同》和托管协议的规定继续履行保护基金财产安全的职责。 </w:t>
      </w:r>
    </w:p>
    <w:p w14:paraId="7B3463FC">
      <w:pPr>
        <w:pStyle w:val="7"/>
        <w:spacing w:before="0" w:beforeAutospacing="0" w:after="0" w:afterAutospacing="0" w:line="360" w:lineRule="auto"/>
        <w:ind w:firstLine="420"/>
        <w:rPr>
          <w:sz w:val="21"/>
          <w:szCs w:val="21"/>
        </w:rPr>
      </w:pPr>
      <w:r>
        <w:rPr>
          <w:rFonts w:hint="eastAsia"/>
          <w:sz w:val="21"/>
          <w:szCs w:val="21"/>
        </w:rPr>
        <w:t xml:space="preserve">（3）基金财产清算小组组成：基金财产清算小组成员由基金管理人、基金托管人、符合《证券法》规定的注册会计师、律师以及中国证监会指定的人员组成。基金财产清算小组可以聘用必要的工作人员。 </w:t>
      </w:r>
    </w:p>
    <w:p w14:paraId="3AE8F731">
      <w:pPr>
        <w:pStyle w:val="7"/>
        <w:spacing w:before="0" w:beforeAutospacing="0" w:after="0" w:afterAutospacing="0" w:line="360" w:lineRule="auto"/>
        <w:ind w:firstLine="420"/>
        <w:rPr>
          <w:sz w:val="21"/>
          <w:szCs w:val="21"/>
        </w:rPr>
      </w:pPr>
      <w:r>
        <w:rPr>
          <w:rFonts w:hint="eastAsia"/>
          <w:sz w:val="21"/>
          <w:szCs w:val="21"/>
        </w:rPr>
        <w:t xml:space="preserve">（4）基金财产清算小组职责：基金财产清算小组负责基金财产的保管、清理、估价、变现和分配。基金财产清算小组可以依法进行必要的民事活动。 </w:t>
      </w:r>
    </w:p>
    <w:p w14:paraId="4E5D497E">
      <w:pPr>
        <w:pStyle w:val="7"/>
        <w:spacing w:before="0" w:beforeAutospacing="0" w:after="0" w:afterAutospacing="0" w:line="360" w:lineRule="auto"/>
        <w:ind w:firstLine="420"/>
        <w:rPr>
          <w:sz w:val="21"/>
          <w:szCs w:val="21"/>
        </w:rPr>
      </w:pPr>
      <w:r>
        <w:rPr>
          <w:rFonts w:hint="eastAsia"/>
          <w:sz w:val="21"/>
          <w:szCs w:val="21"/>
        </w:rPr>
        <w:t xml:space="preserve">（5）在基金财产清算过程中，基金管理人和基金托管人应各自履行职责，继续忠实、勤勉、尽责地履行基金合同和托管协议规定的义务，维护基金份额持有人的合法权益。 </w:t>
      </w:r>
    </w:p>
    <w:p w14:paraId="7AA1B312">
      <w:pPr>
        <w:pStyle w:val="7"/>
        <w:spacing w:before="0" w:beforeAutospacing="0" w:after="0" w:afterAutospacing="0" w:line="360" w:lineRule="auto"/>
        <w:ind w:firstLine="420"/>
        <w:rPr>
          <w:sz w:val="21"/>
          <w:szCs w:val="21"/>
        </w:rPr>
      </w:pPr>
      <w:r>
        <w:rPr>
          <w:rFonts w:hint="eastAsia"/>
          <w:sz w:val="21"/>
          <w:szCs w:val="21"/>
        </w:rPr>
        <w:t xml:space="preserve">2. 基金财产清算程序 </w:t>
      </w:r>
    </w:p>
    <w:p w14:paraId="151AB4C5">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0B4B515A">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3D73AC3E">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45CCCD66">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0A36615">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542E72E9">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16E649E">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640A5FDC">
      <w:pPr>
        <w:pStyle w:val="7"/>
        <w:spacing w:before="0" w:beforeAutospacing="0" w:after="0" w:afterAutospacing="0" w:line="360" w:lineRule="auto"/>
        <w:ind w:firstLine="420"/>
        <w:rPr>
          <w:sz w:val="21"/>
          <w:szCs w:val="21"/>
        </w:rPr>
      </w:pPr>
      <w:r>
        <w:rPr>
          <w:rFonts w:hint="eastAsia"/>
          <w:sz w:val="21"/>
          <w:szCs w:val="21"/>
        </w:rPr>
        <w:t xml:space="preserve">基金财产清算的期限为6个月，但因本基金所持证券的流动性受到限制而不能及时变现的，清算期限可相应顺延。 </w:t>
      </w:r>
    </w:p>
    <w:p w14:paraId="05EDC023">
      <w:pPr>
        <w:pStyle w:val="7"/>
        <w:spacing w:before="0" w:beforeAutospacing="0" w:after="0" w:afterAutospacing="0" w:line="360" w:lineRule="auto"/>
        <w:ind w:firstLine="420"/>
        <w:rPr>
          <w:sz w:val="21"/>
          <w:szCs w:val="21"/>
        </w:rPr>
      </w:pPr>
      <w:r>
        <w:rPr>
          <w:rFonts w:hint="eastAsia"/>
          <w:sz w:val="21"/>
          <w:szCs w:val="21"/>
        </w:rPr>
        <w:t xml:space="preserve">3. 清算费用 </w:t>
      </w:r>
    </w:p>
    <w:p w14:paraId="5CFFE677">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清算费用是指基金财产清算小组在进行基金清算过程中发生的所有合理费用，清算费用由基金财产清算小组优先从基金剩余财产中支付。 </w:t>
      </w:r>
    </w:p>
    <w:p w14:paraId="557A194F">
      <w:pPr>
        <w:pStyle w:val="7"/>
        <w:spacing w:before="0" w:beforeAutospacing="0" w:after="0" w:afterAutospacing="0" w:line="360" w:lineRule="auto"/>
        <w:ind w:firstLine="420"/>
        <w:rPr>
          <w:sz w:val="21"/>
          <w:szCs w:val="21"/>
        </w:rPr>
      </w:pPr>
      <w:r>
        <w:rPr>
          <w:rFonts w:hint="eastAsia"/>
          <w:sz w:val="21"/>
          <w:szCs w:val="21"/>
        </w:rPr>
        <w:t xml:space="preserve">4. 基金财产清算剩余资产的分配 </w:t>
      </w:r>
    </w:p>
    <w:p w14:paraId="3E4ACB53">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依据基金财产清算的分配方案，将基金财产清算后的全部剩余资产扣除基金财产清算费用、交纳所欠税款并清偿基金债务后，按基金份额持有人持有的各类基金份额比例进行分配。 </w:t>
      </w:r>
    </w:p>
    <w:p w14:paraId="5C06A289">
      <w:pPr>
        <w:pStyle w:val="7"/>
        <w:spacing w:before="0" w:beforeAutospacing="0" w:after="0" w:afterAutospacing="0" w:line="360" w:lineRule="auto"/>
        <w:ind w:firstLine="420"/>
        <w:rPr>
          <w:sz w:val="21"/>
          <w:szCs w:val="21"/>
        </w:rPr>
      </w:pPr>
      <w:r>
        <w:rPr>
          <w:rFonts w:hint="eastAsia"/>
          <w:sz w:val="21"/>
          <w:szCs w:val="21"/>
        </w:rPr>
        <w:t xml:space="preserve">5. 基金财产清算的公告 </w:t>
      </w:r>
    </w:p>
    <w:p w14:paraId="18D9BACF">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3F9C6928">
      <w:pPr>
        <w:pStyle w:val="7"/>
        <w:spacing w:before="0" w:beforeAutospacing="0" w:after="0" w:afterAutospacing="0" w:line="360" w:lineRule="auto"/>
        <w:ind w:firstLine="420"/>
        <w:rPr>
          <w:sz w:val="21"/>
          <w:szCs w:val="21"/>
        </w:rPr>
      </w:pPr>
      <w:r>
        <w:rPr>
          <w:rFonts w:hint="eastAsia"/>
          <w:sz w:val="21"/>
          <w:szCs w:val="21"/>
        </w:rPr>
        <w:t xml:space="preserve">6. 基金财产清算账册及文件的保存 </w:t>
      </w:r>
    </w:p>
    <w:p w14:paraId="13D284ED">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基金财产清算账册及有关文件由基金托管人保存20年以上，法律法规或监管规则另有</w:t>
      </w:r>
      <w:bookmarkStart w:id="206" w:name="chapter_level1_23_72_section_1_end"/>
      <w:bookmarkEnd w:id="206"/>
      <w:r>
        <w:rPr>
          <w:rFonts w:hint="eastAsia"/>
          <w:sz w:val="21"/>
          <w:szCs w:val="21"/>
        </w:rPr>
        <w:t xml:space="preserve">规定的从其规定。 </w:t>
      </w:r>
    </w:p>
    <w:p w14:paraId="0326645C">
      <w:pPr>
        <w:widowControl/>
        <w:jc w:val="left"/>
        <w:rPr>
          <w:rFonts w:ascii="宋体" w:hAnsi="宋体" w:eastAsia="宋体"/>
        </w:rPr>
      </w:pPr>
      <w:r>
        <w:rPr>
          <w:rFonts w:ascii="宋体" w:hAnsi="宋体" w:eastAsia="宋体"/>
        </w:rPr>
        <w:br w:type="page"/>
      </w:r>
    </w:p>
    <w:p w14:paraId="4A4C1764">
      <w:pPr>
        <w:pStyle w:val="2"/>
        <w:jc w:val="center"/>
        <w:rPr>
          <w:rFonts w:ascii="宋体" w:hAnsi="宋体" w:eastAsia="宋体"/>
          <w:sz w:val="30"/>
        </w:rPr>
      </w:pPr>
      <w:bookmarkStart w:id="207" w:name="_Toc209538288"/>
      <w:bookmarkStart w:id="208" w:name="chapter_level1_24_75"/>
      <w:r>
        <w:rPr>
          <w:rFonts w:hint="eastAsia" w:ascii="宋体" w:hAnsi="宋体" w:eastAsia="宋体"/>
          <w:sz w:val="30"/>
        </w:rPr>
        <w:t>第二十一部分  对基金份额持有人的服务</w:t>
      </w:r>
      <w:bookmarkEnd w:id="207"/>
      <w:bookmarkEnd w:id="208"/>
    </w:p>
    <w:p w14:paraId="0C71DFAB">
      <w:pPr>
        <w:pStyle w:val="7"/>
        <w:spacing w:before="0" w:beforeAutospacing="0" w:after="0" w:afterAutospacing="0" w:line="360" w:lineRule="auto"/>
        <w:ind w:firstLine="420"/>
        <w:rPr>
          <w:sz w:val="21"/>
          <w:szCs w:val="21"/>
        </w:rPr>
      </w:pPr>
      <w:bookmarkStart w:id="209" w:name="chapter_level1_24_75_section_1"/>
      <w:bookmarkEnd w:id="209"/>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22F10478">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59E94E85">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5A9D8547">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6AD6F7D">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02BBB66B">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507DA14E">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5FE472A1">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63C0A707">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22FC4716">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2F8A76EC">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26201008">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46E1A901">
      <w:pPr>
        <w:pStyle w:val="7"/>
        <w:spacing w:before="0" w:beforeAutospacing="0" w:after="0" w:afterAutospacing="0" w:line="360" w:lineRule="auto"/>
        <w:ind w:firstLine="420"/>
        <w:rPr>
          <w:sz w:val="21"/>
          <w:szCs w:val="21"/>
        </w:rPr>
      </w:pPr>
      <w:r>
        <w:rPr>
          <w:rFonts w:hint="eastAsia"/>
          <w:sz w:val="21"/>
          <w:szCs w:val="21"/>
        </w:rPr>
        <w:t xml:space="preserve">2、查询服务 </w:t>
      </w:r>
    </w:p>
    <w:p w14:paraId="0EA0E8D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6735BD9A">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3C14CBA2">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1E9C6A7C">
      <w:pPr>
        <w:pStyle w:val="7"/>
        <w:spacing w:before="0" w:beforeAutospacing="0" w:after="0" w:afterAutospacing="0" w:line="360" w:lineRule="auto"/>
        <w:ind w:firstLine="420"/>
        <w:rPr>
          <w:sz w:val="21"/>
          <w:szCs w:val="21"/>
        </w:rPr>
      </w:pPr>
      <w:r>
        <w:rPr>
          <w:rFonts w:hint="eastAsia"/>
          <w:sz w:val="21"/>
          <w:szCs w:val="21"/>
        </w:rPr>
        <w:t xml:space="preserve">4、在线客服 </w:t>
      </w:r>
    </w:p>
    <w:p w14:paraId="6219BA6D">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4F72DCF5">
      <w:pPr>
        <w:pStyle w:val="7"/>
        <w:spacing w:before="0" w:beforeAutospacing="0" w:after="0" w:afterAutospacing="0" w:line="360" w:lineRule="auto"/>
        <w:ind w:firstLine="420"/>
        <w:rPr>
          <w:sz w:val="21"/>
          <w:szCs w:val="21"/>
        </w:rPr>
      </w:pPr>
      <w:r>
        <w:rPr>
          <w:rStyle w:val="11"/>
          <w:rFonts w:hint="eastAsia"/>
          <w:sz w:val="21"/>
          <w:szCs w:val="21"/>
        </w:rPr>
        <w:t>三、短信服务</w:t>
      </w:r>
    </w:p>
    <w:p w14:paraId="1B032FE1">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6FF4710F">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48BF9732">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65079924">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74C213E2">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1BAF11E2">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5275DDD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295C1448">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12412292">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59D7EE0D">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3AF798BC">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44C69594">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655324E6">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23E07B01">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308B41D6">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414449DB">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62197C7C">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2DF252D9">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210" w:name="chapter_level1_24_75_section_1_end"/>
      <w:bookmarkEnd w:id="210"/>
      <w:r>
        <w:rPr>
          <w:rStyle w:val="11"/>
          <w:rFonts w:hint="eastAsia"/>
          <w:sz w:val="21"/>
          <w:szCs w:val="21"/>
        </w:rPr>
        <w:t>理人。请确保投资前，您/贵机构已经全面理解了本招募说明书。</w:t>
      </w:r>
    </w:p>
    <w:p w14:paraId="1112A5D9">
      <w:pPr>
        <w:widowControl/>
        <w:jc w:val="left"/>
        <w:rPr>
          <w:rFonts w:ascii="宋体" w:hAnsi="宋体" w:eastAsia="宋体"/>
        </w:rPr>
      </w:pPr>
      <w:r>
        <w:rPr>
          <w:rFonts w:ascii="宋体" w:hAnsi="宋体" w:eastAsia="宋体"/>
        </w:rPr>
        <w:br w:type="page"/>
      </w:r>
    </w:p>
    <w:p w14:paraId="2C860644">
      <w:pPr>
        <w:pStyle w:val="2"/>
        <w:jc w:val="center"/>
        <w:rPr>
          <w:rFonts w:ascii="宋体" w:hAnsi="宋体" w:eastAsia="宋体"/>
          <w:sz w:val="30"/>
        </w:rPr>
      </w:pPr>
      <w:bookmarkStart w:id="211" w:name="chapter_level1_25_3499"/>
      <w:bookmarkStart w:id="212" w:name="_Toc209538289"/>
      <w:r>
        <w:rPr>
          <w:rFonts w:hint="eastAsia" w:ascii="宋体" w:hAnsi="宋体" w:eastAsia="宋体"/>
          <w:sz w:val="30"/>
        </w:rPr>
        <w:t>第二十二部分 其他应披露的事项</w:t>
      </w:r>
      <w:bookmarkEnd w:id="211"/>
      <w:bookmarkEnd w:id="212"/>
    </w:p>
    <w:p w14:paraId="2D427FB0">
      <w:pPr>
        <w:pStyle w:val="7"/>
        <w:spacing w:before="0" w:beforeAutospacing="0" w:after="0" w:afterAutospacing="0" w:line="360" w:lineRule="auto"/>
        <w:ind w:firstLine="420"/>
        <w:rPr>
          <w:sz w:val="21"/>
          <w:szCs w:val="21"/>
        </w:rPr>
      </w:pPr>
      <w:bookmarkStart w:id="213" w:name="field_0_bsrevealinfo_1_start"/>
      <w:bookmarkEnd w:id="213"/>
      <w:bookmarkStart w:id="214" w:name="chapter_level1_25_3499_section_1"/>
      <w:bookmarkEnd w:id="214"/>
      <w:r>
        <w:rPr>
          <w:rFonts w:hint="eastAsia"/>
          <w:sz w:val="21"/>
          <w:szCs w:val="21"/>
        </w:rPr>
        <w:t>（一）、2025年8月29日，我公司公告了《博时恒盈稳健一年持有期混合型证券投资基金2025年中期报告》；</w:t>
      </w:r>
    </w:p>
    <w:p w14:paraId="30195E9B">
      <w:pPr>
        <w:pStyle w:val="7"/>
        <w:spacing w:before="0" w:beforeAutospacing="0" w:after="0" w:afterAutospacing="0" w:line="360" w:lineRule="auto"/>
        <w:ind w:firstLine="420"/>
        <w:rPr>
          <w:sz w:val="21"/>
          <w:szCs w:val="21"/>
        </w:rPr>
      </w:pPr>
      <w:r>
        <w:rPr>
          <w:rFonts w:hint="eastAsia"/>
          <w:sz w:val="21"/>
          <w:szCs w:val="21"/>
        </w:rPr>
        <w:t>（二）、2025年7月21日，我公司公告了《博时恒盈稳健一年持有期混合型证券投资基金2025年第2季度报告》；</w:t>
      </w:r>
    </w:p>
    <w:p w14:paraId="01E78295">
      <w:pPr>
        <w:pStyle w:val="7"/>
        <w:spacing w:before="0" w:beforeAutospacing="0" w:after="0" w:afterAutospacing="0" w:line="360" w:lineRule="auto"/>
        <w:ind w:firstLine="420"/>
        <w:rPr>
          <w:sz w:val="21"/>
          <w:szCs w:val="21"/>
        </w:rPr>
      </w:pPr>
      <w:r>
        <w:rPr>
          <w:rFonts w:hint="eastAsia"/>
          <w:sz w:val="21"/>
          <w:szCs w:val="21"/>
        </w:rPr>
        <w:t>（三）、2025年6月26日，我公司公告了《博时恒盈稳健一年持有期混合型证券投资基金（博时恒盈稳健一年持有期混合C）基金产品资料概要更新》、《博时恒盈稳健一年持有期混合型证券投资基金（博时恒盈稳健一年持有期混合A）基金产品资料概要更新》；</w:t>
      </w:r>
    </w:p>
    <w:p w14:paraId="09FD2DEE">
      <w:pPr>
        <w:pStyle w:val="7"/>
        <w:spacing w:before="0" w:beforeAutospacing="0" w:after="0" w:afterAutospacing="0" w:line="360" w:lineRule="auto"/>
        <w:ind w:firstLine="420"/>
        <w:rPr>
          <w:sz w:val="21"/>
          <w:szCs w:val="21"/>
        </w:rPr>
      </w:pPr>
      <w:r>
        <w:rPr>
          <w:rFonts w:hint="eastAsia"/>
          <w:sz w:val="21"/>
          <w:szCs w:val="21"/>
        </w:rPr>
        <w:t>（四）、2025年6月6日，我公司公告了《博时基金管理有限公司关于旗下基金持有的长期停牌股票调整估值方法的公告-20250606》；</w:t>
      </w:r>
    </w:p>
    <w:p w14:paraId="73DD0686">
      <w:pPr>
        <w:pStyle w:val="7"/>
        <w:spacing w:before="0" w:beforeAutospacing="0" w:after="0" w:afterAutospacing="0" w:line="360" w:lineRule="auto"/>
        <w:ind w:firstLine="420"/>
        <w:rPr>
          <w:sz w:val="21"/>
          <w:szCs w:val="21"/>
        </w:rPr>
      </w:pPr>
      <w:r>
        <w:rPr>
          <w:rFonts w:hint="eastAsia"/>
          <w:sz w:val="21"/>
          <w:szCs w:val="21"/>
        </w:rPr>
        <w:t>（五）、2025年6月3日，我公司公告了《博时基金管理有限公司关于旗下基金持有的长期停牌股票调整估值方法的公告-20250603》；</w:t>
      </w:r>
    </w:p>
    <w:p w14:paraId="15CD7E18">
      <w:pPr>
        <w:pStyle w:val="7"/>
        <w:spacing w:before="0" w:beforeAutospacing="0" w:after="0" w:afterAutospacing="0" w:line="360" w:lineRule="auto"/>
        <w:ind w:firstLine="420"/>
        <w:rPr>
          <w:sz w:val="21"/>
          <w:szCs w:val="21"/>
        </w:rPr>
      </w:pPr>
      <w:r>
        <w:rPr>
          <w:rFonts w:hint="eastAsia"/>
          <w:sz w:val="21"/>
          <w:szCs w:val="21"/>
        </w:rPr>
        <w:t>（六）、2025年5月16日，我公司公告了《博时基金管理有限公司关于博时恒盈稳健一年持有期混合型证券投资基金可能触发基金合同终止情形的提示性公告》；</w:t>
      </w:r>
    </w:p>
    <w:p w14:paraId="412D97CE">
      <w:pPr>
        <w:pStyle w:val="7"/>
        <w:spacing w:before="0" w:beforeAutospacing="0" w:after="0" w:afterAutospacing="0" w:line="360" w:lineRule="auto"/>
        <w:ind w:firstLine="420"/>
        <w:rPr>
          <w:sz w:val="21"/>
          <w:szCs w:val="21"/>
        </w:rPr>
      </w:pPr>
      <w:r>
        <w:rPr>
          <w:rFonts w:hint="eastAsia"/>
          <w:sz w:val="21"/>
          <w:szCs w:val="21"/>
        </w:rPr>
        <w:t>（七）、2025年5月9日，我公司公告了《博时基金管理有限公司关于博时恒盈稳健一年持有期混合型证券投资基金可能触发基金合同终止情形的提示性公告》；</w:t>
      </w:r>
    </w:p>
    <w:p w14:paraId="371834EF">
      <w:pPr>
        <w:pStyle w:val="7"/>
        <w:spacing w:before="0" w:beforeAutospacing="0" w:after="0" w:afterAutospacing="0" w:line="360" w:lineRule="auto"/>
        <w:ind w:firstLine="420"/>
        <w:rPr>
          <w:sz w:val="21"/>
          <w:szCs w:val="21"/>
        </w:rPr>
      </w:pPr>
      <w:r>
        <w:rPr>
          <w:rFonts w:hint="eastAsia"/>
          <w:sz w:val="21"/>
          <w:szCs w:val="21"/>
        </w:rPr>
        <w:t>（八）、2025年4月22日，我公司公告了《博时基金管理有限公司关于博时恒盈稳健一年持有期混合型证券投资基金可能触发基金合同终止情形的提示性公告》、《博时恒盈稳健一年持有期混合型证券投资基金2025年第1季度报告》；</w:t>
      </w:r>
    </w:p>
    <w:p w14:paraId="72F3B8F3">
      <w:pPr>
        <w:pStyle w:val="7"/>
        <w:spacing w:before="0" w:beforeAutospacing="0" w:after="0" w:afterAutospacing="0" w:line="360" w:lineRule="auto"/>
        <w:ind w:firstLine="420"/>
        <w:rPr>
          <w:sz w:val="21"/>
          <w:szCs w:val="21"/>
        </w:rPr>
      </w:pPr>
      <w:r>
        <w:rPr>
          <w:rFonts w:hint="eastAsia"/>
          <w:sz w:val="21"/>
          <w:szCs w:val="21"/>
        </w:rPr>
        <w:t>（九）、2025年4月8日，我公司公告了《博时基金管理有限公司关于运用公司固有资金投资旗下公募基金的公告》、《博时基金管理有限公司关于旗下基金持有的长期停牌股票调整估值方法的公告-20250408》；</w:t>
      </w:r>
    </w:p>
    <w:p w14:paraId="4ED94687">
      <w:pPr>
        <w:pStyle w:val="7"/>
        <w:spacing w:before="0" w:beforeAutospacing="0" w:after="0" w:afterAutospacing="0" w:line="360" w:lineRule="auto"/>
        <w:ind w:firstLine="420"/>
        <w:rPr>
          <w:sz w:val="21"/>
          <w:szCs w:val="21"/>
        </w:rPr>
      </w:pPr>
      <w:r>
        <w:rPr>
          <w:rFonts w:hint="eastAsia"/>
          <w:sz w:val="21"/>
          <w:szCs w:val="21"/>
        </w:rPr>
        <w:t>（十）、2025年3月31日，我公司公告了《博时基金管理有限公司旗下公募基金通过证券公司证券交易及佣金支付情况（2024年度）》、《博时恒盈稳健一年持有期混合型证券投资基金2024年年度报告》；</w:t>
      </w:r>
    </w:p>
    <w:p w14:paraId="7279A4C5">
      <w:pPr>
        <w:pStyle w:val="7"/>
        <w:spacing w:before="0" w:beforeAutospacing="0" w:after="0" w:afterAutospacing="0" w:line="360" w:lineRule="auto"/>
        <w:ind w:firstLine="420"/>
        <w:rPr>
          <w:sz w:val="21"/>
          <w:szCs w:val="21"/>
        </w:rPr>
      </w:pPr>
      <w:r>
        <w:rPr>
          <w:rFonts w:hint="eastAsia"/>
          <w:sz w:val="21"/>
          <w:szCs w:val="21"/>
        </w:rPr>
        <w:t>（十一）、2025年3月25日，我公司公告了《博时基金管理有限公司关于旗下基金持有的长期停牌股票调整估值方法的公告-20250325》；</w:t>
      </w:r>
    </w:p>
    <w:p w14:paraId="70088CFF">
      <w:pPr>
        <w:pStyle w:val="7"/>
        <w:spacing w:before="0" w:beforeAutospacing="0" w:after="0" w:afterAutospacing="0" w:line="360" w:lineRule="auto"/>
        <w:ind w:firstLine="420"/>
        <w:rPr>
          <w:sz w:val="21"/>
          <w:szCs w:val="21"/>
        </w:rPr>
      </w:pPr>
      <w:r>
        <w:rPr>
          <w:rFonts w:hint="eastAsia"/>
          <w:sz w:val="21"/>
          <w:szCs w:val="21"/>
        </w:rPr>
        <w:t>（十二）、2025年3月14日，我公司公告了《博时恒盈稳健一年持有期混合型证券投资基金（博时恒盈稳健一年持有期混合C）基金产品资料概要更新》、《博时恒盈稳健一年持有期混合型证券投资基金（博时恒盈稳健一年持有期混合A）基金产品资料概要更新》；</w:t>
      </w:r>
    </w:p>
    <w:p w14:paraId="616345AD">
      <w:pPr>
        <w:pStyle w:val="7"/>
        <w:spacing w:before="0" w:beforeAutospacing="0" w:after="0" w:afterAutospacing="0" w:line="360" w:lineRule="auto"/>
        <w:ind w:firstLine="420"/>
        <w:rPr>
          <w:sz w:val="21"/>
          <w:szCs w:val="21"/>
        </w:rPr>
      </w:pPr>
      <w:r>
        <w:rPr>
          <w:rFonts w:hint="eastAsia"/>
          <w:sz w:val="21"/>
          <w:szCs w:val="21"/>
        </w:rPr>
        <w:t>（十三）、2025年3月13日，我公司公告了《博时恒盈稳健一年持有期混合型证券投资基金更新招募说明书》、《博时基金管理有限公司关于博时恒盈稳健一年持有期混合型证券投资基金的基金经理变更的公告》；</w:t>
      </w:r>
    </w:p>
    <w:p w14:paraId="7120986A">
      <w:pPr>
        <w:pStyle w:val="7"/>
        <w:spacing w:before="0" w:beforeAutospacing="0" w:after="0" w:afterAutospacing="0" w:line="360" w:lineRule="auto"/>
        <w:ind w:firstLine="420"/>
        <w:rPr>
          <w:sz w:val="21"/>
          <w:szCs w:val="21"/>
        </w:rPr>
      </w:pPr>
      <w:r>
        <w:rPr>
          <w:rFonts w:hint="eastAsia"/>
          <w:sz w:val="21"/>
          <w:szCs w:val="21"/>
        </w:rPr>
        <w:t>（十四）、2025年1月22日，我公司公告了《博时恒盈稳健一年持有期混合型证券投资基金2024年第4季度报告》；</w:t>
      </w:r>
    </w:p>
    <w:p w14:paraId="6655B4A8">
      <w:pPr>
        <w:pStyle w:val="7"/>
        <w:spacing w:before="0" w:beforeAutospacing="0" w:after="0" w:afterAutospacing="0" w:line="360" w:lineRule="auto"/>
        <w:ind w:firstLine="420"/>
        <w:rPr>
          <w:sz w:val="21"/>
          <w:szCs w:val="21"/>
        </w:rPr>
      </w:pPr>
      <w:r>
        <w:rPr>
          <w:rFonts w:hint="eastAsia"/>
          <w:sz w:val="21"/>
          <w:szCs w:val="21"/>
        </w:rPr>
        <w:t>（十五）、2024年12月7日，我公司公告了《博时基金管理有限公司关于高级管理人员变更的公告》；</w:t>
      </w:r>
    </w:p>
    <w:p w14:paraId="41C3510F">
      <w:pPr>
        <w:pStyle w:val="7"/>
        <w:spacing w:before="0" w:beforeAutospacing="0" w:after="0" w:afterAutospacing="0" w:line="360" w:lineRule="auto"/>
        <w:ind w:firstLine="420"/>
        <w:rPr>
          <w:sz w:val="21"/>
          <w:szCs w:val="21"/>
        </w:rPr>
      </w:pPr>
      <w:r>
        <w:rPr>
          <w:rFonts w:hint="eastAsia"/>
          <w:sz w:val="21"/>
          <w:szCs w:val="21"/>
        </w:rPr>
        <w:t>（十六）、2024年11月18日，我公司公告了《博时基金管理有限公司关于终止乾道基金销售有限公司办理旗下基金销售业务的公告》；</w:t>
      </w:r>
    </w:p>
    <w:p w14:paraId="54BBEF77">
      <w:pPr>
        <w:pStyle w:val="7"/>
        <w:spacing w:before="0" w:beforeAutospacing="0" w:after="0" w:afterAutospacing="0" w:line="360" w:lineRule="auto"/>
        <w:ind w:firstLine="420"/>
        <w:rPr>
          <w:sz w:val="21"/>
          <w:szCs w:val="21"/>
        </w:rPr>
      </w:pPr>
      <w:r>
        <w:rPr>
          <w:rFonts w:hint="eastAsia"/>
          <w:sz w:val="21"/>
          <w:szCs w:val="21"/>
        </w:rPr>
        <w:t>（十七）、2024年11月6日，我公司公告了《博时基金管理有限公司关于旗下基金持有的长期停牌股票调整估值方法的公告-20241106》；</w:t>
      </w:r>
    </w:p>
    <w:p w14:paraId="4F8696BF">
      <w:pPr>
        <w:pStyle w:val="7"/>
        <w:spacing w:before="0" w:beforeAutospacing="0" w:after="0" w:afterAutospacing="0" w:line="360" w:lineRule="auto"/>
        <w:ind w:firstLine="420"/>
        <w:rPr>
          <w:sz w:val="21"/>
          <w:szCs w:val="21"/>
        </w:rPr>
      </w:pPr>
      <w:r>
        <w:rPr>
          <w:rFonts w:hint="eastAsia"/>
          <w:sz w:val="21"/>
          <w:szCs w:val="21"/>
        </w:rPr>
        <w:t>（十八）、2024年10月25日，我公司公告了《博时恒盈稳健一年持有期混合型证券投资基金2024年第3季度报告》；</w:t>
      </w:r>
    </w:p>
    <w:p w14:paraId="44B149A1">
      <w:pPr>
        <w:pStyle w:val="7"/>
        <w:spacing w:before="0" w:beforeAutospacing="0" w:after="0" w:afterAutospacing="0" w:line="360" w:lineRule="auto"/>
        <w:ind w:firstLine="420"/>
        <w:rPr>
          <w:sz w:val="21"/>
          <w:szCs w:val="21"/>
        </w:rPr>
      </w:pPr>
      <w:r>
        <w:rPr>
          <w:rFonts w:hint="eastAsia"/>
          <w:sz w:val="21"/>
          <w:szCs w:val="21"/>
        </w:rPr>
        <w:t>（十九）、2024年9月30日，我公司公告了《博时恒盈稳健一年持有期混合型证券投资基金更新招募说明书》；</w:t>
      </w:r>
    </w:p>
    <w:p w14:paraId="7E66D113">
      <w:pPr>
        <w:pStyle w:val="7"/>
        <w:spacing w:before="0" w:beforeAutospacing="0" w:after="0" w:afterAutospacing="0" w:line="360" w:lineRule="auto"/>
        <w:ind w:firstLine="420"/>
        <w:rPr>
          <w:sz w:val="21"/>
          <w:szCs w:val="21"/>
        </w:rPr>
      </w:pPr>
      <w:r>
        <w:rPr>
          <w:rFonts w:hint="eastAsia"/>
          <w:sz w:val="21"/>
          <w:szCs w:val="21"/>
        </w:rPr>
        <w:t>（二十）、2024年9月25日，我公司公告了《博时恒盈稳健一年持有期混合型证券投资基金（博时恒盈稳健一年持有期混合C）基金产品资料概要更新》、《博时恒盈稳健一年持有期混合型证券投资基金（博时恒盈稳健一年持有期混合A）基金产品资料概要更新》、《博时基金管理有限公司关于旗下基金持有的长期停牌股票调整估值方法的公告-20240925》；</w:t>
      </w:r>
    </w:p>
    <w:p w14:paraId="01FEA58F">
      <w:pPr>
        <w:pStyle w:val="7"/>
        <w:spacing w:before="0" w:beforeAutospacing="0" w:after="0" w:afterAutospacing="0" w:line="360" w:lineRule="auto"/>
        <w:ind w:firstLine="420"/>
        <w:rPr>
          <w:sz w:val="21"/>
          <w:szCs w:val="21"/>
        </w:rPr>
      </w:pPr>
      <w:r>
        <w:rPr>
          <w:rFonts w:hint="eastAsia"/>
          <w:sz w:val="21"/>
          <w:szCs w:val="21"/>
        </w:rPr>
        <w:t>（二十一）、2024年9月24日，我公司公告了《博时恒盈稳健一年持有期混合型证券投资基金更新招募说明书》、《博时基金管理有限公司关于博时恒盈稳健一年持有期混合型证券投资基金的基金经理变更的公告》；</w:t>
      </w:r>
    </w:p>
    <w:p w14:paraId="7727DC95">
      <w:pPr>
        <w:pStyle w:val="7"/>
        <w:spacing w:before="0" w:beforeAutospacing="0" w:after="0" w:afterAutospacing="0" w:line="360" w:lineRule="auto"/>
        <w:ind w:firstLine="420"/>
        <w:rPr>
          <w:sz w:val="21"/>
          <w:szCs w:val="21"/>
        </w:rPr>
      </w:pPr>
      <w:r>
        <w:rPr>
          <w:rFonts w:hint="eastAsia"/>
          <w:sz w:val="21"/>
          <w:szCs w:val="21"/>
        </w:rPr>
        <w:t>（二十二）、2024年9月21日，我公司公告了《博时基金管理有限公司关于董事会成</w:t>
      </w:r>
      <w:bookmarkStart w:id="215" w:name="chapter_level1_25_3499_section_1_end"/>
      <w:bookmarkEnd w:id="215"/>
      <w:r>
        <w:rPr>
          <w:rFonts w:hint="eastAsia"/>
          <w:sz w:val="21"/>
          <w:szCs w:val="21"/>
        </w:rPr>
        <w:t>员变更的公告》。</w:t>
      </w:r>
      <w:bookmarkStart w:id="216" w:name="field_0_bsrevealinfo_1_end"/>
      <w:bookmarkEnd w:id="216"/>
      <w:r>
        <w:rPr>
          <w:rFonts w:hint="eastAsia"/>
          <w:sz w:val="21"/>
          <w:szCs w:val="21"/>
        </w:rPr>
        <w:t xml:space="preserve">  </w:t>
      </w:r>
    </w:p>
    <w:p w14:paraId="606A6050">
      <w:pPr>
        <w:widowControl/>
        <w:jc w:val="left"/>
        <w:rPr>
          <w:rFonts w:ascii="宋体" w:hAnsi="宋体" w:eastAsia="宋体"/>
        </w:rPr>
      </w:pPr>
      <w:r>
        <w:rPr>
          <w:rFonts w:ascii="宋体" w:hAnsi="宋体" w:eastAsia="宋体"/>
        </w:rPr>
        <w:br w:type="page"/>
      </w:r>
    </w:p>
    <w:p w14:paraId="05929EB5">
      <w:pPr>
        <w:pStyle w:val="2"/>
        <w:jc w:val="center"/>
        <w:rPr>
          <w:rFonts w:ascii="宋体" w:hAnsi="宋体" w:eastAsia="宋体"/>
          <w:sz w:val="30"/>
        </w:rPr>
      </w:pPr>
      <w:bookmarkStart w:id="217" w:name="_Toc209538290"/>
      <w:bookmarkStart w:id="218" w:name="chapter_level1_26_77"/>
      <w:r>
        <w:rPr>
          <w:rFonts w:hint="eastAsia" w:ascii="宋体" w:hAnsi="宋体" w:eastAsia="宋体"/>
          <w:sz w:val="30"/>
        </w:rPr>
        <w:t>第二十三部分  招募说明书的存放及查阅方式</w:t>
      </w:r>
      <w:bookmarkEnd w:id="217"/>
      <w:bookmarkEnd w:id="218"/>
    </w:p>
    <w:p w14:paraId="5219ABB2">
      <w:pPr>
        <w:pStyle w:val="7"/>
        <w:spacing w:before="0" w:beforeAutospacing="0" w:after="0" w:afterAutospacing="0" w:line="360" w:lineRule="auto"/>
        <w:ind w:firstLine="420"/>
        <w:rPr>
          <w:sz w:val="21"/>
          <w:szCs w:val="21"/>
        </w:rPr>
      </w:pPr>
      <w:bookmarkStart w:id="219" w:name="chapter_level1_26_77_section_1"/>
      <w:bookmarkEnd w:id="219"/>
      <w:r>
        <w:rPr>
          <w:rFonts w:hint="eastAsia"/>
          <w:sz w:val="21"/>
          <w:szCs w:val="21"/>
        </w:rPr>
        <w:t xml:space="preserve">招募说明书公布后，应当分别置备于基金管理人、基金托管人的住所，投资人可在办公时间查阅；投资人在支付工本费后，可在合理时间内取得上述文件复制件或复印件。对投资人按此种方式所获得的文件及其复印件，基金管理人保证文本的内容与所公告的内容完全一致。  </w:t>
      </w:r>
    </w:p>
    <w:p w14:paraId="4CE4E1CA">
      <w:pPr>
        <w:pStyle w:val="7"/>
        <w:spacing w:before="0" w:beforeAutospacing="0" w:after="0" w:afterAutospacing="0" w:line="360" w:lineRule="auto"/>
        <w:ind w:firstLine="420"/>
        <w:rPr>
          <w:sz w:val="21"/>
          <w:szCs w:val="21"/>
        </w:rPr>
      </w:pPr>
      <w:bookmarkStart w:id="220" w:name="chapter_level1_26_77_section_1_end"/>
      <w:bookmarkEnd w:id="220"/>
      <w:r>
        <w:rPr>
          <w:rFonts w:hint="eastAsia"/>
          <w:sz w:val="21"/>
          <w:szCs w:val="21"/>
        </w:rPr>
        <w:t xml:space="preserve">投资人还可以直接登录基金管理人的网站（www.bosera.com）查阅和下载招募说明书。 </w:t>
      </w:r>
    </w:p>
    <w:p w14:paraId="76A8A118">
      <w:pPr>
        <w:widowControl/>
        <w:jc w:val="left"/>
        <w:rPr>
          <w:rFonts w:ascii="宋体" w:hAnsi="宋体" w:eastAsia="宋体"/>
        </w:rPr>
      </w:pPr>
      <w:r>
        <w:rPr>
          <w:rFonts w:ascii="宋体" w:hAnsi="宋体" w:eastAsia="宋体"/>
        </w:rPr>
        <w:br w:type="page"/>
      </w:r>
    </w:p>
    <w:p w14:paraId="6C492D72">
      <w:pPr>
        <w:pStyle w:val="2"/>
        <w:jc w:val="center"/>
        <w:rPr>
          <w:rFonts w:ascii="宋体" w:hAnsi="宋体" w:eastAsia="宋体"/>
          <w:sz w:val="30"/>
        </w:rPr>
      </w:pPr>
      <w:bookmarkStart w:id="221" w:name="chapter_level1_27_332"/>
      <w:bookmarkStart w:id="222" w:name="_Toc209538291"/>
      <w:r>
        <w:rPr>
          <w:rFonts w:hint="eastAsia" w:ascii="宋体" w:hAnsi="宋体" w:eastAsia="宋体"/>
          <w:sz w:val="30"/>
        </w:rPr>
        <w:t>第二十四部分  备查文件</w:t>
      </w:r>
      <w:bookmarkEnd w:id="221"/>
      <w:bookmarkEnd w:id="222"/>
    </w:p>
    <w:p w14:paraId="3888B1E0">
      <w:pPr>
        <w:pStyle w:val="7"/>
        <w:spacing w:before="0" w:beforeAutospacing="0" w:after="0" w:afterAutospacing="0" w:line="360" w:lineRule="auto"/>
        <w:ind w:firstLine="420"/>
        <w:rPr>
          <w:sz w:val="21"/>
          <w:szCs w:val="21"/>
        </w:rPr>
      </w:pPr>
      <w:bookmarkStart w:id="223" w:name="chapter_level1_27_332_section_1"/>
      <w:bookmarkEnd w:id="223"/>
      <w:r>
        <w:rPr>
          <w:rFonts w:hint="eastAsia"/>
          <w:sz w:val="21"/>
          <w:szCs w:val="21"/>
        </w:rPr>
        <w:t xml:space="preserve">以下备查文件存放在基金管理人的办公场所，在办公时间可供免费查阅。  </w:t>
      </w:r>
    </w:p>
    <w:p w14:paraId="5919614F">
      <w:pPr>
        <w:pStyle w:val="7"/>
        <w:spacing w:before="0" w:beforeAutospacing="0" w:after="0" w:afterAutospacing="0" w:line="360" w:lineRule="auto"/>
        <w:ind w:firstLine="420"/>
        <w:rPr>
          <w:sz w:val="21"/>
          <w:szCs w:val="21"/>
        </w:rPr>
      </w:pPr>
      <w:r>
        <w:rPr>
          <w:rFonts w:hint="eastAsia"/>
          <w:sz w:val="21"/>
          <w:szCs w:val="21"/>
        </w:rPr>
        <w:t>（一）中国证监会准予</w:t>
      </w:r>
      <w:bookmarkStart w:id="224" w:name="field_0_productfullname_12"/>
      <w:r>
        <w:rPr>
          <w:rFonts w:hint="eastAsia"/>
          <w:sz w:val="21"/>
          <w:szCs w:val="21"/>
        </w:rPr>
        <w:t>博时恒盈稳健一年持有期混合型证券投资基金</w:t>
      </w:r>
      <w:bookmarkEnd w:id="224"/>
      <w:r>
        <w:rPr>
          <w:rFonts w:hint="eastAsia"/>
          <w:sz w:val="21"/>
          <w:szCs w:val="21"/>
        </w:rPr>
        <w:t xml:space="preserve">注册的文件 </w:t>
      </w:r>
    </w:p>
    <w:p w14:paraId="58693F65">
      <w:pPr>
        <w:pStyle w:val="7"/>
        <w:spacing w:before="0" w:beforeAutospacing="0" w:after="0" w:afterAutospacing="0" w:line="360" w:lineRule="auto"/>
        <w:ind w:firstLine="420"/>
        <w:rPr>
          <w:sz w:val="21"/>
          <w:szCs w:val="21"/>
        </w:rPr>
      </w:pPr>
      <w:r>
        <w:rPr>
          <w:rFonts w:hint="eastAsia"/>
          <w:sz w:val="21"/>
          <w:szCs w:val="21"/>
        </w:rPr>
        <w:t>（二）《</w:t>
      </w:r>
      <w:bookmarkStart w:id="225" w:name="field_0_productfullname_13"/>
      <w:r>
        <w:rPr>
          <w:rFonts w:hint="eastAsia"/>
          <w:sz w:val="21"/>
          <w:szCs w:val="21"/>
        </w:rPr>
        <w:t>博时恒盈稳健一年持有期混合型证券投资基金</w:t>
      </w:r>
      <w:bookmarkEnd w:id="225"/>
      <w:r>
        <w:rPr>
          <w:rFonts w:hint="eastAsia"/>
          <w:sz w:val="21"/>
          <w:szCs w:val="21"/>
        </w:rPr>
        <w:t xml:space="preserve">基金合同》 </w:t>
      </w:r>
    </w:p>
    <w:p w14:paraId="04683F53">
      <w:pPr>
        <w:pStyle w:val="7"/>
        <w:spacing w:before="0" w:beforeAutospacing="0" w:after="0" w:afterAutospacing="0" w:line="360" w:lineRule="auto"/>
        <w:ind w:firstLine="420"/>
        <w:rPr>
          <w:sz w:val="21"/>
          <w:szCs w:val="21"/>
        </w:rPr>
      </w:pPr>
      <w:r>
        <w:rPr>
          <w:rFonts w:hint="eastAsia"/>
          <w:sz w:val="21"/>
          <w:szCs w:val="21"/>
        </w:rPr>
        <w:t>（三）《</w:t>
      </w:r>
      <w:bookmarkStart w:id="226" w:name="field_0_productfullname_14"/>
      <w:r>
        <w:rPr>
          <w:rFonts w:hint="eastAsia"/>
          <w:sz w:val="21"/>
          <w:szCs w:val="21"/>
        </w:rPr>
        <w:t>博时恒盈稳健一年持有期混合型证券投资基金</w:t>
      </w:r>
      <w:bookmarkEnd w:id="226"/>
      <w:r>
        <w:rPr>
          <w:rFonts w:hint="eastAsia"/>
          <w:sz w:val="21"/>
          <w:szCs w:val="21"/>
        </w:rPr>
        <w:t xml:space="preserve">托管协议》 </w:t>
      </w:r>
    </w:p>
    <w:p w14:paraId="2DFF1D11">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18C613C2">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021632C">
      <w:pPr>
        <w:pStyle w:val="7"/>
        <w:spacing w:before="0" w:beforeAutospacing="0" w:after="0" w:afterAutospacing="0" w:line="360" w:lineRule="auto"/>
        <w:ind w:firstLine="420"/>
        <w:rPr>
          <w:sz w:val="21"/>
          <w:szCs w:val="21"/>
        </w:rPr>
      </w:pPr>
      <w:r>
        <w:rPr>
          <w:rFonts w:hint="eastAsia"/>
          <w:sz w:val="21"/>
          <w:szCs w:val="21"/>
        </w:rPr>
        <w:t>（六）关于申请募集注册</w:t>
      </w:r>
      <w:bookmarkStart w:id="227" w:name="field_0_productfullname_15"/>
      <w:r>
        <w:rPr>
          <w:rFonts w:hint="eastAsia"/>
          <w:sz w:val="21"/>
          <w:szCs w:val="21"/>
        </w:rPr>
        <w:t>博时恒盈稳健一年持有期混合型证券投资基金</w:t>
      </w:r>
      <w:bookmarkEnd w:id="227"/>
      <w:r>
        <w:rPr>
          <w:rFonts w:hint="eastAsia"/>
          <w:sz w:val="21"/>
          <w:szCs w:val="21"/>
        </w:rPr>
        <w:t xml:space="preserve">之法律意见书 </w:t>
      </w:r>
    </w:p>
    <w:p w14:paraId="1028BE47">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71BF29A">
      <w:pPr>
        <w:pStyle w:val="7"/>
        <w:spacing w:before="0" w:beforeAutospacing="0" w:after="0" w:afterAutospacing="0" w:line="360" w:lineRule="auto"/>
        <w:ind w:firstLine="420"/>
        <w:rPr>
          <w:sz w:val="21"/>
          <w:szCs w:val="21"/>
        </w:rPr>
      </w:pPr>
      <w:bookmarkStart w:id="228" w:name="chapter_level1_27_332_section_1_end"/>
      <w:bookmarkEnd w:id="228"/>
      <w:r>
        <w:rPr>
          <w:rFonts w:hint="eastAsia"/>
          <w:sz w:val="21"/>
          <w:szCs w:val="21"/>
        </w:rPr>
        <w:t xml:space="preserve">查阅方式：投资者可在营业时间免费查阅，也可按工本费购买复印件。 </w:t>
      </w:r>
    </w:p>
    <w:p w14:paraId="500BB939">
      <w:pPr>
        <w:pStyle w:val="7"/>
        <w:spacing w:before="0" w:beforeAutospacing="0" w:after="0" w:afterAutospacing="0" w:line="360" w:lineRule="auto"/>
        <w:ind w:firstLine="420"/>
        <w:rPr>
          <w:sz w:val="21"/>
          <w:szCs w:val="21"/>
        </w:rPr>
      </w:pPr>
      <w:bookmarkStart w:id="229" w:name="chapter_level1_27_332_section_2"/>
      <w:bookmarkEnd w:id="229"/>
    </w:p>
    <w:p w14:paraId="1D17B5E3">
      <w:pPr>
        <w:pStyle w:val="7"/>
        <w:spacing w:before="0" w:beforeAutospacing="0" w:after="0" w:afterAutospacing="0" w:line="360" w:lineRule="auto"/>
        <w:ind w:firstLine="420"/>
        <w:rPr>
          <w:sz w:val="21"/>
          <w:szCs w:val="21"/>
        </w:rPr>
      </w:pPr>
    </w:p>
    <w:p w14:paraId="4190010D">
      <w:pPr>
        <w:pStyle w:val="7"/>
        <w:spacing w:before="0" w:beforeAutospacing="0" w:after="0" w:afterAutospacing="0" w:line="360" w:lineRule="auto"/>
        <w:ind w:firstLine="420"/>
        <w:rPr>
          <w:sz w:val="21"/>
          <w:szCs w:val="21"/>
        </w:rPr>
      </w:pPr>
    </w:p>
    <w:p w14:paraId="0D7BBEC6">
      <w:pPr>
        <w:pStyle w:val="7"/>
        <w:spacing w:before="0" w:beforeAutospacing="0" w:after="0" w:afterAutospacing="0" w:line="360" w:lineRule="auto"/>
        <w:ind w:firstLine="420"/>
        <w:rPr>
          <w:sz w:val="21"/>
          <w:szCs w:val="21"/>
        </w:rPr>
      </w:pPr>
    </w:p>
    <w:p w14:paraId="58C60F0F">
      <w:pPr>
        <w:pStyle w:val="7"/>
        <w:spacing w:before="0" w:beforeAutospacing="0" w:after="0" w:afterAutospacing="0" w:line="360" w:lineRule="auto"/>
        <w:ind w:firstLine="420"/>
        <w:jc w:val="right"/>
        <w:rPr>
          <w:sz w:val="21"/>
          <w:szCs w:val="21"/>
        </w:rPr>
      </w:pPr>
      <w:bookmarkStart w:id="230" w:name="field_0_managerorgfullname_7"/>
      <w:r>
        <w:rPr>
          <w:rFonts w:hint="eastAsia"/>
          <w:sz w:val="21"/>
          <w:szCs w:val="21"/>
        </w:rPr>
        <w:t>博时基金管理有限公司</w:t>
      </w:r>
      <w:bookmarkEnd w:id="230"/>
      <w:r>
        <w:rPr>
          <w:rFonts w:hint="eastAsia"/>
          <w:sz w:val="21"/>
          <w:szCs w:val="21"/>
        </w:rPr>
        <w:t xml:space="preserve">  </w:t>
      </w:r>
    </w:p>
    <w:p w14:paraId="5B28F136">
      <w:pPr>
        <w:pStyle w:val="7"/>
        <w:spacing w:before="0" w:beforeAutospacing="0" w:after="0" w:afterAutospacing="0" w:line="360" w:lineRule="auto"/>
        <w:ind w:firstLine="420"/>
        <w:jc w:val="right"/>
        <w:rPr>
          <w:sz w:val="21"/>
          <w:szCs w:val="21"/>
        </w:rPr>
      </w:pPr>
      <w:bookmarkStart w:id="231" w:name="chapter_level1_27_332_section_2_end"/>
      <w:bookmarkEnd w:id="231"/>
      <w:bookmarkStart w:id="232" w:name="field_0_commitmenttime_1"/>
      <w:r>
        <w:rPr>
          <w:sz w:val="21"/>
          <w:szCs w:val="21"/>
        </w:rPr>
        <w:t>202</w:t>
      </w:r>
      <w:r>
        <w:rPr>
          <w:rFonts w:hint="eastAsia"/>
          <w:sz w:val="21"/>
          <w:szCs w:val="21"/>
          <w:lang w:val="en-US" w:eastAsia="zh-CN"/>
        </w:rPr>
        <w:t>6</w:t>
      </w:r>
      <w:r>
        <w:rPr>
          <w:sz w:val="21"/>
          <w:szCs w:val="21"/>
        </w:rPr>
        <w:t>年</w:t>
      </w:r>
      <w:r>
        <w:rPr>
          <w:rFonts w:hint="eastAsia"/>
          <w:sz w:val="21"/>
          <w:szCs w:val="21"/>
          <w:lang w:val="en-US" w:eastAsia="zh-CN"/>
        </w:rPr>
        <w:t>7</w:t>
      </w:r>
      <w:r>
        <w:rPr>
          <w:sz w:val="21"/>
          <w:szCs w:val="21"/>
        </w:rPr>
        <w:t>月</w:t>
      </w:r>
      <w:r>
        <w:rPr>
          <w:rFonts w:hint="eastAsia"/>
          <w:sz w:val="21"/>
          <w:szCs w:val="21"/>
          <w:lang w:val="en-US" w:eastAsia="zh-CN"/>
        </w:rPr>
        <w:t>24</w:t>
      </w:r>
      <w:r>
        <w:rPr>
          <w:sz w:val="21"/>
          <w:szCs w:val="21"/>
        </w:rPr>
        <w:t>日</w:t>
      </w:r>
      <w:bookmarkEnd w:id="232"/>
      <w:r>
        <w:rPr>
          <w:rFonts w:hint="eastAsia"/>
          <w:sz w:val="21"/>
          <w:szCs w:val="21"/>
        </w:rPr>
        <w:t xml:space="preserve">  </w:t>
      </w:r>
    </w:p>
    <w:p w14:paraId="0CCF87B2">
      <w:pPr>
        <w:rPr>
          <w:rFonts w:ascii="宋体" w:hAnsi="宋体" w:eastAsia="宋体"/>
        </w:rPr>
      </w:pPr>
      <w:bookmarkStart w:id="233" w:name="end"/>
      <w:bookmarkEnd w:id="233"/>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B65A5">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135</w:t>
    </w:r>
    <w:r>
      <w:fldChar w:fldCharType="end"/>
    </w:r>
    <w:r>
      <w:rPr>
        <w:rFonts w:hint="eastAsia"/>
      </w:rPr>
      <w:t>页 共</w:t>
    </w:r>
    <w:r>
      <w:fldChar w:fldCharType="begin"/>
    </w:r>
    <w:r>
      <w:instrText xml:space="preserve"> NumPages \* MERGEFORMAT </w:instrText>
    </w:r>
    <w:r>
      <w:fldChar w:fldCharType="separate"/>
    </w:r>
    <w:r>
      <w:t>135</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39F2A">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2B906465">
    <w:pPr>
      <w:pStyle w:val="5"/>
      <w:jc w:val="right"/>
    </w:pPr>
    <w:r>
      <w:rPr>
        <w:rFonts w:hint="eastAsia"/>
      </w:rPr>
      <w:t>博时恒盈稳健一年持有期混合型证券投资基金更新招募说明书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3359"/>
    <w:rsid w:val="0087057A"/>
    <w:rsid w:val="00AF3359"/>
    <w:rsid w:val="00FA42D2"/>
    <w:rsid w:val="2EAE7428"/>
    <w:rsid w:val="49A2606D"/>
    <w:rsid w:val="58653472"/>
    <w:rsid w:val="6BC27CDB"/>
    <w:rsid w:val="7AD452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134</Pages>
  <Words>15915</Words>
  <Characters>90719</Characters>
  <Lines>755</Lines>
  <Paragraphs>212</Paragraphs>
  <TotalTime>0</TotalTime>
  <ScaleCrop>false</ScaleCrop>
  <LinksUpToDate>false</LinksUpToDate>
  <CharactersWithSpaces>106422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2025-09-23T08:44:00Z</dcterms:created>
  <dc:creator>BSKMadminDev</dc:creator>
  <cp:lastModifiedBy>huangzw</cp:lastModifiedBy>
  <dcterms:modified xsi:type="dcterms:W3CDTF">2026-07-23T09:08:57Z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21DD553B366F4B95BD5D8E8450E7EC33_13</vt:lpwstr>
  </property>
</Properties>
</file>