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9BD8F5"/>
    <w:p w14:paraId="03215CA7">
      <w:pPr>
        <w:jc w:val="center"/>
        <w:rPr>
          <w:rFonts w:hint="eastAsia" w:ascii="宋体" w:hAnsi="宋体" w:eastAsia="宋体"/>
          <w:b/>
          <w:sz w:val="30"/>
        </w:rPr>
      </w:pPr>
      <w:r>
        <w:rPr>
          <w:rFonts w:hint="eastAsia" w:ascii="宋体" w:hAnsi="宋体" w:eastAsia="宋体"/>
          <w:b/>
          <w:sz w:val="30"/>
        </w:rPr>
        <w:t>博时富瑞纯债债券型证券投资基金</w:t>
      </w:r>
      <w:r>
        <w:rPr>
          <w:rFonts w:hint="eastAsia" w:ascii="宋体" w:hAnsi="宋体" w:eastAsia="宋体"/>
          <w:b/>
          <w:sz w:val="30"/>
          <w:lang w:val="en-US" w:eastAsia="zh-CN"/>
        </w:rPr>
        <w:t>调整</w:t>
      </w:r>
      <w:bookmarkStart w:id="0" w:name="_GoBack"/>
      <w:bookmarkEnd w:id="0"/>
      <w:r>
        <w:rPr>
          <w:rFonts w:hint="eastAsia" w:ascii="宋体" w:hAnsi="宋体" w:eastAsia="宋体"/>
          <w:b/>
          <w:sz w:val="30"/>
        </w:rPr>
        <w:t>大额申购、转换转入、定期定额投资业务公告</w:t>
      </w:r>
    </w:p>
    <w:p w14:paraId="42F9C898">
      <w:pPr>
        <w:jc w:val="center"/>
        <w:rPr>
          <w:rFonts w:ascii="宋体" w:hAnsi="宋体" w:eastAsia="宋体"/>
          <w:b/>
          <w:sz w:val="24"/>
        </w:rPr>
      </w:pPr>
      <w:r>
        <w:rPr>
          <w:rFonts w:hint="eastAsia" w:ascii="宋体" w:hAnsi="宋体" w:eastAsia="宋体"/>
          <w:b/>
          <w:sz w:val="24"/>
        </w:rPr>
        <w:t>公告送出日期：</w:t>
      </w:r>
      <w:r>
        <w:rPr>
          <w:rFonts w:ascii="宋体" w:hAnsi="宋体" w:eastAsia="宋体"/>
          <w:b/>
          <w:sz w:val="24"/>
        </w:rPr>
        <w:t>2026年6月11日</w:t>
      </w:r>
    </w:p>
    <w:p w14:paraId="3D2C6F16">
      <w:pPr>
        <w:jc w:val="center"/>
        <w:rPr>
          <w:rFonts w:ascii="宋体" w:hAnsi="宋体" w:eastAsia="宋体"/>
          <w:b/>
          <w:sz w:val="24"/>
        </w:rPr>
      </w:pPr>
    </w:p>
    <w:p w14:paraId="61772654">
      <w:pPr>
        <w:pStyle w:val="2"/>
        <w:rPr>
          <w:rFonts w:ascii="宋体" w:hAnsi="宋体" w:eastAsia="宋体"/>
          <w:sz w:val="24"/>
        </w:rPr>
      </w:pPr>
      <w:r>
        <w:rPr>
          <w:rFonts w:ascii="宋体" w:hAnsi="宋体" w:eastAsia="宋体"/>
          <w:sz w:val="24"/>
        </w:rPr>
        <w:t>1、公告基本信息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 w14:paraId="4C3C4D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260" w:type="dxa"/>
            <w:gridSpan w:val="2"/>
            <w:vAlign w:val="center"/>
          </w:tcPr>
          <w:p w14:paraId="1690089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基金名称</w:t>
            </w:r>
          </w:p>
        </w:tc>
        <w:tc>
          <w:tcPr>
            <w:tcW w:w="4262" w:type="dxa"/>
            <w:gridSpan w:val="2"/>
            <w:vAlign w:val="center"/>
          </w:tcPr>
          <w:p w14:paraId="283C6C31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博时富瑞纯债债券型证券投资基金</w:t>
            </w:r>
          </w:p>
        </w:tc>
      </w:tr>
      <w:tr w14:paraId="73C388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396A7A2A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基金简称</w:t>
            </w:r>
          </w:p>
        </w:tc>
        <w:tc>
          <w:tcPr>
            <w:tcW w:w="4262" w:type="dxa"/>
            <w:gridSpan w:val="2"/>
            <w:vAlign w:val="center"/>
          </w:tcPr>
          <w:p w14:paraId="445DC722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博时富瑞纯债债券</w:t>
            </w:r>
          </w:p>
        </w:tc>
      </w:tr>
      <w:tr w14:paraId="4892EC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4AE7DB0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基金主代码</w:t>
            </w:r>
          </w:p>
        </w:tc>
        <w:tc>
          <w:tcPr>
            <w:tcW w:w="4262" w:type="dxa"/>
            <w:gridSpan w:val="2"/>
            <w:vAlign w:val="center"/>
          </w:tcPr>
          <w:p w14:paraId="0B50F410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004200</w:t>
            </w:r>
          </w:p>
        </w:tc>
      </w:tr>
      <w:tr w14:paraId="154657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2B2013EA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基金管理人名称</w:t>
            </w:r>
          </w:p>
        </w:tc>
        <w:tc>
          <w:tcPr>
            <w:tcW w:w="4262" w:type="dxa"/>
            <w:gridSpan w:val="2"/>
            <w:vAlign w:val="center"/>
          </w:tcPr>
          <w:p w14:paraId="0CAA3879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博时基金管理有限公司</w:t>
            </w:r>
          </w:p>
        </w:tc>
      </w:tr>
      <w:tr w14:paraId="135E38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5EB425D1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公告依据</w:t>
            </w:r>
          </w:p>
        </w:tc>
        <w:tc>
          <w:tcPr>
            <w:tcW w:w="4262" w:type="dxa"/>
            <w:gridSpan w:val="2"/>
            <w:vAlign w:val="center"/>
          </w:tcPr>
          <w:p w14:paraId="66CA149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根据有关法律法规及《博时富瑞纯债债券型证券投资基金基金合同》、《博时富瑞纯债债券型证券投资基金招募说明书》等的规定</w:t>
            </w:r>
          </w:p>
        </w:tc>
      </w:tr>
      <w:tr w14:paraId="2A79F8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 w14:paraId="142BF3B7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暂停相关业务的起始日、金额及原因说明</w:t>
            </w:r>
          </w:p>
        </w:tc>
        <w:tc>
          <w:tcPr>
            <w:tcW w:w="2130" w:type="dxa"/>
            <w:vAlign w:val="center"/>
          </w:tcPr>
          <w:p w14:paraId="500C1466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暂停大额申购起始日</w:t>
            </w:r>
          </w:p>
        </w:tc>
        <w:tc>
          <w:tcPr>
            <w:tcW w:w="4262" w:type="dxa"/>
            <w:gridSpan w:val="2"/>
            <w:vAlign w:val="center"/>
          </w:tcPr>
          <w:p w14:paraId="24027B81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2026年6月11日</w:t>
            </w:r>
          </w:p>
        </w:tc>
      </w:tr>
      <w:tr w14:paraId="541255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455FC4B3"/>
        </w:tc>
        <w:tc>
          <w:tcPr>
            <w:tcW w:w="2130" w:type="dxa"/>
            <w:vAlign w:val="center"/>
          </w:tcPr>
          <w:p w14:paraId="0C2186AA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暂停大额转换转入起始日</w:t>
            </w:r>
          </w:p>
        </w:tc>
        <w:tc>
          <w:tcPr>
            <w:tcW w:w="4262" w:type="dxa"/>
            <w:gridSpan w:val="2"/>
            <w:vAlign w:val="center"/>
          </w:tcPr>
          <w:p w14:paraId="59EE8012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2026年6月11日</w:t>
            </w:r>
          </w:p>
        </w:tc>
      </w:tr>
      <w:tr w14:paraId="404AB2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6493DBDB"/>
        </w:tc>
        <w:tc>
          <w:tcPr>
            <w:tcW w:w="2130" w:type="dxa"/>
            <w:vAlign w:val="center"/>
          </w:tcPr>
          <w:p w14:paraId="41A4645F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暂停大额定期定额投资起始日</w:t>
            </w:r>
          </w:p>
        </w:tc>
        <w:tc>
          <w:tcPr>
            <w:tcW w:w="4262" w:type="dxa"/>
            <w:gridSpan w:val="2"/>
            <w:vAlign w:val="center"/>
          </w:tcPr>
          <w:p w14:paraId="6C5DE4ED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2026年6月11日</w:t>
            </w:r>
          </w:p>
        </w:tc>
      </w:tr>
      <w:tr w14:paraId="16BBB1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7A8AD0E2"/>
        </w:tc>
        <w:tc>
          <w:tcPr>
            <w:tcW w:w="2130" w:type="dxa"/>
            <w:vAlign w:val="center"/>
          </w:tcPr>
          <w:p w14:paraId="39F6084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限制申购金额（单位：元）</w:t>
            </w:r>
          </w:p>
        </w:tc>
        <w:tc>
          <w:tcPr>
            <w:tcW w:w="4262" w:type="dxa"/>
            <w:gridSpan w:val="2"/>
            <w:vAlign w:val="center"/>
          </w:tcPr>
          <w:p w14:paraId="4505CB39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5,000,000.00</w:t>
            </w:r>
          </w:p>
        </w:tc>
      </w:tr>
      <w:tr w14:paraId="58C118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74DD7F75"/>
        </w:tc>
        <w:tc>
          <w:tcPr>
            <w:tcW w:w="2130" w:type="dxa"/>
            <w:vAlign w:val="center"/>
          </w:tcPr>
          <w:p w14:paraId="5D3DDFA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限制转换转入金额（单位：元）</w:t>
            </w:r>
          </w:p>
        </w:tc>
        <w:tc>
          <w:tcPr>
            <w:tcW w:w="4262" w:type="dxa"/>
            <w:gridSpan w:val="2"/>
            <w:vAlign w:val="center"/>
          </w:tcPr>
          <w:p w14:paraId="77B43DDD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5,000,000.00</w:t>
            </w:r>
          </w:p>
        </w:tc>
      </w:tr>
      <w:tr w14:paraId="52DB91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5D5B1576"/>
        </w:tc>
        <w:tc>
          <w:tcPr>
            <w:tcW w:w="2130" w:type="dxa"/>
            <w:vAlign w:val="center"/>
          </w:tcPr>
          <w:p w14:paraId="50100BEC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限制定期定额投资金额（单位：元）</w:t>
            </w:r>
          </w:p>
        </w:tc>
        <w:tc>
          <w:tcPr>
            <w:tcW w:w="4262" w:type="dxa"/>
            <w:gridSpan w:val="2"/>
            <w:vAlign w:val="center"/>
          </w:tcPr>
          <w:p w14:paraId="17BAD872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5,000,000.00</w:t>
            </w:r>
          </w:p>
        </w:tc>
      </w:tr>
      <w:tr w14:paraId="3F9659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734D811E"/>
        </w:tc>
        <w:tc>
          <w:tcPr>
            <w:tcW w:w="2130" w:type="dxa"/>
            <w:vAlign w:val="center"/>
          </w:tcPr>
          <w:p w14:paraId="4318666F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暂停大额申购、转换转入、定期定额投资的原因说明</w:t>
            </w:r>
          </w:p>
        </w:tc>
        <w:tc>
          <w:tcPr>
            <w:tcW w:w="4262" w:type="dxa"/>
            <w:gridSpan w:val="2"/>
            <w:vAlign w:val="center"/>
          </w:tcPr>
          <w:p w14:paraId="47332040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为保护基金份额持有人利益</w:t>
            </w:r>
          </w:p>
        </w:tc>
      </w:tr>
      <w:tr w14:paraId="646762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4EA1DD72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下属分级基金的基金简称</w:t>
            </w:r>
          </w:p>
        </w:tc>
        <w:tc>
          <w:tcPr>
            <w:tcW w:w="2131" w:type="dxa"/>
            <w:vAlign w:val="center"/>
          </w:tcPr>
          <w:p w14:paraId="0D3104D6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博时富瑞纯债债券</w:t>
            </w:r>
            <w:r>
              <w:rPr>
                <w:rFonts w:ascii="宋体" w:hAnsi="宋体" w:eastAsia="宋体"/>
                <w:sz w:val="24"/>
              </w:rPr>
              <w:t>A</w:t>
            </w:r>
          </w:p>
        </w:tc>
        <w:tc>
          <w:tcPr>
            <w:tcW w:w="2131" w:type="dxa"/>
            <w:vAlign w:val="center"/>
          </w:tcPr>
          <w:p w14:paraId="36577301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博时富瑞纯债债券</w:t>
            </w:r>
            <w:r>
              <w:rPr>
                <w:rFonts w:ascii="宋体" w:hAnsi="宋体" w:eastAsia="宋体"/>
                <w:sz w:val="24"/>
              </w:rPr>
              <w:t>C</w:t>
            </w:r>
          </w:p>
        </w:tc>
      </w:tr>
      <w:tr w14:paraId="684CB9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0C3D8BB4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下属分级基金的交易代码</w:t>
            </w:r>
          </w:p>
        </w:tc>
        <w:tc>
          <w:tcPr>
            <w:tcW w:w="2131" w:type="dxa"/>
            <w:vAlign w:val="center"/>
          </w:tcPr>
          <w:p w14:paraId="693E0DAC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004200</w:t>
            </w:r>
          </w:p>
        </w:tc>
        <w:tc>
          <w:tcPr>
            <w:tcW w:w="2131" w:type="dxa"/>
            <w:vAlign w:val="center"/>
          </w:tcPr>
          <w:p w14:paraId="46D4A124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008106</w:t>
            </w:r>
          </w:p>
        </w:tc>
      </w:tr>
      <w:tr w14:paraId="644041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00242E8D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该分级基金是否暂停大额申购、转换转入、定期定额投资</w:t>
            </w:r>
          </w:p>
        </w:tc>
        <w:tc>
          <w:tcPr>
            <w:tcW w:w="2131" w:type="dxa"/>
            <w:vAlign w:val="center"/>
          </w:tcPr>
          <w:p w14:paraId="6211D53F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是</w:t>
            </w:r>
          </w:p>
        </w:tc>
        <w:tc>
          <w:tcPr>
            <w:tcW w:w="2131" w:type="dxa"/>
            <w:vAlign w:val="center"/>
          </w:tcPr>
          <w:p w14:paraId="54DC56C2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是</w:t>
            </w:r>
          </w:p>
        </w:tc>
      </w:tr>
    </w:tbl>
    <w:p w14:paraId="66DA6FDC"/>
    <w:p w14:paraId="6B94E3D7">
      <w:pPr>
        <w:pStyle w:val="2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2、其他需要提示的事项</w:t>
      </w:r>
    </w:p>
    <w:p w14:paraId="56059676">
      <w:pPr>
        <w:pStyle w:val="3"/>
        <w:spacing w:before="0" w:beforeAutospacing="0" w:after="0" w:afterAutospacing="0" w:line="360" w:lineRule="auto"/>
        <w:ind w:firstLine="420"/>
      </w:pPr>
      <w:r>
        <w:rPr>
          <w:rFonts w:hint="eastAsia"/>
        </w:rPr>
        <w:t>（1）2026年6月11日至2026年6月16日，本基金单日每个基金账户的申购、转换转入、定期定额投资累计金额应不超过500万元（本基金A,C两类基金份额申请金额予以合计）。如单日每个基金账户的申购、转换转入、定期定额投资累计金额超过500万元，本基金管理人有权拒绝。</w:t>
      </w:r>
      <w:r>
        <w:rPr>
          <w:rStyle w:val="7"/>
          <w:rFonts w:hint="eastAsia"/>
        </w:rPr>
        <w:t>如投资者于2026年6月10日15点之后申购、转换转入或定期定额投资上述基金，将适用上述限制安排，敬请投资者注意。</w:t>
      </w:r>
    </w:p>
    <w:p w14:paraId="50499004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2）2026年6月17日起，恢复本基金A类份额办理大额申购、转换转入、定期定额投资业务。本基金C类份额单日每个基金账户的申购、转换转入、定期定额投资累计金额应不超过1亿元。如单日本基金C类份额每个基金账户的申购、转换转入、定期定额投资累计金额超过1亿元，本基金管理人有权拒绝。 </w:t>
      </w:r>
    </w:p>
    <w:p w14:paraId="4809F846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（3）在本基金暂停大额申购、转换转入、定期定额投资业务期间，其它业务正常办理。 </w:t>
      </w:r>
    </w:p>
    <w:p w14:paraId="6A916211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（4）如有疑问，请拨打博时一线通：95105568（免长途话费）或登录本公司网站https://www.bosera.com获取相关信息。 </w:t>
      </w:r>
    </w:p>
    <w:p w14:paraId="23B644EB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5）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 </w:t>
      </w:r>
    </w:p>
    <w:p w14:paraId="12FBE2AE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特此公告。 </w:t>
      </w:r>
    </w:p>
    <w:p w14:paraId="17E94985">
      <w:pPr>
        <w:pStyle w:val="3"/>
        <w:spacing w:before="0" w:beforeAutospacing="0" w:after="0" w:afterAutospacing="0" w:line="360" w:lineRule="auto"/>
        <w:ind w:firstLine="420"/>
      </w:pPr>
    </w:p>
    <w:p w14:paraId="0BCEA1BE">
      <w:pPr>
        <w:pStyle w:val="3"/>
        <w:spacing w:before="0" w:beforeAutospacing="0" w:after="0" w:afterAutospacing="0" w:line="360" w:lineRule="auto"/>
        <w:ind w:firstLine="420"/>
      </w:pPr>
    </w:p>
    <w:p w14:paraId="77096375">
      <w:pPr>
        <w:pStyle w:val="3"/>
        <w:spacing w:before="0" w:beforeAutospacing="0" w:after="0" w:afterAutospacing="0" w:line="360" w:lineRule="auto"/>
        <w:ind w:firstLine="420"/>
      </w:pPr>
    </w:p>
    <w:p w14:paraId="59DFA9C2">
      <w:pPr>
        <w:pStyle w:val="3"/>
        <w:spacing w:before="0" w:beforeAutospacing="0" w:after="0" w:afterAutospacing="0" w:line="360" w:lineRule="auto"/>
        <w:ind w:firstLine="420"/>
        <w:jc w:val="right"/>
        <w:rPr>
          <w:rFonts w:hint="eastAsia"/>
        </w:rPr>
      </w:pPr>
      <w:r>
        <w:rPr>
          <w:rFonts w:hint="eastAsia"/>
        </w:rPr>
        <w:t>博时基金管理有限公司</w:t>
      </w:r>
    </w:p>
    <w:p w14:paraId="6BC2B122">
      <w:pPr>
        <w:pStyle w:val="3"/>
        <w:spacing w:before="0" w:beforeAutospacing="0" w:after="0" w:afterAutospacing="0" w:line="360" w:lineRule="auto"/>
        <w:ind w:firstLine="420"/>
        <w:jc w:val="right"/>
      </w:pPr>
      <w:r>
        <w:t>2026年6月11日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9C9"/>
    <w:rsid w:val="009123B8"/>
    <w:rsid w:val="00F159C9"/>
    <w:rsid w:val="53731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8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标题 3 Char"/>
    <w:basedOn w:val="6"/>
    <w:link w:val="2"/>
    <w:uiPriority w:val="9"/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mycompany</Company>
  <Pages>2</Pages>
  <Words>167</Words>
  <Characters>956</Characters>
  <Lines>7</Lines>
  <Paragraphs>2</Paragraphs>
  <TotalTime>0</TotalTime>
  <ScaleCrop>false</ScaleCrop>
  <LinksUpToDate>false</LinksUpToDate>
  <CharactersWithSpaces>1121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2026-06-10T02:45:00Z</dcterms:created>
  <dc:creator>BSKMadminDev</dc:creator>
  <cp:lastModifiedBy>fuxj</cp:lastModifiedBy>
  <dcterms:modified xsi:type="dcterms:W3CDTF">2026-06-10T06:13:01Z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105A88CC8FF34BBC8928EC2CD67B5D66_12</vt:lpwstr>
  </property>
</Properties>
</file>