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EA016A">
      <w:pPr>
        <w:spacing w:line="500" w:lineRule="exact"/>
        <w:jc w:val="center"/>
        <w:rPr>
          <w:rFonts w:ascii="宋体"/>
          <w:b/>
          <w:bCs/>
          <w:sz w:val="48"/>
          <w:szCs w:val="48"/>
        </w:rPr>
      </w:pPr>
    </w:p>
    <w:p w14:paraId="5554C40E">
      <w:pPr>
        <w:spacing w:line="500" w:lineRule="exact"/>
        <w:jc w:val="center"/>
        <w:rPr>
          <w:rFonts w:ascii="宋体"/>
          <w:b/>
          <w:bCs/>
          <w:sz w:val="48"/>
          <w:szCs w:val="48"/>
        </w:rPr>
      </w:pPr>
    </w:p>
    <w:p w14:paraId="1169AF47">
      <w:pPr>
        <w:spacing w:line="500" w:lineRule="exact"/>
        <w:jc w:val="center"/>
        <w:rPr>
          <w:rFonts w:ascii="宋体"/>
          <w:b/>
          <w:bCs/>
          <w:sz w:val="48"/>
          <w:szCs w:val="48"/>
        </w:rPr>
      </w:pPr>
    </w:p>
    <w:p w14:paraId="56961177">
      <w:pPr>
        <w:spacing w:line="500" w:lineRule="exact"/>
        <w:jc w:val="center"/>
        <w:rPr>
          <w:rFonts w:ascii="宋体"/>
          <w:b/>
          <w:bCs/>
          <w:sz w:val="48"/>
          <w:szCs w:val="48"/>
        </w:rPr>
      </w:pPr>
    </w:p>
    <w:p w14:paraId="0A1CC76F">
      <w:pPr>
        <w:spacing w:line="500" w:lineRule="exact"/>
        <w:jc w:val="center"/>
        <w:rPr>
          <w:rFonts w:ascii="宋体"/>
          <w:b/>
          <w:bCs/>
          <w:sz w:val="48"/>
          <w:szCs w:val="48"/>
        </w:rPr>
      </w:pPr>
    </w:p>
    <w:p w14:paraId="366727E8">
      <w:pPr>
        <w:spacing w:line="720" w:lineRule="auto"/>
        <w:ind w:left="0" w:right="0" w:firstLine="0"/>
        <w:jc w:val="center"/>
        <w:rPr>
          <w:rFonts w:ascii="宋体"/>
          <w:b/>
          <w:bCs/>
          <w:sz w:val="44"/>
        </w:rPr>
      </w:pPr>
      <w:r>
        <w:rPr>
          <w:rFonts w:hint="eastAsia" w:ascii="宋体" w:hAnsi="宋体"/>
          <w:b/>
          <w:bCs/>
          <w:sz w:val="48"/>
          <w:szCs w:val="48"/>
        </w:rPr>
        <w:t>博时中证有色金属矿业主</w:t>
      </w:r>
      <w:bookmarkStart w:id="139" w:name="_GoBack"/>
      <w:bookmarkEnd w:id="139"/>
      <w:r>
        <w:rPr>
          <w:rFonts w:hint="eastAsia" w:ascii="宋体" w:hAnsi="宋体"/>
          <w:b/>
          <w:bCs/>
          <w:sz w:val="48"/>
          <w:szCs w:val="48"/>
        </w:rPr>
        <w:t>题交易型开放式指数证券投资基金联接基金托管协议</w:t>
      </w:r>
      <w:r>
        <w:rPr>
          <w:rFonts w:hint="eastAsia" w:ascii="宋体" w:hAnsi="宋体"/>
          <w:b/>
          <w:bCs/>
          <w:sz w:val="44"/>
        </w:rPr>
        <w:t>（由博时中证有色金属矿业主题指数证券投资基金变更而来）</w:t>
      </w:r>
    </w:p>
    <w:p w14:paraId="3180803F">
      <w:pPr>
        <w:spacing w:line="360" w:lineRule="auto"/>
        <w:jc w:val="center"/>
        <w:rPr>
          <w:rFonts w:ascii="宋体"/>
          <w:b/>
          <w:sz w:val="30"/>
          <w:szCs w:val="30"/>
        </w:rPr>
      </w:pPr>
    </w:p>
    <w:p w14:paraId="16557F9F">
      <w:pPr>
        <w:spacing w:line="360" w:lineRule="auto"/>
        <w:jc w:val="center"/>
        <w:rPr>
          <w:rFonts w:ascii="宋体"/>
          <w:b/>
          <w:sz w:val="30"/>
          <w:szCs w:val="30"/>
        </w:rPr>
      </w:pPr>
    </w:p>
    <w:p w14:paraId="79909828">
      <w:pPr>
        <w:spacing w:line="360" w:lineRule="auto"/>
        <w:jc w:val="center"/>
        <w:rPr>
          <w:rFonts w:ascii="宋体"/>
          <w:b/>
          <w:sz w:val="30"/>
          <w:szCs w:val="30"/>
        </w:rPr>
      </w:pPr>
    </w:p>
    <w:p w14:paraId="0FF4A7DA">
      <w:pPr>
        <w:spacing w:line="360" w:lineRule="auto"/>
        <w:jc w:val="center"/>
        <w:rPr>
          <w:rFonts w:ascii="宋体"/>
          <w:b/>
          <w:sz w:val="30"/>
          <w:szCs w:val="30"/>
        </w:rPr>
      </w:pPr>
    </w:p>
    <w:p w14:paraId="510BDC42">
      <w:pPr>
        <w:spacing w:line="360" w:lineRule="auto"/>
        <w:jc w:val="center"/>
        <w:rPr>
          <w:rFonts w:ascii="宋体"/>
          <w:b/>
          <w:sz w:val="30"/>
          <w:szCs w:val="30"/>
        </w:rPr>
      </w:pPr>
    </w:p>
    <w:p w14:paraId="2A01457F">
      <w:pPr>
        <w:spacing w:line="360" w:lineRule="auto"/>
        <w:rPr>
          <w:rFonts w:ascii="宋体"/>
          <w:b/>
          <w:sz w:val="30"/>
          <w:szCs w:val="30"/>
        </w:rPr>
      </w:pPr>
    </w:p>
    <w:p w14:paraId="69C2087A">
      <w:pPr>
        <w:spacing w:line="500" w:lineRule="exact"/>
        <w:ind w:left="1079"/>
        <w:rPr>
          <w:rFonts w:ascii="宋体"/>
          <w:b/>
          <w:bCs/>
          <w:sz w:val="36"/>
          <w:szCs w:val="36"/>
        </w:rPr>
      </w:pPr>
      <w:r>
        <w:rPr>
          <w:rFonts w:hint="eastAsia" w:ascii="宋体" w:hAnsi="宋体"/>
          <w:b/>
          <w:bCs/>
          <w:sz w:val="36"/>
          <w:szCs w:val="36"/>
        </w:rPr>
        <w:t>基金管理人：</w:t>
      </w:r>
      <w:r>
        <w:rPr>
          <w:rFonts w:ascii="宋体" w:hAnsi="宋体"/>
          <w:b/>
          <w:bCs/>
          <w:sz w:val="36"/>
          <w:szCs w:val="36"/>
        </w:rPr>
        <w:t>博时基金管理有限公司</w:t>
      </w:r>
    </w:p>
    <w:p w14:paraId="49F840F5">
      <w:pPr>
        <w:ind w:left="1079"/>
        <w:rPr>
          <w:rFonts w:ascii="宋体"/>
        </w:rPr>
      </w:pPr>
      <w:r>
        <w:rPr>
          <w:rFonts w:hint="eastAsia" w:ascii="宋体" w:hAnsi="宋体"/>
          <w:b/>
          <w:bCs/>
          <w:sz w:val="36"/>
          <w:szCs w:val="36"/>
        </w:rPr>
        <w:t>基金托管人：交通银行股份有限公司</w:t>
      </w:r>
    </w:p>
    <w:p w14:paraId="562D2C2D">
      <w:pPr>
        <w:ind w:left="1079"/>
        <w:sectPr>
          <w:footerReference r:id="rId7" w:type="first"/>
          <w:headerReference r:id="rId5" w:type="default"/>
          <w:footerReference r:id="rId6" w:type="even"/>
          <w:pgSz w:w="11906" w:h="16838"/>
          <w:pgMar w:top="1440" w:right="1800" w:bottom="1440" w:left="1800" w:header="851" w:footer="992" w:gutter="0"/>
          <w:pgNumType w:start="1"/>
          <w:cols w:space="425" w:num="1"/>
          <w:docGrid w:type="lines" w:linePitch="312" w:charSpace="0"/>
        </w:sectPr>
      </w:pPr>
    </w:p>
    <w:p w14:paraId="08492A06">
      <w:pPr>
        <w:spacing w:line="360" w:lineRule="auto"/>
        <w:jc w:val="center"/>
        <w:rPr>
          <w:rFonts w:ascii="宋体"/>
          <w:b/>
          <w:sz w:val="44"/>
          <w:szCs w:val="44"/>
        </w:rPr>
      </w:pPr>
      <w:r>
        <w:rPr>
          <w:rFonts w:hint="eastAsia" w:ascii="宋体" w:hAnsi="宋体"/>
          <w:b/>
          <w:sz w:val="44"/>
          <w:szCs w:val="44"/>
        </w:rPr>
        <w:t>目</w:t>
      </w:r>
      <w:r>
        <w:rPr>
          <w:rFonts w:ascii="宋体" w:hAnsi="宋体"/>
          <w:b/>
          <w:sz w:val="44"/>
          <w:szCs w:val="44"/>
        </w:rPr>
        <w:t xml:space="preserve">  </w:t>
      </w:r>
      <w:r>
        <w:rPr>
          <w:rFonts w:hint="eastAsia" w:ascii="宋体" w:hAnsi="宋体"/>
          <w:b/>
          <w:sz w:val="44"/>
          <w:szCs w:val="44"/>
        </w:rPr>
        <w:t>录</w:t>
      </w:r>
    </w:p>
    <w:p w14:paraId="37C779D0">
      <w:pPr>
        <w:pStyle w:val="15"/>
        <w:spacing w:line="240" w:lineRule="auto"/>
        <w:rPr>
          <w:rFonts w:ascii="Calibri" w:hAnsi="Calibri" w:cs="Calibri"/>
          <w:b w:val="0"/>
          <w:caps w:val="0"/>
          <w:sz w:val="21"/>
          <w:szCs w:val="22"/>
        </w:rPr>
      </w:pPr>
      <w:r>
        <w:rPr>
          <w:rStyle w:val="31"/>
          <w:rFonts w:ascii="宋体" w:hAnsi="宋体"/>
          <w:bCs/>
          <w:color w:val="auto"/>
          <w:sz w:val="24"/>
          <w:szCs w:val="24"/>
        </w:rPr>
        <w:fldChar w:fldCharType="begin"/>
      </w:r>
      <w:r>
        <w:rPr>
          <w:rStyle w:val="31"/>
          <w:rFonts w:ascii="宋体" w:hAnsi="宋体"/>
          <w:bCs/>
          <w:color w:val="auto"/>
          <w:sz w:val="24"/>
          <w:szCs w:val="24"/>
        </w:rPr>
        <w:instrText xml:space="preserve"> TOC \h \z \t "</w:instrText>
      </w:r>
      <w:r>
        <w:rPr>
          <w:rStyle w:val="31"/>
          <w:rFonts w:hint="eastAsia" w:ascii="宋体" w:hAnsi="宋体"/>
          <w:bCs/>
          <w:color w:val="auto"/>
          <w:sz w:val="24"/>
          <w:szCs w:val="24"/>
        </w:rPr>
        <w:instrText xml:space="preserve">标题</w:instrText>
      </w:r>
      <w:r>
        <w:rPr>
          <w:rStyle w:val="31"/>
          <w:rFonts w:ascii="宋体" w:hAnsi="宋体"/>
          <w:bCs/>
          <w:color w:val="auto"/>
          <w:sz w:val="24"/>
          <w:szCs w:val="24"/>
        </w:rPr>
        <w:instrText xml:space="preserve"> 1,1" </w:instrText>
      </w:r>
      <w:r>
        <w:rPr>
          <w:rStyle w:val="31"/>
          <w:rFonts w:ascii="宋体" w:hAnsi="宋体"/>
          <w:bCs/>
          <w:color w:val="auto"/>
          <w:sz w:val="24"/>
          <w:szCs w:val="24"/>
        </w:rPr>
        <w:fldChar w:fldCharType="separate"/>
      </w:r>
      <w:r>
        <w:fldChar w:fldCharType="begin"/>
      </w:r>
      <w:r>
        <w:instrText xml:space="preserve"> HYPERLINK \l "_Toc35001426" \o "当前文档" </w:instrText>
      </w:r>
      <w:r>
        <w:fldChar w:fldCharType="separate"/>
      </w:r>
      <w:r>
        <w:rPr>
          <w:rStyle w:val="31"/>
          <w:rFonts w:hint="eastAsia"/>
        </w:rPr>
        <w:t>一、基金托管协议当事人</w:t>
      </w:r>
      <w:r>
        <w:tab/>
      </w:r>
      <w:r>
        <w:fldChar w:fldCharType="begin"/>
      </w:r>
      <w:r>
        <w:instrText xml:space="preserve"> PAGEREF _Toc35001426 \h </w:instrText>
      </w:r>
      <w:r>
        <w:fldChar w:fldCharType="separate"/>
      </w:r>
      <w:r>
        <w:t>1</w:t>
      </w:r>
      <w:r>
        <w:fldChar w:fldCharType="end"/>
      </w:r>
      <w:r>
        <w:fldChar w:fldCharType="end"/>
      </w:r>
    </w:p>
    <w:p w14:paraId="13CE8604">
      <w:pPr>
        <w:pStyle w:val="15"/>
        <w:spacing w:line="240" w:lineRule="auto"/>
        <w:rPr>
          <w:rFonts w:ascii="Calibri" w:hAnsi="Calibri" w:cs="Calibri"/>
          <w:b w:val="0"/>
          <w:caps w:val="0"/>
          <w:sz w:val="21"/>
          <w:szCs w:val="22"/>
        </w:rPr>
      </w:pPr>
      <w:r>
        <w:fldChar w:fldCharType="begin"/>
      </w:r>
      <w:r>
        <w:instrText xml:space="preserve"> HYPERLINK \l "_Toc35001427" \o "当前文档" </w:instrText>
      </w:r>
      <w:r>
        <w:fldChar w:fldCharType="separate"/>
      </w:r>
      <w:r>
        <w:rPr>
          <w:rStyle w:val="31"/>
          <w:rFonts w:hint="eastAsia"/>
        </w:rPr>
        <w:t>二、基金托管协议的依据、目的和原则</w:t>
      </w:r>
      <w:r>
        <w:tab/>
      </w:r>
      <w:r>
        <w:fldChar w:fldCharType="begin"/>
      </w:r>
      <w:r>
        <w:instrText xml:space="preserve"> PAGEREF _Toc35001427 \h </w:instrText>
      </w:r>
      <w:r>
        <w:fldChar w:fldCharType="separate"/>
      </w:r>
      <w:r>
        <w:t>2</w:t>
      </w:r>
      <w:r>
        <w:fldChar w:fldCharType="end"/>
      </w:r>
      <w:r>
        <w:fldChar w:fldCharType="end"/>
      </w:r>
    </w:p>
    <w:p w14:paraId="1E67A38D">
      <w:pPr>
        <w:pStyle w:val="15"/>
        <w:spacing w:line="240" w:lineRule="auto"/>
        <w:rPr>
          <w:rFonts w:ascii="Calibri" w:hAnsi="Calibri" w:cs="Calibri"/>
          <w:b w:val="0"/>
          <w:caps w:val="0"/>
          <w:sz w:val="21"/>
          <w:szCs w:val="22"/>
        </w:rPr>
      </w:pPr>
      <w:r>
        <w:fldChar w:fldCharType="begin"/>
      </w:r>
      <w:r>
        <w:instrText xml:space="preserve"> HYPERLINK \l "_Toc35001428" \o "当前文档" </w:instrText>
      </w:r>
      <w:r>
        <w:fldChar w:fldCharType="separate"/>
      </w:r>
      <w:r>
        <w:rPr>
          <w:rStyle w:val="31"/>
          <w:rFonts w:hint="eastAsia"/>
        </w:rPr>
        <w:t>三、基金托管人对基金管理人的业务监督和核查</w:t>
      </w:r>
      <w:r>
        <w:tab/>
      </w:r>
      <w:r>
        <w:fldChar w:fldCharType="begin"/>
      </w:r>
      <w:r>
        <w:instrText xml:space="preserve"> PAGEREF _Toc35001428 \h </w:instrText>
      </w:r>
      <w:r>
        <w:fldChar w:fldCharType="separate"/>
      </w:r>
      <w:r>
        <w:t>3</w:t>
      </w:r>
      <w:r>
        <w:fldChar w:fldCharType="end"/>
      </w:r>
      <w:r>
        <w:fldChar w:fldCharType="end"/>
      </w:r>
    </w:p>
    <w:p w14:paraId="6458234E">
      <w:pPr>
        <w:pStyle w:val="15"/>
        <w:spacing w:line="240" w:lineRule="auto"/>
        <w:rPr>
          <w:rFonts w:ascii="Calibri" w:hAnsi="Calibri" w:cs="Calibri"/>
          <w:b w:val="0"/>
          <w:caps w:val="0"/>
          <w:sz w:val="21"/>
          <w:szCs w:val="22"/>
        </w:rPr>
      </w:pPr>
      <w:r>
        <w:fldChar w:fldCharType="begin"/>
      </w:r>
      <w:r>
        <w:instrText xml:space="preserve"> HYPERLINK \l "_Toc35001429" \o "当前文档" </w:instrText>
      </w:r>
      <w:r>
        <w:fldChar w:fldCharType="separate"/>
      </w:r>
      <w:r>
        <w:rPr>
          <w:rStyle w:val="31"/>
          <w:rFonts w:hint="eastAsia"/>
        </w:rPr>
        <w:t>四、基金管理人对基金托管人的业务核查</w:t>
      </w:r>
      <w:r>
        <w:tab/>
      </w:r>
      <w:r>
        <w:fldChar w:fldCharType="begin"/>
      </w:r>
      <w:r>
        <w:instrText xml:space="preserve"> PAGEREF _Toc35001429 \h </w:instrText>
      </w:r>
      <w:r>
        <w:fldChar w:fldCharType="separate"/>
      </w:r>
      <w:r>
        <w:t>11</w:t>
      </w:r>
      <w:r>
        <w:fldChar w:fldCharType="end"/>
      </w:r>
      <w:r>
        <w:fldChar w:fldCharType="end"/>
      </w:r>
    </w:p>
    <w:p w14:paraId="6E358339">
      <w:pPr>
        <w:pStyle w:val="15"/>
        <w:spacing w:line="240" w:lineRule="auto"/>
        <w:rPr>
          <w:rFonts w:ascii="Calibri" w:hAnsi="Calibri" w:cs="Calibri"/>
          <w:b w:val="0"/>
          <w:caps w:val="0"/>
          <w:sz w:val="21"/>
          <w:szCs w:val="22"/>
        </w:rPr>
      </w:pPr>
      <w:r>
        <w:fldChar w:fldCharType="begin"/>
      </w:r>
      <w:r>
        <w:instrText xml:space="preserve"> HYPERLINK \l "_Toc35001430" \o "当前文档" </w:instrText>
      </w:r>
      <w:r>
        <w:fldChar w:fldCharType="separate"/>
      </w:r>
      <w:r>
        <w:rPr>
          <w:rStyle w:val="31"/>
          <w:rFonts w:hint="eastAsia"/>
        </w:rPr>
        <w:t>五、基金财产的保管</w:t>
      </w:r>
      <w:r>
        <w:tab/>
      </w:r>
      <w:r>
        <w:fldChar w:fldCharType="begin"/>
      </w:r>
      <w:r>
        <w:instrText xml:space="preserve"> PAGEREF _Toc35001430 \h </w:instrText>
      </w:r>
      <w:r>
        <w:fldChar w:fldCharType="separate"/>
      </w:r>
      <w:r>
        <w:t>11</w:t>
      </w:r>
      <w:r>
        <w:fldChar w:fldCharType="end"/>
      </w:r>
      <w:r>
        <w:fldChar w:fldCharType="end"/>
      </w:r>
    </w:p>
    <w:p w14:paraId="33B18989">
      <w:pPr>
        <w:pStyle w:val="15"/>
        <w:spacing w:line="240" w:lineRule="auto"/>
        <w:rPr>
          <w:rFonts w:ascii="Calibri" w:hAnsi="Calibri" w:cs="Calibri"/>
          <w:b w:val="0"/>
          <w:caps w:val="0"/>
          <w:sz w:val="21"/>
          <w:szCs w:val="22"/>
        </w:rPr>
      </w:pPr>
      <w:r>
        <w:fldChar w:fldCharType="begin"/>
      </w:r>
      <w:r>
        <w:instrText xml:space="preserve"> HYPERLINK \l "_Toc35001431" \o "当前文档" </w:instrText>
      </w:r>
      <w:r>
        <w:fldChar w:fldCharType="separate"/>
      </w:r>
      <w:r>
        <w:rPr>
          <w:rStyle w:val="31"/>
          <w:rFonts w:hint="eastAsia"/>
        </w:rPr>
        <w:t>六、指令的发送、确认和执行</w:t>
      </w:r>
      <w:r>
        <w:tab/>
      </w:r>
      <w:r>
        <w:fldChar w:fldCharType="begin"/>
      </w:r>
      <w:r>
        <w:instrText xml:space="preserve"> PAGEREF _Toc35001431 \h </w:instrText>
      </w:r>
      <w:r>
        <w:fldChar w:fldCharType="separate"/>
      </w:r>
      <w:r>
        <w:t>15</w:t>
      </w:r>
      <w:r>
        <w:fldChar w:fldCharType="end"/>
      </w:r>
      <w:r>
        <w:fldChar w:fldCharType="end"/>
      </w:r>
    </w:p>
    <w:p w14:paraId="70C35AFE">
      <w:pPr>
        <w:pStyle w:val="15"/>
        <w:spacing w:line="240" w:lineRule="auto"/>
        <w:rPr>
          <w:rFonts w:ascii="Calibri" w:hAnsi="Calibri" w:cs="Calibri"/>
          <w:b w:val="0"/>
          <w:caps w:val="0"/>
          <w:sz w:val="21"/>
          <w:szCs w:val="22"/>
        </w:rPr>
      </w:pPr>
      <w:r>
        <w:fldChar w:fldCharType="begin"/>
      </w:r>
      <w:r>
        <w:instrText xml:space="preserve"> HYPERLINK \l "_Toc35001432" \o "当前文档" </w:instrText>
      </w:r>
      <w:r>
        <w:fldChar w:fldCharType="separate"/>
      </w:r>
      <w:r>
        <w:rPr>
          <w:rStyle w:val="31"/>
          <w:rFonts w:hint="eastAsia"/>
        </w:rPr>
        <w:t>七、交易及清算交收安排</w:t>
      </w:r>
      <w:r>
        <w:tab/>
      </w:r>
      <w:r>
        <w:fldChar w:fldCharType="begin"/>
      </w:r>
      <w:r>
        <w:instrText xml:space="preserve"> PAGEREF _Toc35001432 \h </w:instrText>
      </w:r>
      <w:r>
        <w:fldChar w:fldCharType="separate"/>
      </w:r>
      <w:r>
        <w:t>17</w:t>
      </w:r>
      <w:r>
        <w:fldChar w:fldCharType="end"/>
      </w:r>
      <w:r>
        <w:fldChar w:fldCharType="end"/>
      </w:r>
    </w:p>
    <w:p w14:paraId="4B383567">
      <w:pPr>
        <w:pStyle w:val="15"/>
        <w:spacing w:line="240" w:lineRule="auto"/>
        <w:rPr>
          <w:rFonts w:ascii="Calibri" w:hAnsi="Calibri" w:cs="Calibri"/>
          <w:b w:val="0"/>
          <w:caps w:val="0"/>
          <w:sz w:val="21"/>
          <w:szCs w:val="22"/>
        </w:rPr>
      </w:pPr>
      <w:r>
        <w:fldChar w:fldCharType="begin"/>
      </w:r>
      <w:r>
        <w:instrText xml:space="preserve"> HYPERLINK \l "_Toc35001433" \o "当前文档" </w:instrText>
      </w:r>
      <w:r>
        <w:fldChar w:fldCharType="separate"/>
      </w:r>
      <w:r>
        <w:rPr>
          <w:rStyle w:val="31"/>
          <w:rFonts w:hint="eastAsia"/>
        </w:rPr>
        <w:t>八、基金资产净值计算和会计核算</w:t>
      </w:r>
      <w:r>
        <w:tab/>
      </w:r>
      <w:r>
        <w:fldChar w:fldCharType="begin"/>
      </w:r>
      <w:r>
        <w:instrText xml:space="preserve"> PAGEREF _Toc35001433 \h </w:instrText>
      </w:r>
      <w:r>
        <w:fldChar w:fldCharType="separate"/>
      </w:r>
      <w:r>
        <w:t>21</w:t>
      </w:r>
      <w:r>
        <w:fldChar w:fldCharType="end"/>
      </w:r>
      <w:r>
        <w:fldChar w:fldCharType="end"/>
      </w:r>
    </w:p>
    <w:p w14:paraId="00395F33">
      <w:pPr>
        <w:pStyle w:val="15"/>
        <w:spacing w:line="240" w:lineRule="auto"/>
        <w:rPr>
          <w:rFonts w:ascii="Calibri" w:hAnsi="Calibri" w:cs="Calibri"/>
          <w:b w:val="0"/>
          <w:caps w:val="0"/>
          <w:sz w:val="21"/>
          <w:szCs w:val="22"/>
        </w:rPr>
      </w:pPr>
      <w:r>
        <w:fldChar w:fldCharType="begin"/>
      </w:r>
      <w:r>
        <w:instrText xml:space="preserve"> HYPERLINK \l "_Toc35001434" \o "当前文档" </w:instrText>
      </w:r>
      <w:r>
        <w:fldChar w:fldCharType="separate"/>
      </w:r>
      <w:r>
        <w:rPr>
          <w:rStyle w:val="31"/>
          <w:rFonts w:hint="eastAsia"/>
        </w:rPr>
        <w:t>九、基金收益分配</w:t>
      </w:r>
      <w:r>
        <w:tab/>
      </w:r>
      <w:r>
        <w:fldChar w:fldCharType="begin"/>
      </w:r>
      <w:r>
        <w:instrText xml:space="preserve"> PAGEREF _Toc35001434 \h </w:instrText>
      </w:r>
      <w:r>
        <w:fldChar w:fldCharType="separate"/>
      </w:r>
      <w:r>
        <w:t>27</w:t>
      </w:r>
      <w:r>
        <w:fldChar w:fldCharType="end"/>
      </w:r>
      <w:r>
        <w:fldChar w:fldCharType="end"/>
      </w:r>
    </w:p>
    <w:p w14:paraId="724BBE5B">
      <w:pPr>
        <w:pStyle w:val="15"/>
        <w:spacing w:line="240" w:lineRule="auto"/>
        <w:rPr>
          <w:rFonts w:ascii="Calibri" w:hAnsi="Calibri" w:cs="Calibri"/>
          <w:b w:val="0"/>
          <w:caps w:val="0"/>
          <w:sz w:val="21"/>
          <w:szCs w:val="22"/>
        </w:rPr>
      </w:pPr>
      <w:r>
        <w:fldChar w:fldCharType="begin"/>
      </w:r>
      <w:r>
        <w:instrText xml:space="preserve"> HYPERLINK \l "_Toc35001435" \o "当前文档" </w:instrText>
      </w:r>
      <w:r>
        <w:fldChar w:fldCharType="separate"/>
      </w:r>
      <w:r>
        <w:rPr>
          <w:rStyle w:val="31"/>
          <w:rFonts w:hint="eastAsia"/>
        </w:rPr>
        <w:t>十、基金信息披露</w:t>
      </w:r>
      <w:r>
        <w:tab/>
      </w:r>
      <w:r>
        <w:fldChar w:fldCharType="begin"/>
      </w:r>
      <w:r>
        <w:instrText xml:space="preserve"> PAGEREF _Toc35001435 \h </w:instrText>
      </w:r>
      <w:r>
        <w:fldChar w:fldCharType="separate"/>
      </w:r>
      <w:r>
        <w:t>28</w:t>
      </w:r>
      <w:r>
        <w:fldChar w:fldCharType="end"/>
      </w:r>
      <w:r>
        <w:fldChar w:fldCharType="end"/>
      </w:r>
    </w:p>
    <w:p w14:paraId="25DA400D">
      <w:pPr>
        <w:pStyle w:val="15"/>
        <w:spacing w:line="240" w:lineRule="auto"/>
        <w:rPr>
          <w:rFonts w:ascii="Calibri" w:hAnsi="Calibri" w:cs="Calibri"/>
          <w:b w:val="0"/>
          <w:caps w:val="0"/>
          <w:sz w:val="21"/>
          <w:szCs w:val="22"/>
        </w:rPr>
      </w:pPr>
      <w:r>
        <w:fldChar w:fldCharType="begin"/>
      </w:r>
      <w:r>
        <w:instrText xml:space="preserve"> HYPERLINK \l "_Toc35001436" \o "当前文档" </w:instrText>
      </w:r>
      <w:r>
        <w:fldChar w:fldCharType="separate"/>
      </w:r>
      <w:r>
        <w:rPr>
          <w:rStyle w:val="31"/>
          <w:rFonts w:hint="eastAsia"/>
        </w:rPr>
        <w:t>十一、基金费用</w:t>
      </w:r>
      <w:r>
        <w:tab/>
      </w:r>
      <w:r>
        <w:fldChar w:fldCharType="begin"/>
      </w:r>
      <w:r>
        <w:instrText xml:space="preserve"> PAGEREF _Toc35001436 \h </w:instrText>
      </w:r>
      <w:r>
        <w:fldChar w:fldCharType="separate"/>
      </w:r>
      <w:r>
        <w:t>30</w:t>
      </w:r>
      <w:r>
        <w:fldChar w:fldCharType="end"/>
      </w:r>
      <w:r>
        <w:fldChar w:fldCharType="end"/>
      </w:r>
    </w:p>
    <w:p w14:paraId="39E9B2F6">
      <w:pPr>
        <w:pStyle w:val="15"/>
        <w:spacing w:line="240" w:lineRule="auto"/>
        <w:rPr>
          <w:rFonts w:ascii="Calibri" w:hAnsi="Calibri" w:cs="Calibri"/>
          <w:b w:val="0"/>
          <w:caps w:val="0"/>
          <w:sz w:val="21"/>
          <w:szCs w:val="22"/>
        </w:rPr>
      </w:pPr>
      <w:r>
        <w:fldChar w:fldCharType="begin"/>
      </w:r>
      <w:r>
        <w:instrText xml:space="preserve"> HYPERLINK \l "_Toc35001437" \o "当前文档" </w:instrText>
      </w:r>
      <w:r>
        <w:fldChar w:fldCharType="separate"/>
      </w:r>
      <w:r>
        <w:rPr>
          <w:rStyle w:val="31"/>
          <w:rFonts w:hint="eastAsia"/>
        </w:rPr>
        <w:t>十二、基金份额持有人名册的保管</w:t>
      </w:r>
      <w:r>
        <w:tab/>
      </w:r>
      <w:r>
        <w:fldChar w:fldCharType="begin"/>
      </w:r>
      <w:r>
        <w:instrText xml:space="preserve"> PAGEREF _Toc35001437 \h </w:instrText>
      </w:r>
      <w:r>
        <w:fldChar w:fldCharType="separate"/>
      </w:r>
      <w:r>
        <w:t>32</w:t>
      </w:r>
      <w:r>
        <w:fldChar w:fldCharType="end"/>
      </w:r>
      <w:r>
        <w:fldChar w:fldCharType="end"/>
      </w:r>
    </w:p>
    <w:p w14:paraId="44059FF0">
      <w:pPr>
        <w:pStyle w:val="15"/>
        <w:spacing w:line="240" w:lineRule="auto"/>
        <w:rPr>
          <w:rFonts w:ascii="Calibri" w:hAnsi="Calibri" w:cs="Calibri"/>
          <w:b w:val="0"/>
          <w:caps w:val="0"/>
          <w:sz w:val="21"/>
          <w:szCs w:val="22"/>
        </w:rPr>
      </w:pPr>
      <w:r>
        <w:fldChar w:fldCharType="begin"/>
      </w:r>
      <w:r>
        <w:instrText xml:space="preserve"> HYPERLINK \l "_Toc35001438" \o "当前文档" </w:instrText>
      </w:r>
      <w:r>
        <w:fldChar w:fldCharType="separate"/>
      </w:r>
      <w:r>
        <w:rPr>
          <w:rStyle w:val="31"/>
          <w:rFonts w:hint="eastAsia"/>
        </w:rPr>
        <w:t>十三、基金有关文件档案的保存</w:t>
      </w:r>
      <w:r>
        <w:tab/>
      </w:r>
      <w:r>
        <w:fldChar w:fldCharType="begin"/>
      </w:r>
      <w:r>
        <w:instrText xml:space="preserve"> PAGEREF _Toc35001438 \h </w:instrText>
      </w:r>
      <w:r>
        <w:fldChar w:fldCharType="separate"/>
      </w:r>
      <w:r>
        <w:t>33</w:t>
      </w:r>
      <w:r>
        <w:fldChar w:fldCharType="end"/>
      </w:r>
      <w:r>
        <w:fldChar w:fldCharType="end"/>
      </w:r>
    </w:p>
    <w:p w14:paraId="72CFFD8E">
      <w:pPr>
        <w:pStyle w:val="15"/>
        <w:spacing w:line="240" w:lineRule="auto"/>
        <w:rPr>
          <w:rFonts w:ascii="Calibri" w:hAnsi="Calibri" w:cs="Calibri"/>
          <w:b w:val="0"/>
          <w:caps w:val="0"/>
          <w:sz w:val="21"/>
          <w:szCs w:val="22"/>
        </w:rPr>
      </w:pPr>
      <w:r>
        <w:fldChar w:fldCharType="begin"/>
      </w:r>
      <w:r>
        <w:instrText xml:space="preserve"> HYPERLINK \l "_Toc35001439" \o "当前文档" </w:instrText>
      </w:r>
      <w:r>
        <w:fldChar w:fldCharType="separate"/>
      </w:r>
      <w:r>
        <w:rPr>
          <w:rStyle w:val="31"/>
          <w:rFonts w:hint="eastAsia"/>
        </w:rPr>
        <w:t>十四、基金管理人和基金托管人的更换</w:t>
      </w:r>
      <w:r>
        <w:tab/>
      </w:r>
      <w:r>
        <w:fldChar w:fldCharType="begin"/>
      </w:r>
      <w:r>
        <w:instrText xml:space="preserve"> PAGEREF _Toc35001439 \h </w:instrText>
      </w:r>
      <w:r>
        <w:fldChar w:fldCharType="separate"/>
      </w:r>
      <w:r>
        <w:t>34</w:t>
      </w:r>
      <w:r>
        <w:fldChar w:fldCharType="end"/>
      </w:r>
      <w:r>
        <w:fldChar w:fldCharType="end"/>
      </w:r>
    </w:p>
    <w:p w14:paraId="38C11490">
      <w:pPr>
        <w:pStyle w:val="15"/>
        <w:spacing w:line="240" w:lineRule="auto"/>
        <w:rPr>
          <w:rFonts w:ascii="Calibri" w:hAnsi="Calibri" w:cs="Calibri"/>
          <w:b w:val="0"/>
          <w:caps w:val="0"/>
          <w:sz w:val="21"/>
          <w:szCs w:val="22"/>
        </w:rPr>
      </w:pPr>
      <w:r>
        <w:fldChar w:fldCharType="begin"/>
      </w:r>
      <w:r>
        <w:instrText xml:space="preserve"> HYPERLINK \l "_Toc35001440" \o "当前文档" </w:instrText>
      </w:r>
      <w:r>
        <w:fldChar w:fldCharType="separate"/>
      </w:r>
      <w:r>
        <w:rPr>
          <w:rStyle w:val="31"/>
          <w:rFonts w:hint="eastAsia"/>
        </w:rPr>
        <w:t>十五、禁止行为</w:t>
      </w:r>
      <w:r>
        <w:tab/>
      </w:r>
      <w:r>
        <w:fldChar w:fldCharType="begin"/>
      </w:r>
      <w:r>
        <w:instrText xml:space="preserve"> PAGEREF _Toc35001440 \h </w:instrText>
      </w:r>
      <w:r>
        <w:fldChar w:fldCharType="separate"/>
      </w:r>
      <w:r>
        <w:t>37</w:t>
      </w:r>
      <w:r>
        <w:fldChar w:fldCharType="end"/>
      </w:r>
      <w:r>
        <w:fldChar w:fldCharType="end"/>
      </w:r>
    </w:p>
    <w:p w14:paraId="28AF60C8">
      <w:pPr>
        <w:pStyle w:val="15"/>
        <w:spacing w:line="240" w:lineRule="auto"/>
        <w:rPr>
          <w:rFonts w:ascii="Calibri" w:hAnsi="Calibri" w:cs="Calibri"/>
          <w:b w:val="0"/>
          <w:caps w:val="0"/>
          <w:sz w:val="21"/>
          <w:szCs w:val="22"/>
        </w:rPr>
      </w:pPr>
      <w:r>
        <w:fldChar w:fldCharType="begin"/>
      </w:r>
      <w:r>
        <w:instrText xml:space="preserve"> HYPERLINK \l "_Toc35001441" \o "当前文档" </w:instrText>
      </w:r>
      <w:r>
        <w:fldChar w:fldCharType="separate"/>
      </w:r>
      <w:r>
        <w:rPr>
          <w:rStyle w:val="31"/>
          <w:rFonts w:hint="eastAsia"/>
        </w:rPr>
        <w:t>十六、基金托管协议的变更、终止与基金财产的清算</w:t>
      </w:r>
      <w:r>
        <w:tab/>
      </w:r>
      <w:r>
        <w:fldChar w:fldCharType="begin"/>
      </w:r>
      <w:r>
        <w:instrText xml:space="preserve"> PAGEREF _Toc35001441 \h </w:instrText>
      </w:r>
      <w:r>
        <w:fldChar w:fldCharType="separate"/>
      </w:r>
      <w:r>
        <w:t>38</w:t>
      </w:r>
      <w:r>
        <w:fldChar w:fldCharType="end"/>
      </w:r>
      <w:r>
        <w:fldChar w:fldCharType="end"/>
      </w:r>
    </w:p>
    <w:p w14:paraId="6720B428">
      <w:pPr>
        <w:pStyle w:val="15"/>
        <w:spacing w:line="240" w:lineRule="auto"/>
        <w:rPr>
          <w:rFonts w:ascii="Calibri" w:hAnsi="Calibri" w:cs="Calibri"/>
          <w:b w:val="0"/>
          <w:caps w:val="0"/>
          <w:sz w:val="21"/>
          <w:szCs w:val="22"/>
        </w:rPr>
      </w:pPr>
      <w:r>
        <w:fldChar w:fldCharType="begin"/>
      </w:r>
      <w:r>
        <w:instrText xml:space="preserve"> HYPERLINK \l "_Toc35001442" \o "当前文档" </w:instrText>
      </w:r>
      <w:r>
        <w:fldChar w:fldCharType="separate"/>
      </w:r>
      <w:r>
        <w:rPr>
          <w:rStyle w:val="31"/>
          <w:rFonts w:hint="eastAsia"/>
        </w:rPr>
        <w:t>十七、违约责任</w:t>
      </w:r>
      <w:r>
        <w:tab/>
      </w:r>
      <w:r>
        <w:fldChar w:fldCharType="begin"/>
      </w:r>
      <w:r>
        <w:instrText xml:space="preserve"> PAGEREF _Toc35001442 \h </w:instrText>
      </w:r>
      <w:r>
        <w:fldChar w:fldCharType="separate"/>
      </w:r>
      <w:r>
        <w:t>40</w:t>
      </w:r>
      <w:r>
        <w:fldChar w:fldCharType="end"/>
      </w:r>
      <w:r>
        <w:fldChar w:fldCharType="end"/>
      </w:r>
    </w:p>
    <w:p w14:paraId="64EBC9D0">
      <w:pPr>
        <w:pStyle w:val="15"/>
        <w:spacing w:line="240" w:lineRule="auto"/>
        <w:rPr>
          <w:rFonts w:ascii="Calibri" w:hAnsi="Calibri" w:cs="Calibri"/>
          <w:b w:val="0"/>
          <w:caps w:val="0"/>
          <w:sz w:val="21"/>
          <w:szCs w:val="22"/>
        </w:rPr>
      </w:pPr>
      <w:r>
        <w:fldChar w:fldCharType="begin"/>
      </w:r>
      <w:r>
        <w:instrText xml:space="preserve"> HYPERLINK \l "_Toc35001443" \o "当前文档" </w:instrText>
      </w:r>
      <w:r>
        <w:fldChar w:fldCharType="separate"/>
      </w:r>
      <w:r>
        <w:rPr>
          <w:rStyle w:val="31"/>
          <w:rFonts w:hint="eastAsia"/>
        </w:rPr>
        <w:t>十八、争议解决方式</w:t>
      </w:r>
      <w:r>
        <w:tab/>
      </w:r>
      <w:r>
        <w:fldChar w:fldCharType="begin"/>
      </w:r>
      <w:r>
        <w:instrText xml:space="preserve"> PAGEREF _Toc35001443 \h </w:instrText>
      </w:r>
      <w:r>
        <w:fldChar w:fldCharType="separate"/>
      </w:r>
      <w:r>
        <w:t>42</w:t>
      </w:r>
      <w:r>
        <w:fldChar w:fldCharType="end"/>
      </w:r>
      <w:r>
        <w:fldChar w:fldCharType="end"/>
      </w:r>
    </w:p>
    <w:p w14:paraId="68270597">
      <w:pPr>
        <w:pStyle w:val="15"/>
        <w:spacing w:line="240" w:lineRule="auto"/>
        <w:rPr>
          <w:rFonts w:ascii="Calibri" w:hAnsi="Calibri" w:cs="Calibri"/>
          <w:b w:val="0"/>
          <w:caps w:val="0"/>
          <w:sz w:val="21"/>
          <w:szCs w:val="22"/>
        </w:rPr>
      </w:pPr>
      <w:r>
        <w:fldChar w:fldCharType="begin"/>
      </w:r>
      <w:r>
        <w:instrText xml:space="preserve"> HYPERLINK \l "_Toc35001444" \o "当前文档" </w:instrText>
      </w:r>
      <w:r>
        <w:fldChar w:fldCharType="separate"/>
      </w:r>
      <w:r>
        <w:rPr>
          <w:rStyle w:val="31"/>
          <w:rFonts w:hint="eastAsia"/>
        </w:rPr>
        <w:t>十九、基金托管协议的效力</w:t>
      </w:r>
      <w:r>
        <w:tab/>
      </w:r>
      <w:r>
        <w:fldChar w:fldCharType="begin"/>
      </w:r>
      <w:r>
        <w:instrText xml:space="preserve"> PAGEREF _Toc35001444 \h </w:instrText>
      </w:r>
      <w:r>
        <w:fldChar w:fldCharType="separate"/>
      </w:r>
      <w:r>
        <w:t>42</w:t>
      </w:r>
      <w:r>
        <w:fldChar w:fldCharType="end"/>
      </w:r>
      <w:r>
        <w:fldChar w:fldCharType="end"/>
      </w:r>
    </w:p>
    <w:p w14:paraId="35C749D4">
      <w:pPr>
        <w:pStyle w:val="15"/>
        <w:spacing w:line="240" w:lineRule="auto"/>
        <w:rPr>
          <w:rFonts w:ascii="Calibri" w:hAnsi="Calibri" w:cs="Calibri"/>
          <w:b w:val="0"/>
          <w:caps w:val="0"/>
          <w:sz w:val="21"/>
          <w:szCs w:val="22"/>
        </w:rPr>
      </w:pPr>
      <w:r>
        <w:fldChar w:fldCharType="begin"/>
      </w:r>
      <w:r>
        <w:instrText xml:space="preserve"> HYPERLINK \l "_Toc35001445" \o "当前文档" </w:instrText>
      </w:r>
      <w:r>
        <w:fldChar w:fldCharType="separate"/>
      </w:r>
      <w:r>
        <w:rPr>
          <w:rStyle w:val="31"/>
          <w:rFonts w:hint="eastAsia"/>
        </w:rPr>
        <w:t>二十、其他事项</w:t>
      </w:r>
      <w:r>
        <w:tab/>
      </w:r>
      <w:r>
        <w:fldChar w:fldCharType="begin"/>
      </w:r>
      <w:r>
        <w:instrText xml:space="preserve"> PAGEREF _Toc35001445 \h </w:instrText>
      </w:r>
      <w:r>
        <w:fldChar w:fldCharType="separate"/>
      </w:r>
      <w:r>
        <w:t>42</w:t>
      </w:r>
      <w:r>
        <w:fldChar w:fldCharType="end"/>
      </w:r>
      <w:r>
        <w:fldChar w:fldCharType="end"/>
      </w:r>
    </w:p>
    <w:p w14:paraId="057AE9BF">
      <w:pPr>
        <w:pStyle w:val="15"/>
        <w:tabs>
          <w:tab w:val="right" w:leader="dot" w:pos="8296"/>
          <w:tab w:val="clear" w:pos="8455"/>
        </w:tabs>
        <w:spacing w:before="0" w:line="240" w:lineRule="auto"/>
        <w:ind w:firstLine="0"/>
        <w:rPr>
          <w:rStyle w:val="31"/>
          <w:rFonts w:ascii="宋体"/>
          <w:bCs/>
          <w:color w:val="auto"/>
        </w:rPr>
      </w:pPr>
      <w:r>
        <w:rPr>
          <w:rStyle w:val="31"/>
          <w:rFonts w:ascii="宋体" w:hAnsi="宋体"/>
          <w:bCs/>
          <w:color w:val="auto"/>
          <w:sz w:val="24"/>
          <w:szCs w:val="24"/>
        </w:rPr>
        <w:fldChar w:fldCharType="end"/>
      </w:r>
    </w:p>
    <w:p w14:paraId="7FDBB26B">
      <w:pPr>
        <w:spacing w:line="360" w:lineRule="auto"/>
        <w:ind w:firstLine="420"/>
        <w:rPr>
          <w:rFonts w:ascii="宋体"/>
          <w:sz w:val="24"/>
        </w:rPr>
      </w:pPr>
      <w:r>
        <w:rPr>
          <w:rStyle w:val="31"/>
          <w:rFonts w:ascii="宋体"/>
          <w:bCs/>
          <w:color w:val="auto"/>
        </w:rPr>
        <w:br w:type="page"/>
      </w:r>
      <w:bookmarkStart w:id="0" w:name="_Toc125892432"/>
      <w:bookmarkStart w:id="1" w:name="_Toc523829992"/>
      <w:bookmarkStart w:id="2" w:name="_Toc22454432"/>
      <w:r>
        <w:rPr>
          <w:rFonts w:hint="eastAsia" w:ascii="宋体" w:hAnsi="宋体"/>
          <w:sz w:val="24"/>
        </w:rPr>
        <w:t>鉴于</w:t>
      </w:r>
      <w:r>
        <w:rPr>
          <w:rFonts w:ascii="宋体" w:hAnsi="宋体"/>
          <w:sz w:val="24"/>
        </w:rPr>
        <w:t>博时基金管理有限公司</w:t>
      </w:r>
      <w:r>
        <w:rPr>
          <w:rFonts w:hint="eastAsia" w:ascii="宋体" w:hAnsi="宋体"/>
          <w:sz w:val="24"/>
        </w:rPr>
        <w:t>系一家依照中国法律合法成立并有效存续的有限责任公司，拟管理博时中证有色金属矿业主题交易型开放式指数证券投资基金联接基金</w:t>
      </w:r>
      <w:r>
        <w:rPr>
          <w:rFonts w:ascii="宋体" w:hAnsi="宋体"/>
          <w:sz w:val="24"/>
        </w:rPr>
        <w:t>（以下简称“本基金”或“基金”）；</w:t>
      </w:r>
      <w:bookmarkEnd w:id="0"/>
    </w:p>
    <w:p w14:paraId="3879EDDE">
      <w:pPr>
        <w:spacing w:line="360" w:lineRule="auto"/>
        <w:ind w:firstLine="480"/>
        <w:rPr>
          <w:rFonts w:ascii="宋体"/>
          <w:sz w:val="24"/>
        </w:rPr>
      </w:pPr>
      <w:bookmarkStart w:id="3" w:name="_Toc125892433"/>
      <w:r>
        <w:rPr>
          <w:rFonts w:ascii="宋体" w:hAnsi="宋体"/>
          <w:sz w:val="24"/>
        </w:rPr>
        <w:t>鉴于交通银行股份有限公司系一家依照中国法律合法成立并有效存续的银行，按照相关法律法规的规定具备担任基金托管人的资格和能力；</w:t>
      </w:r>
      <w:bookmarkEnd w:id="3"/>
    </w:p>
    <w:p w14:paraId="71E73DAF">
      <w:pPr>
        <w:spacing w:line="360" w:lineRule="auto"/>
        <w:ind w:firstLine="480"/>
        <w:rPr>
          <w:rFonts w:ascii="宋体"/>
          <w:sz w:val="24"/>
        </w:rPr>
      </w:pPr>
      <w:bookmarkStart w:id="4" w:name="_Toc125892434"/>
      <w:r>
        <w:rPr>
          <w:rFonts w:hint="eastAsia" w:ascii="宋体" w:hAnsi="宋体"/>
          <w:sz w:val="24"/>
        </w:rPr>
        <w:t>鉴于</w:t>
      </w:r>
      <w:r>
        <w:rPr>
          <w:rFonts w:ascii="宋体" w:hAnsi="宋体"/>
          <w:sz w:val="24"/>
        </w:rPr>
        <w:t>博时基金管理有限公司</w:t>
      </w:r>
      <w:r>
        <w:rPr>
          <w:rFonts w:hint="eastAsia" w:ascii="宋体" w:hAnsi="宋体"/>
          <w:sz w:val="24"/>
        </w:rPr>
        <w:t>拟担任博时中证有色金属矿业主题交易型开放式指数证券投资基金联接基金的基金管理人，交通银行股份有限公司拟担任博时中证有色金属矿业主题交易型开放式指数证券投资基金联接基金</w:t>
      </w:r>
      <w:r>
        <w:rPr>
          <w:rFonts w:ascii="宋体" w:hAnsi="宋体"/>
          <w:sz w:val="24"/>
        </w:rPr>
        <w:t>的基金托管人；</w:t>
      </w:r>
      <w:bookmarkEnd w:id="4"/>
    </w:p>
    <w:p w14:paraId="4F02FF62">
      <w:pPr>
        <w:spacing w:line="360" w:lineRule="auto"/>
        <w:ind w:firstLine="480"/>
        <w:rPr>
          <w:rFonts w:ascii="宋体" w:hAnsi="宋体"/>
          <w:sz w:val="24"/>
        </w:rPr>
      </w:pPr>
      <w:bookmarkStart w:id="5" w:name="_Toc125892435"/>
      <w:r>
        <w:rPr>
          <w:rFonts w:hint="eastAsia" w:ascii="宋体" w:hAnsi="宋体"/>
          <w:sz w:val="24"/>
        </w:rPr>
        <w:t>为明确博时中证有色金属矿业主题交易型开放式指数证券投资基金联接基金</w:t>
      </w:r>
      <w:r>
        <w:rPr>
          <w:rFonts w:ascii="宋体" w:hAnsi="宋体"/>
          <w:sz w:val="24"/>
        </w:rPr>
        <w:t>的基金管理人和基金托管人之间的权利义务关系，特制订本协议；</w:t>
      </w:r>
      <w:bookmarkEnd w:id="5"/>
    </w:p>
    <w:p w14:paraId="231CA72A">
      <w:pPr>
        <w:spacing w:line="360" w:lineRule="auto"/>
        <w:ind w:firstLine="480"/>
        <w:rPr>
          <w:rFonts w:ascii="宋体"/>
          <w:sz w:val="24"/>
        </w:rPr>
      </w:pPr>
      <w:r>
        <w:rPr>
          <w:rFonts w:ascii="宋体"/>
          <w:sz w:val="24"/>
        </w:rPr>
        <w:t>基金管理人承诺其知悉《中华人民共和国反洗钱法》、《</w:t>
      </w:r>
      <w:r>
        <w:rPr>
          <w:rFonts w:hint="eastAsia" w:ascii="宋体"/>
          <w:sz w:val="24"/>
        </w:rPr>
        <w:t>金融机构客户尽职调查和客户身份资料及交易记录保存管理办法</w:t>
      </w:r>
      <w:r>
        <w:rPr>
          <w:rFonts w:ascii="宋体"/>
          <w:sz w:val="24"/>
        </w:rPr>
        <w:t>》、《金融机构大额交易和可疑交易报告管理办法》、《中国人民银行关于加强反洗钱客户身份识别有关工作的通知》（银发﹝2017﹞235号）、《中国人民银行关于进一步做好受益所有人身份识别工作有关问题的通知》（银发﹝2018﹞164号）等反洗钱相关法律法规、监管规定，将严格遵守上述规定，不会违反任何前述规定；承诺用于投资的资金来源不属于违法犯罪所得及其收益；承诺投资的资金来源和去向不涉及洗钱、恐怖融资和逃税等行为；承诺</w:t>
      </w:r>
      <w:r>
        <w:rPr>
          <w:rFonts w:hint="eastAsia" w:ascii="宋体"/>
          <w:sz w:val="24"/>
        </w:rPr>
        <w:t>依据法律法规的强制性要求</w:t>
      </w:r>
      <w:r>
        <w:rPr>
          <w:rFonts w:ascii="宋体"/>
          <w:sz w:val="24"/>
        </w:rPr>
        <w:t>向基金托管人出示真实有效的身份证件或者其他身份证明文件，提供真实有效的业务性质与股权或者控制权结构、提供产品受益所有人的信息和资料，并在产品受益所有人发生变化时，及时告知基金托管人并按基金托管人要求完成更新；承诺积极履行反洗钱职责，不借助本业务进行洗钱等违法犯罪活动。</w:t>
      </w:r>
    </w:p>
    <w:p w14:paraId="6E704BE7">
      <w:pPr>
        <w:spacing w:line="360" w:lineRule="auto"/>
        <w:ind w:firstLine="480"/>
        <w:rPr>
          <w:rFonts w:ascii="宋体"/>
          <w:sz w:val="24"/>
        </w:rPr>
      </w:pPr>
      <w:r>
        <w:rPr>
          <w:rFonts w:hint="eastAsia" w:ascii="宋体"/>
          <w:sz w:val="24"/>
        </w:rPr>
        <w:t>基金管理人承诺基金管理人及其关联方均不属于联合国</w:t>
      </w:r>
      <w:r>
        <w:rPr>
          <w:rFonts w:hint="eastAsia" w:ascii="宋体" w:hAnsi="宋体"/>
          <w:color w:val="000000"/>
          <w:sz w:val="24"/>
        </w:rPr>
        <w:t>及相关国家、组织、机构发布的</w:t>
      </w:r>
      <w:r>
        <w:rPr>
          <w:rFonts w:hint="eastAsia" w:ascii="宋体"/>
          <w:sz w:val="24"/>
        </w:rPr>
        <w:t>制裁名单，及中国政府部门或有权机关发布的涉恐及反洗钱相关风险名单内的企业或个人；不位于被联合国</w:t>
      </w:r>
      <w:r>
        <w:rPr>
          <w:rFonts w:hint="eastAsia" w:ascii="宋体" w:hAnsi="宋体"/>
          <w:color w:val="000000"/>
          <w:sz w:val="24"/>
        </w:rPr>
        <w:t>及相关国家、组织、机构</w:t>
      </w:r>
      <w:r>
        <w:rPr>
          <w:rFonts w:hint="eastAsia" w:ascii="宋体"/>
          <w:sz w:val="24"/>
        </w:rPr>
        <w:t>制裁的国家和地区。</w:t>
      </w:r>
    </w:p>
    <w:p w14:paraId="5BC50FCB">
      <w:pPr>
        <w:spacing w:line="360" w:lineRule="auto"/>
        <w:ind w:firstLine="480"/>
        <w:rPr>
          <w:rFonts w:ascii="宋体" w:hAnsi="宋体"/>
          <w:sz w:val="24"/>
        </w:rPr>
        <w:sectPr>
          <w:footerReference r:id="rId8" w:type="default"/>
          <w:pgSz w:w="12240" w:h="15840"/>
          <w:pgMar w:top="1440" w:right="1800" w:bottom="1440" w:left="1800" w:header="720" w:footer="720" w:gutter="0"/>
          <w:pgNumType w:start="1"/>
          <w:cols w:space="720" w:num="1"/>
          <w:docGrid w:linePitch="312" w:charSpace="0"/>
        </w:sectPr>
      </w:pPr>
      <w:bookmarkStart w:id="6" w:name="_Toc125892436"/>
      <w:r>
        <w:rPr>
          <w:rFonts w:hint="eastAsia" w:ascii="宋体" w:hAnsi="宋体"/>
          <w:sz w:val="24"/>
        </w:rPr>
        <w:t>除非文义另有所指，本协议的所有术语与《博时中证有色金属矿业主题交易型开放式指数证券投资基金联接基金</w:t>
      </w:r>
      <w:r>
        <w:rPr>
          <w:rFonts w:ascii="宋体" w:hAnsi="宋体"/>
          <w:sz w:val="24"/>
        </w:rPr>
        <w:t>基金合同》（以下简称《基金合同》）中定义的相应术语具有相同的含义。若有抵触应以《基金合同》为准，并依其条款解释。</w:t>
      </w:r>
      <w:bookmarkEnd w:id="6"/>
      <w:bookmarkStart w:id="7" w:name="_Toc35001426"/>
      <w:bookmarkStart w:id="8" w:name="_Toc125892437"/>
    </w:p>
    <w:p w14:paraId="7D450DA3">
      <w:pPr>
        <w:rPr>
          <w:b/>
          <w:bCs/>
        </w:rPr>
      </w:pPr>
      <w:r>
        <w:rPr>
          <w:b/>
          <w:bCs/>
        </w:rPr>
        <w:t>一、基金托管协议当事人</w:t>
      </w:r>
      <w:bookmarkEnd w:id="1"/>
      <w:bookmarkEnd w:id="2"/>
      <w:bookmarkEnd w:id="7"/>
      <w:bookmarkEnd w:id="8"/>
    </w:p>
    <w:p w14:paraId="3E195CC0">
      <w:pPr>
        <w:tabs>
          <w:tab w:val="left" w:pos="3780"/>
        </w:tabs>
        <w:spacing w:line="360" w:lineRule="auto"/>
        <w:outlineLvl w:val="0"/>
        <w:rPr>
          <w:rFonts w:ascii="宋体"/>
          <w:b/>
          <w:bCs/>
          <w:sz w:val="24"/>
        </w:rPr>
      </w:pPr>
      <w:bookmarkStart w:id="9" w:name="_Toc77662992"/>
      <w:bookmarkStart w:id="10" w:name="_Toc22454433"/>
      <w:r>
        <w:rPr>
          <w:rFonts w:ascii="宋体" w:hAnsi="宋体"/>
          <w:b/>
          <w:bCs/>
          <w:sz w:val="24"/>
        </w:rPr>
        <w:t>（一）基金管理人</w:t>
      </w:r>
      <w:bookmarkEnd w:id="9"/>
      <w:bookmarkEnd w:id="10"/>
    </w:p>
    <w:p w14:paraId="51686646">
      <w:pPr>
        <w:spacing w:line="360" w:lineRule="auto"/>
        <w:ind w:firstLine="480"/>
        <w:rPr>
          <w:rFonts w:ascii="宋体" w:hAnsi="宋体"/>
          <w:sz w:val="24"/>
        </w:rPr>
      </w:pPr>
      <w:bookmarkStart w:id="11" w:name="_Toc22454434"/>
      <w:bookmarkStart w:id="12" w:name="_Toc77662993"/>
      <w:r>
        <w:rPr>
          <w:rFonts w:hint="eastAsia" w:ascii="宋体" w:hAnsi="宋体"/>
          <w:sz w:val="24"/>
        </w:rPr>
        <w:t>名称：博时基金管理有限公司</w:t>
      </w:r>
    </w:p>
    <w:p w14:paraId="533BF77D">
      <w:pPr>
        <w:spacing w:line="360" w:lineRule="auto"/>
        <w:ind w:firstLine="480"/>
        <w:rPr>
          <w:rFonts w:ascii="宋体" w:hAnsi="宋体"/>
          <w:sz w:val="24"/>
        </w:rPr>
      </w:pPr>
      <w:r>
        <w:rPr>
          <w:rFonts w:hint="eastAsia" w:ascii="宋体" w:hAnsi="宋体"/>
          <w:sz w:val="24"/>
        </w:rPr>
        <w:t>注册地址：深圳市福田区莲花街道福新社区益田路5999号基金大厦21层</w:t>
      </w:r>
    </w:p>
    <w:p w14:paraId="016CD170">
      <w:pPr>
        <w:spacing w:line="360" w:lineRule="auto"/>
        <w:ind w:firstLine="480"/>
        <w:rPr>
          <w:rFonts w:ascii="宋体" w:hAnsi="宋体"/>
          <w:sz w:val="24"/>
        </w:rPr>
      </w:pPr>
      <w:r>
        <w:rPr>
          <w:rFonts w:hint="eastAsia" w:ascii="宋体" w:hAnsi="宋体"/>
          <w:sz w:val="24"/>
        </w:rPr>
        <w:t>办公地址：广东省深圳市福田区益田路5999号基金大厦21层</w:t>
      </w:r>
    </w:p>
    <w:p w14:paraId="2FABFA54">
      <w:pPr>
        <w:spacing w:line="360" w:lineRule="auto"/>
        <w:ind w:firstLine="480"/>
        <w:rPr>
          <w:rFonts w:ascii="宋体" w:hAnsi="宋体"/>
          <w:sz w:val="24"/>
        </w:rPr>
      </w:pPr>
      <w:r>
        <w:rPr>
          <w:rFonts w:hint="eastAsia" w:ascii="宋体" w:hAnsi="宋体"/>
          <w:sz w:val="24"/>
        </w:rPr>
        <w:t>邮政编码：518040</w:t>
      </w:r>
    </w:p>
    <w:p w14:paraId="7898F9C9">
      <w:pPr>
        <w:spacing w:line="360" w:lineRule="auto"/>
        <w:ind w:firstLine="480"/>
        <w:rPr>
          <w:rFonts w:ascii="宋体" w:hAnsi="宋体"/>
          <w:sz w:val="24"/>
        </w:rPr>
      </w:pPr>
      <w:r>
        <w:rPr>
          <w:rFonts w:hint="eastAsia" w:ascii="宋体" w:hAnsi="宋体"/>
          <w:sz w:val="24"/>
        </w:rPr>
        <w:t>法定代表人：张东</w:t>
      </w:r>
    </w:p>
    <w:p w14:paraId="06D9F923">
      <w:pPr>
        <w:spacing w:line="360" w:lineRule="auto"/>
        <w:ind w:firstLine="480"/>
        <w:rPr>
          <w:rFonts w:ascii="宋体" w:hAnsi="宋体"/>
          <w:sz w:val="24"/>
        </w:rPr>
      </w:pPr>
      <w:r>
        <w:rPr>
          <w:rFonts w:hint="eastAsia" w:ascii="宋体" w:hAnsi="宋体"/>
          <w:sz w:val="24"/>
        </w:rPr>
        <w:t>成立日期：1998年7月13日</w:t>
      </w:r>
    </w:p>
    <w:p w14:paraId="7AD0A7D3">
      <w:pPr>
        <w:spacing w:line="360" w:lineRule="auto"/>
        <w:ind w:firstLine="480"/>
        <w:rPr>
          <w:rFonts w:ascii="宋体" w:hAnsi="宋体"/>
          <w:sz w:val="24"/>
        </w:rPr>
      </w:pPr>
      <w:r>
        <w:rPr>
          <w:rFonts w:hint="eastAsia" w:ascii="宋体" w:hAnsi="宋体"/>
          <w:sz w:val="24"/>
        </w:rPr>
        <w:t>批准设立机关及批准设立文号：中国证监会证监基字【1998】26号</w:t>
      </w:r>
    </w:p>
    <w:p w14:paraId="03DDFD5E">
      <w:pPr>
        <w:spacing w:line="360" w:lineRule="auto"/>
        <w:ind w:firstLine="480"/>
        <w:rPr>
          <w:rFonts w:ascii="宋体" w:hAnsi="宋体"/>
          <w:sz w:val="24"/>
        </w:rPr>
      </w:pPr>
      <w:r>
        <w:rPr>
          <w:rFonts w:hint="eastAsia" w:ascii="宋体" w:hAnsi="宋体"/>
          <w:sz w:val="24"/>
        </w:rPr>
        <w:t>组织形式：有限责任公司</w:t>
      </w:r>
    </w:p>
    <w:p w14:paraId="792B4C53">
      <w:pPr>
        <w:spacing w:line="360" w:lineRule="auto"/>
        <w:ind w:firstLine="480"/>
        <w:rPr>
          <w:rFonts w:ascii="宋体" w:hAnsi="宋体"/>
          <w:sz w:val="24"/>
        </w:rPr>
      </w:pPr>
      <w:r>
        <w:rPr>
          <w:rFonts w:hint="eastAsia" w:ascii="宋体" w:hAnsi="宋体"/>
          <w:sz w:val="24"/>
        </w:rPr>
        <w:t>注册资本：2.5亿元人民币</w:t>
      </w:r>
    </w:p>
    <w:p w14:paraId="3F770D81">
      <w:pPr>
        <w:spacing w:line="360" w:lineRule="auto"/>
        <w:ind w:firstLine="480"/>
        <w:rPr>
          <w:rFonts w:ascii="宋体" w:hAnsi="宋体"/>
          <w:sz w:val="24"/>
        </w:rPr>
      </w:pPr>
      <w:r>
        <w:rPr>
          <w:rFonts w:hint="eastAsia" w:ascii="宋体" w:hAnsi="宋体"/>
          <w:sz w:val="24"/>
        </w:rPr>
        <w:t>存续期间：持续经营</w:t>
      </w:r>
    </w:p>
    <w:p w14:paraId="31A0C6A5">
      <w:pPr>
        <w:spacing w:line="360" w:lineRule="auto"/>
        <w:ind w:firstLine="480"/>
        <w:rPr>
          <w:rFonts w:ascii="宋体"/>
          <w:sz w:val="24"/>
        </w:rPr>
      </w:pPr>
      <w:r>
        <w:rPr>
          <w:rFonts w:hint="eastAsia" w:ascii="宋体" w:hAnsi="宋体"/>
          <w:sz w:val="24"/>
        </w:rPr>
        <w:t>经营范围：基金募集；基金销售；资产管理以及中国证监会许可的其它业务。</w:t>
      </w:r>
    </w:p>
    <w:p w14:paraId="4A355ADB">
      <w:pPr>
        <w:tabs>
          <w:tab w:val="left" w:pos="3780"/>
        </w:tabs>
        <w:spacing w:line="360" w:lineRule="auto"/>
        <w:outlineLvl w:val="0"/>
        <w:rPr>
          <w:rFonts w:ascii="宋体"/>
          <w:b/>
          <w:bCs/>
          <w:sz w:val="24"/>
        </w:rPr>
      </w:pPr>
      <w:r>
        <w:rPr>
          <w:rFonts w:ascii="宋体" w:hAnsi="宋体"/>
          <w:b/>
          <w:bCs/>
          <w:sz w:val="24"/>
        </w:rPr>
        <w:t>（二）基金托管人</w:t>
      </w:r>
      <w:bookmarkEnd w:id="11"/>
      <w:bookmarkEnd w:id="12"/>
    </w:p>
    <w:p w14:paraId="3D6E016D">
      <w:pPr>
        <w:spacing w:line="360" w:lineRule="auto"/>
        <w:ind w:firstLine="480"/>
        <w:rPr>
          <w:rFonts w:ascii="宋体"/>
          <w:sz w:val="24"/>
        </w:rPr>
      </w:pPr>
      <w:r>
        <w:rPr>
          <w:rFonts w:hint="eastAsia" w:ascii="宋体" w:hAnsi="宋体"/>
          <w:sz w:val="24"/>
        </w:rPr>
        <w:t>名称：交通银行股份有限公司（简称：交通银行）</w:t>
      </w:r>
    </w:p>
    <w:p w14:paraId="3B8FAB1A">
      <w:pPr>
        <w:spacing w:line="360" w:lineRule="auto"/>
        <w:ind w:firstLine="480"/>
        <w:rPr>
          <w:rFonts w:ascii="宋体"/>
          <w:sz w:val="24"/>
        </w:rPr>
      </w:pPr>
      <w:r>
        <w:rPr>
          <w:rFonts w:hint="eastAsia" w:ascii="宋体" w:hAnsi="宋体"/>
          <w:sz w:val="24"/>
        </w:rPr>
        <w:t>住所：</w:t>
      </w:r>
      <w:bookmarkStart w:id="13" w:name="_Hlk104923426"/>
      <w:r>
        <w:rPr>
          <w:rFonts w:hint="eastAsia" w:ascii="宋体" w:hAnsi="宋体"/>
          <w:sz w:val="24"/>
        </w:rPr>
        <w:t>中国（上海）自由贸易试验区银城中路</w:t>
      </w:r>
      <w:r>
        <w:rPr>
          <w:rFonts w:ascii="宋体" w:hAnsi="宋体"/>
          <w:sz w:val="24"/>
        </w:rPr>
        <w:t>188</w:t>
      </w:r>
      <w:r>
        <w:rPr>
          <w:rFonts w:hint="eastAsia" w:ascii="宋体" w:hAnsi="宋体"/>
          <w:sz w:val="24"/>
        </w:rPr>
        <w:t>号</w:t>
      </w:r>
      <w:bookmarkEnd w:id="13"/>
    </w:p>
    <w:p w14:paraId="15FCBEF9">
      <w:pPr>
        <w:spacing w:line="360" w:lineRule="auto"/>
        <w:ind w:firstLine="480"/>
        <w:rPr>
          <w:rFonts w:ascii="宋体"/>
          <w:sz w:val="24"/>
        </w:rPr>
      </w:pPr>
      <w:r>
        <w:rPr>
          <w:rFonts w:hint="eastAsia" w:ascii="宋体" w:hAnsi="宋体"/>
          <w:sz w:val="24"/>
        </w:rPr>
        <w:t>办公地址：上海市长宁区仙霞路</w:t>
      </w:r>
      <w:r>
        <w:rPr>
          <w:rFonts w:ascii="宋体" w:hAnsi="宋体"/>
          <w:sz w:val="24"/>
        </w:rPr>
        <w:t>18</w:t>
      </w:r>
      <w:r>
        <w:rPr>
          <w:rFonts w:hint="eastAsia" w:ascii="宋体" w:hAnsi="宋体"/>
          <w:sz w:val="24"/>
        </w:rPr>
        <w:t>号（邮政编码：</w:t>
      </w:r>
      <w:r>
        <w:rPr>
          <w:rFonts w:ascii="宋体" w:hAnsi="宋体"/>
          <w:sz w:val="24"/>
        </w:rPr>
        <w:t>200336</w:t>
      </w:r>
      <w:r>
        <w:rPr>
          <w:rFonts w:hint="eastAsia" w:ascii="宋体" w:hAnsi="宋体"/>
          <w:sz w:val="24"/>
        </w:rPr>
        <w:t>）</w:t>
      </w:r>
    </w:p>
    <w:p w14:paraId="1E52223A">
      <w:pPr>
        <w:spacing w:line="360" w:lineRule="auto"/>
        <w:ind w:firstLine="480"/>
        <w:rPr>
          <w:rFonts w:ascii="宋体"/>
          <w:sz w:val="24"/>
        </w:rPr>
      </w:pPr>
      <w:r>
        <w:rPr>
          <w:rFonts w:hint="eastAsia" w:ascii="宋体" w:hAnsi="宋体"/>
          <w:sz w:val="24"/>
        </w:rPr>
        <w:t>法定代表人：任德奇</w:t>
      </w:r>
    </w:p>
    <w:p w14:paraId="69343CFE">
      <w:pPr>
        <w:spacing w:line="360" w:lineRule="auto"/>
        <w:ind w:firstLine="480"/>
        <w:rPr>
          <w:rFonts w:ascii="宋体"/>
          <w:sz w:val="24"/>
        </w:rPr>
      </w:pPr>
      <w:r>
        <w:rPr>
          <w:rFonts w:hint="eastAsia" w:ascii="宋体" w:hAnsi="宋体"/>
          <w:sz w:val="24"/>
        </w:rPr>
        <w:t>成立时间：</w:t>
      </w:r>
      <w:r>
        <w:rPr>
          <w:rFonts w:ascii="宋体" w:hAnsi="宋体"/>
          <w:sz w:val="24"/>
        </w:rPr>
        <w:t>1987</w:t>
      </w:r>
      <w:r>
        <w:rPr>
          <w:rFonts w:hint="eastAsia" w:ascii="宋体" w:hAnsi="宋体"/>
          <w:sz w:val="24"/>
        </w:rPr>
        <w:t>年</w:t>
      </w:r>
      <w:r>
        <w:rPr>
          <w:rFonts w:ascii="宋体" w:hAnsi="宋体"/>
          <w:sz w:val="24"/>
        </w:rPr>
        <w:t>3</w:t>
      </w:r>
      <w:r>
        <w:rPr>
          <w:rFonts w:hint="eastAsia" w:ascii="宋体" w:hAnsi="宋体"/>
          <w:sz w:val="24"/>
        </w:rPr>
        <w:t>月</w:t>
      </w:r>
      <w:r>
        <w:rPr>
          <w:rFonts w:ascii="宋体" w:hAnsi="宋体"/>
          <w:sz w:val="24"/>
        </w:rPr>
        <w:t>30</w:t>
      </w:r>
      <w:r>
        <w:rPr>
          <w:rFonts w:hint="eastAsia" w:ascii="宋体" w:hAnsi="宋体"/>
          <w:sz w:val="24"/>
        </w:rPr>
        <w:t>日</w:t>
      </w:r>
    </w:p>
    <w:p w14:paraId="7F5B3C61">
      <w:pPr>
        <w:spacing w:line="360" w:lineRule="auto"/>
        <w:ind w:firstLine="480"/>
        <w:rPr>
          <w:rFonts w:ascii="宋体"/>
          <w:sz w:val="24"/>
        </w:rPr>
      </w:pPr>
      <w:r>
        <w:rPr>
          <w:rFonts w:hint="eastAsia" w:ascii="宋体" w:hAnsi="宋体"/>
          <w:sz w:val="24"/>
        </w:rPr>
        <w:t>批准设立机关及批准设立文号：国务院国发</w:t>
      </w:r>
      <w:r>
        <w:rPr>
          <w:rFonts w:ascii="宋体" w:hAnsi="宋体"/>
          <w:sz w:val="24"/>
        </w:rPr>
        <w:t>(1986)</w:t>
      </w:r>
      <w:r>
        <w:rPr>
          <w:rFonts w:hint="eastAsia" w:ascii="宋体" w:hAnsi="宋体"/>
          <w:sz w:val="24"/>
        </w:rPr>
        <w:t>字第</w:t>
      </w:r>
      <w:r>
        <w:rPr>
          <w:rFonts w:ascii="宋体" w:hAnsi="宋体"/>
          <w:sz w:val="24"/>
        </w:rPr>
        <w:t xml:space="preserve">81 </w:t>
      </w:r>
      <w:r>
        <w:rPr>
          <w:rFonts w:hint="eastAsia" w:ascii="宋体" w:hAnsi="宋体"/>
          <w:sz w:val="24"/>
        </w:rPr>
        <w:t>号文和中国人民银行银发［</w:t>
      </w:r>
      <w:r>
        <w:rPr>
          <w:rFonts w:ascii="宋体" w:hAnsi="宋体"/>
          <w:sz w:val="24"/>
        </w:rPr>
        <w:t>1987</w:t>
      </w:r>
      <w:r>
        <w:rPr>
          <w:rFonts w:hint="eastAsia" w:ascii="宋体" w:hAnsi="宋体"/>
          <w:sz w:val="24"/>
        </w:rPr>
        <w:t>］</w:t>
      </w:r>
      <w:r>
        <w:rPr>
          <w:rFonts w:ascii="宋体" w:hAnsi="宋体"/>
          <w:sz w:val="24"/>
        </w:rPr>
        <w:t>40</w:t>
      </w:r>
      <w:r>
        <w:rPr>
          <w:rFonts w:hint="eastAsia" w:ascii="宋体" w:hAnsi="宋体"/>
          <w:sz w:val="24"/>
        </w:rPr>
        <w:t>号文</w:t>
      </w:r>
    </w:p>
    <w:p w14:paraId="3D549607">
      <w:pPr>
        <w:spacing w:line="360" w:lineRule="auto"/>
        <w:ind w:firstLine="480"/>
        <w:rPr>
          <w:rFonts w:ascii="宋体"/>
          <w:sz w:val="24"/>
        </w:rPr>
      </w:pPr>
      <w:r>
        <w:rPr>
          <w:rFonts w:hint="eastAsia" w:ascii="宋体" w:hAnsi="宋体"/>
          <w:sz w:val="24"/>
        </w:rPr>
        <w:t>基金托管业务批准文号：中国证监会证监基字［</w:t>
      </w:r>
      <w:r>
        <w:rPr>
          <w:rFonts w:ascii="宋体" w:hAnsi="宋体"/>
          <w:sz w:val="24"/>
        </w:rPr>
        <w:t>1998</w:t>
      </w:r>
      <w:r>
        <w:rPr>
          <w:rFonts w:hint="eastAsia" w:ascii="宋体" w:hAnsi="宋体"/>
          <w:sz w:val="24"/>
        </w:rPr>
        <w:t>］</w:t>
      </w:r>
      <w:r>
        <w:rPr>
          <w:rFonts w:ascii="宋体" w:hAnsi="宋体"/>
          <w:sz w:val="24"/>
        </w:rPr>
        <w:t>25</w:t>
      </w:r>
      <w:r>
        <w:rPr>
          <w:rFonts w:hint="eastAsia" w:ascii="宋体" w:hAnsi="宋体"/>
          <w:sz w:val="24"/>
        </w:rPr>
        <w:t>号</w:t>
      </w:r>
    </w:p>
    <w:p w14:paraId="6CDBE843">
      <w:pPr>
        <w:spacing w:line="360" w:lineRule="auto"/>
        <w:ind w:firstLine="480"/>
        <w:rPr>
          <w:rFonts w:ascii="宋体"/>
          <w:sz w:val="24"/>
        </w:rPr>
      </w:pPr>
      <w:r>
        <w:rPr>
          <w:rFonts w:hint="eastAsia"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业务；提供保管箱服务；经国务院银行业监督管理机构批准的其他业务；经营结汇、售汇业务。</w:t>
      </w:r>
    </w:p>
    <w:p w14:paraId="65B9EB0E">
      <w:pPr>
        <w:spacing w:line="360" w:lineRule="auto"/>
        <w:ind w:firstLine="480"/>
        <w:rPr>
          <w:rFonts w:ascii="宋体"/>
          <w:sz w:val="24"/>
        </w:rPr>
      </w:pPr>
      <w:r>
        <w:rPr>
          <w:rFonts w:hint="eastAsia" w:ascii="宋体" w:hAnsi="宋体"/>
          <w:sz w:val="24"/>
        </w:rPr>
        <w:t>注册资本：883.64亿元人民币</w:t>
      </w:r>
    </w:p>
    <w:p w14:paraId="728FAC5B">
      <w:pPr>
        <w:spacing w:line="360" w:lineRule="auto"/>
        <w:ind w:firstLine="480"/>
        <w:rPr>
          <w:rFonts w:ascii="宋体"/>
          <w:sz w:val="24"/>
        </w:rPr>
      </w:pPr>
      <w:r>
        <w:rPr>
          <w:rFonts w:hint="eastAsia" w:ascii="宋体" w:hAnsi="宋体"/>
          <w:sz w:val="24"/>
        </w:rPr>
        <w:t>组织形式：股份有限公司</w:t>
      </w:r>
    </w:p>
    <w:p w14:paraId="5D34D5CA">
      <w:pPr>
        <w:spacing w:line="360" w:lineRule="auto"/>
        <w:ind w:firstLine="480"/>
        <w:rPr>
          <w:rFonts w:ascii="宋体"/>
          <w:sz w:val="24"/>
        </w:rPr>
      </w:pPr>
      <w:r>
        <w:rPr>
          <w:rFonts w:hint="eastAsia" w:ascii="宋体" w:hAnsi="宋体"/>
          <w:sz w:val="24"/>
        </w:rPr>
        <w:t>存续期间：持续经营</w:t>
      </w:r>
    </w:p>
    <w:p w14:paraId="601AACA5">
      <w:pPr>
        <w:pStyle w:val="214"/>
      </w:pPr>
      <w:bookmarkStart w:id="14" w:name="_Toc466788852"/>
      <w:bookmarkStart w:id="15" w:name="_Toc523829993"/>
      <w:bookmarkStart w:id="16" w:name="_Toc35001427"/>
      <w:bookmarkStart w:id="17" w:name="_Toc22454435"/>
      <w:bookmarkStart w:id="18" w:name="_Toc125892438"/>
      <w:r>
        <w:t>二、基金托管协议的依据、目的和原则</w:t>
      </w:r>
      <w:bookmarkEnd w:id="14"/>
      <w:bookmarkEnd w:id="15"/>
      <w:bookmarkEnd w:id="16"/>
      <w:bookmarkEnd w:id="17"/>
      <w:bookmarkEnd w:id="18"/>
    </w:p>
    <w:p w14:paraId="52B5C77B">
      <w:pPr>
        <w:spacing w:line="360" w:lineRule="auto"/>
        <w:ind w:firstLine="480"/>
        <w:rPr>
          <w:rFonts w:ascii="宋体"/>
          <w:sz w:val="24"/>
        </w:rPr>
      </w:pPr>
      <w:r>
        <w:rPr>
          <w:rFonts w:hint="eastAsia" w:ascii="宋体" w:hAnsi="宋体"/>
          <w:sz w:val="24"/>
        </w:rPr>
        <w:t>本协议依据《中华人民共和国证券投资基金法》（以下简称《基金法》）、《公开募集证券投资基金销售机构监督管理办法》（以下简称《销售办法》）、《公开募集证券投资基金运作管理办法》（以下简称《运作办法》）、《公开募集证券投资基金信息披露管理办法》（以下简称《信息披露办法》）、《公开募集证券投资基金运作指引第2号——基金中基金指引》、《公开募集开放式证券投资基金流动性风险管理规定》、《公开募集证券投资基金运作指引第3号——指数基金指引》、《博时中证有色金属矿业主题交易型开放式指数证券投资基金联接基金基金合同》（以下简称《基金合同》）及其他有关规定订立。</w:t>
      </w:r>
    </w:p>
    <w:p w14:paraId="30EEDBF4">
      <w:pPr>
        <w:spacing w:line="360" w:lineRule="auto"/>
        <w:ind w:firstLine="480"/>
        <w:rPr>
          <w:rFonts w:ascii="宋体"/>
          <w:sz w:val="24"/>
        </w:rPr>
      </w:pPr>
      <w:r>
        <w:rPr>
          <w:rFonts w:hint="eastAsia" w:ascii="宋体" w:hAnsi="宋体"/>
          <w:sz w:val="24"/>
        </w:rPr>
        <w:t>本协议的目的是明确基金管理人和基金托管人之间在基金财产的保管、投资运作、净值计算、收益分配、信息披露及相互监督等有关事宜中的权利、义务及职责，以确保基金财产的安全，保护基金份额持有人的合法权益。</w:t>
      </w:r>
    </w:p>
    <w:p w14:paraId="2E6F3DED">
      <w:pPr>
        <w:spacing w:line="360" w:lineRule="auto"/>
        <w:ind w:firstLine="480"/>
        <w:rPr>
          <w:rFonts w:ascii="宋体"/>
          <w:sz w:val="24"/>
        </w:rPr>
      </w:pPr>
      <w:r>
        <w:rPr>
          <w:rFonts w:hint="eastAsia" w:ascii="宋体" w:hAnsi="宋体"/>
          <w:sz w:val="24"/>
        </w:rPr>
        <w:t>基金管理人和基金托管人遵循平等自愿、诚实信用、充分保护投资者合法利益的原则，经协商一致，签订本协议。</w:t>
      </w:r>
    </w:p>
    <w:p w14:paraId="1F6D165D">
      <w:pPr>
        <w:pStyle w:val="214"/>
        <w:rPr>
          <w:rFonts w:hAnsi="宋体"/>
          <w:b w:val="0"/>
          <w:bCs/>
        </w:rPr>
      </w:pPr>
      <w:bookmarkStart w:id="19" w:name="_Toc466788853"/>
      <w:bookmarkStart w:id="20" w:name="_Toc125892439"/>
      <w:bookmarkStart w:id="21" w:name="_Toc22454436"/>
      <w:bookmarkStart w:id="22" w:name="_Toc35001428"/>
      <w:bookmarkStart w:id="23" w:name="_Toc523829994"/>
      <w:r>
        <w:rPr>
          <w:rFonts w:hint="eastAsia"/>
        </w:rPr>
        <w:t>三、基金托管人对基金管理人</w:t>
      </w:r>
      <w:bookmarkEnd w:id="19"/>
      <w:r>
        <w:t>的业务监督和核查</w:t>
      </w:r>
      <w:bookmarkEnd w:id="20"/>
      <w:bookmarkEnd w:id="21"/>
      <w:bookmarkEnd w:id="22"/>
      <w:bookmarkEnd w:id="23"/>
    </w:p>
    <w:p w14:paraId="2DFC6F9B">
      <w:pPr>
        <w:tabs>
          <w:tab w:val="left" w:pos="3780"/>
        </w:tabs>
        <w:spacing w:line="360" w:lineRule="auto"/>
        <w:outlineLvl w:val="0"/>
        <w:rPr>
          <w:rFonts w:ascii="宋体"/>
          <w:b/>
          <w:bCs/>
          <w:sz w:val="24"/>
        </w:rPr>
      </w:pPr>
      <w:r>
        <w:rPr>
          <w:rFonts w:hint="eastAsia" w:ascii="宋体" w:hAnsi="宋体"/>
          <w:b/>
          <w:bCs/>
          <w:sz w:val="24"/>
        </w:rPr>
        <w:t>（一）基金托管人对基金管理人的投资行为行使监督权</w:t>
      </w:r>
    </w:p>
    <w:p w14:paraId="3CAB7FCA">
      <w:pPr>
        <w:tabs>
          <w:tab w:val="left" w:pos="3780"/>
        </w:tabs>
        <w:spacing w:line="360" w:lineRule="auto"/>
        <w:ind w:firstLine="472"/>
        <w:outlineLvl w:val="0"/>
        <w:rPr>
          <w:rFonts w:ascii="宋体"/>
          <w:b/>
          <w:bCs/>
          <w:sz w:val="24"/>
        </w:rPr>
      </w:pPr>
      <w:r>
        <w:rPr>
          <w:rFonts w:ascii="宋体" w:hAnsi="宋体"/>
          <w:b/>
          <w:bCs/>
          <w:sz w:val="24"/>
        </w:rPr>
        <w:t>1.</w:t>
      </w:r>
      <w:r>
        <w:rPr>
          <w:rFonts w:hint="eastAsia" w:ascii="宋体" w:hAnsi="宋体"/>
          <w:b/>
          <w:bCs/>
          <w:sz w:val="24"/>
        </w:rPr>
        <w:t>基金托管人根据有关法律法规的规定及《基金合同》和本协议的约定，对基金的投资范围、投资对象进行监督。</w:t>
      </w:r>
    </w:p>
    <w:p w14:paraId="3607E625">
      <w:pPr>
        <w:spacing w:line="360" w:lineRule="auto"/>
        <w:ind w:firstLine="480"/>
        <w:rPr>
          <w:bCs/>
          <w:sz w:val="24"/>
        </w:rPr>
      </w:pPr>
      <w:bookmarkStart w:id="24" w:name="_Hlk104923575"/>
      <w:r>
        <w:rPr>
          <w:rFonts w:hint="eastAsia"/>
          <w:bCs/>
          <w:sz w:val="24"/>
        </w:rPr>
        <w:t>本基金主要投资于目标ETF、标的指数成份股和备选成份股（含存托凭证）。</w:t>
      </w:r>
    </w:p>
    <w:p w14:paraId="28D7E917">
      <w:pPr>
        <w:spacing w:line="360" w:lineRule="auto"/>
        <w:ind w:firstLine="480"/>
        <w:rPr>
          <w:bCs/>
          <w:sz w:val="24"/>
        </w:rPr>
      </w:pPr>
      <w:r>
        <w:rPr>
          <w:bCs/>
          <w:sz w:val="24"/>
        </w:rPr>
        <w:t>为更好地实现基金的投资目标，本基金可能会少量投资于依法发行上市的非成份股（包括创业板及其他经中国证监会核准或注册上市的股票、存托凭证）、港股通标的股票、债券（包括国债、金融债、地方政府债、政府支持机构债券、政府支持债券、企业债、公司债、可转换债券（含分离交易可转债的纯债部分）、可交换债券、央行票据、短期融资券、超短期融资券、中期票据、公开发行的次级债等）、资产支持证券、衍生工具（股指期货、国债期货、股票期权）、债券回购、货币市场工具（包括银行存款、同业存单等）以及法律法规或中国证监会允许基金投资的其他金融工具（但须符合中国证监会的相关规定）。</w:t>
      </w:r>
    </w:p>
    <w:p w14:paraId="5FA763E2">
      <w:pPr>
        <w:spacing w:line="360" w:lineRule="auto"/>
        <w:ind w:firstLine="480"/>
        <w:rPr>
          <w:bCs/>
          <w:sz w:val="24"/>
        </w:rPr>
      </w:pPr>
      <w:r>
        <w:rPr>
          <w:rFonts w:hint="eastAsia"/>
          <w:bCs/>
          <w:sz w:val="24"/>
        </w:rPr>
        <w:t>本基金将根据法律法规的规定参与融资及转融通证券出借业务。未来在法律法规允许的前提下，本基金可根据相关法律法规规定参与融券业务。</w:t>
      </w:r>
    </w:p>
    <w:p w14:paraId="2F7ACF11">
      <w:pPr>
        <w:spacing w:line="360" w:lineRule="auto"/>
        <w:ind w:firstLine="480"/>
        <w:rPr>
          <w:bCs/>
          <w:sz w:val="24"/>
        </w:rPr>
      </w:pPr>
      <w:r>
        <w:rPr>
          <w:rFonts w:hint="eastAsia"/>
          <w:bCs/>
          <w:sz w:val="24"/>
        </w:rPr>
        <w:t>本基金根据相关法律法规或中国证监会要求履行相关手续后，还可以投资于法律法规或中国证监会未来允许基金投资的其他金融工具。</w:t>
      </w:r>
    </w:p>
    <w:p w14:paraId="229EC4E9">
      <w:pPr>
        <w:spacing w:line="360" w:lineRule="auto"/>
        <w:ind w:firstLine="480"/>
        <w:rPr>
          <w:bCs/>
          <w:sz w:val="24"/>
        </w:rPr>
      </w:pPr>
      <w:r>
        <w:rPr>
          <w:rFonts w:hint="eastAsia" w:ascii="宋体" w:cs="宋体"/>
          <w:sz w:val="24"/>
        </w:rPr>
        <w:t>本基金投资于目标ETF的资产比例不低于基金资产净值的90%，且不低于非现金基金资产的80%</w:t>
      </w:r>
      <w:r>
        <w:rPr>
          <w:rFonts w:hint="eastAsia"/>
          <w:bCs/>
          <w:sz w:val="24"/>
        </w:rPr>
        <w:t>，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14:paraId="50ED59DC">
      <w:pPr>
        <w:spacing w:line="360" w:lineRule="auto"/>
        <w:ind w:firstLine="480"/>
        <w:rPr>
          <w:rFonts w:ascii="宋体"/>
          <w:sz w:val="24"/>
        </w:rPr>
      </w:pPr>
      <w:r>
        <w:rPr>
          <w:rFonts w:hint="eastAsia"/>
          <w:bCs/>
          <w:sz w:val="24"/>
        </w:rPr>
        <w:t>若法律法规的相关规定发生变更或监管机构允许，本基金管理人在履行适当程序后，可对上述资产配置比例进行调整。</w:t>
      </w:r>
      <w:bookmarkEnd w:id="24"/>
    </w:p>
    <w:p w14:paraId="1C9003B1">
      <w:pPr>
        <w:tabs>
          <w:tab w:val="left" w:pos="3780"/>
        </w:tabs>
        <w:spacing w:line="360" w:lineRule="auto"/>
        <w:ind w:firstLine="354"/>
        <w:outlineLvl w:val="0"/>
        <w:rPr>
          <w:rFonts w:ascii="宋体"/>
          <w:b/>
          <w:bCs/>
          <w:sz w:val="24"/>
        </w:rPr>
      </w:pPr>
      <w:r>
        <w:rPr>
          <w:rFonts w:hint="eastAsia" w:ascii="宋体" w:hAnsi="宋体"/>
          <w:b/>
          <w:bCs/>
          <w:sz w:val="24"/>
        </w:rPr>
        <w:t>2</w:t>
      </w:r>
      <w:r>
        <w:rPr>
          <w:rFonts w:ascii="宋体" w:hAnsi="宋体"/>
          <w:b/>
          <w:bCs/>
          <w:sz w:val="24"/>
        </w:rPr>
        <w:t>.</w:t>
      </w:r>
      <w:r>
        <w:rPr>
          <w:rFonts w:hint="eastAsia" w:ascii="宋体" w:hAnsi="宋体"/>
          <w:b/>
          <w:bCs/>
          <w:sz w:val="24"/>
        </w:rPr>
        <w:t>基金托管人根据有关法律法规的规定及《基金合同》和本协议的约定，对基金投资、融资比例进行监督。</w:t>
      </w:r>
    </w:p>
    <w:p w14:paraId="088676C3">
      <w:pPr>
        <w:tabs>
          <w:tab w:val="left" w:pos="1260"/>
        </w:tabs>
        <w:spacing w:line="336" w:lineRule="auto"/>
        <w:ind w:firstLine="480"/>
        <w:rPr>
          <w:rFonts w:ascii="宋体" w:hAnsi="宋体"/>
          <w:sz w:val="24"/>
        </w:rPr>
      </w:pPr>
      <w:bookmarkStart w:id="25" w:name="_Hlk104923667"/>
      <w:r>
        <w:rPr>
          <w:rFonts w:hint="eastAsia" w:ascii="宋体" w:hAnsi="宋体"/>
          <w:sz w:val="24"/>
        </w:rPr>
        <w:t>基金的投资组合应遵循以下限制：</w:t>
      </w:r>
    </w:p>
    <w:p w14:paraId="1EB3C448">
      <w:pPr>
        <w:tabs>
          <w:tab w:val="left" w:pos="1260"/>
        </w:tabs>
        <w:spacing w:line="336" w:lineRule="auto"/>
        <w:ind w:firstLine="480"/>
        <w:rPr>
          <w:rFonts w:ascii="宋体" w:hAnsi="宋体"/>
          <w:sz w:val="24"/>
        </w:rPr>
      </w:pPr>
      <w:r>
        <w:rPr>
          <w:rFonts w:hint="eastAsia" w:ascii="宋体" w:hAnsi="宋体"/>
          <w:sz w:val="24"/>
        </w:rPr>
        <w:t>（1）</w:t>
      </w:r>
      <w:r>
        <w:rPr>
          <w:rFonts w:hint="eastAsia" w:ascii="宋体" w:cs="宋体"/>
          <w:sz w:val="24"/>
        </w:rPr>
        <w:t>本基金投资于目标ETF的资产比例不低于基金资产净值的90%，且不低于非现金基金资产的80%</w:t>
      </w:r>
      <w:r>
        <w:rPr>
          <w:rFonts w:hint="eastAsia" w:ascii="宋体" w:hAnsi="宋体"/>
          <w:sz w:val="24"/>
        </w:rPr>
        <w:t>，投资港股通标的股票的比例不超过本基金股票资产的10%；</w:t>
      </w:r>
    </w:p>
    <w:p w14:paraId="3DF95925">
      <w:pPr>
        <w:tabs>
          <w:tab w:val="left" w:pos="1260"/>
        </w:tabs>
        <w:spacing w:line="336" w:lineRule="auto"/>
        <w:ind w:firstLine="480"/>
        <w:rPr>
          <w:rFonts w:ascii="宋体" w:hAnsi="宋体"/>
          <w:sz w:val="24"/>
        </w:rPr>
      </w:pPr>
      <w:r>
        <w:rPr>
          <w:rFonts w:hint="eastAsia" w:ascii="宋体" w:hAnsi="宋体"/>
          <w:sz w:val="24"/>
        </w:rPr>
        <w:t>（2）每个交易日日终在扣除股指期货、股票期权和国债期货合约需缴纳的交易保证金后，保持不低于基金资产净值5%的现金或者到期日在一年以内的政府债券，其中现金不包括结算备付金、存出保证金和应收申购款等；</w:t>
      </w:r>
    </w:p>
    <w:p w14:paraId="32509398">
      <w:pPr>
        <w:tabs>
          <w:tab w:val="left" w:pos="1260"/>
        </w:tabs>
        <w:spacing w:line="336" w:lineRule="auto"/>
        <w:ind w:firstLine="480"/>
        <w:rPr>
          <w:rFonts w:ascii="宋体" w:hAnsi="宋体"/>
          <w:sz w:val="24"/>
        </w:rPr>
      </w:pPr>
      <w:r>
        <w:rPr>
          <w:rFonts w:hint="eastAsia" w:ascii="宋体" w:hAnsi="宋体"/>
          <w:sz w:val="24"/>
        </w:rPr>
        <w:t>（3）本基金持有一家公司发行的证券，其市值（若同时持有一家公司发行的A股和H股，则为A股与H股合计市值）不超过基金资产净值的10%，但完全按照标的指数的构成比例进行投资的部分不受此限制；</w:t>
      </w:r>
    </w:p>
    <w:p w14:paraId="3E8063AF">
      <w:pPr>
        <w:tabs>
          <w:tab w:val="left" w:pos="1260"/>
        </w:tabs>
        <w:spacing w:line="336" w:lineRule="auto"/>
        <w:ind w:firstLine="480"/>
        <w:rPr>
          <w:rFonts w:ascii="宋体" w:hAnsi="宋体"/>
          <w:sz w:val="24"/>
        </w:rPr>
      </w:pPr>
      <w:r>
        <w:rPr>
          <w:rFonts w:hint="eastAsia" w:ascii="宋体" w:hAnsi="宋体"/>
          <w:sz w:val="24"/>
        </w:rPr>
        <w:t>（4）本基金管理人管理的全部基金持有一家公司发行的证券，不超过该证券（若同时持有一家公司发行的A股和H股，则为A股与H股合计市值）的10%，但完全按照标的指数的构成比例进行投资的部分不受此限制；</w:t>
      </w:r>
    </w:p>
    <w:p w14:paraId="3FD52C1E">
      <w:pPr>
        <w:tabs>
          <w:tab w:val="left" w:pos="1260"/>
        </w:tabs>
        <w:spacing w:line="336" w:lineRule="auto"/>
        <w:ind w:firstLine="480"/>
        <w:rPr>
          <w:rFonts w:ascii="宋体" w:hAnsi="宋体"/>
          <w:sz w:val="24"/>
        </w:rPr>
      </w:pPr>
      <w:r>
        <w:rPr>
          <w:rFonts w:hint="eastAsia" w:ascii="宋体" w:hAnsi="宋体"/>
          <w:sz w:val="24"/>
        </w:rPr>
        <w:t>（5）本基金资产总值不得超过基金资产净值的140%；</w:t>
      </w:r>
    </w:p>
    <w:p w14:paraId="36B601DF">
      <w:pPr>
        <w:tabs>
          <w:tab w:val="left" w:pos="1260"/>
        </w:tabs>
        <w:spacing w:line="336" w:lineRule="auto"/>
        <w:ind w:firstLine="480"/>
        <w:rPr>
          <w:rFonts w:ascii="宋体" w:hAnsi="宋体"/>
          <w:sz w:val="24"/>
        </w:rPr>
      </w:pPr>
      <w:r>
        <w:rPr>
          <w:rFonts w:hint="eastAsia" w:ascii="宋体" w:hAnsi="宋体"/>
          <w:sz w:val="24"/>
        </w:rPr>
        <w:t>（6）本基金进入全国银行间同业市场进行债券回购的资金余额不得超过基金资产净值的40%，在全国银行间同业市场中进行的债券回购期限不得超过1年，债券回购到期后不得展期；</w:t>
      </w:r>
    </w:p>
    <w:p w14:paraId="081E62E3">
      <w:pPr>
        <w:tabs>
          <w:tab w:val="left" w:pos="1260"/>
        </w:tabs>
        <w:spacing w:line="336" w:lineRule="auto"/>
        <w:ind w:firstLine="480"/>
        <w:rPr>
          <w:rFonts w:ascii="宋体" w:hAnsi="宋体"/>
          <w:sz w:val="24"/>
        </w:rPr>
      </w:pPr>
      <w:r>
        <w:rPr>
          <w:rFonts w:hint="eastAsia" w:ascii="宋体" w:hAnsi="宋体"/>
          <w:sz w:val="24"/>
        </w:rPr>
        <w:t>（7）本基金投资于同一原始权益人的各类资产支持证券的比例，不得超过基金资产净值的10%；</w:t>
      </w:r>
    </w:p>
    <w:p w14:paraId="40336800">
      <w:pPr>
        <w:tabs>
          <w:tab w:val="left" w:pos="1260"/>
        </w:tabs>
        <w:spacing w:line="336" w:lineRule="auto"/>
        <w:ind w:firstLine="480"/>
        <w:rPr>
          <w:rFonts w:ascii="宋体" w:hAnsi="宋体"/>
          <w:sz w:val="24"/>
        </w:rPr>
      </w:pPr>
      <w:r>
        <w:rPr>
          <w:rFonts w:hint="eastAsia" w:ascii="宋体" w:hAnsi="宋体"/>
          <w:sz w:val="24"/>
        </w:rPr>
        <w:t>（8）本基金持有的全部资产支持证券，其市值不得超过基金资产净值的20%；</w:t>
      </w:r>
    </w:p>
    <w:p w14:paraId="563FC659">
      <w:pPr>
        <w:tabs>
          <w:tab w:val="left" w:pos="1260"/>
        </w:tabs>
        <w:spacing w:line="336" w:lineRule="auto"/>
        <w:ind w:firstLine="480"/>
        <w:rPr>
          <w:rFonts w:ascii="宋体" w:hAnsi="宋体"/>
          <w:sz w:val="24"/>
        </w:rPr>
      </w:pPr>
      <w:r>
        <w:rPr>
          <w:rFonts w:hint="eastAsia" w:ascii="宋体" w:hAnsi="宋体"/>
          <w:sz w:val="24"/>
        </w:rPr>
        <w:t>（9）本基金持有的同一(指同一信用级别)资产支持证券的比例，不得超过该资产支持证券规模的10%；</w:t>
      </w:r>
    </w:p>
    <w:p w14:paraId="043C5473">
      <w:pPr>
        <w:tabs>
          <w:tab w:val="left" w:pos="1260"/>
        </w:tabs>
        <w:spacing w:line="336" w:lineRule="auto"/>
        <w:ind w:firstLine="480"/>
        <w:rPr>
          <w:rFonts w:ascii="宋体" w:hAnsi="宋体"/>
          <w:sz w:val="24"/>
        </w:rPr>
      </w:pPr>
      <w:r>
        <w:rPr>
          <w:rFonts w:hint="eastAsia" w:ascii="宋体" w:hAnsi="宋体"/>
          <w:sz w:val="24"/>
        </w:rPr>
        <w:t>（10）本基金管理人管理的全部基金投资于同一原始权益人的各类资产支持证券，不得超过其各类资产支持证券合计规模的10%；</w:t>
      </w:r>
    </w:p>
    <w:p w14:paraId="449CEE69">
      <w:pPr>
        <w:tabs>
          <w:tab w:val="left" w:pos="1260"/>
        </w:tabs>
        <w:spacing w:line="336" w:lineRule="auto"/>
        <w:ind w:firstLine="480"/>
        <w:rPr>
          <w:rFonts w:ascii="宋体" w:hAnsi="宋体"/>
          <w:sz w:val="24"/>
        </w:rPr>
      </w:pPr>
      <w:r>
        <w:rPr>
          <w:rFonts w:hint="eastAsia" w:ascii="宋体" w:hAnsi="宋体"/>
          <w:sz w:val="24"/>
        </w:rPr>
        <w:t>（11）本基金应投资于信用级别评级为BBB以上(含BBB)的资产支持证券。基金持有资产支持证券期间，如果其信用等级下降、不再符合投资标准，应在评级报告发布之日起3个月内予以全部卖出；</w:t>
      </w:r>
    </w:p>
    <w:p w14:paraId="3554A4A2">
      <w:pPr>
        <w:tabs>
          <w:tab w:val="left" w:pos="1260"/>
        </w:tabs>
        <w:spacing w:line="336" w:lineRule="auto"/>
        <w:ind w:firstLine="480"/>
        <w:rPr>
          <w:rFonts w:ascii="宋体" w:hAnsi="宋体"/>
          <w:sz w:val="24"/>
        </w:rPr>
      </w:pPr>
      <w:r>
        <w:rPr>
          <w:rFonts w:hint="eastAsia" w:ascii="宋体" w:hAnsi="宋体"/>
          <w:sz w:val="24"/>
        </w:rPr>
        <w:t>（12）基金财产参与股票发行申购，本基金所申报的金额不超过本基金的总资产，本基金所申报的股票数量不超过拟发行股票公司本次发行股票的总量；</w:t>
      </w:r>
    </w:p>
    <w:p w14:paraId="7DBC686F">
      <w:pPr>
        <w:tabs>
          <w:tab w:val="left" w:pos="1260"/>
        </w:tabs>
        <w:spacing w:line="336" w:lineRule="auto"/>
        <w:ind w:firstLine="480"/>
        <w:rPr>
          <w:rFonts w:ascii="宋体" w:hAnsi="宋体"/>
          <w:sz w:val="24"/>
        </w:rPr>
      </w:pPr>
      <w:r>
        <w:rPr>
          <w:rFonts w:hint="eastAsia" w:ascii="宋体" w:hAnsi="宋体"/>
          <w:sz w:val="24"/>
        </w:rPr>
        <w:t>（13）本基金参与融资的，在任何交易日日终，本基金融资买入股票与其他有价证券市值之和，不得超过基金资产净值的95%；</w:t>
      </w:r>
    </w:p>
    <w:p w14:paraId="6E05A95C">
      <w:pPr>
        <w:tabs>
          <w:tab w:val="left" w:pos="1260"/>
        </w:tabs>
        <w:spacing w:line="336" w:lineRule="auto"/>
        <w:ind w:firstLine="480"/>
        <w:rPr>
          <w:rFonts w:ascii="宋体" w:hAnsi="宋体"/>
          <w:sz w:val="24"/>
        </w:rPr>
      </w:pPr>
      <w:r>
        <w:rPr>
          <w:rFonts w:hint="eastAsia" w:ascii="宋体" w:hAnsi="宋体"/>
          <w:sz w:val="24"/>
        </w:rPr>
        <w:t>（14）本基金投资于股指期货和国债期货，还应遵循如下投资组合限制：</w:t>
      </w:r>
    </w:p>
    <w:p w14:paraId="08F2A038">
      <w:pPr>
        <w:tabs>
          <w:tab w:val="left" w:pos="1260"/>
        </w:tabs>
        <w:spacing w:line="336" w:lineRule="auto"/>
        <w:ind w:firstLine="480"/>
        <w:rPr>
          <w:rFonts w:ascii="宋体" w:hAnsi="宋体"/>
          <w:sz w:val="24"/>
        </w:rPr>
      </w:pPr>
      <w:r>
        <w:rPr>
          <w:rFonts w:hint="eastAsia" w:ascii="宋体" w:hAnsi="宋体"/>
          <w:sz w:val="24"/>
        </w:rPr>
        <w:t>1）在任何交易日日终，本基金持有的买入股指期货合约价值不超过基金资产净值的10%；在任何交易日日终，持有的买入国债期货合约价值，不得超过基金资产净值15%；</w:t>
      </w:r>
    </w:p>
    <w:p w14:paraId="5530A1C7">
      <w:pPr>
        <w:tabs>
          <w:tab w:val="left" w:pos="1260"/>
        </w:tabs>
        <w:spacing w:line="336" w:lineRule="auto"/>
        <w:ind w:firstLine="480"/>
        <w:rPr>
          <w:rFonts w:ascii="宋体" w:hAnsi="宋体"/>
          <w:sz w:val="24"/>
        </w:rPr>
      </w:pPr>
      <w:r>
        <w:rPr>
          <w:rFonts w:hint="eastAsia" w:ascii="宋体" w:hAnsi="宋体"/>
          <w:sz w:val="24"/>
        </w:rPr>
        <w:t>2）在任何交易日日终，持有的卖出股指期货合约价值不超过基金持有的股票总市值的20%；在任何交易日日终，持有的卖出国债期货合约价值不得超过基金持有的债券总市值的30%；</w:t>
      </w:r>
    </w:p>
    <w:p w14:paraId="2E611A65">
      <w:pPr>
        <w:tabs>
          <w:tab w:val="left" w:pos="1260"/>
        </w:tabs>
        <w:spacing w:line="336" w:lineRule="auto"/>
        <w:ind w:firstLine="480"/>
        <w:rPr>
          <w:rFonts w:ascii="宋体" w:hAnsi="宋体"/>
          <w:sz w:val="24"/>
        </w:rPr>
      </w:pPr>
      <w:r>
        <w:rPr>
          <w:rFonts w:hint="eastAsia" w:ascii="宋体" w:hAnsi="宋体"/>
          <w:sz w:val="24"/>
        </w:rPr>
        <w:t>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14:paraId="4EBE09A0">
      <w:pPr>
        <w:tabs>
          <w:tab w:val="left" w:pos="1260"/>
        </w:tabs>
        <w:spacing w:line="336" w:lineRule="auto"/>
        <w:ind w:firstLine="480"/>
        <w:rPr>
          <w:rFonts w:ascii="宋体" w:hAnsi="宋体"/>
          <w:sz w:val="24"/>
        </w:rPr>
      </w:pPr>
      <w:r>
        <w:rPr>
          <w:rFonts w:hint="eastAsia" w:ascii="宋体" w:hAnsi="宋体"/>
          <w:sz w:val="24"/>
        </w:rPr>
        <w:t>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w:t>
      </w:r>
    </w:p>
    <w:p w14:paraId="4E0B7556">
      <w:pPr>
        <w:tabs>
          <w:tab w:val="left" w:pos="1260"/>
        </w:tabs>
        <w:spacing w:line="336" w:lineRule="auto"/>
        <w:ind w:firstLine="480"/>
        <w:rPr>
          <w:rFonts w:ascii="宋体" w:hAnsi="宋体"/>
          <w:sz w:val="24"/>
        </w:rPr>
      </w:pPr>
      <w:r>
        <w:rPr>
          <w:rFonts w:hint="eastAsia" w:ascii="宋体" w:hAnsi="宋体"/>
          <w:sz w:val="24"/>
        </w:rPr>
        <w:t>5）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780E6A0B">
      <w:pPr>
        <w:tabs>
          <w:tab w:val="left" w:pos="1260"/>
        </w:tabs>
        <w:spacing w:line="336" w:lineRule="auto"/>
        <w:ind w:firstLine="480"/>
        <w:rPr>
          <w:rFonts w:ascii="宋体" w:hAnsi="宋体"/>
          <w:sz w:val="24"/>
        </w:rPr>
      </w:pPr>
      <w:r>
        <w:rPr>
          <w:rFonts w:hint="eastAsia" w:ascii="宋体" w:hAnsi="宋体"/>
          <w:sz w:val="24"/>
        </w:rPr>
        <w:t>（15）本基金投资于股票期权，还应遵循如下投资组合限制：</w:t>
      </w:r>
    </w:p>
    <w:p w14:paraId="4FBDCB88">
      <w:pPr>
        <w:tabs>
          <w:tab w:val="left" w:pos="1260"/>
        </w:tabs>
        <w:spacing w:line="336" w:lineRule="auto"/>
        <w:ind w:firstLine="480"/>
        <w:rPr>
          <w:rFonts w:ascii="宋体" w:hAnsi="宋体"/>
          <w:sz w:val="24"/>
        </w:rPr>
      </w:pPr>
      <w:r>
        <w:rPr>
          <w:rFonts w:hint="eastAsia" w:ascii="宋体" w:hAnsi="宋体"/>
          <w:sz w:val="24"/>
        </w:rPr>
        <w:t>1）因未平仓的期权合约支付和收取的权利金总额不得超过基金资产净值的10%；</w:t>
      </w:r>
    </w:p>
    <w:p w14:paraId="35E8475D">
      <w:pPr>
        <w:tabs>
          <w:tab w:val="left" w:pos="1260"/>
        </w:tabs>
        <w:spacing w:line="336" w:lineRule="auto"/>
        <w:ind w:firstLine="480"/>
        <w:rPr>
          <w:rFonts w:ascii="宋体" w:hAnsi="宋体"/>
          <w:sz w:val="24"/>
        </w:rPr>
      </w:pPr>
      <w:r>
        <w:rPr>
          <w:rFonts w:hint="eastAsia" w:ascii="宋体" w:hAnsi="宋体"/>
          <w:sz w:val="24"/>
        </w:rPr>
        <w:t>2）开仓卖出认购期权的，应持有足额标的证券；开仓卖出认沽期权的，应持有合约行权所需的全额现金或交易所规则认可的可冲抵期权保证金的现金等价物；</w:t>
      </w:r>
    </w:p>
    <w:p w14:paraId="56AFC15B">
      <w:pPr>
        <w:tabs>
          <w:tab w:val="left" w:pos="1260"/>
        </w:tabs>
        <w:spacing w:line="336" w:lineRule="auto"/>
        <w:ind w:firstLine="480"/>
        <w:rPr>
          <w:rFonts w:ascii="宋体" w:hAnsi="宋体"/>
          <w:sz w:val="24"/>
        </w:rPr>
      </w:pPr>
      <w:r>
        <w:rPr>
          <w:rFonts w:hint="eastAsia" w:ascii="宋体" w:hAnsi="宋体"/>
          <w:sz w:val="24"/>
        </w:rPr>
        <w:t>3）未平仓的期权合约面值不得超过基金资产净值的20%。其中，合约面值按照行权价乘以合约乘数计算；</w:t>
      </w:r>
    </w:p>
    <w:p w14:paraId="46FD72D1">
      <w:pPr>
        <w:tabs>
          <w:tab w:val="left" w:pos="1260"/>
        </w:tabs>
        <w:spacing w:line="336" w:lineRule="auto"/>
        <w:ind w:firstLine="480"/>
        <w:rPr>
          <w:rFonts w:ascii="宋体" w:hAnsi="宋体"/>
          <w:sz w:val="24"/>
        </w:rPr>
      </w:pPr>
      <w:r>
        <w:rPr>
          <w:rFonts w:hint="eastAsia" w:ascii="宋体" w:hAnsi="宋体"/>
          <w:sz w:val="24"/>
        </w:rPr>
        <w:t>（16）本基金参与转融通证券出借业务，需遵守下列投资限制：</w:t>
      </w:r>
    </w:p>
    <w:p w14:paraId="7779795E">
      <w:pPr>
        <w:tabs>
          <w:tab w:val="left" w:pos="1260"/>
        </w:tabs>
        <w:spacing w:line="336" w:lineRule="auto"/>
        <w:ind w:firstLine="480"/>
        <w:rPr>
          <w:rFonts w:ascii="宋体" w:hAnsi="宋体"/>
          <w:sz w:val="24"/>
        </w:rPr>
      </w:pPr>
      <w:r>
        <w:rPr>
          <w:rFonts w:hint="eastAsia" w:ascii="宋体" w:hAnsi="宋体"/>
          <w:sz w:val="24"/>
        </w:rPr>
        <w:t>1）出借证券资产不得超过基金资产净值的30%，出借期限在10 个交易日以上的出借证券应纳入《流动性风险管理规定》所述流动性受限证券的范围；</w:t>
      </w:r>
    </w:p>
    <w:p w14:paraId="380E9824">
      <w:pPr>
        <w:tabs>
          <w:tab w:val="left" w:pos="1260"/>
        </w:tabs>
        <w:spacing w:line="336" w:lineRule="auto"/>
        <w:ind w:firstLine="480"/>
        <w:rPr>
          <w:rFonts w:ascii="宋体" w:hAnsi="宋体"/>
          <w:sz w:val="24"/>
        </w:rPr>
      </w:pPr>
      <w:r>
        <w:rPr>
          <w:rFonts w:hint="eastAsia" w:ascii="宋体" w:hAnsi="宋体"/>
          <w:sz w:val="24"/>
        </w:rPr>
        <w:t>2）参与出借业务的单只证券不得超过本基金持有该证券总量的50%；</w:t>
      </w:r>
    </w:p>
    <w:p w14:paraId="47501A20">
      <w:pPr>
        <w:tabs>
          <w:tab w:val="left" w:pos="1260"/>
        </w:tabs>
        <w:spacing w:line="336" w:lineRule="auto"/>
        <w:ind w:firstLine="480"/>
        <w:rPr>
          <w:rFonts w:ascii="宋体" w:hAnsi="宋体"/>
          <w:sz w:val="24"/>
        </w:rPr>
      </w:pPr>
      <w:r>
        <w:rPr>
          <w:rFonts w:hint="eastAsia" w:ascii="宋体" w:hAnsi="宋体"/>
          <w:sz w:val="24"/>
        </w:rPr>
        <w:t>3）最近6个月内日均基金资产净值不得低于2亿元；</w:t>
      </w:r>
    </w:p>
    <w:p w14:paraId="700CB14E">
      <w:pPr>
        <w:tabs>
          <w:tab w:val="left" w:pos="1260"/>
        </w:tabs>
        <w:spacing w:line="336" w:lineRule="auto"/>
        <w:ind w:firstLine="480"/>
        <w:rPr>
          <w:rFonts w:ascii="宋体" w:hAnsi="宋体"/>
          <w:sz w:val="24"/>
        </w:rPr>
      </w:pPr>
      <w:r>
        <w:rPr>
          <w:rFonts w:hint="eastAsia" w:ascii="宋体" w:hAnsi="宋体"/>
          <w:sz w:val="24"/>
        </w:rPr>
        <w:t>4）证券出借的平均剩余期限不得超过30天，平均剩余期限按照市值加权平均计算；</w:t>
      </w:r>
    </w:p>
    <w:p w14:paraId="6A788D22">
      <w:pPr>
        <w:tabs>
          <w:tab w:val="left" w:pos="1260"/>
        </w:tabs>
        <w:spacing w:line="336" w:lineRule="auto"/>
        <w:ind w:firstLine="480"/>
        <w:rPr>
          <w:rFonts w:ascii="宋体" w:hAnsi="宋体"/>
          <w:sz w:val="24"/>
        </w:rPr>
      </w:pPr>
      <w:r>
        <w:rPr>
          <w:rFonts w:hint="eastAsia" w:ascii="宋体" w:hAnsi="宋体"/>
          <w:sz w:val="24"/>
        </w:rPr>
        <w:t>因证券市场波动、上市公司合并、基金规模变动等基金管理人之外的因素致使基金投资不符合上述规定的，基金管理人不得新增出借业务；</w:t>
      </w:r>
    </w:p>
    <w:p w14:paraId="598237A1">
      <w:pPr>
        <w:tabs>
          <w:tab w:val="left" w:pos="1260"/>
        </w:tabs>
        <w:spacing w:line="336" w:lineRule="auto"/>
        <w:ind w:firstLine="480"/>
        <w:rPr>
          <w:rFonts w:ascii="宋体" w:hAnsi="宋体"/>
          <w:sz w:val="24"/>
        </w:rPr>
      </w:pPr>
      <w:r>
        <w:rPr>
          <w:rFonts w:hint="eastAsia" w:ascii="宋体" w:hAnsi="宋体"/>
          <w:sz w:val="24"/>
        </w:rPr>
        <w:t>（17）本基金主动投资于流动性受限资产的市值合计不得超过本基金资产净值的15%；</w:t>
      </w:r>
    </w:p>
    <w:p w14:paraId="2C3A4460">
      <w:pPr>
        <w:tabs>
          <w:tab w:val="left" w:pos="1260"/>
        </w:tabs>
        <w:spacing w:line="336" w:lineRule="auto"/>
        <w:ind w:firstLine="480"/>
        <w:rPr>
          <w:rFonts w:ascii="宋体" w:hAnsi="宋体"/>
          <w:sz w:val="24"/>
        </w:rPr>
      </w:pPr>
      <w:r>
        <w:rPr>
          <w:rFonts w:hint="eastAsia" w:ascii="宋体" w:hAnsi="宋体"/>
          <w:sz w:val="24"/>
        </w:rPr>
        <w:t>因证券市场波动、上市公司股票停牌、基金规模变动等基金管理人之外的因素致使基金不符合该比例限制的，基金管理人不得主动新增流动性受限资产的投资；</w:t>
      </w:r>
    </w:p>
    <w:p w14:paraId="6C4AA80A">
      <w:pPr>
        <w:tabs>
          <w:tab w:val="left" w:pos="1260"/>
        </w:tabs>
        <w:spacing w:line="336" w:lineRule="auto"/>
        <w:ind w:firstLine="480"/>
        <w:rPr>
          <w:rFonts w:ascii="宋体" w:hAnsi="宋体"/>
          <w:sz w:val="24"/>
        </w:rPr>
      </w:pPr>
      <w:r>
        <w:rPr>
          <w:rFonts w:hint="eastAsia" w:ascii="宋体" w:hAnsi="宋体"/>
          <w:sz w:val="24"/>
        </w:rPr>
        <w:t>（18）本基金与私募类证券资管产品及中国证监会认定的其他主体为交易对手开展逆回购交易的，可接受质押品的资质要求应当与基金合同约定的投资范围保持一致；</w:t>
      </w:r>
    </w:p>
    <w:p w14:paraId="6C12E9AD">
      <w:pPr>
        <w:tabs>
          <w:tab w:val="left" w:pos="1260"/>
        </w:tabs>
        <w:spacing w:line="336" w:lineRule="auto"/>
        <w:ind w:firstLine="480"/>
        <w:rPr>
          <w:rFonts w:ascii="宋体" w:hAnsi="宋体"/>
          <w:sz w:val="24"/>
        </w:rPr>
      </w:pPr>
      <w:r>
        <w:rPr>
          <w:rFonts w:hint="eastAsia" w:ascii="宋体" w:hAnsi="宋体"/>
          <w:sz w:val="24"/>
        </w:rPr>
        <w:t>（19）本基金投资存托凭证的比例限制依照境内上市交易的股票执行，与境内上市交易的股票合并计算；</w:t>
      </w:r>
    </w:p>
    <w:p w14:paraId="243C8107">
      <w:pPr>
        <w:tabs>
          <w:tab w:val="left" w:pos="1260"/>
        </w:tabs>
        <w:spacing w:line="336" w:lineRule="auto"/>
        <w:ind w:firstLine="480"/>
        <w:rPr>
          <w:rFonts w:ascii="宋体" w:hAnsi="宋体"/>
          <w:sz w:val="24"/>
        </w:rPr>
      </w:pPr>
      <w:r>
        <w:rPr>
          <w:rFonts w:hint="eastAsia" w:ascii="宋体" w:hAnsi="宋体"/>
          <w:sz w:val="24"/>
        </w:rPr>
        <w:t>（20）相关法律法规以及监管部门规定的和基金合同约定的其它投资比例限制。</w:t>
      </w:r>
    </w:p>
    <w:p w14:paraId="30EA2AF6">
      <w:pPr>
        <w:adjustRightInd w:val="0"/>
        <w:snapToGrid w:val="0"/>
        <w:spacing w:line="360" w:lineRule="auto"/>
        <w:ind w:firstLine="422" w:firstLineChars="176"/>
        <w:rPr>
          <w:rFonts w:ascii="宋体" w:hAnsi="宋体"/>
          <w:sz w:val="24"/>
        </w:rPr>
      </w:pPr>
      <w:r>
        <w:rPr>
          <w:rFonts w:hint="eastAsia" w:ascii="宋体" w:hAnsi="宋体"/>
          <w:sz w:val="24"/>
        </w:rPr>
        <w:t>除上述第（1）、（2）、（11）、（16）、（17）、（18）项外，因证券、期货市场波动、证券发行人合并、基金规模变动、标的指数成份股调整、标的指数成份股流动性限制</w:t>
      </w:r>
      <w:r>
        <w:rPr>
          <w:rFonts w:hint="eastAsia" w:ascii="宋体" w:cs="宋体"/>
          <w:sz w:val="24"/>
        </w:rPr>
        <w:t>、目标ETF暂停申购/赎回或二级市场交易停牌</w:t>
      </w:r>
      <w:r>
        <w:rPr>
          <w:rFonts w:hint="eastAsia" w:ascii="宋体" w:hAnsi="宋体"/>
          <w:sz w:val="24"/>
        </w:rPr>
        <w:t>等基金管理人之外的因素致使基金投资比例不符合上述规定投资比例的，基金管理人应当在10个交易日内进行调整，但中国证监会规定的特殊情形除外。</w:t>
      </w:r>
      <w:r>
        <w:rPr>
          <w:rFonts w:hint="eastAsia" w:ascii="宋体" w:cs="宋体"/>
          <w:sz w:val="24"/>
        </w:rPr>
        <w:t>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w:t>
      </w:r>
    </w:p>
    <w:p w14:paraId="678F1AB5">
      <w:pPr>
        <w:tabs>
          <w:tab w:val="left" w:pos="1260"/>
        </w:tabs>
        <w:spacing w:line="336" w:lineRule="auto"/>
        <w:ind w:firstLine="480"/>
        <w:rPr>
          <w:rFonts w:ascii="宋体" w:hAnsi="宋体"/>
          <w:sz w:val="24"/>
        </w:rPr>
      </w:pPr>
      <w:r>
        <w:rPr>
          <w:rFonts w:hint="eastAsia"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58B8CB88">
      <w:pPr>
        <w:tabs>
          <w:tab w:val="left" w:pos="1260"/>
        </w:tabs>
        <w:spacing w:line="336" w:lineRule="auto"/>
        <w:ind w:firstLine="480"/>
        <w:rPr>
          <w:rFonts w:ascii="宋体" w:hAnsi="宋体"/>
          <w:sz w:val="24"/>
        </w:rPr>
      </w:pPr>
      <w:r>
        <w:rPr>
          <w:rFonts w:hint="eastAsia" w:ascii="宋体" w:hAnsi="宋体"/>
          <w:sz w:val="24"/>
        </w:rPr>
        <w:t>法律法规或监管部门取消或变更上述限制，如适用于本基金，基金管理人在履行适当程序后，则本基金投资不再受相关限制，或以变更后的规定为准。</w:t>
      </w:r>
      <w:bookmarkEnd w:id="25"/>
    </w:p>
    <w:p w14:paraId="65662450">
      <w:pPr>
        <w:spacing w:line="360" w:lineRule="auto"/>
        <w:ind w:firstLine="482"/>
        <w:rPr>
          <w:rFonts w:ascii="宋体"/>
          <w:b/>
          <w:bCs/>
          <w:sz w:val="24"/>
        </w:rPr>
      </w:pPr>
      <w:r>
        <w:rPr>
          <w:rFonts w:hint="eastAsia" w:ascii="宋体" w:hAnsi="宋体"/>
          <w:b/>
          <w:bCs/>
          <w:sz w:val="24"/>
        </w:rPr>
        <w:t>3</w:t>
      </w:r>
      <w:r>
        <w:rPr>
          <w:rFonts w:ascii="宋体" w:hAnsi="宋体"/>
          <w:b/>
          <w:bCs/>
          <w:sz w:val="24"/>
        </w:rPr>
        <w:t>.</w:t>
      </w:r>
      <w:r>
        <w:rPr>
          <w:rFonts w:hint="eastAsia" w:ascii="宋体" w:hAnsi="宋体"/>
          <w:b/>
          <w:bCs/>
          <w:sz w:val="24"/>
        </w:rPr>
        <w:t>基金托管人</w:t>
      </w:r>
      <w:bookmarkStart w:id="26" w:name="OLE_LINK1"/>
      <w:r>
        <w:rPr>
          <w:rFonts w:hint="eastAsia" w:ascii="宋体" w:hAnsi="宋体"/>
          <w:b/>
          <w:bCs/>
          <w:sz w:val="24"/>
        </w:rPr>
        <w:t>根据有关法律法规的规定及基金合同和本协议的约定，</w:t>
      </w:r>
      <w:bookmarkEnd w:id="26"/>
      <w:r>
        <w:rPr>
          <w:rFonts w:hint="eastAsia" w:ascii="宋体" w:hAnsi="宋体"/>
          <w:b/>
          <w:bCs/>
          <w:sz w:val="24"/>
        </w:rPr>
        <w:t>对基金投资禁止行为进行监督。基金财产不得用于下列投资或者活动。</w:t>
      </w:r>
    </w:p>
    <w:p w14:paraId="03C34567">
      <w:pPr>
        <w:tabs>
          <w:tab w:val="left" w:pos="3780"/>
        </w:tabs>
        <w:spacing w:line="360" w:lineRule="auto"/>
        <w:ind w:firstLine="480"/>
        <w:outlineLvl w:val="0"/>
        <w:rPr>
          <w:rFonts w:ascii="宋体" w:hAnsi="宋体"/>
          <w:sz w:val="24"/>
        </w:rPr>
      </w:pPr>
      <w:bookmarkStart w:id="27" w:name="_Hlk104923814"/>
      <w:bookmarkStart w:id="28" w:name="OLE_LINK4"/>
      <w:bookmarkStart w:id="29" w:name="OLE_LINK2"/>
      <w:r>
        <w:rPr>
          <w:rFonts w:hint="eastAsia" w:ascii="宋体" w:hAnsi="宋体"/>
          <w:sz w:val="24"/>
        </w:rPr>
        <w:t>（1）承销证券；</w:t>
      </w:r>
    </w:p>
    <w:p w14:paraId="556A14A4">
      <w:pPr>
        <w:tabs>
          <w:tab w:val="left" w:pos="3780"/>
        </w:tabs>
        <w:spacing w:line="360" w:lineRule="auto"/>
        <w:ind w:firstLine="480"/>
        <w:outlineLvl w:val="0"/>
        <w:rPr>
          <w:rFonts w:ascii="宋体" w:hAnsi="宋体"/>
          <w:sz w:val="24"/>
        </w:rPr>
      </w:pPr>
      <w:r>
        <w:rPr>
          <w:rFonts w:hint="eastAsia" w:ascii="宋体" w:hAnsi="宋体"/>
          <w:sz w:val="24"/>
        </w:rPr>
        <w:t>（2）违反规定向他人贷款或者提供担保；</w:t>
      </w:r>
    </w:p>
    <w:p w14:paraId="2DFC035C">
      <w:pPr>
        <w:tabs>
          <w:tab w:val="left" w:pos="3780"/>
        </w:tabs>
        <w:spacing w:line="360" w:lineRule="auto"/>
        <w:ind w:firstLine="480"/>
        <w:outlineLvl w:val="0"/>
        <w:rPr>
          <w:rFonts w:ascii="宋体" w:hAnsi="宋体"/>
          <w:sz w:val="24"/>
        </w:rPr>
      </w:pPr>
      <w:r>
        <w:rPr>
          <w:rFonts w:hint="eastAsia" w:ascii="宋体" w:hAnsi="宋体"/>
          <w:sz w:val="24"/>
        </w:rPr>
        <w:t>（3）从事承担无限责任的投资；</w:t>
      </w:r>
    </w:p>
    <w:p w14:paraId="15C213CB">
      <w:pPr>
        <w:tabs>
          <w:tab w:val="left" w:pos="3780"/>
        </w:tabs>
        <w:spacing w:line="360" w:lineRule="auto"/>
        <w:ind w:firstLine="480"/>
        <w:outlineLvl w:val="0"/>
        <w:rPr>
          <w:rFonts w:ascii="宋体" w:hAnsi="宋体"/>
          <w:sz w:val="24"/>
        </w:rPr>
      </w:pPr>
      <w:r>
        <w:rPr>
          <w:rFonts w:hint="eastAsia" w:ascii="宋体" w:hAnsi="宋体"/>
          <w:sz w:val="24"/>
        </w:rPr>
        <w:t>（4）买卖</w:t>
      </w:r>
      <w:r>
        <w:rPr>
          <w:rFonts w:hint="eastAsia" w:ascii="宋体" w:cs="宋体"/>
          <w:sz w:val="24"/>
        </w:rPr>
        <w:t>除目标ETF外的</w:t>
      </w:r>
      <w:r>
        <w:rPr>
          <w:rFonts w:hint="eastAsia" w:ascii="宋体" w:hAnsi="宋体"/>
          <w:sz w:val="24"/>
        </w:rPr>
        <w:t>其他基金份额，但是中国证监会另有规定的除外；</w:t>
      </w:r>
    </w:p>
    <w:p w14:paraId="7ACD3D1E">
      <w:pPr>
        <w:tabs>
          <w:tab w:val="left" w:pos="3780"/>
        </w:tabs>
        <w:spacing w:line="360" w:lineRule="auto"/>
        <w:ind w:firstLine="480"/>
        <w:outlineLvl w:val="0"/>
        <w:rPr>
          <w:rFonts w:ascii="宋体" w:hAnsi="宋体"/>
          <w:sz w:val="24"/>
        </w:rPr>
      </w:pPr>
      <w:r>
        <w:rPr>
          <w:rFonts w:hint="eastAsia" w:ascii="宋体" w:hAnsi="宋体"/>
          <w:sz w:val="24"/>
        </w:rPr>
        <w:t>（5）向其基金管理人、基金托管人出资；</w:t>
      </w:r>
    </w:p>
    <w:p w14:paraId="30C4A851">
      <w:pPr>
        <w:tabs>
          <w:tab w:val="left" w:pos="3780"/>
        </w:tabs>
        <w:spacing w:line="360" w:lineRule="auto"/>
        <w:ind w:firstLine="480"/>
        <w:outlineLvl w:val="0"/>
        <w:rPr>
          <w:rFonts w:ascii="宋体" w:hAnsi="宋体"/>
          <w:sz w:val="24"/>
        </w:rPr>
      </w:pPr>
      <w:r>
        <w:rPr>
          <w:rFonts w:hint="eastAsia" w:ascii="宋体" w:hAnsi="宋体"/>
          <w:sz w:val="24"/>
        </w:rPr>
        <w:t>（6）从事内幕交易、操纵证券交易价格及其他不正当的证券交易活动；</w:t>
      </w:r>
    </w:p>
    <w:p w14:paraId="50E346AB">
      <w:pPr>
        <w:tabs>
          <w:tab w:val="left" w:pos="3780"/>
        </w:tabs>
        <w:spacing w:line="360" w:lineRule="auto"/>
        <w:ind w:firstLine="480"/>
        <w:outlineLvl w:val="0"/>
        <w:rPr>
          <w:rFonts w:ascii="宋体" w:hAnsi="宋体"/>
          <w:sz w:val="24"/>
        </w:rPr>
      </w:pPr>
      <w:r>
        <w:rPr>
          <w:rFonts w:hint="eastAsia" w:ascii="宋体" w:hAnsi="宋体"/>
          <w:sz w:val="24"/>
        </w:rPr>
        <w:t>（7）法律、行政法规和中国证监会规定禁止的其他活动。</w:t>
      </w:r>
    </w:p>
    <w:p w14:paraId="181E89BF">
      <w:pPr>
        <w:tabs>
          <w:tab w:val="left" w:pos="3780"/>
        </w:tabs>
        <w:spacing w:line="360" w:lineRule="auto"/>
        <w:ind w:firstLine="480"/>
        <w:outlineLvl w:val="0"/>
        <w:rPr>
          <w:rFonts w:ascii="宋体" w:hAnsi="宋体"/>
          <w:sz w:val="24"/>
        </w:rPr>
      </w:pPr>
      <w:r>
        <w:rPr>
          <w:rFonts w:hint="eastAsia" w:ascii="宋体" w:hAnsi="宋体"/>
          <w:sz w:val="24"/>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w:t>
      </w:r>
      <w:r>
        <w:rPr>
          <w:rFonts w:hint="eastAsia" w:ascii="宋体" w:cs="宋体"/>
          <w:sz w:val="24"/>
        </w:rPr>
        <w:t>的</w:t>
      </w:r>
      <w:r>
        <w:rPr>
          <w:rFonts w:hint="eastAsia" w:ascii="宋体" w:hAnsi="宋体"/>
          <w:sz w:val="24"/>
        </w:rPr>
        <w:t>原则，防范利益冲突，建立健全内部审批机制和评估机制，按照市场公平合理价格执行。相关交易必须事先得到基金托管人的同意，并按法律法规履行信息披露义务。重大关联交易应提交基金管理人董事会审议，并经过三分之二以上的独立董事通过。基金管理人董事会应至少每半年对关联交易事项进行审查。</w:t>
      </w:r>
    </w:p>
    <w:p w14:paraId="32334450">
      <w:pPr>
        <w:tabs>
          <w:tab w:val="left" w:pos="3780"/>
        </w:tabs>
        <w:spacing w:line="360" w:lineRule="auto"/>
        <w:ind w:firstLine="480"/>
        <w:outlineLvl w:val="0"/>
        <w:rPr>
          <w:rFonts w:ascii="宋体" w:hAnsi="宋体"/>
          <w:sz w:val="24"/>
        </w:rPr>
      </w:pPr>
      <w:r>
        <w:rPr>
          <w:rFonts w:hint="eastAsia" w:ascii="宋体" w:hAnsi="宋体"/>
          <w:sz w:val="24"/>
        </w:rPr>
        <w:t>法律、行政法规或监管部门变更或取消上述规定，在履行适当程序后，本基金可按变更后的规定执行或不受上述规定的限制。</w:t>
      </w:r>
      <w:bookmarkEnd w:id="27"/>
    </w:p>
    <w:p w14:paraId="126800AE">
      <w:pPr>
        <w:tabs>
          <w:tab w:val="left" w:pos="3780"/>
        </w:tabs>
        <w:spacing w:line="360" w:lineRule="auto"/>
        <w:ind w:firstLine="482"/>
        <w:outlineLvl w:val="0"/>
        <w:rPr>
          <w:rFonts w:ascii="宋体"/>
          <w:b/>
          <w:bCs/>
          <w:sz w:val="24"/>
        </w:rPr>
      </w:pPr>
      <w:r>
        <w:rPr>
          <w:rFonts w:hint="eastAsia" w:ascii="宋体" w:hAnsi="宋体"/>
          <w:b/>
          <w:bCs/>
          <w:sz w:val="24"/>
        </w:rPr>
        <w:t>4</w:t>
      </w:r>
      <w:r>
        <w:rPr>
          <w:rFonts w:ascii="宋体" w:hAnsi="宋体"/>
          <w:b/>
          <w:bCs/>
          <w:sz w:val="24"/>
        </w:rPr>
        <w:t>.基金托管人根据有关法律法规的规定及基金合同和本协议的约定，对基金管理人参与银行间债券市场进行监督。</w:t>
      </w:r>
      <w:bookmarkEnd w:id="28"/>
      <w:bookmarkEnd w:id="29"/>
    </w:p>
    <w:p w14:paraId="0DECC723">
      <w:pPr>
        <w:tabs>
          <w:tab w:val="left" w:pos="1260"/>
        </w:tabs>
        <w:spacing w:line="360" w:lineRule="auto"/>
        <w:ind w:firstLine="480"/>
        <w:rPr>
          <w:rFonts w:ascii="宋体"/>
          <w:sz w:val="24"/>
        </w:rPr>
      </w:pPr>
      <w:r>
        <w:rPr>
          <w:rFonts w:hint="eastAsia" w:ascii="宋体" w:hAnsi="宋体"/>
          <w:sz w:val="24"/>
        </w:rPr>
        <w:t>（</w:t>
      </w:r>
      <w:r>
        <w:rPr>
          <w:rFonts w:ascii="宋体" w:hAnsi="宋体"/>
          <w:sz w:val="24"/>
        </w:rPr>
        <w:t>1</w:t>
      </w:r>
      <w:r>
        <w:rPr>
          <w:rFonts w:hint="eastAsia" w:ascii="宋体" w:hAnsi="宋体"/>
          <w:sz w:val="24"/>
        </w:rPr>
        <w:t>）基金托管人依据有关法律法规的规定和《基金合同》的约定对于基金管理人参与银行间市场交易时面临的交易对手资信风险进行监督。</w:t>
      </w:r>
    </w:p>
    <w:p w14:paraId="3E69B481">
      <w:pPr>
        <w:tabs>
          <w:tab w:val="left" w:pos="1260"/>
        </w:tabs>
        <w:spacing w:line="360" w:lineRule="auto"/>
        <w:ind w:firstLine="480"/>
        <w:rPr>
          <w:rFonts w:ascii="宋体"/>
          <w:sz w:val="24"/>
        </w:rPr>
      </w:pPr>
      <w:r>
        <w:rPr>
          <w:rFonts w:hint="eastAsia" w:ascii="宋体" w:hAnsi="宋体"/>
          <w:sz w:val="24"/>
        </w:rPr>
        <w:t>基金管理人向基金托管人提供符合法律法规及行业标准的银行间市场交易对手的名单。基金托管人在收到名单后</w:t>
      </w:r>
      <w:r>
        <w:rPr>
          <w:rFonts w:ascii="宋体" w:hAnsi="宋体"/>
          <w:sz w:val="24"/>
        </w:rPr>
        <w:t>2</w:t>
      </w:r>
      <w:r>
        <w:rPr>
          <w:rFonts w:hint="eastAsia" w:ascii="宋体" w:hAnsi="宋体"/>
          <w:sz w:val="24"/>
        </w:rPr>
        <w:t>个工作日内电话或回函确认收到该名单。基金管理人应定期和不定期对银行间市场现券及回购交易对手的名单进行更新。基金托管人在收到名单后</w:t>
      </w:r>
      <w:r>
        <w:rPr>
          <w:rFonts w:ascii="宋体" w:hAnsi="宋体"/>
          <w:sz w:val="24"/>
        </w:rPr>
        <w:t>2</w:t>
      </w:r>
      <w:r>
        <w:rPr>
          <w:rFonts w:hint="eastAsia" w:ascii="宋体" w:hAnsi="宋体"/>
          <w:sz w:val="24"/>
        </w:rPr>
        <w:t>个工作日内电话或书面回函确认，新名单自基金托管人确认当日生效。新名单生效前已与本次剔除的交易对手所进行但尚未结算的交易，仍应按照协议进行结算。</w:t>
      </w:r>
    </w:p>
    <w:p w14:paraId="0CF35DA8">
      <w:pPr>
        <w:tabs>
          <w:tab w:val="left" w:pos="1260"/>
        </w:tabs>
        <w:spacing w:line="360" w:lineRule="auto"/>
        <w:ind w:firstLine="480"/>
        <w:rPr>
          <w:rFonts w:ascii="宋体"/>
          <w:sz w:val="24"/>
        </w:rPr>
      </w:pPr>
      <w:r>
        <w:rPr>
          <w:rFonts w:hint="eastAsia" w:ascii="宋体" w:hAnsi="宋体"/>
          <w:sz w:val="24"/>
        </w:rPr>
        <w:t>（</w:t>
      </w:r>
      <w:r>
        <w:rPr>
          <w:rFonts w:ascii="宋体" w:hAnsi="宋体"/>
          <w:sz w:val="24"/>
        </w:rPr>
        <w:t>2</w:t>
      </w:r>
      <w:r>
        <w:rPr>
          <w:rFonts w:hint="eastAsia" w:ascii="宋体" w:hAnsi="宋体"/>
          <w:sz w:val="24"/>
        </w:rPr>
        <w:t>）基金管理人参与银行间市场交易时，有责任控制交易对手的资信风险，由于交易对手资信风险引起的损失</w:t>
      </w:r>
      <w:r>
        <w:rPr>
          <w:rFonts w:ascii="宋体"/>
          <w:sz w:val="24"/>
        </w:rPr>
        <w:t>,</w:t>
      </w:r>
      <w:r>
        <w:rPr>
          <w:rFonts w:hint="eastAsia" w:ascii="宋体" w:hAnsi="宋体"/>
          <w:sz w:val="24"/>
        </w:rPr>
        <w:t>基金管理人应当负责向相关责任人追偿。</w:t>
      </w:r>
    </w:p>
    <w:p w14:paraId="28B89A85">
      <w:pPr>
        <w:tabs>
          <w:tab w:val="left" w:pos="3780"/>
        </w:tabs>
        <w:spacing w:line="360" w:lineRule="auto"/>
        <w:ind w:firstLine="482"/>
        <w:outlineLvl w:val="0"/>
        <w:rPr>
          <w:rFonts w:ascii="宋体"/>
          <w:b/>
          <w:bCs/>
          <w:sz w:val="24"/>
        </w:rPr>
      </w:pPr>
      <w:r>
        <w:rPr>
          <w:rFonts w:hint="eastAsia" w:ascii="宋体" w:hAnsi="宋体"/>
          <w:b/>
          <w:bCs/>
          <w:sz w:val="24"/>
        </w:rPr>
        <w:t>5</w:t>
      </w:r>
      <w:r>
        <w:rPr>
          <w:rFonts w:ascii="宋体" w:hAnsi="宋体"/>
          <w:b/>
          <w:bCs/>
          <w:sz w:val="24"/>
        </w:rPr>
        <w:t>.</w:t>
      </w:r>
      <w:r>
        <w:rPr>
          <w:rFonts w:hint="eastAsia" w:ascii="宋体" w:hAnsi="宋体"/>
          <w:b/>
          <w:bCs/>
          <w:sz w:val="24"/>
        </w:rPr>
        <w:t>基金托管人根据有关法律法规的规定及基金合同和本协议的约定，对基金管理人银行存款业务约定如下。</w:t>
      </w:r>
    </w:p>
    <w:p w14:paraId="112D8C8F">
      <w:pPr>
        <w:tabs>
          <w:tab w:val="left" w:pos="1260"/>
        </w:tabs>
        <w:spacing w:line="360" w:lineRule="auto"/>
        <w:ind w:firstLine="480"/>
        <w:rPr>
          <w:rFonts w:ascii="宋体"/>
          <w:sz w:val="24"/>
        </w:rPr>
      </w:pPr>
      <w:r>
        <w:rPr>
          <w:rFonts w:hint="eastAsia" w:ascii="宋体" w:hAnsi="宋体"/>
          <w:sz w:val="24"/>
        </w:rPr>
        <w:t>本基金投资银行存款应符合如下规定：</w:t>
      </w:r>
    </w:p>
    <w:p w14:paraId="16F611EF">
      <w:pPr>
        <w:tabs>
          <w:tab w:val="left" w:pos="1260"/>
        </w:tabs>
        <w:spacing w:line="360" w:lineRule="auto"/>
        <w:ind w:firstLine="480"/>
        <w:rPr>
          <w:rFonts w:ascii="宋体"/>
          <w:sz w:val="24"/>
        </w:rPr>
      </w:pPr>
      <w:r>
        <w:rPr>
          <w:rFonts w:hint="eastAsia" w:ascii="宋体" w:hAnsi="宋体"/>
          <w:sz w:val="24"/>
        </w:rPr>
        <w:t>（1）基金管理人、基金托管人应当与存款银行建立定期对账机制，确保基金银行存款业务账目及核算的真实、准确。</w:t>
      </w:r>
    </w:p>
    <w:p w14:paraId="522C54CE">
      <w:pPr>
        <w:tabs>
          <w:tab w:val="left" w:pos="1260"/>
        </w:tabs>
        <w:spacing w:line="360" w:lineRule="auto"/>
        <w:ind w:firstLine="480"/>
        <w:rPr>
          <w:rFonts w:ascii="宋体"/>
          <w:sz w:val="24"/>
        </w:rPr>
      </w:pPr>
      <w:r>
        <w:rPr>
          <w:rFonts w:hint="eastAsia"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14:paraId="538D3E82">
      <w:pPr>
        <w:tabs>
          <w:tab w:val="left" w:pos="1260"/>
        </w:tabs>
        <w:spacing w:line="360" w:lineRule="auto"/>
        <w:ind w:firstLine="480"/>
        <w:rPr>
          <w:rFonts w:ascii="宋体"/>
          <w:sz w:val="24"/>
        </w:rPr>
      </w:pPr>
      <w:r>
        <w:rPr>
          <w:rFonts w:hint="eastAsia" w:ascii="宋体" w:hAnsi="宋体"/>
          <w:sz w:val="24"/>
        </w:rPr>
        <w:t>（3）基金托管人应加强对基金银行存款业务的监督与核查，严格审查、复核相关协议、账户资料、投资指令、存款证实书等有关文件，切实履行托管职责。</w:t>
      </w:r>
    </w:p>
    <w:p w14:paraId="7E56DFE8">
      <w:pPr>
        <w:tabs>
          <w:tab w:val="left" w:pos="1260"/>
        </w:tabs>
        <w:spacing w:line="360" w:lineRule="auto"/>
        <w:ind w:firstLine="480"/>
        <w:rPr>
          <w:rFonts w:ascii="宋体"/>
          <w:sz w:val="24"/>
        </w:rPr>
      </w:pPr>
      <w:r>
        <w:rPr>
          <w:rFonts w:hint="eastAsia" w:ascii="宋体" w:hAnsi="宋体"/>
          <w:sz w:val="24"/>
        </w:rPr>
        <w:t>（4）基金管理人与基金托管人在开展基金存款业务时，应严格遵守《基金法》、《运作办法》等有关法律法规，以及国家有关账户管理、利率管理、支付结算等的各项规定。</w:t>
      </w:r>
    </w:p>
    <w:p w14:paraId="37B67893">
      <w:pPr>
        <w:tabs>
          <w:tab w:val="left" w:pos="3780"/>
        </w:tabs>
        <w:spacing w:line="360" w:lineRule="auto"/>
        <w:ind w:firstLine="482"/>
        <w:outlineLvl w:val="0"/>
        <w:rPr>
          <w:rFonts w:ascii="宋体"/>
          <w:b/>
          <w:bCs/>
          <w:sz w:val="24"/>
        </w:rPr>
      </w:pPr>
      <w:r>
        <w:rPr>
          <w:rFonts w:hint="eastAsia" w:ascii="宋体" w:hAnsi="宋体"/>
          <w:b/>
          <w:bCs/>
          <w:sz w:val="24"/>
        </w:rPr>
        <w:t>6</w:t>
      </w:r>
      <w:r>
        <w:rPr>
          <w:rFonts w:ascii="宋体" w:hAnsi="宋体"/>
          <w:b/>
          <w:bCs/>
          <w:sz w:val="24"/>
        </w:rPr>
        <w:t>.</w:t>
      </w:r>
      <w:r>
        <w:rPr>
          <w:rFonts w:hint="eastAsia" w:ascii="宋体" w:hAnsi="宋体"/>
          <w:b/>
          <w:bCs/>
          <w:sz w:val="24"/>
        </w:rPr>
        <w:t>基金托管人根据法律法规的规定及《基金合同》和本协议的约定，对基金投资其他方面进行监督。</w:t>
      </w:r>
    </w:p>
    <w:p w14:paraId="5742E2F7">
      <w:pPr>
        <w:tabs>
          <w:tab w:val="left" w:pos="3780"/>
        </w:tabs>
        <w:spacing w:line="360" w:lineRule="auto"/>
        <w:ind w:firstLine="482"/>
        <w:outlineLvl w:val="0"/>
        <w:rPr>
          <w:rFonts w:ascii="宋体"/>
          <w:b/>
          <w:bCs/>
          <w:sz w:val="24"/>
        </w:rPr>
      </w:pPr>
      <w:r>
        <w:rPr>
          <w:rFonts w:hint="eastAsia" w:ascii="宋体" w:hAnsi="宋体"/>
          <w:b/>
          <w:bCs/>
          <w:sz w:val="24"/>
        </w:rPr>
        <w:t>（二）基金托管人应根据有关法律法规的规定及基金合同的约定，对基金资产净值计算、各类基金份额净值计算、应收资金到账、基金费用开支及收入确认、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w:t>
      </w:r>
    </w:p>
    <w:p w14:paraId="05871C0F">
      <w:pPr>
        <w:tabs>
          <w:tab w:val="left" w:pos="3780"/>
        </w:tabs>
        <w:spacing w:line="360" w:lineRule="auto"/>
        <w:ind w:firstLine="482"/>
        <w:outlineLvl w:val="0"/>
        <w:rPr>
          <w:rFonts w:ascii="宋体"/>
          <w:b/>
          <w:bCs/>
          <w:sz w:val="24"/>
        </w:rPr>
      </w:pPr>
      <w:r>
        <w:rPr>
          <w:rFonts w:hint="eastAsia" w:ascii="宋体" w:hAnsi="宋体"/>
          <w:b/>
          <w:bCs/>
          <w:sz w:val="24"/>
        </w:rPr>
        <w:t>（三）基金管理人应积极配合和协助基金托管人的监督和核查，在规定时间内答复并改正，就基金托管人的合理疑义进行解释或举证。对基金托管人按照法规要求需向中国证监会报送基金监督报告的，基金管理人应积极配合提供相关数据资料和制度等。</w:t>
      </w:r>
    </w:p>
    <w:p w14:paraId="747B9446">
      <w:pPr>
        <w:tabs>
          <w:tab w:val="left" w:pos="1260"/>
        </w:tabs>
        <w:spacing w:line="360" w:lineRule="auto"/>
        <w:ind w:firstLine="480"/>
        <w:rPr>
          <w:rFonts w:ascii="宋体"/>
          <w:sz w:val="24"/>
        </w:rPr>
      </w:pPr>
      <w:r>
        <w:rPr>
          <w:rFonts w:hint="eastAsia" w:ascii="宋体" w:hAnsi="宋体"/>
          <w:sz w:val="24"/>
        </w:rPr>
        <w:t>基金托管人发现基金管理人的投资指令或实际投资运作违反《基金法》及其他有关法规、《基金合同》和本协议规定的行为，应及时以书面形式通知基金管理人限期纠正，基金管理人收到通知后应及时核对，并以电话或书面形式向基金托管人反馈，说明违规原因及纠正期限，并保证在规定期限内及时改正。在限期内，基金托管人有权随时对通知事项进行复查，督促基金管理人改正。基金管理人对基金托管人通知的违规事项未能在限期内纠正的，基金托管人有权报告中国证监会。</w:t>
      </w:r>
    </w:p>
    <w:p w14:paraId="5D3083AD">
      <w:pPr>
        <w:tabs>
          <w:tab w:val="left" w:pos="1260"/>
        </w:tabs>
        <w:spacing w:line="360" w:lineRule="auto"/>
        <w:ind w:firstLine="480"/>
        <w:rPr>
          <w:rFonts w:ascii="宋体"/>
          <w:sz w:val="24"/>
        </w:rPr>
      </w:pPr>
      <w:r>
        <w:rPr>
          <w:rFonts w:hint="eastAsia" w:ascii="宋体" w:hAnsi="宋体"/>
          <w:sz w:val="24"/>
        </w:rPr>
        <w:t>基金托管人发现基金管理人有重大违规行为，应立即报告中国证监会，同时通知基金管理人在限期内纠正。</w:t>
      </w:r>
    </w:p>
    <w:p w14:paraId="2D10C534">
      <w:pPr>
        <w:tabs>
          <w:tab w:val="left" w:pos="1260"/>
        </w:tabs>
        <w:spacing w:line="360" w:lineRule="auto"/>
        <w:ind w:firstLine="480"/>
        <w:rPr>
          <w:rFonts w:ascii="宋体"/>
          <w:sz w:val="24"/>
        </w:rPr>
      </w:pPr>
      <w:r>
        <w:rPr>
          <w:rFonts w:hint="eastAsia" w:ascii="宋体" w:hAnsi="宋体"/>
          <w:sz w:val="24"/>
        </w:rPr>
        <w:t>基金托管人发现基金管理人的指令违反法律、行政法规和其他有关规定，或者违反《基金合同》约定的，应当视情况暂缓或拒绝执行，立即通知基金管理人，并有权向中国证监会报告。</w:t>
      </w:r>
    </w:p>
    <w:p w14:paraId="67EF9262">
      <w:pPr>
        <w:tabs>
          <w:tab w:val="left" w:pos="1260"/>
        </w:tabs>
        <w:spacing w:line="360" w:lineRule="auto"/>
        <w:ind w:firstLine="480"/>
        <w:rPr>
          <w:rFonts w:ascii="宋体" w:hAnsi="宋体"/>
          <w:sz w:val="24"/>
        </w:rPr>
      </w:pPr>
      <w:r>
        <w:rPr>
          <w:rFonts w:ascii="宋体" w:hAnsi="宋体"/>
          <w:sz w:val="24"/>
        </w:rPr>
        <w:t>基金托管人发现基金管理人依据交易程序已经生效的指令违反法律、行政法规和其他有关规定，或者违反《基金合同》约定的，应当立即通知基金管理人，并有权向中国证监会报告。</w:t>
      </w:r>
      <w:bookmarkStart w:id="30" w:name="_Toc125892440"/>
    </w:p>
    <w:p w14:paraId="1650F819">
      <w:pPr>
        <w:tabs>
          <w:tab w:val="left" w:pos="1260"/>
        </w:tabs>
        <w:spacing w:line="360" w:lineRule="auto"/>
        <w:ind w:firstLine="482"/>
        <w:rPr>
          <w:rFonts w:ascii="宋体"/>
          <w:b/>
          <w:sz w:val="24"/>
        </w:rPr>
      </w:pPr>
      <w:r>
        <w:rPr>
          <w:rFonts w:hint="eastAsia" w:ascii="宋体"/>
          <w:b/>
          <w:sz w:val="24"/>
        </w:rPr>
        <w:t>（四）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25287FF5">
      <w:pPr>
        <w:tabs>
          <w:tab w:val="left" w:pos="1260"/>
        </w:tabs>
        <w:spacing w:line="360" w:lineRule="auto"/>
        <w:ind w:firstLine="480"/>
        <w:rPr>
          <w:rFonts w:ascii="宋体"/>
          <w:sz w:val="24"/>
        </w:rPr>
      </w:pPr>
      <w:r>
        <w:rPr>
          <w:rFonts w:hint="eastAsia" w:ascii="宋体"/>
          <w:sz w:val="24"/>
        </w:rPr>
        <w:t>基金托管人依照相关法律法规的规定和基金合同的约定，对侧袋机制启用、特定资产处置和信息披露等方面进行复核和监督。侧袋机制实施期间的具体规则依照相关法律法规的规定和基金合同的约定执行。</w:t>
      </w:r>
    </w:p>
    <w:p w14:paraId="38DA9608">
      <w:pPr>
        <w:tabs>
          <w:tab w:val="left" w:pos="1260"/>
        </w:tabs>
        <w:spacing w:line="360" w:lineRule="auto"/>
        <w:ind w:firstLine="480"/>
        <w:rPr>
          <w:rFonts w:ascii="宋体"/>
          <w:sz w:val="24"/>
        </w:rPr>
      </w:pPr>
    </w:p>
    <w:p w14:paraId="14CE81B3">
      <w:pPr>
        <w:pStyle w:val="214"/>
      </w:pPr>
      <w:bookmarkStart w:id="31" w:name="_Toc35001429"/>
      <w:r>
        <w:t>四、基金管理人对基金托管人的业务核查</w:t>
      </w:r>
      <w:bookmarkEnd w:id="30"/>
      <w:bookmarkEnd w:id="31"/>
    </w:p>
    <w:p w14:paraId="4C9B10BB">
      <w:pPr>
        <w:tabs>
          <w:tab w:val="left" w:pos="1260"/>
        </w:tabs>
        <w:spacing w:line="360" w:lineRule="auto"/>
        <w:ind w:firstLine="480"/>
        <w:rPr>
          <w:rFonts w:ascii="宋体"/>
          <w:sz w:val="24"/>
        </w:rPr>
      </w:pPr>
      <w:r>
        <w:rPr>
          <w:rFonts w:hint="eastAsia" w:ascii="宋体" w:hAnsi="宋体"/>
          <w:sz w:val="24"/>
        </w:rPr>
        <w:t>根据《基金法》及其他有关法规、《基金合同》和本协议规定，基金管理人对基金托管人履行托管职责的情况进行核查，核查事项包括但不限于基金托管人是否安全保管基金财产、开立基金财产的资金账户、证券账户</w:t>
      </w:r>
      <w:r>
        <w:rPr>
          <w:rFonts w:ascii="宋体" w:hAnsi="宋体"/>
          <w:sz w:val="24"/>
        </w:rPr>
        <w:t>和</w:t>
      </w:r>
      <w:r>
        <w:rPr>
          <w:rFonts w:hint="eastAsia" w:ascii="宋体" w:hAnsi="宋体"/>
          <w:sz w:val="24"/>
        </w:rPr>
        <w:t>债券托管账户等投资所需账户，是否及时、准确复核基金管理人计算的基金资产净值和各类基金份额净值，是否根据基金管理人指令办理清算交收，是否按照法规规定和《基金合同》规定进行相关信息披露和监督基金投资运作等行为。</w:t>
      </w:r>
    </w:p>
    <w:p w14:paraId="19AFC8BF">
      <w:pPr>
        <w:tabs>
          <w:tab w:val="left" w:pos="1260"/>
        </w:tabs>
        <w:spacing w:line="360" w:lineRule="auto"/>
        <w:ind w:firstLine="480"/>
        <w:rPr>
          <w:rFonts w:ascii="宋体"/>
          <w:sz w:val="24"/>
        </w:rPr>
      </w:pPr>
      <w:r>
        <w:rPr>
          <w:rFonts w:hint="eastAsia" w:ascii="宋体" w:hAnsi="宋体"/>
          <w:sz w:val="24"/>
        </w:rPr>
        <w:t>基金管理人定期和不定期地对基金托管人保管的基金资产进行核查。基金托管人应积极配合基金管理人的核查行为，包括但不限于：提交相关资料以供基金管理人核查托管财产的完整性和真实性，在规定时间内答复并改正。</w:t>
      </w:r>
    </w:p>
    <w:p w14:paraId="661E70A3">
      <w:pPr>
        <w:tabs>
          <w:tab w:val="left" w:pos="1260"/>
        </w:tabs>
        <w:spacing w:line="360" w:lineRule="auto"/>
        <w:ind w:firstLine="480"/>
        <w:rPr>
          <w:rFonts w:ascii="宋体"/>
          <w:sz w:val="24"/>
        </w:rPr>
      </w:pPr>
      <w:r>
        <w:rPr>
          <w:rFonts w:ascii="宋体" w:hAnsi="宋体"/>
          <w:sz w:val="24"/>
        </w:rPr>
        <w:t>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报告中国证监会。对基金管理人按照法规要求需向中国证监会报送基金监督报告的，基金托管人应积极配合提供相关数据资料和制度等。</w:t>
      </w:r>
    </w:p>
    <w:p w14:paraId="780B99A6">
      <w:pPr>
        <w:tabs>
          <w:tab w:val="left" w:pos="1260"/>
        </w:tabs>
        <w:spacing w:line="360" w:lineRule="auto"/>
        <w:ind w:firstLine="480"/>
        <w:rPr>
          <w:rFonts w:ascii="宋体" w:hAnsi="宋体"/>
          <w:sz w:val="24"/>
        </w:rPr>
      </w:pPr>
      <w:r>
        <w:rPr>
          <w:rFonts w:hint="eastAsia" w:ascii="宋体" w:hAnsi="宋体"/>
          <w:sz w:val="24"/>
        </w:rPr>
        <w:t>基金管理人发现基金托管人有重大违规行为，应立即报告中国证监会，同时通知基金托管人在限期内纠正。</w:t>
      </w:r>
    </w:p>
    <w:p w14:paraId="55103039">
      <w:pPr>
        <w:tabs>
          <w:tab w:val="left" w:pos="1260"/>
        </w:tabs>
        <w:spacing w:line="360" w:lineRule="auto"/>
        <w:ind w:firstLine="480"/>
        <w:rPr>
          <w:rFonts w:ascii="宋体"/>
          <w:sz w:val="24"/>
        </w:rPr>
      </w:pPr>
    </w:p>
    <w:p w14:paraId="1D83492A">
      <w:pPr>
        <w:pStyle w:val="214"/>
      </w:pPr>
      <w:bookmarkStart w:id="32" w:name="_Toc125892441"/>
      <w:bookmarkStart w:id="33" w:name="_Toc466788854"/>
      <w:bookmarkStart w:id="34" w:name="_Toc35001430"/>
      <w:bookmarkStart w:id="35" w:name="_Toc22454437"/>
      <w:bookmarkStart w:id="36" w:name="_Toc523829995"/>
      <w:r>
        <w:t>五、基金财产的保管</w:t>
      </w:r>
      <w:bookmarkEnd w:id="32"/>
      <w:bookmarkEnd w:id="33"/>
      <w:bookmarkEnd w:id="34"/>
      <w:bookmarkEnd w:id="35"/>
      <w:bookmarkEnd w:id="36"/>
    </w:p>
    <w:p w14:paraId="435AD3D0">
      <w:pPr>
        <w:tabs>
          <w:tab w:val="left" w:pos="3780"/>
        </w:tabs>
        <w:spacing w:line="360" w:lineRule="auto"/>
        <w:ind w:firstLine="482" w:firstLineChars="200"/>
        <w:outlineLvl w:val="0"/>
        <w:rPr>
          <w:rFonts w:ascii="宋体"/>
          <w:b/>
          <w:bCs/>
          <w:sz w:val="24"/>
        </w:rPr>
      </w:pPr>
      <w:bookmarkStart w:id="37" w:name="_Toc37159173"/>
      <w:bookmarkStart w:id="38" w:name="_Toc77662997"/>
      <w:r>
        <w:rPr>
          <w:rFonts w:ascii="宋体" w:hAnsi="宋体"/>
          <w:b/>
          <w:bCs/>
          <w:sz w:val="24"/>
        </w:rPr>
        <w:t>（一）基金财产保管的原则</w:t>
      </w:r>
      <w:bookmarkEnd w:id="37"/>
      <w:bookmarkEnd w:id="38"/>
    </w:p>
    <w:p w14:paraId="22737C21">
      <w:pPr>
        <w:tabs>
          <w:tab w:val="left" w:pos="1260"/>
        </w:tabs>
        <w:spacing w:line="360" w:lineRule="auto"/>
        <w:ind w:firstLine="480"/>
        <w:rPr>
          <w:rFonts w:ascii="宋体"/>
          <w:sz w:val="24"/>
        </w:rPr>
      </w:pPr>
      <w:r>
        <w:rPr>
          <w:rFonts w:hint="eastAsia" w:ascii="宋体" w:hAnsi="宋体"/>
          <w:sz w:val="24"/>
        </w:rPr>
        <w:t>1</w:t>
      </w:r>
      <w:r>
        <w:rPr>
          <w:rFonts w:ascii="宋体" w:hAnsi="宋体"/>
          <w:sz w:val="24"/>
        </w:rPr>
        <w:t>.</w:t>
      </w:r>
      <w:r>
        <w:rPr>
          <w:rFonts w:hint="eastAsia" w:ascii="宋体" w:hAnsi="宋体"/>
          <w:sz w:val="24"/>
        </w:rPr>
        <w:t>基金托管人应安全保管基金财产，未经基金管理人的指令，不得自行运用、处分、分配基金的任何资产。</w:t>
      </w:r>
    </w:p>
    <w:p w14:paraId="31819A78">
      <w:pPr>
        <w:tabs>
          <w:tab w:val="left" w:pos="1260"/>
        </w:tabs>
        <w:spacing w:line="360" w:lineRule="auto"/>
        <w:ind w:firstLine="480"/>
        <w:rPr>
          <w:rFonts w:ascii="宋体"/>
          <w:sz w:val="24"/>
        </w:rPr>
      </w:pPr>
      <w:r>
        <w:rPr>
          <w:rFonts w:hint="eastAsia" w:ascii="宋体" w:hAnsi="宋体"/>
          <w:sz w:val="24"/>
        </w:rPr>
        <w:t>2</w:t>
      </w:r>
      <w:r>
        <w:rPr>
          <w:rFonts w:ascii="宋体" w:hAnsi="宋体"/>
          <w:sz w:val="24"/>
        </w:rPr>
        <w:t>.</w:t>
      </w:r>
      <w:r>
        <w:rPr>
          <w:rFonts w:hint="eastAsia" w:ascii="宋体" w:hAnsi="宋体"/>
          <w:sz w:val="24"/>
        </w:rPr>
        <w:t>基金财产应独立于基金管理人、基金托管人的固有财产。</w:t>
      </w:r>
    </w:p>
    <w:p w14:paraId="1AD8A3F5">
      <w:pPr>
        <w:tabs>
          <w:tab w:val="left" w:pos="1260"/>
        </w:tabs>
        <w:spacing w:line="360" w:lineRule="auto"/>
        <w:ind w:firstLine="480"/>
        <w:rPr>
          <w:rFonts w:ascii="宋体"/>
          <w:sz w:val="24"/>
        </w:rPr>
      </w:pPr>
      <w:r>
        <w:rPr>
          <w:rFonts w:hint="eastAsia" w:ascii="宋体" w:hAnsi="宋体"/>
          <w:sz w:val="24"/>
        </w:rPr>
        <w:t>3</w:t>
      </w:r>
      <w:r>
        <w:rPr>
          <w:rFonts w:ascii="宋体" w:hAnsi="宋体"/>
          <w:sz w:val="24"/>
        </w:rPr>
        <w:t>.</w:t>
      </w:r>
      <w:r>
        <w:rPr>
          <w:rFonts w:hint="eastAsia" w:ascii="宋体" w:hAnsi="宋体"/>
          <w:sz w:val="24"/>
        </w:rPr>
        <w:t xml:space="preserve"> 基金托管人按照规定开立基金财产的资金账户、证券账户和债券托管账户等投资所需账户，基金管理人和基金托管人按照规定开立期货资金账户。</w:t>
      </w:r>
    </w:p>
    <w:p w14:paraId="7544CAE9">
      <w:pPr>
        <w:tabs>
          <w:tab w:val="left" w:pos="1260"/>
        </w:tabs>
        <w:spacing w:line="360" w:lineRule="auto"/>
        <w:ind w:firstLine="480"/>
        <w:rPr>
          <w:rFonts w:ascii="宋体"/>
          <w:sz w:val="24"/>
        </w:rPr>
      </w:pPr>
      <w:r>
        <w:rPr>
          <w:rFonts w:hint="eastAsia" w:ascii="宋体" w:hAnsi="宋体"/>
          <w:sz w:val="24"/>
        </w:rPr>
        <w:t>4</w:t>
      </w:r>
      <w:r>
        <w:rPr>
          <w:rFonts w:ascii="宋体" w:hAnsi="宋体"/>
          <w:sz w:val="24"/>
        </w:rPr>
        <w:t>.</w:t>
      </w:r>
      <w:r>
        <w:rPr>
          <w:rFonts w:hint="eastAsia" w:ascii="宋体" w:hAnsi="宋体"/>
          <w:sz w:val="24"/>
        </w:rPr>
        <w:t>基金托管人对所托管的不同基金财产分别设置账户，分账管理，独立核算，确保基金财产的完整和独立。</w:t>
      </w:r>
    </w:p>
    <w:p w14:paraId="0E79AD58">
      <w:pPr>
        <w:tabs>
          <w:tab w:val="left" w:pos="1260"/>
        </w:tabs>
        <w:spacing w:line="360" w:lineRule="auto"/>
        <w:ind w:firstLine="480"/>
        <w:rPr>
          <w:rFonts w:ascii="宋体"/>
          <w:sz w:val="24"/>
        </w:rPr>
      </w:pPr>
      <w:r>
        <w:rPr>
          <w:rFonts w:hint="eastAsia" w:ascii="宋体" w:hAnsi="宋体"/>
          <w:sz w:val="24"/>
        </w:rPr>
        <w:t>5</w:t>
      </w:r>
      <w:r>
        <w:rPr>
          <w:rFonts w:ascii="宋体" w:hAnsi="宋体"/>
          <w:sz w:val="24"/>
        </w:rPr>
        <w:t>.对于因为基金投资产生的应收资产和基金申购过程中产生的应收资产，应由基金管理人负责与有关当事人确定到账日期并通知基金托管人，到账日基金资产没有到达基金银行存款账户的，基金托管人应及时通知基金管理人采取措施进行催收。由此给基金造成损失的，基金管理人应负责向有关当事人追偿基金的损失。</w:t>
      </w:r>
      <w:bookmarkStart w:id="39" w:name="_Toc77662998"/>
      <w:bookmarkStart w:id="40" w:name="_Toc37159174"/>
      <w:r>
        <w:rPr>
          <w:rFonts w:hint="eastAsia" w:ascii="宋体" w:hAnsi="宋体"/>
          <w:sz w:val="24"/>
        </w:rPr>
        <w:t>基金托管人应予以必要的协助和配合，但对此不承担任何责任。</w:t>
      </w:r>
    </w:p>
    <w:bookmarkEnd w:id="39"/>
    <w:bookmarkEnd w:id="40"/>
    <w:p w14:paraId="58B67501">
      <w:pPr>
        <w:tabs>
          <w:tab w:val="left" w:pos="3780"/>
        </w:tabs>
        <w:spacing w:line="360" w:lineRule="auto"/>
        <w:ind w:firstLine="482" w:firstLineChars="200"/>
        <w:outlineLvl w:val="0"/>
        <w:rPr>
          <w:rFonts w:ascii="宋体"/>
          <w:b/>
          <w:bCs/>
          <w:sz w:val="24"/>
        </w:rPr>
      </w:pPr>
      <w:bookmarkStart w:id="41" w:name="_Toc77663000"/>
      <w:bookmarkStart w:id="42" w:name="_Toc37159176"/>
      <w:r>
        <w:rPr>
          <w:rFonts w:ascii="宋体" w:hAnsi="宋体"/>
          <w:b/>
          <w:bCs/>
          <w:sz w:val="24"/>
        </w:rPr>
        <w:t>（</w:t>
      </w:r>
      <w:r>
        <w:rPr>
          <w:rFonts w:hint="eastAsia" w:ascii="宋体" w:hAnsi="宋体"/>
          <w:b/>
          <w:bCs/>
          <w:sz w:val="24"/>
        </w:rPr>
        <w:t>二</w:t>
      </w:r>
      <w:r>
        <w:rPr>
          <w:rFonts w:ascii="宋体" w:hAnsi="宋体"/>
          <w:b/>
          <w:bCs/>
          <w:sz w:val="24"/>
        </w:rPr>
        <w:t>）基金的银行存款账户的开立和管理</w:t>
      </w:r>
      <w:bookmarkEnd w:id="41"/>
      <w:bookmarkEnd w:id="42"/>
    </w:p>
    <w:p w14:paraId="6D5558C9">
      <w:pPr>
        <w:tabs>
          <w:tab w:val="left" w:pos="1260"/>
        </w:tabs>
        <w:spacing w:line="360" w:lineRule="auto"/>
        <w:ind w:firstLine="480"/>
        <w:rPr>
          <w:rFonts w:ascii="宋体"/>
          <w:sz w:val="24"/>
        </w:rPr>
      </w:pPr>
      <w:r>
        <w:rPr>
          <w:rFonts w:ascii="宋体" w:hAnsi="宋体"/>
          <w:sz w:val="24"/>
        </w:rPr>
        <w:t>1.</w:t>
      </w:r>
      <w:r>
        <w:rPr>
          <w:rFonts w:hint="eastAsia" w:ascii="宋体" w:hAnsi="宋体"/>
          <w:sz w:val="24"/>
        </w:rPr>
        <w:t>基金托管人应负责本基金银行存款账户的开立和管理。</w:t>
      </w:r>
    </w:p>
    <w:p w14:paraId="605F9129">
      <w:pPr>
        <w:tabs>
          <w:tab w:val="left" w:pos="1260"/>
        </w:tabs>
        <w:spacing w:line="360" w:lineRule="auto"/>
        <w:ind w:firstLine="480"/>
        <w:rPr>
          <w:rFonts w:ascii="宋体"/>
          <w:sz w:val="24"/>
        </w:rPr>
      </w:pPr>
      <w:r>
        <w:rPr>
          <w:rFonts w:hint="eastAsia" w:ascii="宋体" w:hAnsi="宋体"/>
          <w:sz w:val="24"/>
        </w:rPr>
        <w:t>2</w:t>
      </w:r>
      <w:r>
        <w:rPr>
          <w:rFonts w:ascii="宋体" w:hAnsi="宋体"/>
          <w:sz w:val="24"/>
        </w:rPr>
        <w:t>.</w:t>
      </w:r>
      <w:r>
        <w:rPr>
          <w:rFonts w:hint="eastAsia" w:ascii="宋体" w:hAnsi="宋体"/>
          <w:sz w:val="24"/>
        </w:rPr>
        <w:t>基金托管人以本基金的名义在其营业机构开立基金的银行存款账户，并根据基金管理人合法合规的指令办理资金收付。本基金的银行预留印鉴由基金托管人保管和使用。</w:t>
      </w:r>
    </w:p>
    <w:p w14:paraId="08A54C8D">
      <w:pPr>
        <w:tabs>
          <w:tab w:val="left" w:pos="1260"/>
        </w:tabs>
        <w:spacing w:line="360" w:lineRule="auto"/>
        <w:ind w:firstLine="480"/>
        <w:rPr>
          <w:rFonts w:ascii="宋体"/>
          <w:sz w:val="24"/>
        </w:rPr>
      </w:pPr>
      <w:r>
        <w:rPr>
          <w:rFonts w:ascii="宋体" w:hAnsi="宋体"/>
          <w:sz w:val="24"/>
        </w:rPr>
        <w:t>3</w:t>
      </w:r>
      <w:bookmarkStart w:id="43" w:name="_Hlk37260391"/>
      <w:r>
        <w:rPr>
          <w:rFonts w:ascii="宋体" w:hAnsi="宋体"/>
          <w:sz w:val="24"/>
        </w:rPr>
        <w:t>.</w:t>
      </w:r>
      <w:bookmarkEnd w:id="43"/>
      <w:r>
        <w:rPr>
          <w:rFonts w:hint="eastAsia" w:ascii="宋体" w:hAnsi="宋体"/>
          <w:sz w:val="24"/>
        </w:rPr>
        <w:t>本基金银行存款账户的开立和使用，限于满足开展本基金业务的需要。基金托管人和基金管理人不得假借本基金的名义开立其他任何银行存款账户；亦不得使用基金的任何银行存款账户进行本基金业务以外的活动。</w:t>
      </w:r>
    </w:p>
    <w:p w14:paraId="694464DA">
      <w:pPr>
        <w:tabs>
          <w:tab w:val="left" w:pos="1260"/>
        </w:tabs>
        <w:spacing w:line="360" w:lineRule="auto"/>
        <w:ind w:firstLine="480"/>
        <w:rPr>
          <w:rFonts w:ascii="宋体"/>
          <w:sz w:val="24"/>
        </w:rPr>
      </w:pPr>
      <w:r>
        <w:rPr>
          <w:rFonts w:hint="eastAsia" w:ascii="宋体" w:hAnsi="宋体"/>
          <w:sz w:val="24"/>
        </w:rPr>
        <w:t>4</w:t>
      </w:r>
      <w:r>
        <w:rPr>
          <w:rFonts w:ascii="宋体" w:hAnsi="宋体"/>
          <w:sz w:val="24"/>
        </w:rPr>
        <w:t>.</w:t>
      </w:r>
      <w:r>
        <w:rPr>
          <w:rFonts w:hint="eastAsia" w:ascii="宋体" w:hAnsi="宋体"/>
          <w:sz w:val="24"/>
        </w:rPr>
        <w:t>基金托管人可以通过申请开通本基金银行账户的企业网上银行业务进行资金支付，并使用交通银行企业网上银行（简称“交通银行网银”）办理托管资产的资金结算汇划业务。</w:t>
      </w:r>
    </w:p>
    <w:p w14:paraId="1769B662">
      <w:pPr>
        <w:tabs>
          <w:tab w:val="left" w:pos="1260"/>
        </w:tabs>
        <w:spacing w:line="360" w:lineRule="auto"/>
        <w:ind w:firstLine="480"/>
        <w:rPr>
          <w:rFonts w:ascii="宋体"/>
          <w:sz w:val="24"/>
        </w:rPr>
      </w:pPr>
      <w:r>
        <w:rPr>
          <w:rFonts w:ascii="宋体" w:hAnsi="宋体"/>
          <w:sz w:val="24"/>
        </w:rPr>
        <w:t>5.基金银行存款账户的管理应符合银行业监督管理机构的有关规定。</w:t>
      </w:r>
      <w:bookmarkStart w:id="44" w:name="_Toc77663001"/>
      <w:bookmarkStart w:id="45" w:name="_Toc37159177"/>
    </w:p>
    <w:p w14:paraId="66731F9E">
      <w:pPr>
        <w:tabs>
          <w:tab w:val="left" w:pos="3780"/>
        </w:tabs>
        <w:spacing w:line="360" w:lineRule="auto"/>
        <w:ind w:firstLine="482" w:firstLineChars="200"/>
        <w:outlineLvl w:val="0"/>
        <w:rPr>
          <w:rFonts w:ascii="宋体"/>
          <w:b/>
          <w:bCs/>
          <w:sz w:val="24"/>
        </w:rPr>
      </w:pPr>
      <w:r>
        <w:rPr>
          <w:rFonts w:ascii="宋体" w:hAnsi="宋体"/>
          <w:b/>
          <w:bCs/>
          <w:sz w:val="24"/>
        </w:rPr>
        <w:t>（</w:t>
      </w:r>
      <w:r>
        <w:rPr>
          <w:rFonts w:hint="eastAsia" w:ascii="宋体" w:hAnsi="宋体"/>
          <w:b/>
          <w:bCs/>
          <w:sz w:val="24"/>
        </w:rPr>
        <w:t>三</w:t>
      </w:r>
      <w:r>
        <w:rPr>
          <w:rFonts w:ascii="宋体" w:hAnsi="宋体"/>
          <w:b/>
          <w:bCs/>
          <w:sz w:val="24"/>
        </w:rPr>
        <w:t>）基金证券交收账户、资金交收账户的开立和管理</w:t>
      </w:r>
      <w:bookmarkEnd w:id="44"/>
      <w:bookmarkEnd w:id="45"/>
    </w:p>
    <w:p w14:paraId="6C2C49F7">
      <w:pPr>
        <w:tabs>
          <w:tab w:val="left" w:pos="1260"/>
        </w:tabs>
        <w:spacing w:line="360" w:lineRule="auto"/>
        <w:ind w:firstLine="480"/>
        <w:rPr>
          <w:rFonts w:ascii="宋体"/>
          <w:sz w:val="24"/>
        </w:rPr>
      </w:pPr>
      <w:r>
        <w:rPr>
          <w:rFonts w:hint="eastAsia" w:ascii="宋体" w:hAnsi="宋体"/>
          <w:sz w:val="24"/>
        </w:rPr>
        <w:t>基金托管人以基金托管人和本基金联名的方式在中国证券登记结算有限责任公司开立证券账户。</w:t>
      </w:r>
    </w:p>
    <w:p w14:paraId="6703AE87">
      <w:pPr>
        <w:tabs>
          <w:tab w:val="left" w:pos="1260"/>
        </w:tabs>
        <w:spacing w:line="360" w:lineRule="auto"/>
        <w:ind w:firstLine="480"/>
        <w:rPr>
          <w:rFonts w:ascii="宋体"/>
          <w:sz w:val="24"/>
        </w:rPr>
      </w:pPr>
      <w:r>
        <w:rPr>
          <w:rFonts w:hint="eastAsia"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14:paraId="41BE38DC">
      <w:pPr>
        <w:tabs>
          <w:tab w:val="left" w:pos="1260"/>
        </w:tabs>
        <w:spacing w:line="360" w:lineRule="auto"/>
        <w:ind w:firstLine="480"/>
        <w:rPr>
          <w:rFonts w:ascii="宋体"/>
          <w:sz w:val="24"/>
        </w:rPr>
      </w:pPr>
      <w:r>
        <w:rPr>
          <w:rFonts w:hint="eastAsia" w:ascii="宋体" w:hAnsi="宋体"/>
          <w:sz w:val="24"/>
        </w:rPr>
        <w:t>基金管理人不得对基金证券交收账户、资金交收账户进行证券的超卖或超买。基金证券账户资产的管理和运用由基金管理人负责。</w:t>
      </w:r>
    </w:p>
    <w:p w14:paraId="0D5236F9">
      <w:pPr>
        <w:tabs>
          <w:tab w:val="left" w:pos="1260"/>
        </w:tabs>
        <w:spacing w:line="360" w:lineRule="auto"/>
        <w:ind w:firstLine="480"/>
        <w:rPr>
          <w:rFonts w:ascii="宋体" w:hAnsi="宋体"/>
          <w:sz w:val="24"/>
        </w:rPr>
      </w:pPr>
      <w:r>
        <w:rPr>
          <w:rFonts w:ascii="宋体" w:hAnsi="宋体"/>
          <w:sz w:val="24"/>
        </w:rPr>
        <w:t>基金托管人以基金托管人的名义在中国证券登记结算有限责任公司开立结算备付金账户即资金交收账户，用于证券交易资金的结算。基金托管人以本基金的名义在</w:t>
      </w:r>
      <w:r>
        <w:rPr>
          <w:rFonts w:hint="eastAsia" w:ascii="宋体" w:hAnsi="宋体"/>
          <w:sz w:val="24"/>
        </w:rPr>
        <w:t>基金</w:t>
      </w:r>
      <w:r>
        <w:rPr>
          <w:rFonts w:ascii="宋体" w:hAnsi="宋体"/>
          <w:sz w:val="24"/>
        </w:rPr>
        <w:t>托管人处开立基金的证券交易资金结算的二级结算备付金账户。</w:t>
      </w:r>
      <w:bookmarkStart w:id="46" w:name="_Toc37159179"/>
      <w:bookmarkStart w:id="47" w:name="_Toc77663003"/>
    </w:p>
    <w:p w14:paraId="67451F0D">
      <w:pPr>
        <w:tabs>
          <w:tab w:val="left" w:pos="1260"/>
        </w:tabs>
        <w:spacing w:line="360" w:lineRule="auto"/>
        <w:ind w:firstLine="482"/>
        <w:rPr>
          <w:rFonts w:ascii="宋体" w:hAnsi="宋体"/>
          <w:sz w:val="24"/>
        </w:rPr>
      </w:pPr>
      <w:r>
        <w:rPr>
          <w:rFonts w:hint="eastAsia" w:ascii="宋体" w:hAnsi="宋体"/>
          <w:b/>
          <w:bCs/>
          <w:sz w:val="24"/>
        </w:rPr>
        <w:t>（四）债券托管账户的开立和管理</w:t>
      </w:r>
    </w:p>
    <w:p w14:paraId="311D1DA3">
      <w:pPr>
        <w:tabs>
          <w:tab w:val="left" w:pos="1260"/>
        </w:tabs>
        <w:spacing w:line="360" w:lineRule="auto"/>
        <w:ind w:firstLine="480"/>
        <w:rPr>
          <w:rFonts w:ascii="宋体"/>
          <w:sz w:val="24"/>
        </w:rPr>
      </w:pPr>
      <w:r>
        <w:rPr>
          <w:rFonts w:hint="eastAsia" w:ascii="宋体" w:hAnsi="宋体"/>
          <w:sz w:val="24"/>
        </w:rPr>
        <w:t>1</w:t>
      </w:r>
      <w:r>
        <w:rPr>
          <w:rFonts w:ascii="宋体" w:hAnsi="宋体"/>
          <w:sz w:val="24"/>
        </w:rPr>
        <w:t>.</w:t>
      </w:r>
      <w:r>
        <w:rPr>
          <w:rFonts w:hint="eastAsia" w:ascii="宋体" w:hAnsi="宋体"/>
          <w:sz w:val="24"/>
        </w:rPr>
        <w:t>基金合同生效后，基金管理人负责向中国人民银行进行报备，基金托管人在备案通过后在中央国债登记结算有限责任公司及银行间市场清算所股份有限公司以本基金的名义开立债券托管账户，并由基金托管人负责基金的债券及资金的清算。</w:t>
      </w:r>
      <w:r>
        <w:rPr>
          <w:rFonts w:hint="eastAsia" w:ascii="宋体" w:hAnsi="宋体"/>
          <w:sz w:val="24"/>
          <w:szCs w:val="21"/>
        </w:rPr>
        <w:t>基金管理人负责申请基金进入全国银行间同业拆借市场进行交易，由基金管理人在中国外汇交易中心开设同业拆借市场交易</w:t>
      </w:r>
      <w:r>
        <w:rPr>
          <w:rFonts w:hint="eastAsia" w:ascii="宋体" w:hAnsi="宋体"/>
          <w:sz w:val="24"/>
        </w:rPr>
        <w:t>账户</w:t>
      </w:r>
      <w:r>
        <w:rPr>
          <w:rFonts w:hint="eastAsia" w:ascii="宋体" w:hAnsi="宋体"/>
          <w:sz w:val="24"/>
          <w:szCs w:val="21"/>
        </w:rPr>
        <w:t>。</w:t>
      </w:r>
    </w:p>
    <w:p w14:paraId="0CEE239F">
      <w:pPr>
        <w:tabs>
          <w:tab w:val="left" w:pos="1260"/>
        </w:tabs>
        <w:spacing w:line="360" w:lineRule="auto"/>
        <w:ind w:firstLine="480"/>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基金管理人代表基金签订全国银行间债券市场债券回购主协议，协议正本由基金管理人保存。</w:t>
      </w:r>
    </w:p>
    <w:p w14:paraId="18F6A405">
      <w:pPr>
        <w:tabs>
          <w:tab w:val="left" w:pos="3780"/>
        </w:tabs>
        <w:spacing w:line="360" w:lineRule="auto"/>
        <w:ind w:firstLine="482"/>
        <w:outlineLvl w:val="0"/>
        <w:rPr>
          <w:rFonts w:ascii="宋体" w:hAnsi="宋体"/>
          <w:b/>
          <w:bCs/>
          <w:sz w:val="24"/>
        </w:rPr>
      </w:pPr>
      <w:r>
        <w:rPr>
          <w:rFonts w:hint="eastAsia" w:ascii="宋体" w:hAnsi="宋体"/>
          <w:b/>
          <w:bCs/>
          <w:sz w:val="24"/>
        </w:rPr>
        <w:t>（五）期货的相关账户的开立和管理</w:t>
      </w:r>
    </w:p>
    <w:p w14:paraId="557F6EE9">
      <w:pPr>
        <w:tabs>
          <w:tab w:val="left" w:pos="1260"/>
        </w:tabs>
        <w:spacing w:line="360" w:lineRule="auto"/>
        <w:ind w:firstLine="480"/>
        <w:rPr>
          <w:rFonts w:ascii="宋体"/>
          <w:sz w:val="24"/>
        </w:rPr>
      </w:pPr>
      <w:r>
        <w:rPr>
          <w:rFonts w:hint="eastAsia" w:ascii="宋体"/>
          <w:sz w:val="24"/>
        </w:rPr>
        <w:t>基金管理人、基金托管人应当按照相关规定开立期货资金账户，在中国金融期货交易所获取交易编码。期货资金账户名称及交易编码对应名称应按照有关规定设立。</w:t>
      </w:r>
    </w:p>
    <w:p w14:paraId="05D913DA">
      <w:pPr>
        <w:tabs>
          <w:tab w:val="left" w:pos="1260"/>
        </w:tabs>
        <w:spacing w:line="360" w:lineRule="auto"/>
        <w:ind w:firstLine="480"/>
        <w:rPr>
          <w:rFonts w:ascii="宋体"/>
          <w:sz w:val="24"/>
        </w:rPr>
      </w:pPr>
      <w:r>
        <w:rPr>
          <w:rFonts w:hint="eastAsia" w:ascii="宋体"/>
          <w:sz w:val="24"/>
        </w:rPr>
        <w:t>基金托管人已取得期货保证金存管银行资格，基金管理人授权基金托管人办理相关银期转账业务。</w:t>
      </w:r>
    </w:p>
    <w:p w14:paraId="51A2203D">
      <w:pPr>
        <w:tabs>
          <w:tab w:val="left" w:pos="3780"/>
        </w:tabs>
        <w:spacing w:line="360" w:lineRule="auto"/>
        <w:ind w:firstLine="482"/>
        <w:outlineLvl w:val="0"/>
        <w:rPr>
          <w:rFonts w:ascii="宋体" w:hAnsi="宋体"/>
          <w:b/>
          <w:bCs/>
          <w:sz w:val="24"/>
        </w:rPr>
      </w:pPr>
      <w:r>
        <w:rPr>
          <w:rFonts w:hint="eastAsia" w:ascii="宋体" w:hAnsi="宋体"/>
          <w:b/>
          <w:bCs/>
          <w:sz w:val="24"/>
        </w:rPr>
        <w:t>（六）基金投资银行存款账户的开立和管理</w:t>
      </w:r>
    </w:p>
    <w:p w14:paraId="22C60C00">
      <w:pPr>
        <w:tabs>
          <w:tab w:val="left" w:pos="1260"/>
        </w:tabs>
        <w:spacing w:line="360" w:lineRule="auto"/>
        <w:ind w:firstLine="480"/>
        <w:rPr>
          <w:rFonts w:ascii="宋体"/>
          <w:sz w:val="24"/>
        </w:rPr>
      </w:pPr>
      <w:r>
        <w:rPr>
          <w:rFonts w:hint="eastAsia" w:ascii="宋体"/>
          <w:sz w:val="24"/>
        </w:rPr>
        <w:t>存款账户必须以基金名义开立，账户名称为基金名称，存款账户开户文件上加盖预留印鉴（须包括基金托管人印章）及基金管理人公章。</w:t>
      </w:r>
    </w:p>
    <w:p w14:paraId="164468E0">
      <w:pPr>
        <w:tabs>
          <w:tab w:val="left" w:pos="1260"/>
        </w:tabs>
        <w:spacing w:line="360" w:lineRule="auto"/>
        <w:ind w:firstLine="480"/>
        <w:rPr>
          <w:rFonts w:ascii="宋体"/>
          <w:sz w:val="24"/>
        </w:rPr>
      </w:pPr>
      <w:r>
        <w:rPr>
          <w:rFonts w:hint="eastAsia" w:ascii="宋体"/>
          <w:sz w:val="24"/>
        </w:rPr>
        <w:t>本基金投资银行存款时，基金管理人应当与存款银行签订具体存款协议或存款确认单据，明确存款的类型、期限、利率、金额、账号、对账方式、支取方式、存款到期指定收款账户等细则。</w:t>
      </w:r>
    </w:p>
    <w:p w14:paraId="63D74574">
      <w:pPr>
        <w:tabs>
          <w:tab w:val="left" w:pos="1260"/>
        </w:tabs>
        <w:spacing w:line="360" w:lineRule="auto"/>
        <w:ind w:firstLine="480"/>
        <w:rPr>
          <w:rFonts w:ascii="宋体"/>
          <w:sz w:val="24"/>
        </w:rPr>
      </w:pPr>
      <w:r>
        <w:rPr>
          <w:rFonts w:hint="eastAsia" w:ascii="宋体"/>
          <w:sz w:val="24"/>
        </w:rPr>
        <w:t>为防范特殊情况下的流动性风险，定期存款协议中应当约定提前支取条款。</w:t>
      </w:r>
    </w:p>
    <w:p w14:paraId="38E4B33F">
      <w:pPr>
        <w:tabs>
          <w:tab w:val="left" w:pos="3780"/>
        </w:tabs>
        <w:spacing w:line="360" w:lineRule="auto"/>
        <w:ind w:firstLine="482" w:firstLineChars="200"/>
        <w:outlineLvl w:val="0"/>
        <w:rPr>
          <w:rFonts w:ascii="宋体" w:hAnsi="宋体"/>
          <w:b/>
          <w:bCs/>
          <w:sz w:val="24"/>
        </w:rPr>
      </w:pPr>
      <w:r>
        <w:rPr>
          <w:rFonts w:hint="eastAsia" w:ascii="宋体" w:hAnsi="宋体"/>
          <w:b/>
          <w:bCs/>
          <w:sz w:val="24"/>
        </w:rPr>
        <w:t>（七）其他账户的开立和管理</w:t>
      </w:r>
    </w:p>
    <w:p w14:paraId="52814059">
      <w:pPr>
        <w:tabs>
          <w:tab w:val="left" w:pos="2958"/>
        </w:tabs>
        <w:spacing w:line="360" w:lineRule="auto"/>
        <w:ind w:firstLine="420"/>
        <w:outlineLvl w:val="0"/>
      </w:pPr>
      <w:r>
        <w:rPr>
          <w:rFonts w:hint="eastAsia"/>
        </w:rPr>
        <w:t>若中国证监会或其他监管机构在本托管协议订立日之后允许基金从事其他投资品种的投资业务，涉及相关账户的开立、使用的，由基金管理人协助基金托管人根据有关法律法规的规定和《基金合同》的约定，开立有关账户。该账户按有关规则使用并管理。</w:t>
      </w:r>
    </w:p>
    <w:p w14:paraId="7984616A">
      <w:pPr>
        <w:tabs>
          <w:tab w:val="left" w:pos="3780"/>
        </w:tabs>
        <w:spacing w:line="360" w:lineRule="auto"/>
        <w:ind w:firstLine="482" w:firstLineChars="200"/>
        <w:outlineLvl w:val="0"/>
        <w:rPr>
          <w:rFonts w:ascii="宋体"/>
          <w:b/>
          <w:bCs/>
          <w:sz w:val="24"/>
        </w:rPr>
      </w:pPr>
      <w:r>
        <w:rPr>
          <w:rFonts w:ascii="宋体" w:hAnsi="宋体"/>
          <w:b/>
          <w:bCs/>
          <w:sz w:val="24"/>
        </w:rPr>
        <w:t>（</w:t>
      </w:r>
      <w:r>
        <w:rPr>
          <w:rFonts w:hint="eastAsia" w:ascii="宋体" w:hAnsi="宋体"/>
          <w:b/>
          <w:bCs/>
          <w:sz w:val="24"/>
        </w:rPr>
        <w:t>八</w:t>
      </w:r>
      <w:r>
        <w:rPr>
          <w:rFonts w:ascii="宋体" w:hAnsi="宋体"/>
          <w:b/>
          <w:bCs/>
          <w:sz w:val="24"/>
        </w:rPr>
        <w:t>）基金财产投资的有关实物证券、银行存款定期存单等有价凭证的保管</w:t>
      </w:r>
      <w:bookmarkEnd w:id="46"/>
      <w:bookmarkEnd w:id="47"/>
    </w:p>
    <w:p w14:paraId="75FD2C8A">
      <w:pPr>
        <w:tabs>
          <w:tab w:val="left" w:pos="1260"/>
        </w:tabs>
        <w:spacing w:line="360" w:lineRule="auto"/>
        <w:ind w:firstLine="480"/>
        <w:rPr>
          <w:rFonts w:ascii="宋体"/>
          <w:color w:val="000000"/>
          <w:sz w:val="24"/>
        </w:rPr>
      </w:pPr>
      <w:r>
        <w:rPr>
          <w:rFonts w:hint="eastAsia" w:ascii="宋体" w:hAnsi="宋体"/>
          <w:sz w:val="24"/>
        </w:rPr>
        <w:t>实物证券由基金托管人存放于基金托管人的保管库。实物证券的购买和转让，由基金托管人根据基金管理人的指令办理。</w:t>
      </w:r>
      <w:r>
        <w:rPr>
          <w:rFonts w:hint="eastAsia" w:ascii="宋体" w:hAnsi="宋体"/>
          <w:color w:val="000000"/>
          <w:sz w:val="24"/>
        </w:rPr>
        <w:t>基金托管人对由基金托管人以外机构实际有效控制的本基金资产不承担保管责任。</w:t>
      </w:r>
    </w:p>
    <w:p w14:paraId="004BDB7D">
      <w:pPr>
        <w:tabs>
          <w:tab w:val="left" w:pos="1260"/>
        </w:tabs>
        <w:spacing w:line="360" w:lineRule="auto"/>
        <w:ind w:firstLine="480"/>
        <w:rPr>
          <w:rFonts w:ascii="宋体" w:hAnsi="宋体"/>
          <w:sz w:val="24"/>
        </w:rPr>
      </w:pPr>
      <w:r>
        <w:rPr>
          <w:rFonts w:hint="eastAsia" w:ascii="宋体" w:hAnsi="宋体"/>
          <w:sz w:val="24"/>
        </w:rPr>
        <w:t>银行存款定期存单等有价凭证由基金托管人负责保管。</w:t>
      </w:r>
    </w:p>
    <w:p w14:paraId="42EFAF93">
      <w:pPr>
        <w:tabs>
          <w:tab w:val="left" w:pos="1260"/>
        </w:tabs>
        <w:spacing w:line="360" w:lineRule="auto"/>
        <w:ind w:firstLine="480"/>
        <w:rPr>
          <w:rFonts w:ascii="宋体"/>
          <w:sz w:val="24"/>
        </w:rPr>
      </w:pPr>
      <w:r>
        <w:rPr>
          <w:rFonts w:hint="eastAsia" w:ascii="宋体"/>
          <w:sz w:val="24"/>
        </w:rPr>
        <w:t>基金托管人只负责对存款证实书进行保管，不负责对存款证实书真伪的辨别，不承担存款证实书对应存款的本金及收益的安全保管责任。</w:t>
      </w:r>
    </w:p>
    <w:p w14:paraId="30109072">
      <w:pPr>
        <w:tabs>
          <w:tab w:val="left" w:pos="3780"/>
        </w:tabs>
        <w:spacing w:line="360" w:lineRule="auto"/>
        <w:ind w:firstLine="482" w:firstLineChars="200"/>
        <w:outlineLvl w:val="0"/>
        <w:rPr>
          <w:rFonts w:ascii="宋体"/>
          <w:b/>
          <w:bCs/>
          <w:sz w:val="24"/>
        </w:rPr>
      </w:pPr>
      <w:bookmarkStart w:id="48" w:name="_Toc77663004"/>
      <w:bookmarkStart w:id="49" w:name="_Toc37159180"/>
      <w:r>
        <w:rPr>
          <w:rFonts w:ascii="宋体" w:hAnsi="宋体"/>
          <w:b/>
          <w:bCs/>
          <w:sz w:val="24"/>
        </w:rPr>
        <w:t>（</w:t>
      </w:r>
      <w:r>
        <w:rPr>
          <w:rFonts w:hint="eastAsia" w:ascii="宋体" w:hAnsi="宋体"/>
          <w:b/>
          <w:bCs/>
          <w:sz w:val="24"/>
        </w:rPr>
        <w:t>九</w:t>
      </w:r>
      <w:r>
        <w:rPr>
          <w:rFonts w:ascii="宋体" w:hAnsi="宋体"/>
          <w:b/>
          <w:bCs/>
          <w:sz w:val="24"/>
        </w:rPr>
        <w:t>）与基金财产有关的重大合同的保管</w:t>
      </w:r>
      <w:bookmarkEnd w:id="48"/>
      <w:bookmarkEnd w:id="49"/>
    </w:p>
    <w:p w14:paraId="32E57D0D">
      <w:pPr>
        <w:tabs>
          <w:tab w:val="left" w:pos="1260"/>
        </w:tabs>
        <w:spacing w:line="360" w:lineRule="auto"/>
        <w:ind w:firstLine="480"/>
        <w:rPr>
          <w:rFonts w:ascii="宋体"/>
          <w:sz w:val="24"/>
        </w:rPr>
      </w:pPr>
      <w:r>
        <w:rPr>
          <w:rFonts w:hint="eastAsia" w:ascii="宋体" w:hAnsi="宋体"/>
          <w:sz w:val="24"/>
        </w:rPr>
        <w:t>由基金管理人代表基金签署的与基金有关的重大合同的原件分别由基金托管人、基金管理人保管，相关业务程序另有限制除外。除本协议另有规定外，基金管理人在代表基金签署与基金有关的重大合同时应尽可能保证持有二份以上的正本，以便基金管理人和基金托管人至少各持有一份正本的原件，基金管理人应及时将正本送达基金托管人处。合同的保管期限按照国家有关规定执行。</w:t>
      </w:r>
    </w:p>
    <w:p w14:paraId="2E838205">
      <w:pPr>
        <w:tabs>
          <w:tab w:val="left" w:pos="1260"/>
        </w:tabs>
        <w:spacing w:line="360" w:lineRule="auto"/>
        <w:ind w:firstLine="480"/>
        <w:rPr>
          <w:rFonts w:ascii="宋体"/>
          <w:sz w:val="24"/>
        </w:rPr>
      </w:pPr>
      <w:r>
        <w:rPr>
          <w:rFonts w:ascii="宋体" w:hAnsi="宋体"/>
          <w:sz w:val="24"/>
        </w:rPr>
        <w:t>对于无法取得二份以上的正本的，基金管理人应向基金托管人提供加盖授权业务章的合同传真件，未经双方协商或未在合同约定范围内，合同原件不得转移。</w:t>
      </w:r>
      <w:bookmarkStart w:id="50" w:name="_Toc125892442"/>
      <w:bookmarkStart w:id="51" w:name="_Toc466788855"/>
      <w:bookmarkStart w:id="52" w:name="_Toc523829996"/>
    </w:p>
    <w:p w14:paraId="7672EFBA">
      <w:pPr>
        <w:pStyle w:val="214"/>
      </w:pPr>
      <w:bookmarkStart w:id="53" w:name="_Toc35001431"/>
      <w:r>
        <w:t>六、指令的发送、确认和执行</w:t>
      </w:r>
      <w:bookmarkEnd w:id="50"/>
      <w:bookmarkEnd w:id="51"/>
      <w:bookmarkEnd w:id="52"/>
      <w:bookmarkEnd w:id="53"/>
    </w:p>
    <w:p w14:paraId="5B7FF3DB">
      <w:pPr>
        <w:tabs>
          <w:tab w:val="left" w:pos="3780"/>
        </w:tabs>
        <w:spacing w:line="360" w:lineRule="auto"/>
        <w:outlineLvl w:val="0"/>
        <w:rPr>
          <w:rFonts w:ascii="宋体"/>
          <w:b/>
          <w:bCs/>
          <w:sz w:val="24"/>
        </w:rPr>
      </w:pPr>
      <w:bookmarkStart w:id="54" w:name="_Toc77663006"/>
      <w:r>
        <w:rPr>
          <w:rFonts w:ascii="宋体" w:hAnsi="宋体"/>
          <w:b/>
          <w:bCs/>
          <w:sz w:val="24"/>
        </w:rPr>
        <w:t>（一）基金管理人对发送指令人员的书面授权</w:t>
      </w:r>
      <w:bookmarkEnd w:id="54"/>
    </w:p>
    <w:p w14:paraId="3FAF051D">
      <w:pPr>
        <w:tabs>
          <w:tab w:val="left" w:pos="1260"/>
        </w:tabs>
        <w:spacing w:line="360" w:lineRule="auto"/>
        <w:ind w:firstLine="480"/>
        <w:rPr>
          <w:rFonts w:ascii="宋体"/>
          <w:sz w:val="24"/>
        </w:rPr>
      </w:pPr>
      <w:r>
        <w:rPr>
          <w:rFonts w:hint="eastAsia" w:ascii="宋体" w:hAnsi="宋体"/>
          <w:sz w:val="24"/>
        </w:rPr>
        <w:t>基金管理人应事先书面通知（以下称“授权通知”）基金托管人有权发送指令的人员名单、签字样本、预留印鉴和启用日期，注明相应的权限，并规定基金管理人向基金托管人发送指令时基金托管人确认有权发送人员（以下简称“被授权人”）身份的方法。基金管理人向基金托管人发出的授权通知应加盖公章。基金管理人发出授权通知后，以电话形式向基金托管人确认，授权通知自其上面注明的启用日期开始生效，在此后三个工作日内基金管理人应将授权通知的正本送交基金托管人。</w:t>
      </w:r>
    </w:p>
    <w:p w14:paraId="5E2A0AF6">
      <w:pPr>
        <w:tabs>
          <w:tab w:val="left" w:pos="1260"/>
        </w:tabs>
        <w:spacing w:line="360" w:lineRule="auto"/>
        <w:ind w:firstLine="480"/>
        <w:rPr>
          <w:rFonts w:ascii="宋体"/>
          <w:sz w:val="24"/>
        </w:rPr>
      </w:pPr>
      <w:r>
        <w:rPr>
          <w:rFonts w:hint="eastAsia" w:ascii="宋体" w:hAnsi="宋体"/>
          <w:sz w:val="24"/>
        </w:rPr>
        <w:t>基金托管人收到授权通知后，将签字和印鉴与预留样本核对无误后，应在收到授权通知当日电话向基金管理人确认。</w:t>
      </w:r>
    </w:p>
    <w:p w14:paraId="29F4D7C7">
      <w:pPr>
        <w:tabs>
          <w:tab w:val="left" w:pos="1260"/>
        </w:tabs>
        <w:spacing w:line="360" w:lineRule="auto"/>
        <w:ind w:firstLine="480"/>
        <w:rPr>
          <w:rFonts w:ascii="宋体"/>
          <w:sz w:val="24"/>
        </w:rPr>
      </w:pPr>
      <w:r>
        <w:rPr>
          <w:rFonts w:ascii="宋体" w:hAnsi="宋体"/>
          <w:sz w:val="24"/>
        </w:rPr>
        <w:t>基金管理人和基金托管人对授权文件负有保密义务，其内容不得向被授权人及相关操作人员以外的任何人泄露，但法律法规或中国证监会另有规定的除外。</w:t>
      </w:r>
      <w:bookmarkStart w:id="55" w:name="_Toc77663007"/>
    </w:p>
    <w:p w14:paraId="311BFB44">
      <w:pPr>
        <w:tabs>
          <w:tab w:val="left" w:pos="3780"/>
        </w:tabs>
        <w:spacing w:line="360" w:lineRule="auto"/>
        <w:outlineLvl w:val="0"/>
        <w:rPr>
          <w:rFonts w:ascii="宋体"/>
          <w:b/>
          <w:bCs/>
          <w:sz w:val="24"/>
        </w:rPr>
      </w:pPr>
      <w:r>
        <w:rPr>
          <w:rFonts w:ascii="宋体" w:hAnsi="宋体"/>
          <w:b/>
          <w:bCs/>
          <w:sz w:val="24"/>
        </w:rPr>
        <w:t>（二）指令的内容</w:t>
      </w:r>
      <w:bookmarkEnd w:id="55"/>
    </w:p>
    <w:p w14:paraId="07DB3B7B">
      <w:pPr>
        <w:tabs>
          <w:tab w:val="left" w:pos="1260"/>
        </w:tabs>
        <w:spacing w:line="360" w:lineRule="auto"/>
        <w:ind w:firstLine="480"/>
        <w:rPr>
          <w:rFonts w:ascii="宋体"/>
          <w:sz w:val="24"/>
        </w:rPr>
      </w:pPr>
      <w:r>
        <w:rPr>
          <w:rFonts w:hint="eastAsia" w:ascii="宋体" w:hAnsi="宋体"/>
          <w:sz w:val="24"/>
        </w:rPr>
        <w:t>指令是基金管理人在运用基金资产时，向基金托管人发出的资金划拨及其他款项收付的指令。</w:t>
      </w:r>
      <w:bookmarkStart w:id="56" w:name="_Toc77663008"/>
      <w:r>
        <w:rPr>
          <w:rFonts w:hint="eastAsia" w:ascii="宋体" w:hAnsi="宋体"/>
          <w:sz w:val="24"/>
        </w:rPr>
        <w:t>指令应写明款项事由、支付时间、到账时间、金额、账户、大额支付号等执行支付所需内容，加盖预留印鉴。</w:t>
      </w:r>
    </w:p>
    <w:p w14:paraId="636B5F6D">
      <w:pPr>
        <w:tabs>
          <w:tab w:val="left" w:pos="1260"/>
        </w:tabs>
        <w:spacing w:line="360" w:lineRule="auto"/>
        <w:rPr>
          <w:rFonts w:ascii="宋体"/>
          <w:b/>
          <w:bCs/>
          <w:sz w:val="24"/>
        </w:rPr>
      </w:pPr>
      <w:r>
        <w:rPr>
          <w:rFonts w:hint="eastAsia" w:ascii="宋体" w:hAnsi="宋体"/>
          <w:b/>
          <w:bCs/>
          <w:sz w:val="24"/>
        </w:rPr>
        <w:t>（三）指令的发送、确认和执行</w:t>
      </w:r>
      <w:bookmarkEnd w:id="56"/>
      <w:r>
        <w:rPr>
          <w:rFonts w:hint="eastAsia" w:ascii="宋体" w:hAnsi="宋体"/>
          <w:b/>
          <w:bCs/>
          <w:sz w:val="24"/>
        </w:rPr>
        <w:t>的时间和程序</w:t>
      </w:r>
    </w:p>
    <w:p w14:paraId="4CB6165D">
      <w:pPr>
        <w:tabs>
          <w:tab w:val="left" w:pos="1260"/>
        </w:tabs>
        <w:spacing w:line="360" w:lineRule="auto"/>
        <w:ind w:firstLine="480"/>
        <w:rPr>
          <w:rFonts w:ascii="宋体"/>
          <w:sz w:val="24"/>
        </w:rPr>
      </w:pPr>
      <w:r>
        <w:rPr>
          <w:rFonts w:hint="eastAsia" w:ascii="宋体" w:hAnsi="宋体"/>
          <w:sz w:val="24"/>
        </w:rPr>
        <w:t>基金管理人应按照《基金法》及其他有关法规、《基金合同》和本协议的规定，在其合法的经营权限和交易权限内发送指令，被授权人应按照其授权权限发送指令。指令由“授权通知”确定的被授权人代表基金管理人用传真的方式向基金托管人发送。发送后基金管理人及时通过电话与基金托管人确认指令内容。</w:t>
      </w:r>
      <w:r>
        <w:rPr>
          <w:rFonts w:hint="eastAsia" w:hAnsi="宋体"/>
          <w:sz w:val="24"/>
        </w:rPr>
        <w:t>基金管理人必须在</w:t>
      </w:r>
      <w:r>
        <w:rPr>
          <w:rFonts w:hAnsi="宋体"/>
          <w:sz w:val="24"/>
        </w:rPr>
        <w:t>15:00</w:t>
      </w:r>
      <w:r>
        <w:rPr>
          <w:rFonts w:hint="eastAsia" w:hAnsi="宋体"/>
          <w:sz w:val="24"/>
        </w:rPr>
        <w:t>之前向基金托管人发送付款指令并确保基金银行账户有足够的资金余额，</w:t>
      </w:r>
      <w:r>
        <w:rPr>
          <w:rFonts w:hAnsi="宋体"/>
          <w:sz w:val="24"/>
        </w:rPr>
        <w:t>15:00</w:t>
      </w:r>
      <w:r>
        <w:rPr>
          <w:rFonts w:hint="eastAsia" w:hAnsi="宋体"/>
          <w:sz w:val="24"/>
        </w:rPr>
        <w:t>之后发送付款指令或截止</w:t>
      </w:r>
      <w:r>
        <w:rPr>
          <w:rFonts w:hAnsi="宋体"/>
          <w:sz w:val="24"/>
        </w:rPr>
        <w:t>15:00</w:t>
      </w:r>
      <w:r>
        <w:rPr>
          <w:rFonts w:hint="eastAsia" w:hAnsi="宋体"/>
          <w:sz w:val="24"/>
        </w:rPr>
        <w:t>时账户资金不足的，基金托管人不能保证在当日完成划付。对基金管理人在没有充足资金的情况下向基金托管人发出的指令，基金托管人可不予执行，并立即通知基金管理人，基金托管人不承担因为不执行该指令而造成损失的责任。如基金管理人要求当天某一时点到账，必须至少提前</w:t>
      </w:r>
      <w:r>
        <w:rPr>
          <w:rFonts w:hAnsi="宋体"/>
          <w:sz w:val="24"/>
        </w:rPr>
        <w:t>2</w:t>
      </w:r>
      <w:r>
        <w:rPr>
          <w:rFonts w:hint="eastAsia" w:hAnsi="宋体"/>
          <w:sz w:val="24"/>
        </w:rPr>
        <w:t>个</w:t>
      </w:r>
      <w:r>
        <w:rPr>
          <w:rFonts w:hAnsi="宋体"/>
          <w:sz w:val="24"/>
        </w:rPr>
        <w:t>工作</w:t>
      </w:r>
      <w:r>
        <w:rPr>
          <w:rFonts w:hint="eastAsia" w:hAnsi="宋体"/>
          <w:sz w:val="24"/>
        </w:rPr>
        <w:t>小时向基金托管人发送付款指令并与基金托管人电话确认。基金管理人指令传输及确认不及时或账户资金不足，未能留出足够的执行时间，致使指令未能及时执行的，基金托管人不承担由此导致的损失。基金管理人应将银行间市场成交单加盖预留印鉴后传真给基金托管人。</w:t>
      </w:r>
      <w:r>
        <w:rPr>
          <w:rFonts w:hint="eastAsia" w:ascii="宋体" w:hAnsi="宋体"/>
          <w:sz w:val="24"/>
        </w:rPr>
        <w:t>对于被授权人发出的指令，基金管理人不得否认其效力。基金托管人依照“授权通知”规定的方法确认指令的有效后，方可执行指令。</w:t>
      </w:r>
      <w:r>
        <w:rPr>
          <w:rFonts w:hint="eastAsia" w:cs="Arial"/>
          <w:sz w:val="24"/>
        </w:rPr>
        <w:t>指令</w:t>
      </w:r>
      <w:r>
        <w:rPr>
          <w:rFonts w:hint="eastAsia" w:ascii="宋体" w:hAnsi="宋体" w:cs="Arial"/>
          <w:sz w:val="24"/>
        </w:rPr>
        <w:t>执行完毕后，基金托管人将执行结果反馈给基金管理人。基金托管人仅根据基金管理人的授权文件对指令进行表面相符性的形式审查，对其真实性不承担责任。</w:t>
      </w:r>
    </w:p>
    <w:p w14:paraId="0C01E2B0">
      <w:pPr>
        <w:tabs>
          <w:tab w:val="left" w:pos="3780"/>
        </w:tabs>
        <w:spacing w:line="360" w:lineRule="auto"/>
        <w:outlineLvl w:val="0"/>
        <w:rPr>
          <w:rFonts w:ascii="宋体"/>
          <w:b/>
          <w:bCs/>
          <w:sz w:val="24"/>
        </w:rPr>
      </w:pPr>
      <w:r>
        <w:rPr>
          <w:rFonts w:hint="eastAsia" w:ascii="宋体" w:hAnsi="宋体"/>
          <w:b/>
          <w:bCs/>
          <w:sz w:val="24"/>
        </w:rPr>
        <w:t>（四）基金管理人发送错误指令的情形和处理程序</w:t>
      </w:r>
    </w:p>
    <w:p w14:paraId="713FC3BA">
      <w:pPr>
        <w:tabs>
          <w:tab w:val="left" w:pos="1260"/>
        </w:tabs>
        <w:spacing w:line="360" w:lineRule="auto"/>
        <w:ind w:firstLine="480"/>
        <w:rPr>
          <w:rFonts w:ascii="宋体"/>
          <w:sz w:val="24"/>
        </w:rPr>
      </w:pPr>
      <w:r>
        <w:rPr>
          <w:rFonts w:hint="eastAsia" w:ascii="宋体" w:hAnsi="宋体"/>
          <w:sz w:val="24"/>
        </w:rPr>
        <w:t>基金管理人发送错误指令的情形包括指令发送人员无权或超越权限发送指令及交割信息错误，指令中重要信息模糊不清或不全等。基金托管人在履行监督职能时，发现基金管理人的指令错误时，有权视情况暂缓或拒绝执行，并及时通知基金管理人改正。</w:t>
      </w:r>
      <w:r>
        <w:rPr>
          <w:rFonts w:ascii="宋体" w:hAnsi="宋体"/>
          <w:sz w:val="24"/>
        </w:rPr>
        <w:t xml:space="preserve"> </w:t>
      </w:r>
    </w:p>
    <w:p w14:paraId="2949CE2E">
      <w:pPr>
        <w:tabs>
          <w:tab w:val="left" w:pos="3780"/>
        </w:tabs>
        <w:spacing w:line="360" w:lineRule="auto"/>
        <w:outlineLvl w:val="0"/>
        <w:rPr>
          <w:rFonts w:ascii="宋体"/>
          <w:b/>
          <w:bCs/>
          <w:sz w:val="24"/>
        </w:rPr>
      </w:pPr>
      <w:r>
        <w:rPr>
          <w:rFonts w:hint="eastAsia" w:ascii="宋体" w:hAnsi="宋体"/>
          <w:b/>
          <w:bCs/>
          <w:sz w:val="24"/>
        </w:rPr>
        <w:t>（五）基金托管人依照法律法规暂缓、拒绝执行指令的情形和处理程序</w:t>
      </w:r>
    </w:p>
    <w:p w14:paraId="501EDA2F">
      <w:pPr>
        <w:tabs>
          <w:tab w:val="left" w:pos="1260"/>
        </w:tabs>
        <w:spacing w:line="360" w:lineRule="auto"/>
        <w:ind w:firstLine="480"/>
        <w:rPr>
          <w:rFonts w:ascii="宋体"/>
          <w:sz w:val="24"/>
        </w:rPr>
      </w:pPr>
      <w:r>
        <w:rPr>
          <w:rFonts w:hint="eastAsia" w:ascii="宋体" w:hAnsi="宋体"/>
          <w:sz w:val="24"/>
        </w:rPr>
        <w:t>基金托管人在对基金场外投资指令进行审核时，如发现基金管理人的投资指令违反有关基金的法律法规、《基金合同》、本协议的规定，如交易未生效，则不予执行并立即通知基金管理人；如交易已生效，则以书面形式通知基金管理人限期纠正。基金管理人收到通知后应及时核对，并以约定形式向基金托管人反馈，由此造成的损失由基金管理人承担。</w:t>
      </w:r>
    </w:p>
    <w:p w14:paraId="581CC646">
      <w:pPr>
        <w:tabs>
          <w:tab w:val="left" w:pos="1260"/>
        </w:tabs>
        <w:spacing w:line="360" w:lineRule="auto"/>
        <w:ind w:firstLine="480"/>
        <w:rPr>
          <w:rFonts w:ascii="宋体"/>
          <w:sz w:val="24"/>
        </w:rPr>
      </w:pPr>
      <w:r>
        <w:rPr>
          <w:rFonts w:hint="eastAsia" w:ascii="宋体" w:hAnsi="宋体"/>
          <w:sz w:val="24"/>
        </w:rPr>
        <w:t>基金托管人在对基金场外投资指令进行审核时，如发现投资指令有可能违反法律法规、《基金合同》、本协议的规定，应暂缓执行指令，通知基金管理人改正。如果基金管理人拒不改正，基金托管人有权向中国证监会报告。</w:t>
      </w:r>
    </w:p>
    <w:p w14:paraId="7C547132">
      <w:pPr>
        <w:tabs>
          <w:tab w:val="left" w:pos="3780"/>
        </w:tabs>
        <w:spacing w:line="360" w:lineRule="auto"/>
        <w:outlineLvl w:val="0"/>
        <w:rPr>
          <w:rFonts w:ascii="宋体"/>
          <w:b/>
          <w:bCs/>
          <w:sz w:val="24"/>
        </w:rPr>
      </w:pPr>
      <w:r>
        <w:rPr>
          <w:rFonts w:hint="eastAsia" w:ascii="宋体" w:hAnsi="宋体"/>
          <w:b/>
          <w:bCs/>
          <w:sz w:val="24"/>
        </w:rPr>
        <w:t>（六）基金托管人未按照基金管理人指令执行的处理方法</w:t>
      </w:r>
    </w:p>
    <w:p w14:paraId="6908370B">
      <w:pPr>
        <w:tabs>
          <w:tab w:val="left" w:pos="1260"/>
        </w:tabs>
        <w:spacing w:line="360" w:lineRule="auto"/>
        <w:ind w:firstLine="480"/>
        <w:rPr>
          <w:rFonts w:ascii="宋体"/>
          <w:sz w:val="24"/>
        </w:rPr>
      </w:pPr>
      <w:r>
        <w:rPr>
          <w:rFonts w:hint="eastAsia" w:ascii="宋体" w:hAnsi="宋体"/>
          <w:sz w:val="24"/>
        </w:rPr>
        <w:t>基金托管人由于自身原因造成未按照基金管理人发送的正常指令执行，应在发现后及时采取措施予以弥补，</w:t>
      </w:r>
      <w:r>
        <w:rPr>
          <w:rFonts w:ascii="宋体" w:hAnsi="宋体"/>
          <w:sz w:val="24"/>
        </w:rPr>
        <w:t>给基金份额持有人造成损失的，对由此造成的直接经济损失负赔偿责任。</w:t>
      </w:r>
      <w:bookmarkStart w:id="57" w:name="_Toc77663009"/>
    </w:p>
    <w:p w14:paraId="589E2F03">
      <w:pPr>
        <w:tabs>
          <w:tab w:val="left" w:pos="3780"/>
        </w:tabs>
        <w:spacing w:line="360" w:lineRule="auto"/>
        <w:outlineLvl w:val="0"/>
        <w:rPr>
          <w:rFonts w:ascii="宋体"/>
          <w:b/>
          <w:bCs/>
          <w:sz w:val="24"/>
        </w:rPr>
      </w:pPr>
      <w:r>
        <w:rPr>
          <w:rFonts w:hint="eastAsia" w:ascii="宋体" w:hAnsi="宋体"/>
          <w:b/>
          <w:bCs/>
          <w:sz w:val="24"/>
        </w:rPr>
        <w:t>（七）被授权人</w:t>
      </w:r>
      <w:bookmarkEnd w:id="57"/>
      <w:r>
        <w:rPr>
          <w:rFonts w:hint="eastAsia" w:ascii="宋体" w:hAnsi="宋体"/>
          <w:b/>
          <w:bCs/>
          <w:sz w:val="24"/>
        </w:rPr>
        <w:t>员的更换</w:t>
      </w:r>
    </w:p>
    <w:p w14:paraId="5780294C">
      <w:pPr>
        <w:tabs>
          <w:tab w:val="left" w:pos="1260"/>
        </w:tabs>
        <w:spacing w:line="360" w:lineRule="auto"/>
        <w:ind w:firstLine="480"/>
        <w:rPr>
          <w:rFonts w:ascii="宋体"/>
          <w:sz w:val="24"/>
        </w:rPr>
      </w:pPr>
      <w:r>
        <w:rPr>
          <w:rFonts w:hint="eastAsia" w:ascii="宋体" w:hAnsi="宋体"/>
          <w:sz w:val="24"/>
        </w:rPr>
        <w:t>基金管理人撤换被授权人员或改变被授权人员的权限，必须提前至少三个工作日，使用传真向基金托管人发出加盖公章的被授权人变更通知，注明启用日期，同时电话通知基金托管人。被授权人变更通知自其上面注明的启用日期起开始生效。基金管理人对授权通知的内容的修改自启用日期起生效。基金管理人在此后三个工作日内将被授权人变更通知的正本送交基金托管人。</w:t>
      </w:r>
    </w:p>
    <w:p w14:paraId="7266C6C4">
      <w:pPr>
        <w:tabs>
          <w:tab w:val="left" w:pos="1260"/>
        </w:tabs>
        <w:spacing w:line="360" w:lineRule="auto"/>
        <w:ind w:firstLine="480"/>
        <w:rPr>
          <w:rFonts w:ascii="宋体"/>
          <w:sz w:val="24"/>
        </w:rPr>
      </w:pPr>
      <w:r>
        <w:rPr>
          <w:rFonts w:hint="eastAsia" w:ascii="宋体" w:hAnsi="宋体"/>
          <w:sz w:val="24"/>
        </w:rPr>
        <w:t>如果基金管理人已经撤销或更改对指令发送人员的授权，并且书面通知基金托管人，则对于在变更通知的启用日期后该指令发送人员无权发送的指令，或超权限发送的指令，基金管理人不承担责任。</w:t>
      </w:r>
    </w:p>
    <w:p w14:paraId="35F657B1">
      <w:pPr>
        <w:pStyle w:val="214"/>
      </w:pPr>
      <w:bookmarkStart w:id="58" w:name="_Toc466788856"/>
      <w:bookmarkStart w:id="59" w:name="_Toc22454451"/>
      <w:bookmarkStart w:id="60" w:name="_Toc523829997"/>
      <w:bookmarkStart w:id="61" w:name="_Toc125892443"/>
      <w:bookmarkStart w:id="62" w:name="_Toc35001432"/>
      <w:r>
        <w:t>七、交易及清算交收安排</w:t>
      </w:r>
      <w:bookmarkEnd w:id="58"/>
      <w:bookmarkEnd w:id="59"/>
      <w:bookmarkEnd w:id="60"/>
      <w:bookmarkEnd w:id="61"/>
      <w:bookmarkEnd w:id="62"/>
    </w:p>
    <w:p w14:paraId="4344D877">
      <w:pPr>
        <w:tabs>
          <w:tab w:val="left" w:pos="3780"/>
        </w:tabs>
        <w:spacing w:line="360" w:lineRule="auto"/>
        <w:outlineLvl w:val="0"/>
        <w:rPr>
          <w:rFonts w:ascii="宋体"/>
          <w:b/>
          <w:bCs/>
          <w:sz w:val="24"/>
        </w:rPr>
      </w:pPr>
      <w:bookmarkStart w:id="63" w:name="_Toc77663011"/>
      <w:bookmarkStart w:id="64" w:name="_Toc22454452"/>
      <w:r>
        <w:rPr>
          <w:rFonts w:ascii="宋体" w:hAnsi="宋体"/>
          <w:b/>
          <w:bCs/>
          <w:sz w:val="24"/>
        </w:rPr>
        <w:t>（一）选择代理证券、期货买卖的证券、期货经营机构的标准和程序</w:t>
      </w:r>
      <w:bookmarkEnd w:id="63"/>
      <w:bookmarkEnd w:id="64"/>
    </w:p>
    <w:p w14:paraId="575EED8B">
      <w:pPr>
        <w:tabs>
          <w:tab w:val="left" w:pos="1260"/>
        </w:tabs>
        <w:spacing w:line="360" w:lineRule="auto"/>
        <w:ind w:firstLine="480"/>
        <w:rPr>
          <w:rFonts w:ascii="宋体"/>
          <w:sz w:val="24"/>
        </w:rPr>
      </w:pPr>
      <w:r>
        <w:rPr>
          <w:rFonts w:hint="eastAsia" w:ascii="宋体" w:hAnsi="宋体"/>
          <w:sz w:val="24"/>
        </w:rPr>
        <w:t>基金管理人负责选择代理本基金证券、期货买卖的证券、期货经营机构。</w:t>
      </w:r>
    </w:p>
    <w:p w14:paraId="47541EE7">
      <w:pPr>
        <w:tabs>
          <w:tab w:val="left" w:pos="1260"/>
        </w:tabs>
        <w:spacing w:line="360" w:lineRule="auto"/>
        <w:ind w:firstLine="480"/>
        <w:rPr>
          <w:rFonts w:ascii="宋体" w:hAnsi="宋体"/>
          <w:sz w:val="24"/>
        </w:rPr>
      </w:pPr>
      <w:r>
        <w:rPr>
          <w:rFonts w:hint="eastAsia" w:ascii="宋体" w:hAnsi="宋体"/>
          <w:sz w:val="24"/>
        </w:rPr>
        <w:t>基金管理人应代表基金与被选择的证券经营机构签订交易单元租用协议。基金管理人应及时将基金交易单元号、佣金费率等基本信息以及变更情况及时以书面形式通知基金托管人，并在法定信息披露公告中披露相关内容。</w:t>
      </w:r>
    </w:p>
    <w:p w14:paraId="736522A9">
      <w:pPr>
        <w:tabs>
          <w:tab w:val="left" w:pos="1260"/>
        </w:tabs>
        <w:spacing w:line="360" w:lineRule="auto"/>
        <w:ind w:firstLine="480"/>
        <w:rPr>
          <w:rFonts w:ascii="宋体"/>
          <w:sz w:val="24"/>
        </w:rPr>
      </w:pPr>
      <w:r>
        <w:rPr>
          <w:rFonts w:hint="eastAsia" w:ascii="宋体"/>
          <w:sz w:val="24"/>
        </w:rPr>
        <w:t>基金管理人负责选择代理本基金期货交易的期货经纪机构，并与其签订期货经纪合同，其他事宜根据法律法规、《基金合同》的相关规定执行，若无明确规定的，可参照有关证券买卖、证券经纪机构选择的规则执行。</w:t>
      </w:r>
    </w:p>
    <w:p w14:paraId="10B7CCD2">
      <w:pPr>
        <w:tabs>
          <w:tab w:val="left" w:pos="3780"/>
        </w:tabs>
        <w:spacing w:line="360" w:lineRule="auto"/>
        <w:outlineLvl w:val="0"/>
        <w:rPr>
          <w:rFonts w:ascii="宋体" w:hAnsi="宋体"/>
          <w:b/>
          <w:bCs/>
          <w:sz w:val="24"/>
        </w:rPr>
      </w:pPr>
      <w:bookmarkStart w:id="65" w:name="_Toc77663012"/>
      <w:r>
        <w:rPr>
          <w:rFonts w:hint="eastAsia" w:ascii="宋体" w:hAnsi="宋体"/>
          <w:b/>
          <w:bCs/>
          <w:sz w:val="24"/>
        </w:rPr>
        <w:t>（二）基金投资证券后的清算</w:t>
      </w:r>
      <w:bookmarkEnd w:id="65"/>
      <w:r>
        <w:rPr>
          <w:rFonts w:hint="eastAsia" w:ascii="宋体" w:hAnsi="宋体"/>
          <w:b/>
          <w:bCs/>
          <w:sz w:val="24"/>
        </w:rPr>
        <w:t>交收安排</w:t>
      </w:r>
    </w:p>
    <w:p w14:paraId="13DBD069">
      <w:pPr>
        <w:tabs>
          <w:tab w:val="left" w:pos="1260"/>
        </w:tabs>
        <w:spacing w:line="360" w:lineRule="auto"/>
        <w:ind w:firstLine="480"/>
        <w:rPr>
          <w:rFonts w:ascii="宋体"/>
          <w:sz w:val="24"/>
        </w:rPr>
      </w:pPr>
      <w:r>
        <w:rPr>
          <w:rFonts w:hint="eastAsia" w:ascii="宋体" w:hAnsi="宋体"/>
          <w:sz w:val="24"/>
        </w:rPr>
        <w:t>1</w:t>
      </w:r>
      <w:r>
        <w:rPr>
          <w:rFonts w:ascii="宋体" w:hAnsi="宋体"/>
          <w:sz w:val="24"/>
        </w:rPr>
        <w:t>.</w:t>
      </w:r>
      <w:r>
        <w:rPr>
          <w:rFonts w:hint="eastAsia" w:ascii="宋体" w:hAnsi="宋体"/>
          <w:sz w:val="24"/>
        </w:rPr>
        <w:t>资金划拨</w:t>
      </w:r>
    </w:p>
    <w:p w14:paraId="18100053">
      <w:pPr>
        <w:tabs>
          <w:tab w:val="left" w:pos="1260"/>
        </w:tabs>
        <w:spacing w:line="360" w:lineRule="auto"/>
        <w:ind w:firstLine="480"/>
        <w:rPr>
          <w:rFonts w:ascii="宋体"/>
          <w:sz w:val="24"/>
        </w:rPr>
      </w:pPr>
      <w:r>
        <w:rPr>
          <w:rFonts w:hint="eastAsia" w:ascii="宋体" w:hAnsi="宋体"/>
          <w:sz w:val="24"/>
        </w:rPr>
        <w:t>对于基金管理人的资金划拨指令，基金托管人在复核无误后应在规定期限</w:t>
      </w:r>
      <w:r>
        <w:rPr>
          <w:rFonts w:ascii="宋体" w:hAnsi="宋体"/>
          <w:sz w:val="24"/>
        </w:rPr>
        <w:t>内执行，不得延误。基金管理人应保证基金托管人在执行基金管理人发送的资金划拨指令时，基金银行账户或资金交收账</w:t>
      </w:r>
      <w:r>
        <w:rPr>
          <w:rFonts w:hint="eastAsia" w:ascii="宋体" w:hAnsi="宋体"/>
          <w:sz w:val="24"/>
        </w:rPr>
        <w:t>户上有充足的资金。基金的资金头寸不足时，基金托管人有权拒绝基金管理人发送的划款指令，并及时通知基金管理人。基金管理人在发送划款指令时应充分考虑基金托管人的划款处理时间和在途时间。在基金资金头寸充足的情况下，基金托管人对基金管理人符合法律法规、《基金合同》、本协议的指令不得拖延或拒绝执行。对超头寸的划款指令，基金托管人有权止付但应及时电话通知基金管理人，由此造成的损失由基金管理人承担。</w:t>
      </w:r>
    </w:p>
    <w:p w14:paraId="65BEBF22">
      <w:pPr>
        <w:tabs>
          <w:tab w:val="left" w:pos="1260"/>
        </w:tabs>
        <w:spacing w:line="360" w:lineRule="auto"/>
        <w:ind w:firstLine="480"/>
        <w:rPr>
          <w:rFonts w:ascii="宋体"/>
          <w:sz w:val="24"/>
        </w:rPr>
      </w:pPr>
      <w:r>
        <w:rPr>
          <w:rFonts w:hint="eastAsia" w:ascii="宋体" w:hAnsi="宋体"/>
          <w:sz w:val="24"/>
        </w:rPr>
        <w:t>2</w:t>
      </w:r>
      <w:r>
        <w:rPr>
          <w:rFonts w:ascii="宋体" w:hAnsi="宋体"/>
          <w:sz w:val="24"/>
        </w:rPr>
        <w:t>.</w:t>
      </w:r>
      <w:r>
        <w:rPr>
          <w:rFonts w:hint="eastAsia" w:ascii="宋体" w:hAnsi="宋体"/>
          <w:sz w:val="24"/>
        </w:rPr>
        <w:t>结算方式</w:t>
      </w:r>
    </w:p>
    <w:p w14:paraId="5979C7E1">
      <w:pPr>
        <w:tabs>
          <w:tab w:val="left" w:pos="1260"/>
        </w:tabs>
        <w:spacing w:line="360" w:lineRule="auto"/>
        <w:ind w:firstLine="480"/>
        <w:rPr>
          <w:rFonts w:ascii="宋体"/>
          <w:sz w:val="24"/>
        </w:rPr>
      </w:pPr>
      <w:r>
        <w:rPr>
          <w:rFonts w:hint="eastAsia" w:ascii="宋体" w:hAnsi="宋体"/>
          <w:sz w:val="24"/>
        </w:rPr>
        <w:t>支付结算以转账形式进行。如中国人民银行有更快捷、安全、可行的结算方式，基金托管人可根据需要进行调整。</w:t>
      </w:r>
    </w:p>
    <w:p w14:paraId="247F0E53">
      <w:pPr>
        <w:tabs>
          <w:tab w:val="left" w:pos="1260"/>
        </w:tabs>
        <w:spacing w:line="360" w:lineRule="auto"/>
        <w:ind w:firstLine="480"/>
        <w:rPr>
          <w:rFonts w:ascii="宋体"/>
          <w:sz w:val="24"/>
        </w:rPr>
      </w:pPr>
      <w:r>
        <w:rPr>
          <w:rFonts w:hint="eastAsia" w:ascii="宋体" w:hAnsi="宋体"/>
          <w:sz w:val="24"/>
        </w:rPr>
        <w:t>3</w:t>
      </w:r>
      <w:r>
        <w:rPr>
          <w:rFonts w:ascii="宋体" w:hAnsi="宋体"/>
          <w:sz w:val="24"/>
        </w:rPr>
        <w:t>.</w:t>
      </w:r>
      <w:r>
        <w:rPr>
          <w:rFonts w:hint="eastAsia" w:ascii="宋体" w:hAnsi="宋体"/>
          <w:sz w:val="24"/>
        </w:rPr>
        <w:t>证券交易资金的清算</w:t>
      </w:r>
    </w:p>
    <w:p w14:paraId="667CA148">
      <w:pPr>
        <w:tabs>
          <w:tab w:val="left" w:pos="1260"/>
        </w:tabs>
        <w:spacing w:line="360" w:lineRule="auto"/>
        <w:ind w:firstLine="480"/>
        <w:rPr>
          <w:rFonts w:ascii="宋体"/>
          <w:sz w:val="24"/>
        </w:rPr>
      </w:pPr>
      <w:r>
        <w:rPr>
          <w:rFonts w:hint="eastAsia" w:ascii="宋体" w:hAnsi="宋体"/>
          <w:sz w:val="24"/>
        </w:rPr>
        <w:t>本基金投资于证券而发生的场内、场外交易的清算交割，由基金托管人负责办理。</w:t>
      </w:r>
    </w:p>
    <w:p w14:paraId="53ED17A5">
      <w:pPr>
        <w:tabs>
          <w:tab w:val="left" w:pos="1260"/>
        </w:tabs>
        <w:spacing w:line="360" w:lineRule="auto"/>
        <w:ind w:firstLine="480"/>
        <w:rPr>
          <w:rFonts w:ascii="宋体"/>
          <w:sz w:val="24"/>
        </w:rPr>
      </w:pPr>
      <w:r>
        <w:rPr>
          <w:rFonts w:hint="eastAsia" w:ascii="宋体" w:hAnsi="宋体"/>
          <w:sz w:val="24"/>
        </w:rPr>
        <w:t>本基金场外证券投资的清算交割，由基金托管人根据基金管理人的指令通过登记结算机构办理。本基金场内证券投资的清算交割，由基金托管人根据双方签订的《托管银行证券资金结算协议》约定，由基金托管人负责办理。但本基金场内证券投资涉及</w:t>
      </w:r>
      <w:r>
        <w:rPr>
          <w:rFonts w:ascii="宋体" w:hAnsi="宋体"/>
          <w:sz w:val="24"/>
        </w:rPr>
        <w:t>T</w:t>
      </w:r>
      <w:r>
        <w:rPr>
          <w:rFonts w:hint="eastAsia" w:ascii="宋体" w:hAnsi="宋体"/>
          <w:sz w:val="24"/>
        </w:rPr>
        <w:t>+0日非担保、RTGS交收的业务，基金管理人应在</w:t>
      </w:r>
      <w:r>
        <w:rPr>
          <w:rFonts w:ascii="宋体" w:hAnsi="宋体"/>
          <w:sz w:val="24"/>
        </w:rPr>
        <w:t>T</w:t>
      </w:r>
      <w:r>
        <w:rPr>
          <w:rFonts w:hint="eastAsia" w:ascii="宋体" w:hAnsi="宋体"/>
          <w:sz w:val="24"/>
        </w:rPr>
        <w:t>+0日15：00前书面通知基金托管人办理交收，否则基金托管人不能保证相关清算交割成功。如因基金托管人的自身原因在清算上造成基金资产的损失，应由基金托管人负责赔偿基金的损失；如果因为基金管理人</w:t>
      </w:r>
      <w:r>
        <w:rPr>
          <w:rFonts w:ascii="宋体" w:hAnsi="宋体"/>
          <w:sz w:val="24"/>
        </w:rPr>
        <w:t>的投资运作行为而造成基金投资清算困难和风险的，基金托管人发现后应立即通知基金管理人，由基金管理人负责解决，基金托管人应给予必要的配合，由此给</w:t>
      </w:r>
      <w:r>
        <w:rPr>
          <w:rFonts w:ascii="宋体" w:hAnsi="宋体" w:cs="宋体"/>
          <w:color w:val="000000"/>
          <w:sz w:val="24"/>
        </w:rPr>
        <w:t>基金托管人、本基金</w:t>
      </w:r>
      <w:r>
        <w:rPr>
          <w:rFonts w:ascii="宋体" w:hAnsi="宋体"/>
          <w:sz w:val="24"/>
        </w:rPr>
        <w:t>造成的损失由基金管理人承担。</w:t>
      </w:r>
    </w:p>
    <w:p w14:paraId="2D637FFB">
      <w:pPr>
        <w:tabs>
          <w:tab w:val="left" w:pos="1260"/>
        </w:tabs>
        <w:spacing w:line="360" w:lineRule="auto"/>
        <w:ind w:firstLine="480"/>
        <w:rPr>
          <w:rFonts w:ascii="宋体"/>
          <w:sz w:val="24"/>
        </w:rPr>
      </w:pPr>
      <w:r>
        <w:rPr>
          <w:rFonts w:hint="eastAsia" w:ascii="宋体" w:hAnsi="宋体"/>
          <w:sz w:val="24"/>
        </w:rPr>
        <w:t>基金托管人在完成相关登记结算公司通知的事项后应以书面形式通知基金管理人。</w:t>
      </w:r>
    </w:p>
    <w:p w14:paraId="7D42A9B1">
      <w:pPr>
        <w:tabs>
          <w:tab w:val="left" w:pos="1260"/>
        </w:tabs>
        <w:spacing w:line="360" w:lineRule="auto"/>
        <w:ind w:firstLine="480"/>
        <w:rPr>
          <w:rFonts w:ascii="宋体" w:hAnsi="宋体"/>
          <w:sz w:val="24"/>
        </w:rPr>
      </w:pPr>
      <w:r>
        <w:rPr>
          <w:rFonts w:hint="eastAsia" w:ascii="宋体" w:hAnsi="宋体"/>
          <w:sz w:val="24"/>
        </w:rPr>
        <w:t>由于基金管理人的原因造成基金无法按时支付证券清算款，按照登记结算机构的有关规定办理。</w:t>
      </w:r>
    </w:p>
    <w:p w14:paraId="7EDDD47A">
      <w:pPr>
        <w:tabs>
          <w:tab w:val="left" w:pos="1260"/>
        </w:tabs>
        <w:spacing w:line="360" w:lineRule="auto"/>
        <w:ind w:firstLine="480"/>
        <w:rPr>
          <w:rFonts w:ascii="宋体"/>
          <w:sz w:val="24"/>
        </w:rPr>
      </w:pPr>
      <w:r>
        <w:rPr>
          <w:rFonts w:hint="eastAsia" w:ascii="宋体"/>
          <w:sz w:val="24"/>
        </w:rPr>
        <w:t>本基金参与港股通交易时，基金管理人应事先书面通知基金托管人，明确交易单元、佣金费率等相关信息，在基金托管人完成相关设置后方可开展交易。若涉及需基金管理人做出选择的港股通公司行为，基金托管人根据基金管理人提供的数据将基金管理人的选择结果提交给中国结算。</w:t>
      </w:r>
    </w:p>
    <w:p w14:paraId="655C05A1">
      <w:pPr>
        <w:tabs>
          <w:tab w:val="left" w:pos="3780"/>
        </w:tabs>
        <w:spacing w:line="360" w:lineRule="auto"/>
        <w:outlineLvl w:val="0"/>
        <w:rPr>
          <w:rFonts w:ascii="宋体" w:hAnsi="宋体"/>
          <w:b/>
          <w:bCs/>
          <w:sz w:val="24"/>
        </w:rPr>
      </w:pPr>
      <w:r>
        <w:rPr>
          <w:rFonts w:ascii="宋体" w:hAnsi="宋体"/>
          <w:b/>
          <w:bCs/>
          <w:sz w:val="24"/>
        </w:rPr>
        <w:t>（三）基金投资期货后的清算交收安排</w:t>
      </w:r>
    </w:p>
    <w:p w14:paraId="692D6CC1">
      <w:pPr>
        <w:spacing w:line="360" w:lineRule="auto"/>
        <w:ind w:firstLine="480"/>
      </w:pPr>
      <w:r>
        <w:rPr>
          <w:rFonts w:ascii="宋体" w:hAnsi="宋体" w:cs="宋体"/>
          <w:color w:val="000000"/>
          <w:sz w:val="24"/>
        </w:rPr>
        <w:t>本基金</w:t>
      </w:r>
      <w:r>
        <w:rPr>
          <w:rFonts w:ascii="宋体" w:hAnsi="宋体" w:cs="宋体"/>
          <w:color w:val="000000"/>
          <w:spacing w:val="-4"/>
          <w:sz w:val="24"/>
        </w:rPr>
        <w:t>通过</w:t>
      </w:r>
      <w:r>
        <w:rPr>
          <w:rFonts w:ascii="宋体" w:hAnsi="宋体" w:cs="宋体"/>
          <w:color w:val="000000"/>
          <w:sz w:val="24"/>
        </w:rPr>
        <w:t>期货经纪机构</w:t>
      </w:r>
      <w:r>
        <w:rPr>
          <w:rFonts w:ascii="宋体" w:hAnsi="宋体" w:cs="宋体"/>
          <w:color w:val="000000"/>
          <w:spacing w:val="-4"/>
          <w:sz w:val="24"/>
        </w:rPr>
        <w:t>进行的交易</w:t>
      </w:r>
      <w:r>
        <w:rPr>
          <w:rFonts w:ascii="宋体" w:hAnsi="宋体" w:cs="宋体"/>
          <w:color w:val="000000"/>
          <w:sz w:val="24"/>
        </w:rPr>
        <w:t>由期货经纪机构作为结算参与人代理本基金进行结算，并承担由期货经纪机构原因造成的正常结算、交收业务无法完成的责任。</w:t>
      </w:r>
    </w:p>
    <w:p w14:paraId="227E2E6A">
      <w:pPr>
        <w:spacing w:line="360" w:lineRule="auto"/>
        <w:ind w:firstLine="480"/>
      </w:pPr>
      <w:r>
        <w:rPr>
          <w:rFonts w:ascii="宋体" w:hAnsi="宋体" w:cs="宋体"/>
          <w:color w:val="000000"/>
          <w:sz w:val="24"/>
        </w:rPr>
        <w:t>基金管理人、基金托管人和期货经纪机构可就基金参与期货交易的具体事项另行签订协议，明确三方在本基金参与期货交易中的账户开立、资金划拨、期货交易、交易费用、数据传输，以及风控控制与监督等方面的职责和义务。</w:t>
      </w:r>
    </w:p>
    <w:p w14:paraId="18C32632">
      <w:pPr>
        <w:spacing w:line="360" w:lineRule="auto"/>
        <w:ind w:firstLine="480"/>
      </w:pPr>
      <w:r>
        <w:rPr>
          <w:rFonts w:ascii="宋体" w:hAnsi="宋体" w:cs="宋体"/>
          <w:color w:val="000000"/>
          <w:sz w:val="24"/>
        </w:rPr>
        <w:t>基金管理人应责成其选择的期货公司对发送的数据的准确性、完整性、真实性负责。由于交易结算报告的记载事项出现与实际交易结果和权益不符造成</w:t>
      </w:r>
      <w:r>
        <w:rPr>
          <w:rFonts w:hint="eastAsia" w:ascii="宋体" w:hAnsi="宋体" w:cs="宋体"/>
          <w:color w:val="000000"/>
          <w:sz w:val="24"/>
        </w:rPr>
        <w:t>本基金</w:t>
      </w:r>
      <w:r>
        <w:rPr>
          <w:rFonts w:ascii="宋体" w:hAnsi="宋体" w:cs="宋体"/>
          <w:color w:val="000000"/>
          <w:sz w:val="24"/>
        </w:rPr>
        <w:t>估值计算错误的，应由基金管理人负责向数据发送方追偿，基金托管人不承担责任。</w:t>
      </w:r>
      <w:bookmarkStart w:id="66" w:name="_Toc77663013"/>
    </w:p>
    <w:p w14:paraId="4F0A639B">
      <w:pPr>
        <w:tabs>
          <w:tab w:val="left" w:pos="3780"/>
        </w:tabs>
        <w:spacing w:line="360" w:lineRule="auto"/>
        <w:outlineLvl w:val="0"/>
        <w:rPr>
          <w:rFonts w:ascii="宋体"/>
          <w:b/>
          <w:sz w:val="24"/>
        </w:rPr>
      </w:pPr>
      <w:r>
        <w:rPr>
          <w:rFonts w:ascii="宋体" w:hAnsi="宋体"/>
          <w:b/>
          <w:bCs/>
          <w:sz w:val="24"/>
        </w:rPr>
        <w:t>（</w:t>
      </w:r>
      <w:r>
        <w:rPr>
          <w:rFonts w:hint="eastAsia" w:ascii="宋体" w:hAnsi="宋体"/>
          <w:b/>
          <w:bCs/>
          <w:sz w:val="24"/>
          <w:lang w:eastAsia="zh-CN"/>
        </w:rPr>
        <w:t>四</w:t>
      </w:r>
      <w:r>
        <w:rPr>
          <w:rFonts w:ascii="宋体" w:hAnsi="宋体"/>
          <w:b/>
          <w:bCs/>
          <w:sz w:val="24"/>
        </w:rPr>
        <w:t>）基金管理人与基金托管人进行资金、证券账目和交易记录的核对</w:t>
      </w:r>
      <w:bookmarkEnd w:id="66"/>
    </w:p>
    <w:p w14:paraId="309FEF0E">
      <w:pPr>
        <w:tabs>
          <w:tab w:val="left" w:pos="1260"/>
        </w:tabs>
        <w:spacing w:line="360" w:lineRule="auto"/>
        <w:ind w:firstLine="480"/>
        <w:rPr>
          <w:rFonts w:ascii="宋体"/>
          <w:sz w:val="24"/>
        </w:rPr>
      </w:pPr>
      <w:r>
        <w:rPr>
          <w:rFonts w:hint="eastAsia" w:ascii="宋体" w:hAnsi="宋体"/>
          <w:sz w:val="24"/>
        </w:rPr>
        <w:t>对基金的交易记录，由基金管理人按日进行核对。对外披露基金份额净值之前，必须保证当天所有实际交易记录与基金会计账簿上的交易记录完全一致。如果交易记录与会计账簿记录不一致，造成基金会计核算不完整或不真实，由此导致的损失由基金的会计责任方承担。基金管理人每一交易日以双方认可的方式在当日全部交易结束后，将编制的基金资金、证券账目传送给基金托管人，基金托管人按日进行账目核对。</w:t>
      </w:r>
    </w:p>
    <w:p w14:paraId="1445536F">
      <w:pPr>
        <w:tabs>
          <w:tab w:val="left" w:pos="1260"/>
        </w:tabs>
        <w:spacing w:line="360" w:lineRule="auto"/>
        <w:ind w:firstLine="480"/>
        <w:rPr>
          <w:rFonts w:ascii="宋体"/>
          <w:sz w:val="24"/>
        </w:rPr>
      </w:pPr>
      <w:r>
        <w:rPr>
          <w:rFonts w:hint="eastAsia" w:ascii="宋体" w:hAnsi="宋体"/>
          <w:sz w:val="24"/>
        </w:rPr>
        <w:t>对实物券账目，相关各方定期进行账实核对。</w:t>
      </w:r>
    </w:p>
    <w:p w14:paraId="4332B8BE">
      <w:pPr>
        <w:tabs>
          <w:tab w:val="left" w:pos="1260"/>
        </w:tabs>
        <w:spacing w:line="360" w:lineRule="auto"/>
        <w:ind w:firstLine="480"/>
        <w:rPr>
          <w:rFonts w:ascii="宋体"/>
          <w:b/>
          <w:bCs/>
          <w:sz w:val="24"/>
        </w:rPr>
      </w:pPr>
      <w:r>
        <w:rPr>
          <w:rFonts w:hint="eastAsia" w:ascii="宋体" w:hAnsi="宋体"/>
          <w:sz w:val="24"/>
        </w:rPr>
        <w:t>基金托管人应定期核对证券账户中的证券数量和种类。</w:t>
      </w:r>
    </w:p>
    <w:p w14:paraId="1288C252">
      <w:pPr>
        <w:tabs>
          <w:tab w:val="left" w:pos="1260"/>
        </w:tabs>
        <w:spacing w:line="360" w:lineRule="auto"/>
        <w:ind w:firstLine="480"/>
        <w:rPr>
          <w:rFonts w:ascii="宋体"/>
          <w:sz w:val="24"/>
        </w:rPr>
      </w:pPr>
      <w:r>
        <w:rPr>
          <w:rFonts w:hint="eastAsia" w:ascii="宋体" w:hAnsi="宋体"/>
          <w:sz w:val="24"/>
        </w:rPr>
        <w:t>双方可协商采用电子对账方式进行账目核对。</w:t>
      </w:r>
    </w:p>
    <w:p w14:paraId="3B746B78">
      <w:pPr>
        <w:tabs>
          <w:tab w:val="left" w:pos="3780"/>
        </w:tabs>
        <w:spacing w:line="360" w:lineRule="auto"/>
        <w:outlineLvl w:val="0"/>
        <w:rPr>
          <w:rFonts w:ascii="宋体" w:hAnsi="宋体"/>
          <w:b/>
          <w:bCs/>
          <w:sz w:val="24"/>
        </w:rPr>
      </w:pPr>
      <w:bookmarkStart w:id="67" w:name="_Toc523829999"/>
      <w:bookmarkStart w:id="68" w:name="_Toc466788858"/>
      <w:r>
        <w:rPr>
          <w:rFonts w:hint="eastAsia" w:ascii="宋体" w:hAnsi="宋体"/>
          <w:b/>
          <w:bCs/>
          <w:sz w:val="24"/>
        </w:rPr>
        <w:t>（</w:t>
      </w:r>
      <w:r>
        <w:rPr>
          <w:rFonts w:hint="eastAsia" w:ascii="宋体" w:hAnsi="宋体"/>
          <w:b/>
          <w:bCs/>
          <w:sz w:val="24"/>
          <w:lang w:eastAsia="zh-CN"/>
        </w:rPr>
        <w:t>五</w:t>
      </w:r>
      <w:r>
        <w:rPr>
          <w:rFonts w:hint="eastAsia" w:ascii="宋体" w:hAnsi="宋体"/>
          <w:b/>
          <w:bCs/>
          <w:sz w:val="24"/>
        </w:rPr>
        <w:t>）申购、赎回、转换开放式基金的资金清算和数据传递的时间、程序及托管协议当事人的责任界定</w:t>
      </w:r>
    </w:p>
    <w:p w14:paraId="71DC2443">
      <w:pPr>
        <w:tabs>
          <w:tab w:val="left" w:pos="1260"/>
        </w:tabs>
        <w:spacing w:line="360" w:lineRule="auto"/>
        <w:ind w:firstLine="480"/>
        <w:rPr>
          <w:rFonts w:ascii="宋体"/>
          <w:sz w:val="24"/>
        </w:rPr>
      </w:pPr>
      <w:r>
        <w:rPr>
          <w:rFonts w:hint="eastAsia" w:ascii="宋体"/>
          <w:sz w:val="24"/>
        </w:rPr>
        <w:t>1</w:t>
      </w:r>
      <w:r>
        <w:rPr>
          <w:rFonts w:ascii="宋体"/>
          <w:sz w:val="24"/>
        </w:rPr>
        <w:t>.</w:t>
      </w:r>
      <w:r>
        <w:rPr>
          <w:rFonts w:hint="eastAsia" w:ascii="宋体"/>
          <w:sz w:val="24"/>
        </w:rPr>
        <w:t>基金份额申购、赎回的确认，清算由基金管理人指定的登记机构负责。</w:t>
      </w:r>
    </w:p>
    <w:p w14:paraId="749D92DE">
      <w:pPr>
        <w:tabs>
          <w:tab w:val="left" w:pos="1260"/>
        </w:tabs>
        <w:spacing w:line="360" w:lineRule="auto"/>
        <w:ind w:firstLine="480"/>
        <w:rPr>
          <w:rFonts w:ascii="宋体"/>
          <w:sz w:val="24"/>
        </w:rPr>
      </w:pPr>
      <w:r>
        <w:rPr>
          <w:rFonts w:hint="eastAsia" w:ascii="宋体"/>
          <w:sz w:val="24"/>
        </w:rPr>
        <w:t>2</w:t>
      </w:r>
      <w:r>
        <w:rPr>
          <w:rFonts w:ascii="宋体"/>
          <w:sz w:val="24"/>
        </w:rPr>
        <w:t>.</w:t>
      </w:r>
      <w:r>
        <w:rPr>
          <w:rFonts w:hint="eastAsia" w:ascii="宋体"/>
          <w:sz w:val="24"/>
        </w:rPr>
        <w:t>基金管理人应将每个开放日的申购、赎回、转换开放式基金的数据传送给基金托管人。基金管理人应对传递的申购、赎回、转换开放式基金的数据真实性、准确性、完整性负责。基金托管人应及时查收申购资金的到账情况并根据基金管理人指令及时划付赎回及转换款项。</w:t>
      </w:r>
    </w:p>
    <w:p w14:paraId="7CFA4918">
      <w:pPr>
        <w:tabs>
          <w:tab w:val="left" w:pos="1260"/>
        </w:tabs>
        <w:spacing w:line="360" w:lineRule="auto"/>
        <w:ind w:firstLine="480"/>
        <w:rPr>
          <w:rFonts w:ascii="宋体"/>
          <w:sz w:val="24"/>
        </w:rPr>
      </w:pPr>
      <w:r>
        <w:rPr>
          <w:rFonts w:hint="eastAsia" w:ascii="宋体"/>
          <w:sz w:val="24"/>
        </w:rPr>
        <w:t>3</w:t>
      </w:r>
      <w:r>
        <w:rPr>
          <w:rFonts w:ascii="宋体"/>
          <w:sz w:val="24"/>
        </w:rPr>
        <w:t>.</w:t>
      </w:r>
      <w:r>
        <w:rPr>
          <w:rFonts w:hint="eastAsia" w:ascii="宋体"/>
          <w:sz w:val="24"/>
        </w:rPr>
        <w:t>基金托管账户与基金管理人总清算账户间的资金清算遵循“全额清算、净额交收”的原则，即按照托管账户应收资金（申购申请对应申购净额与基金转换转入申请对应净额之和）与托管账户应付额（赎回申请对应赎回金额扣除归基金资产的费用与基金转换转出申请对应金额扣除归基金资产的费用之和）的差额来确定托管账户净应收额或净应付额，以此确定资金交收额。</w:t>
      </w:r>
    </w:p>
    <w:p w14:paraId="64B01364">
      <w:pPr>
        <w:tabs>
          <w:tab w:val="left" w:pos="1260"/>
        </w:tabs>
        <w:spacing w:line="360" w:lineRule="auto"/>
        <w:ind w:firstLine="480"/>
        <w:rPr>
          <w:rFonts w:ascii="宋体"/>
          <w:sz w:val="24"/>
        </w:rPr>
      </w:pPr>
      <w:r>
        <w:rPr>
          <w:rFonts w:hint="eastAsia" w:ascii="宋体"/>
          <w:sz w:val="24"/>
        </w:rPr>
        <w:t>4</w:t>
      </w:r>
      <w:r>
        <w:rPr>
          <w:rFonts w:ascii="宋体"/>
          <w:sz w:val="24"/>
        </w:rPr>
        <w:t>.</w:t>
      </w:r>
      <w:r>
        <w:rPr>
          <w:rFonts w:hint="eastAsia" w:ascii="宋体"/>
          <w:sz w:val="24"/>
        </w:rPr>
        <w:t>当存在托管账户净应收额时，基金管理人负责将托管账户净应收额在交收日15:00之前及时从总清算账户划往基金的托管账户</w:t>
      </w:r>
      <w:r>
        <w:rPr>
          <w:rFonts w:ascii="宋体"/>
          <w:sz w:val="24"/>
        </w:rPr>
        <w:t>；当存在托管账户净应付额时，基金托管人按基金管理人的划款指令在资金足额前提下将托管账户净应付额在交收日17:00之前及时划往总清算账户。</w:t>
      </w:r>
    </w:p>
    <w:p w14:paraId="2E625938">
      <w:pPr>
        <w:tabs>
          <w:tab w:val="left" w:pos="3780"/>
        </w:tabs>
        <w:spacing w:line="360" w:lineRule="auto"/>
        <w:outlineLvl w:val="0"/>
        <w:rPr>
          <w:rFonts w:ascii="宋体"/>
          <w:b/>
          <w:bCs/>
          <w:sz w:val="24"/>
        </w:rPr>
      </w:pPr>
      <w:r>
        <w:rPr>
          <w:rFonts w:hint="eastAsia" w:ascii="宋体" w:hAnsi="宋体"/>
          <w:b/>
          <w:bCs/>
          <w:sz w:val="24"/>
        </w:rPr>
        <w:t>（</w:t>
      </w:r>
      <w:r>
        <w:rPr>
          <w:rFonts w:hint="eastAsia" w:ascii="宋体" w:hAnsi="宋体"/>
          <w:b/>
          <w:bCs/>
          <w:sz w:val="24"/>
          <w:lang w:eastAsia="zh-CN"/>
        </w:rPr>
        <w:t>六</w:t>
      </w:r>
      <w:r>
        <w:rPr>
          <w:rFonts w:hint="eastAsia" w:ascii="宋体" w:hAnsi="宋体"/>
          <w:b/>
          <w:bCs/>
          <w:sz w:val="24"/>
        </w:rPr>
        <w:t>）基金收益分配的清算交收安排</w:t>
      </w:r>
    </w:p>
    <w:p w14:paraId="049B95EC">
      <w:pPr>
        <w:tabs>
          <w:tab w:val="left" w:pos="1260"/>
        </w:tabs>
        <w:spacing w:line="360" w:lineRule="auto"/>
        <w:ind w:firstLine="48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基金管理人决定收益分配方案并通知基金托管人，经基金托管人复核后依照《信息披露办法》的有关规定在规定媒介公告。</w:t>
      </w:r>
      <w:r>
        <w:rPr>
          <w:rFonts w:ascii="宋体" w:hAnsi="宋体"/>
          <w:sz w:val="24"/>
        </w:rPr>
        <w:t xml:space="preserve"> </w:t>
      </w:r>
    </w:p>
    <w:p w14:paraId="7B542172">
      <w:pPr>
        <w:tabs>
          <w:tab w:val="left" w:pos="1260"/>
        </w:tabs>
        <w:spacing w:line="360" w:lineRule="auto"/>
        <w:ind w:firstLine="480"/>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基金托管人和基金管理人对基金收益分配进行账务处理并核对后，基金管理人应及时向基金托管人发送分发现金红利的划款指令，基金托管人依据划款指令在指定划付日及时将资金划至基金管理人指定账户。</w:t>
      </w:r>
      <w:r>
        <w:rPr>
          <w:rFonts w:ascii="宋体" w:hAnsi="宋体"/>
          <w:sz w:val="24"/>
        </w:rPr>
        <w:t xml:space="preserve"> </w:t>
      </w:r>
    </w:p>
    <w:p w14:paraId="36DF7800">
      <w:pPr>
        <w:tabs>
          <w:tab w:val="left" w:pos="1260"/>
        </w:tabs>
        <w:spacing w:line="360" w:lineRule="auto"/>
        <w:ind w:firstLine="480"/>
        <w:rPr>
          <w:rFonts w:ascii="宋体"/>
          <w:sz w:val="24"/>
        </w:rPr>
      </w:pPr>
      <w:r>
        <w:rPr>
          <w:rFonts w:hint="eastAsia" w:ascii="宋体" w:hAnsi="宋体"/>
          <w:sz w:val="24"/>
        </w:rPr>
        <w:t>3</w:t>
      </w:r>
      <w:r>
        <w:rPr>
          <w:rFonts w:ascii="宋体" w:hAnsi="宋体"/>
          <w:sz w:val="24"/>
        </w:rPr>
        <w:t>.基金管理人在下达分红款支付指令时，应给基金托管人留出必需的划款时间。</w:t>
      </w:r>
      <w:bookmarkStart w:id="69" w:name="_Toc125892444"/>
    </w:p>
    <w:p w14:paraId="2207BAA9">
      <w:pPr>
        <w:pStyle w:val="214"/>
      </w:pPr>
      <w:bookmarkStart w:id="70" w:name="_Toc35001433"/>
      <w:r>
        <w:t>八、基金资产净值计算和会计核算</w:t>
      </w:r>
      <w:bookmarkEnd w:id="67"/>
      <w:bookmarkEnd w:id="68"/>
      <w:bookmarkEnd w:id="69"/>
      <w:bookmarkEnd w:id="70"/>
    </w:p>
    <w:p w14:paraId="454D175C">
      <w:pPr>
        <w:tabs>
          <w:tab w:val="left" w:pos="3780"/>
        </w:tabs>
        <w:spacing w:line="360" w:lineRule="auto"/>
        <w:outlineLvl w:val="0"/>
        <w:rPr>
          <w:rFonts w:ascii="宋体"/>
          <w:b/>
          <w:bCs/>
          <w:sz w:val="24"/>
        </w:rPr>
      </w:pPr>
      <w:bookmarkStart w:id="71" w:name="_Toc77663017"/>
      <w:r>
        <w:rPr>
          <w:rFonts w:ascii="宋体" w:hAnsi="宋体"/>
          <w:b/>
          <w:bCs/>
          <w:sz w:val="24"/>
        </w:rPr>
        <w:t>（一）基金资产净值及基金份额净值的计算与复核</w:t>
      </w:r>
      <w:bookmarkEnd w:id="71"/>
    </w:p>
    <w:p w14:paraId="549EECE2">
      <w:pPr>
        <w:spacing w:line="360" w:lineRule="auto"/>
        <w:ind w:firstLine="420"/>
        <w:jc w:val="left"/>
        <w:rPr>
          <w:rFonts w:ascii="宋体" w:cs="宋体"/>
          <w:sz w:val="24"/>
        </w:rPr>
      </w:pPr>
      <w:r>
        <w:rPr>
          <w:rFonts w:hint="eastAsia" w:ascii="宋体" w:hAnsi="宋体"/>
          <w:sz w:val="24"/>
        </w:rPr>
        <w:t>基金资产净值是指基金资产总值减去基金负债后的价值。</w:t>
      </w:r>
    </w:p>
    <w:p w14:paraId="74DF76F4">
      <w:pPr>
        <w:tabs>
          <w:tab w:val="left" w:pos="1260"/>
        </w:tabs>
        <w:spacing w:line="360" w:lineRule="auto"/>
        <w:ind w:firstLine="480"/>
        <w:rPr>
          <w:rFonts w:ascii="宋体" w:hAnsi="宋体"/>
          <w:sz w:val="24"/>
        </w:rPr>
      </w:pPr>
      <w:r>
        <w:rPr>
          <w:rFonts w:hint="eastAsia" w:ascii="宋体" w:hAnsi="宋体"/>
          <w:sz w:val="24"/>
        </w:rPr>
        <w:t>基金管理人应每个工作日对基金资产估值。估值原则应符合《基金合同》、《中国证监会关于证券投资基金估值业务的指导意见》、《企业会计准则》及其他法律、法规的规定。</w:t>
      </w:r>
      <w:bookmarkStart w:id="72" w:name="_Hlk104924188"/>
      <w:bookmarkStart w:id="73" w:name="_Hlk104924088"/>
      <w:r>
        <w:rPr>
          <w:rFonts w:hint="eastAsia" w:ascii="宋体" w:hAnsi="宋体"/>
          <w:sz w:val="24"/>
        </w:rPr>
        <w:t>基金资产净值和各类基金份额净值由基金管理人负责计算，基金托管人负责进行复核。基金管理人应于每个工作日交易结束后计算当日的基金资产净值和各类基金份额净值并以约定方式发送给基金托管人。基金托管人对净值计算结果复核确认后发送给基金管理人，由基金管理人对基金净值按约定予以公布。</w:t>
      </w:r>
      <w:bookmarkEnd w:id="72"/>
      <w:bookmarkEnd w:id="73"/>
    </w:p>
    <w:p w14:paraId="5FFE89A4">
      <w:pPr>
        <w:tabs>
          <w:tab w:val="left" w:pos="1260"/>
        </w:tabs>
        <w:spacing w:line="360" w:lineRule="auto"/>
        <w:ind w:firstLine="480"/>
        <w:rPr>
          <w:rFonts w:ascii="宋体"/>
          <w:sz w:val="24"/>
        </w:rPr>
      </w:pPr>
      <w:r>
        <w:rPr>
          <w:rFonts w:hint="eastAsia" w:ascii="宋体" w:hAnsi="宋体"/>
          <w:sz w:val="24"/>
        </w:rPr>
        <w:t>本基金按以下方法估值：</w:t>
      </w:r>
      <w:r>
        <w:rPr>
          <w:rFonts w:ascii="宋体" w:hAnsi="宋体"/>
          <w:sz w:val="24"/>
        </w:rPr>
        <w:t xml:space="preserve"> </w:t>
      </w:r>
    </w:p>
    <w:p w14:paraId="6ED9D394">
      <w:pPr>
        <w:spacing w:line="360" w:lineRule="auto"/>
        <w:ind w:firstLine="480"/>
        <w:rPr>
          <w:bCs/>
          <w:sz w:val="24"/>
        </w:rPr>
      </w:pPr>
      <w:bookmarkStart w:id="74" w:name="_Hlk104924220"/>
      <w:r>
        <w:rPr>
          <w:rFonts w:hint="eastAsia"/>
          <w:bCs/>
          <w:sz w:val="24"/>
        </w:rPr>
        <w:t>1、本基金持有的目标ETF基金份额以其当日基金份额净值估值，当日无基金份额净值的，以最近工作日的基金份额净值估值。</w:t>
      </w:r>
    </w:p>
    <w:p w14:paraId="49A420BB">
      <w:pPr>
        <w:spacing w:line="360" w:lineRule="auto"/>
        <w:ind w:firstLine="480"/>
        <w:rPr>
          <w:bCs/>
          <w:sz w:val="24"/>
        </w:rPr>
      </w:pPr>
      <w:r>
        <w:rPr>
          <w:rFonts w:hint="eastAsia"/>
          <w:bCs/>
          <w:sz w:val="24"/>
        </w:rPr>
        <w:t>2、交易所上市或挂牌转让的有价证券（包括股票等，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035D7CFE">
      <w:pPr>
        <w:spacing w:line="360" w:lineRule="auto"/>
        <w:ind w:firstLine="480"/>
        <w:rPr>
          <w:bCs/>
          <w:sz w:val="24"/>
        </w:rPr>
      </w:pPr>
      <w:r>
        <w:rPr>
          <w:rFonts w:hint="eastAsia"/>
          <w:bCs/>
          <w:sz w:val="24"/>
        </w:rPr>
        <w:t>3、对于已上市或已挂牌转让的不含权固定收益品种，选取估值日第三方估值基准服务机构提供的相应品种当日的估值全价进行估值。</w:t>
      </w:r>
    </w:p>
    <w:p w14:paraId="0287EB60">
      <w:pPr>
        <w:spacing w:line="360" w:lineRule="auto"/>
        <w:ind w:firstLine="480"/>
        <w:rPr>
          <w:bCs/>
          <w:sz w:val="24"/>
        </w:rPr>
      </w:pPr>
      <w:r>
        <w:rPr>
          <w:rFonts w:hint="eastAsia"/>
          <w:bCs/>
          <w:sz w:val="24"/>
        </w:rPr>
        <w:t>4、对于已上市或已挂牌转让的含权固定收益品种，选取估值日第三方估值基准服务机构提供的相应品种当日的唯一估值全价或推荐估值全价进行估值。</w:t>
      </w:r>
    </w:p>
    <w:p w14:paraId="77F282DB">
      <w:pPr>
        <w:spacing w:line="360" w:lineRule="auto"/>
        <w:ind w:firstLine="480"/>
        <w:rPr>
          <w:bCs/>
          <w:sz w:val="24"/>
        </w:rPr>
      </w:pPr>
      <w:r>
        <w:rPr>
          <w:rFonts w:hint="eastAsia"/>
          <w:bCs/>
          <w:sz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6C18FF18">
      <w:pPr>
        <w:spacing w:line="360" w:lineRule="auto"/>
        <w:ind w:firstLine="480"/>
        <w:rPr>
          <w:bCs/>
          <w:sz w:val="24"/>
        </w:rPr>
      </w:pPr>
      <w:r>
        <w:rPr>
          <w:rFonts w:hint="eastAsia"/>
          <w:bCs/>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19237578">
      <w:pPr>
        <w:spacing w:line="360" w:lineRule="auto"/>
        <w:ind w:firstLine="480"/>
        <w:rPr>
          <w:bCs/>
          <w:sz w:val="24"/>
        </w:rPr>
      </w:pPr>
      <w:r>
        <w:rPr>
          <w:rFonts w:hint="eastAsia"/>
          <w:bCs/>
          <w:sz w:val="24"/>
        </w:rPr>
        <w:t>6、对于未上市或未挂牌转让且不存在活跃市场的固定收益品种，应采用在当前情况下适用并且有足够可利用数据和其他信息支持的估值技术确定其公允价值。</w:t>
      </w:r>
    </w:p>
    <w:p w14:paraId="244CB4FB">
      <w:pPr>
        <w:spacing w:line="360" w:lineRule="auto"/>
        <w:ind w:firstLine="480"/>
        <w:rPr>
          <w:bCs/>
          <w:sz w:val="24"/>
        </w:rPr>
      </w:pPr>
      <w:r>
        <w:rPr>
          <w:rFonts w:hint="eastAsia"/>
          <w:bCs/>
          <w:sz w:val="24"/>
        </w:rPr>
        <w:t>7、处于未上市期间的有价证券应区分如下情况处理：</w:t>
      </w:r>
    </w:p>
    <w:p w14:paraId="33E54115">
      <w:pPr>
        <w:spacing w:line="360" w:lineRule="auto"/>
        <w:ind w:firstLine="480"/>
        <w:rPr>
          <w:bCs/>
          <w:sz w:val="24"/>
        </w:rPr>
      </w:pPr>
      <w:r>
        <w:rPr>
          <w:rFonts w:hint="eastAsia"/>
          <w:bCs/>
          <w:sz w:val="24"/>
        </w:rPr>
        <w:t>（1）送股、转增股、配股和公开增发的新股，按估值日在证券交易所挂牌的同一股票的估值方法估值；该日无交易的，以最近一日的市价（收盘价）估值；</w:t>
      </w:r>
    </w:p>
    <w:p w14:paraId="0B6DB492">
      <w:pPr>
        <w:spacing w:line="360" w:lineRule="auto"/>
        <w:ind w:firstLine="480"/>
        <w:rPr>
          <w:bCs/>
          <w:sz w:val="24"/>
        </w:rPr>
      </w:pPr>
      <w:r>
        <w:rPr>
          <w:rFonts w:hint="eastAsia"/>
          <w:bCs/>
          <w:sz w:val="24"/>
        </w:rPr>
        <w:t>（2）首次公开发行未上市的股票，采用估值技术确定公允价值；</w:t>
      </w:r>
    </w:p>
    <w:p w14:paraId="233654CF">
      <w:pPr>
        <w:spacing w:line="360" w:lineRule="auto"/>
        <w:ind w:firstLine="480"/>
        <w:rPr>
          <w:bCs/>
          <w:sz w:val="24"/>
        </w:rPr>
      </w:pPr>
      <w:r>
        <w:rPr>
          <w:rFonts w:hint="eastAsia"/>
          <w:bCs/>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0485BA79">
      <w:pPr>
        <w:spacing w:line="360" w:lineRule="auto"/>
        <w:ind w:firstLine="480"/>
        <w:rPr>
          <w:bCs/>
          <w:sz w:val="24"/>
        </w:rPr>
      </w:pPr>
      <w:r>
        <w:rPr>
          <w:rFonts w:hint="eastAsia"/>
          <w:bCs/>
          <w:sz w:val="24"/>
        </w:rPr>
        <w:t>8、本基金投资存托凭证的估值核算，依照境内上市交易的股票执行。</w:t>
      </w:r>
    </w:p>
    <w:p w14:paraId="49A22F9B">
      <w:pPr>
        <w:spacing w:line="360" w:lineRule="auto"/>
        <w:ind w:firstLine="480"/>
        <w:rPr>
          <w:bCs/>
          <w:sz w:val="24"/>
        </w:rPr>
      </w:pPr>
      <w:r>
        <w:rPr>
          <w:rFonts w:hint="eastAsia"/>
          <w:bCs/>
          <w:sz w:val="24"/>
        </w:rPr>
        <w:t>9、同一证券同时在两个或两个以上市场交易的，按证券所处的市场分别估值。</w:t>
      </w:r>
    </w:p>
    <w:p w14:paraId="3A749478">
      <w:pPr>
        <w:spacing w:line="360" w:lineRule="auto"/>
        <w:ind w:firstLine="480"/>
        <w:rPr>
          <w:bCs/>
          <w:sz w:val="24"/>
        </w:rPr>
      </w:pPr>
      <w:r>
        <w:rPr>
          <w:rFonts w:hint="eastAsia"/>
          <w:bCs/>
          <w:sz w:val="24"/>
        </w:rPr>
        <w:t>10、本基金参与股指期货合约、国债期货合约交易，一般以估值当日结算价进行估值，估值当日无结算价的，且最近交易日后经济环境未发生重大变化的，采用最近交易日结算价估值。</w:t>
      </w:r>
    </w:p>
    <w:p w14:paraId="5A3D651C">
      <w:pPr>
        <w:spacing w:line="360" w:lineRule="auto"/>
        <w:ind w:firstLine="480"/>
        <w:rPr>
          <w:bCs/>
          <w:sz w:val="24"/>
        </w:rPr>
      </w:pPr>
      <w:r>
        <w:rPr>
          <w:rFonts w:hint="eastAsia"/>
          <w:bCs/>
          <w:sz w:val="24"/>
        </w:rPr>
        <w:t>11、本基金投资股票期权，根据相关法律法规以及监管部门的规定估值。</w:t>
      </w:r>
    </w:p>
    <w:p w14:paraId="5B810800">
      <w:pPr>
        <w:spacing w:line="360" w:lineRule="auto"/>
        <w:ind w:firstLine="480"/>
        <w:rPr>
          <w:bCs/>
          <w:sz w:val="24"/>
        </w:rPr>
      </w:pPr>
      <w:r>
        <w:rPr>
          <w:rFonts w:hint="eastAsia"/>
          <w:bCs/>
          <w:sz w:val="24"/>
        </w:rPr>
        <w:t>12、本基金参与融资及转融通证券出借业务的，应参照行业协会的相关规定进行估值，确保估值的公允性。</w:t>
      </w:r>
    </w:p>
    <w:p w14:paraId="531EEDA3">
      <w:pPr>
        <w:spacing w:line="360" w:lineRule="auto"/>
        <w:ind w:firstLine="480"/>
        <w:rPr>
          <w:bCs/>
          <w:sz w:val="24"/>
        </w:rPr>
      </w:pPr>
      <w:r>
        <w:rPr>
          <w:rFonts w:hint="eastAsia"/>
          <w:bCs/>
          <w:sz w:val="24"/>
        </w:rPr>
        <w:t>13、汇率</w:t>
      </w:r>
    </w:p>
    <w:p w14:paraId="13079524">
      <w:pPr>
        <w:spacing w:line="360" w:lineRule="auto"/>
        <w:ind w:firstLine="480"/>
        <w:rPr>
          <w:bCs/>
          <w:sz w:val="24"/>
        </w:rPr>
      </w:pPr>
      <w:r>
        <w:rPr>
          <w:rFonts w:hint="eastAsia"/>
          <w:bCs/>
          <w:sz w:val="24"/>
        </w:rPr>
        <w:t>本基金外币资产价值计算中，涉及主要货币对人民币汇率的，应当以基金估值日中国人民银行或其授权机构公布的人民币汇率中间价为准。</w:t>
      </w:r>
    </w:p>
    <w:p w14:paraId="73C723E2">
      <w:pPr>
        <w:spacing w:line="360" w:lineRule="auto"/>
        <w:ind w:firstLine="480"/>
        <w:rPr>
          <w:bCs/>
          <w:sz w:val="24"/>
        </w:rPr>
      </w:pPr>
      <w:r>
        <w:rPr>
          <w:rFonts w:hint="eastAsia"/>
          <w:bCs/>
          <w:sz w:val="24"/>
        </w:rPr>
        <w:t>14、如有确凿证据表明按上述方法进行估值不能客观反映其公允价值的，基金管理人可根据具体情况与基金托管人商定后，按最能反映公允价值的价格估值。</w:t>
      </w:r>
    </w:p>
    <w:p w14:paraId="12119ECE">
      <w:pPr>
        <w:spacing w:line="360" w:lineRule="auto"/>
        <w:ind w:firstLine="480"/>
        <w:rPr>
          <w:bCs/>
          <w:sz w:val="24"/>
        </w:rPr>
      </w:pPr>
      <w:r>
        <w:rPr>
          <w:rFonts w:hint="eastAsia"/>
          <w:bCs/>
          <w:sz w:val="24"/>
        </w:rPr>
        <w:t>15、当发生大额申购或赎回情形时，基金管理人可以采用摆动定价机制，以确保基金估值的公平性。具体处理原则与操作规范遵循相关法律法规以及监管部门、自律规则的规定。</w:t>
      </w:r>
    </w:p>
    <w:p w14:paraId="2FEB87C8">
      <w:pPr>
        <w:spacing w:line="360" w:lineRule="auto"/>
        <w:ind w:firstLine="480"/>
        <w:rPr>
          <w:bCs/>
          <w:sz w:val="24"/>
        </w:rPr>
      </w:pPr>
      <w:r>
        <w:rPr>
          <w:rFonts w:hint="eastAsia"/>
          <w:bCs/>
          <w:sz w:val="24"/>
        </w:rPr>
        <w:t>16、相关法律法规以及监管部门有强制规定的，从其规定。如有新增事项，按国家最新规定估值。</w:t>
      </w:r>
    </w:p>
    <w:p w14:paraId="567402E4">
      <w:pPr>
        <w:spacing w:line="360" w:lineRule="auto"/>
        <w:ind w:firstLine="480"/>
        <w:rPr>
          <w:bCs/>
          <w:sz w:val="24"/>
        </w:rPr>
      </w:pPr>
      <w:r>
        <w:rPr>
          <w:rFonts w:hint="eastAsia"/>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3F17C17A">
      <w:pPr>
        <w:tabs>
          <w:tab w:val="left" w:pos="1260"/>
        </w:tabs>
        <w:spacing w:line="360" w:lineRule="auto"/>
        <w:ind w:firstLine="480"/>
        <w:rPr>
          <w:bCs/>
          <w:sz w:val="24"/>
        </w:rPr>
      </w:pPr>
      <w:r>
        <w:rPr>
          <w:rFonts w:hint="eastAsia"/>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由此给基金份额持有人和基金造成的损失以及因该交易日基金资产净值计算顺延错误而引起的损失，由基金管理人负责赔付，基金托管人不负责赔付。</w:t>
      </w:r>
      <w:bookmarkEnd w:id="74"/>
    </w:p>
    <w:p w14:paraId="0E5228FE">
      <w:pPr>
        <w:tabs>
          <w:tab w:val="left" w:pos="3780"/>
        </w:tabs>
        <w:spacing w:line="360" w:lineRule="auto"/>
        <w:outlineLvl w:val="0"/>
        <w:rPr>
          <w:rFonts w:ascii="宋体"/>
          <w:b/>
          <w:bCs/>
          <w:sz w:val="24"/>
        </w:rPr>
      </w:pPr>
      <w:r>
        <w:rPr>
          <w:rFonts w:hint="eastAsia" w:ascii="宋体" w:hAnsi="宋体"/>
          <w:b/>
          <w:bCs/>
          <w:sz w:val="24"/>
        </w:rPr>
        <w:t>（二）估值错误的处理</w:t>
      </w:r>
    </w:p>
    <w:p w14:paraId="39CF89E6">
      <w:pPr>
        <w:tabs>
          <w:tab w:val="left" w:pos="1260"/>
        </w:tabs>
        <w:spacing w:line="360" w:lineRule="auto"/>
        <w:ind w:firstLine="480"/>
        <w:rPr>
          <w:bCs/>
          <w:sz w:val="24"/>
        </w:rPr>
      </w:pPr>
      <w:bookmarkStart w:id="75" w:name="_Hlk104924266"/>
      <w:r>
        <w:rPr>
          <w:rFonts w:hint="eastAsia"/>
          <w:bCs/>
          <w:sz w:val="24"/>
        </w:rPr>
        <w:t>基金管理人和基金托管人将采取必要、适当、合理的措施确保基金资产估值的准确性、及时性。当任一类基金份额净值小数点后4位以内(含第4位)发生估值错误时，视为该类基金份额净值错误。</w:t>
      </w:r>
    </w:p>
    <w:p w14:paraId="381792A6">
      <w:pPr>
        <w:tabs>
          <w:tab w:val="left" w:pos="1260"/>
        </w:tabs>
        <w:spacing w:line="360" w:lineRule="auto"/>
        <w:ind w:firstLine="480"/>
        <w:rPr>
          <w:bCs/>
          <w:sz w:val="24"/>
        </w:rPr>
      </w:pPr>
      <w:r>
        <w:rPr>
          <w:rFonts w:hint="eastAsia"/>
          <w:bCs/>
          <w:sz w:val="24"/>
        </w:rPr>
        <w:t>基金合同的当事人应按照以下约定处理：</w:t>
      </w:r>
    </w:p>
    <w:p w14:paraId="4BAC4944">
      <w:pPr>
        <w:tabs>
          <w:tab w:val="left" w:pos="1260"/>
        </w:tabs>
        <w:spacing w:line="360" w:lineRule="auto"/>
        <w:ind w:firstLine="480"/>
        <w:rPr>
          <w:bCs/>
          <w:sz w:val="24"/>
        </w:rPr>
      </w:pPr>
      <w:r>
        <w:rPr>
          <w:rFonts w:hint="eastAsia"/>
          <w:bCs/>
          <w:sz w:val="24"/>
        </w:rPr>
        <w:t>1、估值错误类型</w:t>
      </w:r>
      <w:r>
        <w:rPr>
          <w:rFonts w:hint="eastAsia"/>
          <w:bCs/>
          <w:sz w:val="24"/>
        </w:rPr>
        <w:tab/>
      </w:r>
    </w:p>
    <w:p w14:paraId="7C0101C7">
      <w:pPr>
        <w:tabs>
          <w:tab w:val="left" w:pos="1260"/>
        </w:tabs>
        <w:spacing w:line="360" w:lineRule="auto"/>
        <w:ind w:firstLine="480"/>
        <w:rPr>
          <w:bCs/>
          <w:sz w:val="24"/>
        </w:rPr>
      </w:pPr>
      <w:r>
        <w:rPr>
          <w:rFonts w:hint="eastAsia"/>
          <w:bCs/>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237E09F3">
      <w:pPr>
        <w:tabs>
          <w:tab w:val="left" w:pos="3780"/>
        </w:tabs>
        <w:spacing w:line="360" w:lineRule="auto"/>
        <w:ind w:firstLine="480"/>
        <w:outlineLvl w:val="0"/>
        <w:rPr>
          <w:rFonts w:ascii="宋体" w:hAnsi="宋体"/>
          <w:sz w:val="24"/>
        </w:rPr>
      </w:pPr>
      <w:r>
        <w:rPr>
          <w:rFonts w:hint="eastAsia" w:ascii="宋体" w:hAnsi="宋体"/>
          <w:sz w:val="24"/>
        </w:rPr>
        <w:t>上述估值错误的主要类型包括但不限于：资料申报差错、数据传输差错、数据计算差错、系统故障差错、下达指令差错等。</w:t>
      </w:r>
    </w:p>
    <w:p w14:paraId="3EDA22CE">
      <w:pPr>
        <w:tabs>
          <w:tab w:val="left" w:pos="3780"/>
        </w:tabs>
        <w:spacing w:line="360" w:lineRule="auto"/>
        <w:ind w:firstLine="480"/>
        <w:outlineLvl w:val="0"/>
        <w:rPr>
          <w:rFonts w:ascii="宋体" w:hAnsi="宋体"/>
          <w:sz w:val="24"/>
        </w:rPr>
      </w:pPr>
      <w:r>
        <w:rPr>
          <w:rFonts w:hint="eastAsia" w:ascii="宋体" w:hAnsi="宋体"/>
          <w:sz w:val="24"/>
        </w:rPr>
        <w:t>2、估值错误处理原则</w:t>
      </w:r>
    </w:p>
    <w:p w14:paraId="79F5C799">
      <w:pPr>
        <w:tabs>
          <w:tab w:val="left" w:pos="3780"/>
        </w:tabs>
        <w:spacing w:line="360" w:lineRule="auto"/>
        <w:ind w:firstLine="480"/>
        <w:outlineLvl w:val="0"/>
        <w:rPr>
          <w:rFonts w:ascii="宋体" w:hAnsi="宋体"/>
          <w:sz w:val="24"/>
        </w:rPr>
      </w:pPr>
      <w:r>
        <w:rPr>
          <w:rFonts w:hint="eastAsia"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4B255BEC">
      <w:pPr>
        <w:tabs>
          <w:tab w:val="left" w:pos="3780"/>
        </w:tabs>
        <w:spacing w:line="360" w:lineRule="auto"/>
        <w:ind w:firstLine="480"/>
        <w:outlineLvl w:val="0"/>
        <w:rPr>
          <w:rFonts w:ascii="宋体" w:hAnsi="宋体"/>
          <w:sz w:val="24"/>
        </w:rPr>
      </w:pPr>
      <w:r>
        <w:rPr>
          <w:rFonts w:hint="eastAsia" w:ascii="宋体" w:hAnsi="宋体"/>
          <w:sz w:val="24"/>
        </w:rPr>
        <w:t>（2）估值错误的责任方对有关当事人的直接损失负责，不对间接损失负责，并且仅对估值错误的有关直接当事人负责，不对第三方负责。</w:t>
      </w:r>
    </w:p>
    <w:p w14:paraId="653ED665">
      <w:pPr>
        <w:tabs>
          <w:tab w:val="left" w:pos="3780"/>
        </w:tabs>
        <w:spacing w:line="360" w:lineRule="auto"/>
        <w:ind w:firstLine="480"/>
        <w:outlineLvl w:val="0"/>
        <w:rPr>
          <w:rFonts w:ascii="宋体" w:hAnsi="宋体"/>
          <w:sz w:val="24"/>
        </w:rPr>
      </w:pPr>
      <w:r>
        <w:rPr>
          <w:rFonts w:hint="eastAsia"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726A2B6D">
      <w:pPr>
        <w:tabs>
          <w:tab w:val="left" w:pos="3780"/>
        </w:tabs>
        <w:spacing w:line="360" w:lineRule="auto"/>
        <w:ind w:firstLine="480"/>
        <w:outlineLvl w:val="0"/>
        <w:rPr>
          <w:rFonts w:ascii="宋体" w:hAnsi="宋体"/>
          <w:sz w:val="24"/>
        </w:rPr>
      </w:pPr>
      <w:r>
        <w:rPr>
          <w:rFonts w:hint="eastAsia" w:ascii="宋体" w:hAnsi="宋体"/>
          <w:sz w:val="24"/>
        </w:rPr>
        <w:t>（4）估值错误调整采用尽量恢复至假设未发生估值错误的正确情形的方式。</w:t>
      </w:r>
    </w:p>
    <w:p w14:paraId="08302893">
      <w:pPr>
        <w:tabs>
          <w:tab w:val="left" w:pos="3780"/>
        </w:tabs>
        <w:spacing w:line="360" w:lineRule="auto"/>
        <w:ind w:firstLine="480"/>
        <w:outlineLvl w:val="0"/>
        <w:rPr>
          <w:rFonts w:ascii="宋体" w:hAnsi="宋体"/>
          <w:sz w:val="24"/>
        </w:rPr>
      </w:pPr>
      <w:r>
        <w:rPr>
          <w:rFonts w:hint="eastAsia" w:ascii="宋体" w:hAnsi="宋体"/>
          <w:sz w:val="24"/>
        </w:rPr>
        <w:t>3、估值错误处理程序</w:t>
      </w:r>
    </w:p>
    <w:p w14:paraId="6A6D3500">
      <w:pPr>
        <w:tabs>
          <w:tab w:val="left" w:pos="3780"/>
        </w:tabs>
        <w:spacing w:line="360" w:lineRule="auto"/>
        <w:ind w:firstLine="480"/>
        <w:outlineLvl w:val="0"/>
        <w:rPr>
          <w:rFonts w:ascii="宋体" w:hAnsi="宋体"/>
          <w:sz w:val="24"/>
        </w:rPr>
      </w:pPr>
      <w:r>
        <w:rPr>
          <w:rFonts w:hint="eastAsia" w:ascii="宋体" w:hAnsi="宋体"/>
          <w:sz w:val="24"/>
        </w:rPr>
        <w:t>估值错误被发现后，有关的当事人应当及时进行处理，处理的程序如下：</w:t>
      </w:r>
    </w:p>
    <w:p w14:paraId="03FC0343">
      <w:pPr>
        <w:tabs>
          <w:tab w:val="left" w:pos="3780"/>
        </w:tabs>
        <w:spacing w:line="360" w:lineRule="auto"/>
        <w:ind w:firstLine="480"/>
        <w:outlineLvl w:val="0"/>
        <w:rPr>
          <w:rFonts w:ascii="宋体" w:hAnsi="宋体"/>
          <w:sz w:val="24"/>
        </w:rPr>
      </w:pPr>
      <w:r>
        <w:rPr>
          <w:rFonts w:hint="eastAsia" w:ascii="宋体" w:hAnsi="宋体"/>
          <w:sz w:val="24"/>
        </w:rPr>
        <w:t>（1）查明估值错误发生的原因，列明所有的当事人，并根据估值错误发生的原因确定估值错误的责任方；</w:t>
      </w:r>
    </w:p>
    <w:p w14:paraId="3A407192">
      <w:pPr>
        <w:tabs>
          <w:tab w:val="left" w:pos="3780"/>
        </w:tabs>
        <w:spacing w:line="360" w:lineRule="auto"/>
        <w:ind w:firstLine="480"/>
        <w:outlineLvl w:val="0"/>
        <w:rPr>
          <w:rFonts w:ascii="宋体" w:hAnsi="宋体"/>
          <w:sz w:val="24"/>
        </w:rPr>
      </w:pPr>
      <w:r>
        <w:rPr>
          <w:rFonts w:hint="eastAsia" w:ascii="宋体" w:hAnsi="宋体"/>
          <w:sz w:val="24"/>
        </w:rPr>
        <w:t>（2）根据估值错误处理原则或当事人协商的方法对因估值错误造成的损失进行评估；</w:t>
      </w:r>
    </w:p>
    <w:p w14:paraId="46F955E5">
      <w:pPr>
        <w:tabs>
          <w:tab w:val="left" w:pos="3780"/>
        </w:tabs>
        <w:spacing w:line="360" w:lineRule="auto"/>
        <w:ind w:firstLine="480"/>
        <w:outlineLvl w:val="0"/>
        <w:rPr>
          <w:rFonts w:ascii="宋体" w:hAnsi="宋体"/>
          <w:sz w:val="24"/>
        </w:rPr>
      </w:pPr>
      <w:r>
        <w:rPr>
          <w:rFonts w:hint="eastAsia" w:ascii="宋体" w:hAnsi="宋体"/>
          <w:sz w:val="24"/>
        </w:rPr>
        <w:t>（3）根据估值错误处理原则或当事人协商的方法由估值错误的责任方进行更正和赔偿损失；</w:t>
      </w:r>
    </w:p>
    <w:p w14:paraId="238D5AD4">
      <w:pPr>
        <w:tabs>
          <w:tab w:val="left" w:pos="3780"/>
        </w:tabs>
        <w:spacing w:line="360" w:lineRule="auto"/>
        <w:ind w:firstLine="480"/>
        <w:outlineLvl w:val="0"/>
        <w:rPr>
          <w:rFonts w:ascii="宋体" w:hAnsi="宋体"/>
          <w:sz w:val="24"/>
        </w:rPr>
      </w:pPr>
      <w:r>
        <w:rPr>
          <w:rFonts w:hint="eastAsia" w:ascii="宋体" w:hAnsi="宋体"/>
          <w:sz w:val="24"/>
        </w:rPr>
        <w:t>（4）根据估值错误处理的方法，需要修改基金登记机构交易数据的，由基金登记机构进行更正，并就估值错误的更正向有关当事人进行确认。</w:t>
      </w:r>
    </w:p>
    <w:p w14:paraId="77F54C61">
      <w:pPr>
        <w:tabs>
          <w:tab w:val="left" w:pos="3780"/>
        </w:tabs>
        <w:spacing w:line="360" w:lineRule="auto"/>
        <w:ind w:firstLine="480"/>
        <w:outlineLvl w:val="0"/>
        <w:rPr>
          <w:rFonts w:ascii="宋体" w:hAnsi="宋体"/>
          <w:sz w:val="24"/>
        </w:rPr>
      </w:pPr>
      <w:r>
        <w:rPr>
          <w:rFonts w:hint="eastAsia" w:ascii="宋体" w:hAnsi="宋体"/>
          <w:sz w:val="24"/>
        </w:rPr>
        <w:t>4、基金份额净值估值错误处理的方法如下：</w:t>
      </w:r>
    </w:p>
    <w:p w14:paraId="04664786">
      <w:pPr>
        <w:tabs>
          <w:tab w:val="left" w:pos="3780"/>
        </w:tabs>
        <w:spacing w:line="360" w:lineRule="auto"/>
        <w:ind w:firstLine="480"/>
        <w:outlineLvl w:val="0"/>
        <w:rPr>
          <w:rFonts w:ascii="宋体" w:hAnsi="宋体"/>
          <w:sz w:val="24"/>
        </w:rPr>
      </w:pPr>
      <w:r>
        <w:rPr>
          <w:rFonts w:hint="eastAsia" w:ascii="宋体" w:hAnsi="宋体"/>
          <w:sz w:val="24"/>
        </w:rPr>
        <w:t>（1）基金份额净值计算出现错误时，基金管理人应当立即予以纠正，通报基金托管人，并采取合理的措施防止损失进一步扩大。</w:t>
      </w:r>
    </w:p>
    <w:p w14:paraId="1CE7721A">
      <w:pPr>
        <w:tabs>
          <w:tab w:val="left" w:pos="3780"/>
        </w:tabs>
        <w:spacing w:line="360" w:lineRule="auto"/>
        <w:ind w:firstLine="480"/>
        <w:outlineLvl w:val="0"/>
        <w:rPr>
          <w:rFonts w:ascii="宋体" w:hAnsi="宋体"/>
          <w:sz w:val="24"/>
        </w:rPr>
      </w:pPr>
      <w:r>
        <w:rPr>
          <w:rFonts w:hint="eastAsia"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14:paraId="49225E94">
      <w:pPr>
        <w:tabs>
          <w:tab w:val="left" w:pos="3780"/>
        </w:tabs>
        <w:spacing w:line="360" w:lineRule="auto"/>
        <w:ind w:firstLine="480"/>
        <w:outlineLvl w:val="0"/>
        <w:rPr>
          <w:rFonts w:ascii="宋体" w:hAnsi="宋体"/>
          <w:sz w:val="24"/>
        </w:rPr>
      </w:pPr>
      <w:r>
        <w:rPr>
          <w:rFonts w:hint="eastAsia" w:ascii="宋体" w:hAnsi="宋体"/>
          <w:sz w:val="24"/>
        </w:rPr>
        <w:t>（3）基金管理人和基金托管人由于各自技术系统设置而产生的净值计算尾差，以基金管理人计算结果为准。</w:t>
      </w:r>
    </w:p>
    <w:p w14:paraId="11EBF362">
      <w:pPr>
        <w:spacing w:line="360" w:lineRule="auto"/>
        <w:ind w:firstLine="480"/>
        <w:rPr>
          <w:bCs/>
          <w:sz w:val="24"/>
        </w:rPr>
      </w:pPr>
      <w:r>
        <w:rPr>
          <w:rFonts w:hint="eastAsia" w:ascii="宋体" w:hAnsi="宋体"/>
          <w:sz w:val="24"/>
        </w:rPr>
        <w:t>（4）前述内容如法律法规或监管机关另有规定的，从其规定处理。如果行业另有通行做法，基金管理人、基金托管人应本着平等和保护基金份额持有人利益的原则进行协商。</w:t>
      </w:r>
      <w:bookmarkEnd w:id="75"/>
    </w:p>
    <w:p w14:paraId="647FA869">
      <w:pPr>
        <w:tabs>
          <w:tab w:val="left" w:pos="3780"/>
        </w:tabs>
        <w:spacing w:line="360" w:lineRule="auto"/>
        <w:outlineLvl w:val="0"/>
        <w:rPr>
          <w:rFonts w:ascii="宋体" w:cs="宋体"/>
          <w:b/>
          <w:sz w:val="24"/>
        </w:rPr>
      </w:pPr>
      <w:r>
        <w:rPr>
          <w:rFonts w:hint="eastAsia" w:ascii="宋体" w:cs="宋体"/>
          <w:b/>
          <w:sz w:val="24"/>
        </w:rPr>
        <w:t>（三）基金</w:t>
      </w:r>
      <w:r>
        <w:rPr>
          <w:rFonts w:hint="eastAsia" w:ascii="宋体" w:hAnsi="宋体"/>
          <w:b/>
          <w:bCs/>
          <w:sz w:val="24"/>
        </w:rPr>
        <w:t>会计制度</w:t>
      </w:r>
    </w:p>
    <w:p w14:paraId="426BDB95">
      <w:pPr>
        <w:spacing w:line="360" w:lineRule="auto"/>
        <w:ind w:firstLine="420"/>
        <w:jc w:val="left"/>
        <w:rPr>
          <w:rFonts w:ascii="宋体" w:cs="宋体"/>
          <w:sz w:val="20"/>
          <w:szCs w:val="20"/>
        </w:rPr>
      </w:pPr>
      <w:r>
        <w:rPr>
          <w:rFonts w:hint="eastAsia" w:ascii="宋体" w:cs="宋体"/>
          <w:sz w:val="24"/>
        </w:rPr>
        <w:t>按国家有关部门制定的会计制度执行。</w:t>
      </w:r>
    </w:p>
    <w:p w14:paraId="210FB45F">
      <w:pPr>
        <w:tabs>
          <w:tab w:val="left" w:pos="3780"/>
        </w:tabs>
        <w:spacing w:line="360" w:lineRule="auto"/>
        <w:outlineLvl w:val="0"/>
        <w:rPr>
          <w:rFonts w:ascii="宋体"/>
          <w:b/>
          <w:bCs/>
          <w:sz w:val="24"/>
        </w:rPr>
      </w:pPr>
      <w:r>
        <w:rPr>
          <w:rFonts w:hint="eastAsia" w:ascii="宋体" w:hAnsi="宋体"/>
          <w:b/>
          <w:bCs/>
          <w:sz w:val="24"/>
        </w:rPr>
        <w:t>（四）基金账册的建立</w:t>
      </w:r>
    </w:p>
    <w:p w14:paraId="14177701">
      <w:pPr>
        <w:tabs>
          <w:tab w:val="left" w:pos="1260"/>
        </w:tabs>
        <w:spacing w:line="360" w:lineRule="auto"/>
        <w:ind w:firstLine="480"/>
        <w:rPr>
          <w:rFonts w:ascii="宋体"/>
          <w:sz w:val="24"/>
        </w:rPr>
      </w:pPr>
      <w:r>
        <w:rPr>
          <w:rFonts w:hint="eastAsia" w:ascii="宋体" w:hAnsi="宋体"/>
          <w:sz w:val="24"/>
        </w:rPr>
        <w:t>基金管理人和基金托管人在《基金合同》生效后，应按照双方约定的同一记账方法和会计处理原则，分别独立地设置、登录和保管本基金的全套账册，对双方各自的账册定期进行核对，互相监督，以保证基金财产的安全。若双方对会计处理方法存在分歧，应以基金管理人的处理方法为准。</w:t>
      </w:r>
    </w:p>
    <w:p w14:paraId="11F6CCFC">
      <w:pPr>
        <w:tabs>
          <w:tab w:val="left" w:pos="3780"/>
        </w:tabs>
        <w:spacing w:line="360" w:lineRule="auto"/>
        <w:outlineLvl w:val="0"/>
        <w:rPr>
          <w:rFonts w:ascii="宋体"/>
          <w:b/>
          <w:bCs/>
          <w:sz w:val="24"/>
        </w:rPr>
      </w:pPr>
      <w:r>
        <w:rPr>
          <w:rFonts w:hint="eastAsia" w:ascii="宋体" w:hAnsi="宋体"/>
          <w:b/>
          <w:bCs/>
          <w:sz w:val="24"/>
        </w:rPr>
        <w:t>（五）会计数据和财务指标的核对</w:t>
      </w:r>
    </w:p>
    <w:p w14:paraId="02945AE4">
      <w:pPr>
        <w:tabs>
          <w:tab w:val="left" w:pos="1260"/>
        </w:tabs>
        <w:spacing w:line="360" w:lineRule="auto"/>
        <w:ind w:firstLine="480"/>
        <w:rPr>
          <w:rFonts w:ascii="宋体"/>
          <w:sz w:val="24"/>
        </w:rPr>
      </w:pPr>
      <w:r>
        <w:rPr>
          <w:rFonts w:hint="eastAsia" w:ascii="宋体" w:hAnsi="宋体"/>
          <w:sz w:val="24"/>
        </w:rPr>
        <w:t>双方应每个交易日核对账目，如发现双方的账目存在不符的，基金管理人和基金托管人必须及时查明原因并纠正，确保核对一致。若当日核对不符，暂时无法查找到错账的原因而影响到基金净值的计算和公告的，以基金管理人的账册为准。</w:t>
      </w:r>
    </w:p>
    <w:p w14:paraId="14742CF0">
      <w:pPr>
        <w:tabs>
          <w:tab w:val="left" w:pos="3780"/>
        </w:tabs>
        <w:spacing w:line="360" w:lineRule="auto"/>
        <w:outlineLvl w:val="0"/>
        <w:rPr>
          <w:rFonts w:ascii="宋体"/>
          <w:b/>
          <w:bCs/>
          <w:sz w:val="24"/>
        </w:rPr>
      </w:pPr>
      <w:r>
        <w:rPr>
          <w:rFonts w:hint="eastAsia" w:ascii="宋体" w:hAnsi="宋体"/>
          <w:b/>
          <w:bCs/>
          <w:sz w:val="24"/>
        </w:rPr>
        <w:t>（六）基金定期报告的编制和复核</w:t>
      </w:r>
    </w:p>
    <w:p w14:paraId="4F2E8346">
      <w:pPr>
        <w:tabs>
          <w:tab w:val="left" w:pos="1260"/>
        </w:tabs>
        <w:spacing w:line="360" w:lineRule="auto"/>
        <w:ind w:firstLine="480"/>
        <w:rPr>
          <w:rFonts w:ascii="宋体"/>
          <w:sz w:val="24"/>
        </w:rPr>
      </w:pPr>
      <w:r>
        <w:rPr>
          <w:rFonts w:hint="eastAsia" w:ascii="宋体" w:hAnsi="宋体"/>
          <w:sz w:val="24"/>
        </w:rPr>
        <w:t>基金财务报表由基金管理人和基金托管人每月分别独立编制。月度报表的编制，应于每月终了后</w:t>
      </w:r>
      <w:r>
        <w:rPr>
          <w:rFonts w:ascii="宋体" w:hAnsi="宋体"/>
          <w:sz w:val="24"/>
        </w:rPr>
        <w:t>5</w:t>
      </w:r>
      <w:r>
        <w:rPr>
          <w:rFonts w:hint="eastAsia" w:ascii="宋体" w:hAnsi="宋体"/>
          <w:sz w:val="24"/>
        </w:rPr>
        <w:t>个工作日内完成。定期报告文件应按中国证监会的要求公告。季度报表的编制，应于每季度终了后</w:t>
      </w:r>
      <w:r>
        <w:rPr>
          <w:rFonts w:ascii="宋体" w:hAnsi="宋体"/>
          <w:sz w:val="24"/>
        </w:rPr>
        <w:t>15</w:t>
      </w:r>
      <w:r>
        <w:rPr>
          <w:rFonts w:hint="eastAsia" w:ascii="宋体" w:hAnsi="宋体"/>
          <w:sz w:val="24"/>
        </w:rPr>
        <w:t>个工作日内完成；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中期报告在基金会计年度前</w:t>
      </w:r>
      <w:r>
        <w:rPr>
          <w:rFonts w:ascii="宋体" w:hAnsi="宋体"/>
          <w:sz w:val="24"/>
        </w:rPr>
        <w:t>6</w:t>
      </w:r>
      <w:r>
        <w:rPr>
          <w:rFonts w:hint="eastAsia" w:ascii="宋体" w:hAnsi="宋体"/>
          <w:sz w:val="24"/>
        </w:rPr>
        <w:t>个月结束后的两个月内公告；年度报告在会计年度结束后三个月内公告。</w:t>
      </w:r>
    </w:p>
    <w:p w14:paraId="0C65FED6">
      <w:pPr>
        <w:tabs>
          <w:tab w:val="left" w:pos="1260"/>
        </w:tabs>
        <w:spacing w:line="360" w:lineRule="auto"/>
        <w:ind w:firstLine="480"/>
        <w:rPr>
          <w:rFonts w:ascii="宋体"/>
          <w:sz w:val="24"/>
        </w:rPr>
      </w:pPr>
      <w:r>
        <w:rPr>
          <w:rFonts w:hint="eastAsia" w:ascii="宋体" w:hAnsi="宋体"/>
          <w:sz w:val="24"/>
        </w:rPr>
        <w:t>基金管理人在月初3个工作日内完成上月度报表的编制，经盖章后，以约定方式将有关报表提供基金托管人；基金托管人收到后在</w:t>
      </w:r>
      <w:r>
        <w:rPr>
          <w:rFonts w:ascii="宋体" w:hAnsi="宋体"/>
          <w:sz w:val="24"/>
        </w:rPr>
        <w:t>2</w:t>
      </w:r>
      <w:r>
        <w:rPr>
          <w:rFonts w:hint="eastAsia" w:ascii="宋体" w:hAnsi="宋体"/>
          <w:sz w:val="24"/>
        </w:rPr>
        <w:t>个工作日内进行复核，并将复核结果及时书面或以其他双方约定的方式通知基金管理人。对于季度报告、中期报告、年度报告等定期报告，基金管理人和基金托管人应在上述监管部门规定的时间内完成编制、复核及公告。基金托管人在复核过程中，发现双方的报表存在不符时，基金管理人和基金托管人应共同查明原因，进行调整，调整以双方认可的账务处理方式为准。如果基金管理人与基金托管人不能于应当发布公告之日前就相关报表达成一致，基金管理人有权按照其编制的报表对外发布公告，基金托管人有权就相关情况报中国证监会备案。</w:t>
      </w:r>
    </w:p>
    <w:p w14:paraId="2347EFE1">
      <w:pPr>
        <w:tabs>
          <w:tab w:val="left" w:pos="1260"/>
        </w:tabs>
        <w:spacing w:line="360" w:lineRule="auto"/>
        <w:ind w:firstLine="480"/>
        <w:rPr>
          <w:rFonts w:ascii="宋体" w:hAnsi="宋体"/>
          <w:sz w:val="24"/>
        </w:rPr>
      </w:pPr>
      <w:r>
        <w:rPr>
          <w:rFonts w:hint="eastAsia" w:ascii="宋体" w:hAnsi="宋体"/>
          <w:sz w:val="24"/>
        </w:rPr>
        <w:t>基金托管人在对财务报表、季度报告、中期报告或年度报告复核完毕后，可以出具复核确认书（盖章）或以其他双方约定的方式确认，以备有权</w:t>
      </w:r>
      <w:r>
        <w:rPr>
          <w:rFonts w:ascii="宋体" w:hAnsi="宋体"/>
          <w:sz w:val="24"/>
        </w:rPr>
        <w:t>机构对相关文件审核检查。</w:t>
      </w:r>
      <w:bookmarkStart w:id="76" w:name="_Toc523830000"/>
      <w:bookmarkStart w:id="77" w:name="_Toc125892445"/>
      <w:bookmarkStart w:id="78" w:name="_Toc22454461"/>
      <w:bookmarkStart w:id="79" w:name="_Toc466788859"/>
    </w:p>
    <w:p w14:paraId="4A9B4BF3">
      <w:pPr>
        <w:tabs>
          <w:tab w:val="left" w:pos="1260"/>
        </w:tabs>
        <w:spacing w:line="360" w:lineRule="auto"/>
        <w:ind w:firstLine="480"/>
        <w:rPr>
          <w:rFonts w:ascii="宋体"/>
          <w:sz w:val="24"/>
        </w:rPr>
      </w:pPr>
    </w:p>
    <w:p w14:paraId="2E09862D">
      <w:pPr>
        <w:pStyle w:val="214"/>
      </w:pPr>
      <w:bookmarkStart w:id="80" w:name="_Toc35001434"/>
      <w:r>
        <w:t>九、基金收益分配</w:t>
      </w:r>
      <w:bookmarkEnd w:id="76"/>
      <w:bookmarkEnd w:id="77"/>
      <w:bookmarkEnd w:id="78"/>
      <w:bookmarkEnd w:id="79"/>
      <w:bookmarkEnd w:id="80"/>
    </w:p>
    <w:p w14:paraId="76C6DC29">
      <w:pPr>
        <w:tabs>
          <w:tab w:val="left" w:pos="1260"/>
        </w:tabs>
        <w:spacing w:line="360" w:lineRule="auto"/>
        <w:ind w:firstLine="480"/>
        <w:rPr>
          <w:rFonts w:ascii="宋体"/>
          <w:sz w:val="24"/>
        </w:rPr>
      </w:pPr>
      <w:r>
        <w:rPr>
          <w:rFonts w:hint="eastAsia" w:ascii="宋体" w:hAnsi="宋体"/>
          <w:sz w:val="24"/>
        </w:rPr>
        <w:t>基金收益分配是指将本基金的可分配收益根据持有基金份额的数量按比例向基金份额持有人进行分配。</w:t>
      </w:r>
    </w:p>
    <w:p w14:paraId="2711E169">
      <w:pPr>
        <w:tabs>
          <w:tab w:val="left" w:pos="3780"/>
        </w:tabs>
        <w:spacing w:line="360" w:lineRule="auto"/>
        <w:outlineLvl w:val="0"/>
        <w:rPr>
          <w:rFonts w:ascii="宋体"/>
          <w:b/>
          <w:bCs/>
          <w:sz w:val="24"/>
        </w:rPr>
      </w:pPr>
      <w:r>
        <w:rPr>
          <w:rFonts w:hint="eastAsia" w:ascii="宋体" w:hAnsi="宋体"/>
          <w:b/>
          <w:bCs/>
          <w:sz w:val="24"/>
        </w:rPr>
        <w:t>（一）基金收益分配应该符合基金合同中收益分配原则的规定，具体规定如下：</w:t>
      </w:r>
    </w:p>
    <w:p w14:paraId="39E3D2E6">
      <w:pPr>
        <w:tabs>
          <w:tab w:val="left" w:pos="1260"/>
        </w:tabs>
        <w:spacing w:line="360" w:lineRule="auto"/>
        <w:ind w:firstLine="480"/>
        <w:rPr>
          <w:bCs/>
          <w:sz w:val="24"/>
        </w:rPr>
      </w:pPr>
      <w:bookmarkStart w:id="81" w:name="_Hlk104924330"/>
      <w:r>
        <w:rPr>
          <w:rFonts w:hint="eastAsia"/>
          <w:bCs/>
          <w:sz w:val="24"/>
        </w:rPr>
        <w:t>1、由于本基金A类基金份额不收取销售服务费，而C类基金份额收取销售服务费，各基金份额类别对应的可供分配利润将有所不同，本基金同一类别的每一基金份额享有同等分配权；</w:t>
      </w:r>
    </w:p>
    <w:p w14:paraId="44EA66B5">
      <w:pPr>
        <w:tabs>
          <w:tab w:val="left" w:pos="1260"/>
        </w:tabs>
        <w:spacing w:line="360" w:lineRule="auto"/>
        <w:ind w:firstLine="480"/>
        <w:rPr>
          <w:bCs/>
          <w:sz w:val="24"/>
        </w:rPr>
      </w:pPr>
      <w:r>
        <w:rPr>
          <w:rFonts w:hint="eastAsia"/>
          <w:bCs/>
          <w:sz w:val="24"/>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7F059553">
      <w:pPr>
        <w:tabs>
          <w:tab w:val="left" w:pos="1260"/>
        </w:tabs>
        <w:spacing w:line="360" w:lineRule="auto"/>
        <w:ind w:firstLine="480"/>
        <w:rPr>
          <w:bCs/>
          <w:sz w:val="24"/>
        </w:rPr>
      </w:pPr>
      <w:r>
        <w:rPr>
          <w:rFonts w:hint="eastAsia"/>
          <w:bCs/>
          <w:sz w:val="24"/>
        </w:rPr>
        <w:t>3、基金收益分配后各类基金份额净值不能低于面值，即基金收益分配基准日的各类基金份额净值减去每单位该类基金份额收益分配金额后不能低于面值；</w:t>
      </w:r>
    </w:p>
    <w:p w14:paraId="5B9A37C8">
      <w:pPr>
        <w:tabs>
          <w:tab w:val="left" w:pos="1260"/>
        </w:tabs>
        <w:spacing w:line="360" w:lineRule="auto"/>
        <w:ind w:firstLine="480"/>
        <w:rPr>
          <w:bCs/>
          <w:sz w:val="24"/>
        </w:rPr>
      </w:pPr>
      <w:r>
        <w:rPr>
          <w:rFonts w:hint="eastAsia"/>
          <w:bCs/>
          <w:sz w:val="24"/>
        </w:rPr>
        <w:t>4、法律法规或监管机关另有规定的，从其规定。</w:t>
      </w:r>
    </w:p>
    <w:p w14:paraId="274E03A4">
      <w:pPr>
        <w:tabs>
          <w:tab w:val="left" w:pos="1260"/>
        </w:tabs>
        <w:spacing w:line="360" w:lineRule="auto"/>
        <w:ind w:firstLine="480"/>
        <w:rPr>
          <w:rFonts w:ascii="宋体" w:hAnsi="宋体"/>
          <w:sz w:val="24"/>
        </w:rPr>
      </w:pPr>
      <w:r>
        <w:rPr>
          <w:rFonts w:hint="eastAsia"/>
          <w:bCs/>
          <w:sz w:val="24"/>
        </w:rPr>
        <w:t>在不违反法律法规及基金合同约定，并对基金份额持有人利益无实质不利影响的前提下，基金管理人经与基金托管人协商一致后可对基金收益分配原则和支付方式进行调整，不需召开基金份额持有人大会。</w:t>
      </w:r>
      <w:bookmarkEnd w:id="81"/>
    </w:p>
    <w:p w14:paraId="7FCA12D8">
      <w:pPr>
        <w:tabs>
          <w:tab w:val="left" w:pos="3780"/>
        </w:tabs>
        <w:spacing w:line="360" w:lineRule="auto"/>
        <w:outlineLvl w:val="0"/>
        <w:rPr>
          <w:rFonts w:ascii="宋体"/>
          <w:b/>
          <w:bCs/>
          <w:sz w:val="24"/>
        </w:rPr>
      </w:pPr>
      <w:r>
        <w:rPr>
          <w:rFonts w:hint="eastAsia" w:ascii="宋体" w:hAnsi="宋体"/>
          <w:b/>
          <w:bCs/>
          <w:sz w:val="24"/>
        </w:rPr>
        <w:t>（二）基金收益分配方案的确定与公告</w:t>
      </w:r>
    </w:p>
    <w:p w14:paraId="62FAF1F8">
      <w:pPr>
        <w:spacing w:line="360" w:lineRule="auto"/>
        <w:ind w:firstLine="540"/>
        <w:rPr>
          <w:bCs/>
          <w:sz w:val="24"/>
        </w:rPr>
      </w:pPr>
      <w:bookmarkStart w:id="82" w:name="_Toc523830002"/>
      <w:bookmarkStart w:id="83" w:name="_Toc466788861"/>
      <w:bookmarkStart w:id="84" w:name="_Toc22454465"/>
      <w:r>
        <w:rPr>
          <w:bCs/>
          <w:sz w:val="24"/>
        </w:rPr>
        <w:t>本基金收益分配方案由基金管理人拟定，并由基金托管人复核，</w:t>
      </w:r>
      <w:r>
        <w:rPr>
          <w:rFonts w:hint="eastAsia"/>
          <w:bCs/>
          <w:sz w:val="24"/>
        </w:rPr>
        <w:t>按</w:t>
      </w:r>
      <w:r>
        <w:rPr>
          <w:bCs/>
          <w:sz w:val="24"/>
        </w:rPr>
        <w:t>规定在</w:t>
      </w:r>
      <w:r>
        <w:rPr>
          <w:rFonts w:hint="eastAsia"/>
          <w:bCs/>
          <w:sz w:val="24"/>
        </w:rPr>
        <w:t>规定媒介</w:t>
      </w:r>
      <w:r>
        <w:rPr>
          <w:bCs/>
          <w:sz w:val="24"/>
        </w:rPr>
        <w:t>公告。</w:t>
      </w:r>
      <w:r>
        <w:rPr>
          <w:rFonts w:hint="eastAsia" w:ascii="宋体" w:hAnsi="宋体"/>
          <w:sz w:val="24"/>
        </w:rPr>
        <w:t>基金管理人向基金托管人下达收益分配的付款指令，基金托管人按指令将收益分配的全部资金划入基金管理人的指定账户，并由基金管理人负责分配。</w:t>
      </w:r>
      <w:bookmarkStart w:id="85" w:name="_Hlk104924403"/>
      <w:bookmarkStart w:id="86" w:name="_Toc125892446"/>
      <w:r>
        <w:rPr>
          <w:bCs/>
          <w:sz w:val="24"/>
        </w:rPr>
        <w:t>基金收益分配方案中应载明</w:t>
      </w:r>
      <w:r>
        <w:rPr>
          <w:rFonts w:hint="eastAsia"/>
          <w:bCs/>
          <w:sz w:val="24"/>
        </w:rPr>
        <w:t>截至</w:t>
      </w:r>
      <w:r>
        <w:rPr>
          <w:bCs/>
          <w:sz w:val="24"/>
        </w:rPr>
        <w:t>收益分配基准日的可供分配利润、基金收益分配对象、分配时间、分配数额及比例、分配方式等内容</w:t>
      </w:r>
      <w:bookmarkEnd w:id="85"/>
      <w:r>
        <w:rPr>
          <w:bCs/>
          <w:sz w:val="24"/>
        </w:rPr>
        <w:t>。</w:t>
      </w:r>
    </w:p>
    <w:p w14:paraId="42581B59">
      <w:pPr>
        <w:spacing w:line="360" w:lineRule="auto"/>
        <w:ind w:firstLine="540"/>
        <w:rPr>
          <w:bCs/>
          <w:sz w:val="24"/>
        </w:rPr>
      </w:pPr>
    </w:p>
    <w:p w14:paraId="354F503F">
      <w:pPr>
        <w:pStyle w:val="214"/>
      </w:pPr>
      <w:bookmarkStart w:id="87" w:name="_Toc35001435"/>
      <w:r>
        <w:t>十、基金信息披露</w:t>
      </w:r>
      <w:bookmarkEnd w:id="82"/>
      <w:bookmarkEnd w:id="83"/>
      <w:bookmarkEnd w:id="84"/>
      <w:bookmarkEnd w:id="86"/>
      <w:bookmarkEnd w:id="87"/>
    </w:p>
    <w:p w14:paraId="658636FF">
      <w:pPr>
        <w:tabs>
          <w:tab w:val="left" w:pos="3780"/>
        </w:tabs>
        <w:spacing w:line="360" w:lineRule="auto"/>
        <w:outlineLvl w:val="0"/>
        <w:rPr>
          <w:rFonts w:ascii="宋体"/>
          <w:b/>
          <w:bCs/>
          <w:sz w:val="24"/>
        </w:rPr>
      </w:pPr>
      <w:bookmarkStart w:id="88" w:name="_Toc22454466"/>
      <w:bookmarkStart w:id="89" w:name="_Toc77663026"/>
      <w:r>
        <w:rPr>
          <w:rFonts w:ascii="宋体" w:hAnsi="宋体"/>
          <w:b/>
          <w:bCs/>
          <w:sz w:val="24"/>
        </w:rPr>
        <w:t>（一）保密义务</w:t>
      </w:r>
      <w:bookmarkEnd w:id="88"/>
      <w:bookmarkEnd w:id="89"/>
    </w:p>
    <w:p w14:paraId="19ABEAE1">
      <w:pPr>
        <w:tabs>
          <w:tab w:val="left" w:pos="1260"/>
        </w:tabs>
        <w:spacing w:line="360" w:lineRule="auto"/>
        <w:ind w:firstLine="480"/>
        <w:rPr>
          <w:rFonts w:ascii="宋体"/>
          <w:sz w:val="24"/>
        </w:rPr>
      </w:pPr>
      <w:r>
        <w:rPr>
          <w:rFonts w:hint="eastAsia" w:ascii="宋体" w:hAnsi="宋体"/>
          <w:sz w:val="24"/>
        </w:rPr>
        <w:t>除按照《基金法》、《基金合同》、《信息披露办法》及中国证监会关于基金信息披露的有关规定进行披露以外，基金管理人和基金托管人对公开披露前的基金信息、从对方获得的业务信息及其他不宜公开披露的基金信息应予保密，不得向任何第三方泄露。</w:t>
      </w:r>
      <w:bookmarkStart w:id="90" w:name="_Hlk37259054"/>
      <w:r>
        <w:rPr>
          <w:rFonts w:hint="eastAsia" w:ascii="宋体" w:hAnsi="宋体"/>
          <w:sz w:val="24"/>
        </w:rPr>
        <w:t>法律法规另有规定的以及审计需要的除外</w:t>
      </w:r>
      <w:bookmarkEnd w:id="90"/>
      <w:r>
        <w:rPr>
          <w:rFonts w:hint="eastAsia" w:ascii="宋体" w:hAnsi="宋体"/>
          <w:sz w:val="24"/>
        </w:rPr>
        <w:t>。</w:t>
      </w:r>
    </w:p>
    <w:p w14:paraId="13467960">
      <w:pPr>
        <w:tabs>
          <w:tab w:val="left" w:pos="1260"/>
        </w:tabs>
        <w:spacing w:line="360" w:lineRule="auto"/>
        <w:ind w:firstLine="480"/>
        <w:rPr>
          <w:rFonts w:ascii="宋体"/>
          <w:sz w:val="24"/>
        </w:rPr>
      </w:pPr>
      <w:r>
        <w:rPr>
          <w:rFonts w:hint="eastAsia" w:ascii="宋体" w:hAnsi="宋体"/>
          <w:sz w:val="24"/>
        </w:rPr>
        <w:t>如下情况不应视为基金管理人或基金托管人违反保密义务：</w:t>
      </w:r>
    </w:p>
    <w:p w14:paraId="716BFD0E">
      <w:pPr>
        <w:tabs>
          <w:tab w:val="left" w:pos="1260"/>
        </w:tabs>
        <w:spacing w:line="360" w:lineRule="auto"/>
        <w:ind w:firstLine="480"/>
        <w:rPr>
          <w:rFonts w:ascii="宋体"/>
          <w:sz w:val="24"/>
        </w:rPr>
      </w:pPr>
      <w:r>
        <w:rPr>
          <w:rFonts w:hint="eastAsia" w:ascii="宋体" w:hAnsi="宋体"/>
          <w:sz w:val="24"/>
        </w:rPr>
        <w:t>1</w:t>
      </w:r>
      <w:r>
        <w:rPr>
          <w:rFonts w:ascii="宋体" w:hAnsi="宋体"/>
          <w:sz w:val="24"/>
        </w:rPr>
        <w:t>.</w:t>
      </w:r>
      <w:r>
        <w:rPr>
          <w:rFonts w:hint="eastAsia" w:ascii="宋体" w:hAnsi="宋体"/>
          <w:sz w:val="24"/>
        </w:rPr>
        <w:t>非因基金管理人和基金托管人的原因导致保密信息被披露、泄露或公开；</w:t>
      </w:r>
    </w:p>
    <w:p w14:paraId="4FACCE6B">
      <w:pPr>
        <w:tabs>
          <w:tab w:val="left" w:pos="1260"/>
        </w:tabs>
        <w:spacing w:line="360" w:lineRule="auto"/>
        <w:ind w:firstLine="480"/>
        <w:rPr>
          <w:rFonts w:ascii="宋体"/>
          <w:sz w:val="24"/>
        </w:rPr>
      </w:pPr>
      <w:r>
        <w:rPr>
          <w:rFonts w:hint="eastAsia" w:ascii="宋体" w:hAnsi="宋体"/>
          <w:sz w:val="24"/>
        </w:rPr>
        <w:t>2</w:t>
      </w:r>
      <w:r>
        <w:rPr>
          <w:rFonts w:ascii="宋体" w:hAnsi="宋体"/>
          <w:sz w:val="24"/>
        </w:rPr>
        <w:t>.基金管理人和基金托管人为遵守和服从法院判决、仲裁裁决或中国证监会等监管机构的命令决定所做出的信息披露或公开。</w:t>
      </w:r>
      <w:bookmarkStart w:id="91" w:name="_Toc77663027"/>
      <w:bookmarkStart w:id="92" w:name="_Toc22454467"/>
    </w:p>
    <w:p w14:paraId="33E73397">
      <w:pPr>
        <w:tabs>
          <w:tab w:val="left" w:pos="3780"/>
        </w:tabs>
        <w:spacing w:line="360" w:lineRule="auto"/>
        <w:outlineLvl w:val="0"/>
        <w:rPr>
          <w:rFonts w:ascii="宋体"/>
          <w:b/>
          <w:bCs/>
          <w:sz w:val="24"/>
        </w:rPr>
      </w:pPr>
      <w:r>
        <w:rPr>
          <w:rFonts w:ascii="宋体" w:hAnsi="宋体"/>
          <w:b/>
          <w:bCs/>
          <w:sz w:val="24"/>
        </w:rPr>
        <w:t>（二）基金管理人和基金托管人在基金信息披露中的职责和信息披露程序</w:t>
      </w:r>
      <w:bookmarkEnd w:id="91"/>
      <w:bookmarkEnd w:id="92"/>
    </w:p>
    <w:p w14:paraId="6F8DEA6A">
      <w:pPr>
        <w:tabs>
          <w:tab w:val="left" w:pos="1260"/>
        </w:tabs>
        <w:spacing w:line="360" w:lineRule="auto"/>
        <w:ind w:firstLine="480"/>
        <w:rPr>
          <w:rFonts w:ascii="宋体"/>
          <w:sz w:val="24"/>
        </w:rPr>
      </w:pPr>
      <w:r>
        <w:rPr>
          <w:rFonts w:hint="eastAsia" w:ascii="宋体" w:hAnsi="宋体"/>
          <w:sz w:val="24"/>
        </w:rPr>
        <w:t>基金管理人和基金托管人应根据相关法律法规、《基金合同》的规定各自承担相应的信息披露职责。基金管理人和基金托管人负有积极配合、互相督促、彼此监督，保证其履行按照法定方式和时限披露的义务。</w:t>
      </w:r>
    </w:p>
    <w:p w14:paraId="46B01B7C">
      <w:pPr>
        <w:tabs>
          <w:tab w:val="left" w:pos="1260"/>
        </w:tabs>
        <w:spacing w:line="360" w:lineRule="auto"/>
        <w:ind w:firstLine="480"/>
        <w:rPr>
          <w:rFonts w:ascii="宋体" w:hAnsi="宋体"/>
          <w:sz w:val="24"/>
        </w:rPr>
      </w:pPr>
      <w:r>
        <w:rPr>
          <w:rFonts w:hint="eastAsia" w:ascii="宋体" w:hAnsi="宋体"/>
          <w:sz w:val="24"/>
        </w:rPr>
        <w:t>本基金信息披露的文件，包括</w:t>
      </w:r>
    </w:p>
    <w:p w14:paraId="60DC3527">
      <w:pPr>
        <w:tabs>
          <w:tab w:val="left" w:pos="1260"/>
        </w:tabs>
        <w:spacing w:line="360" w:lineRule="auto"/>
        <w:ind w:firstLine="480"/>
        <w:rPr>
          <w:rFonts w:ascii="宋体"/>
          <w:sz w:val="24"/>
        </w:rPr>
      </w:pPr>
      <w:r>
        <w:rPr>
          <w:rFonts w:hint="eastAsia" w:ascii="宋体" w:hAnsi="宋体"/>
          <w:sz w:val="24"/>
        </w:rPr>
        <w:t>基金招募说明书、基金产品资料概要、《基金合同》、托管协议、基金净值信息、基金份额申购、赎回价格、基金定期报告（包括基金年度报告、基金中期报告和基金季度报告）、临时报告、澄清公告、清算报告、基金份额持有人大会决议、投资股指期货、国债期货、股票期权的信息披露、投资资产支持证券的信息披露、投资港股通标的股票的信息披露、投资非公开发行股票的信息披露、参与融资和转融通证券出借业务的信息披露、实施侧袋机制期间的信息披露、投资目标ETF的信息披露及中国证监会规定的其他必要的公告文件，由基金管理人拟定并公布。</w:t>
      </w:r>
    </w:p>
    <w:p w14:paraId="3A5E4198">
      <w:pPr>
        <w:tabs>
          <w:tab w:val="left" w:pos="1260"/>
        </w:tabs>
        <w:spacing w:line="360" w:lineRule="auto"/>
        <w:ind w:firstLine="480"/>
        <w:rPr>
          <w:rFonts w:ascii="宋体"/>
          <w:sz w:val="24"/>
        </w:rPr>
      </w:pPr>
      <w:r>
        <w:rPr>
          <w:rFonts w:hint="eastAsia" w:ascii="宋体" w:hAnsi="宋体"/>
          <w:sz w:val="24"/>
        </w:rPr>
        <w:t>基金托管人应按本协议第八条第（六）款的规定对相关报告进行复核。基金年度报告中的财务会计报告经符合《中华人民共和国证券法》规定的会计师事务所审计后方可披露。</w:t>
      </w:r>
    </w:p>
    <w:p w14:paraId="2F967288">
      <w:pPr>
        <w:tabs>
          <w:tab w:val="left" w:pos="1260"/>
        </w:tabs>
        <w:spacing w:line="360" w:lineRule="auto"/>
        <w:ind w:firstLine="480"/>
        <w:rPr>
          <w:rFonts w:ascii="宋体"/>
          <w:sz w:val="24"/>
        </w:rPr>
      </w:pPr>
      <w:r>
        <w:rPr>
          <w:rFonts w:ascii="宋体" w:hAnsi="宋体"/>
          <w:sz w:val="24"/>
        </w:rPr>
        <w:t>本基金的信息披露公告，必须在证监会规定媒介发布。</w:t>
      </w:r>
      <w:bookmarkStart w:id="93" w:name="_Toc466788862"/>
    </w:p>
    <w:p w14:paraId="6220F651">
      <w:pPr>
        <w:tabs>
          <w:tab w:val="left" w:pos="3780"/>
        </w:tabs>
        <w:spacing w:line="360" w:lineRule="auto"/>
        <w:outlineLvl w:val="0"/>
        <w:rPr>
          <w:rFonts w:ascii="宋体"/>
          <w:b/>
          <w:bCs/>
          <w:sz w:val="24"/>
        </w:rPr>
      </w:pPr>
      <w:r>
        <w:rPr>
          <w:rFonts w:hint="eastAsia" w:ascii="宋体" w:hAnsi="宋体"/>
          <w:b/>
          <w:bCs/>
          <w:sz w:val="24"/>
        </w:rPr>
        <w:t>（三）暂停或延迟信息披露的情形</w:t>
      </w:r>
    </w:p>
    <w:p w14:paraId="0BA608A4">
      <w:pPr>
        <w:tabs>
          <w:tab w:val="left" w:pos="3780"/>
        </w:tabs>
        <w:spacing w:line="360" w:lineRule="auto"/>
        <w:ind w:firstLine="480"/>
        <w:outlineLvl w:val="0"/>
        <w:rPr>
          <w:rFonts w:ascii="宋体" w:hAnsi="宋体"/>
          <w:sz w:val="24"/>
        </w:rPr>
      </w:pPr>
      <w:r>
        <w:rPr>
          <w:rFonts w:hint="eastAsia" w:ascii="宋体" w:hAnsi="宋体"/>
          <w:sz w:val="24"/>
        </w:rPr>
        <w:t>1、不可抗力；</w:t>
      </w:r>
    </w:p>
    <w:p w14:paraId="60112523">
      <w:pPr>
        <w:tabs>
          <w:tab w:val="left" w:pos="3780"/>
        </w:tabs>
        <w:spacing w:line="360" w:lineRule="auto"/>
        <w:ind w:firstLine="480"/>
        <w:outlineLvl w:val="0"/>
        <w:rPr>
          <w:rFonts w:ascii="宋体" w:hAnsi="宋体"/>
          <w:sz w:val="24"/>
        </w:rPr>
      </w:pPr>
      <w:r>
        <w:rPr>
          <w:rFonts w:hint="eastAsia" w:ascii="宋体" w:hAnsi="宋体"/>
          <w:sz w:val="24"/>
        </w:rPr>
        <w:t>2、发生基金合同约定的暂停估值的情形；</w:t>
      </w:r>
    </w:p>
    <w:p w14:paraId="6A4EB8CD">
      <w:pPr>
        <w:tabs>
          <w:tab w:val="left" w:pos="3780"/>
        </w:tabs>
        <w:spacing w:line="360" w:lineRule="auto"/>
        <w:ind w:firstLine="480"/>
        <w:outlineLvl w:val="0"/>
        <w:rPr>
          <w:rFonts w:ascii="宋体" w:hAnsi="宋体"/>
          <w:sz w:val="24"/>
        </w:rPr>
      </w:pPr>
      <w:r>
        <w:rPr>
          <w:rFonts w:ascii="宋体" w:hAnsi="宋体"/>
          <w:sz w:val="24"/>
        </w:rPr>
        <w:t>3</w:t>
      </w:r>
      <w:r>
        <w:rPr>
          <w:rFonts w:hint="eastAsia" w:ascii="宋体" w:hAnsi="宋体"/>
          <w:sz w:val="24"/>
        </w:rPr>
        <w:t>、法律法规规定、中国证监会或基金合同认定的其他情形。</w:t>
      </w:r>
    </w:p>
    <w:p w14:paraId="6F1B2BBF">
      <w:pPr>
        <w:tabs>
          <w:tab w:val="left" w:pos="3780"/>
        </w:tabs>
        <w:spacing w:line="360" w:lineRule="auto"/>
        <w:outlineLvl w:val="0"/>
        <w:rPr>
          <w:rFonts w:ascii="宋体"/>
          <w:b/>
          <w:bCs/>
          <w:sz w:val="24"/>
        </w:rPr>
      </w:pPr>
      <w:r>
        <w:rPr>
          <w:rFonts w:hint="eastAsia" w:ascii="宋体" w:hAnsi="宋体"/>
          <w:b/>
          <w:bCs/>
          <w:sz w:val="24"/>
        </w:rPr>
        <w:t>（四）基金托管人报告</w:t>
      </w:r>
    </w:p>
    <w:p w14:paraId="420C0BC0">
      <w:pPr>
        <w:tabs>
          <w:tab w:val="left" w:pos="1260"/>
        </w:tabs>
        <w:spacing w:line="360" w:lineRule="auto"/>
        <w:ind w:firstLine="480"/>
        <w:rPr>
          <w:rFonts w:ascii="宋体" w:hAnsi="宋体"/>
          <w:sz w:val="24"/>
        </w:rPr>
      </w:pPr>
      <w:r>
        <w:rPr>
          <w:rFonts w:hint="eastAsia" w:ascii="宋体" w:hAnsi="宋体"/>
          <w:sz w:val="24"/>
        </w:rPr>
        <w:t>基金托管人应按《基金法》和中国证监会的有关规定出具基金托管情况报告。基金托管人报告说明该半年度</w:t>
      </w:r>
      <w:r>
        <w:rPr>
          <w:rFonts w:ascii="宋体" w:hAnsi="宋体"/>
          <w:sz w:val="24"/>
        </w:rPr>
        <w:t>/年度基金托管人和基金管理人履行《基金合同》的情况，是基金中期报告和年度报告的组成部分。</w:t>
      </w:r>
      <w:bookmarkStart w:id="94" w:name="_Toc125892447"/>
    </w:p>
    <w:p w14:paraId="427CE446">
      <w:pPr>
        <w:tabs>
          <w:tab w:val="left" w:pos="1260"/>
        </w:tabs>
        <w:spacing w:line="360" w:lineRule="auto"/>
        <w:ind w:firstLine="480"/>
        <w:rPr>
          <w:rFonts w:ascii="宋体"/>
          <w:sz w:val="24"/>
        </w:rPr>
      </w:pPr>
    </w:p>
    <w:p w14:paraId="6B7FBAE9">
      <w:pPr>
        <w:pStyle w:val="214"/>
      </w:pPr>
      <w:bookmarkStart w:id="95" w:name="_Toc35001436"/>
      <w:r>
        <w:t>十一、基金费用</w:t>
      </w:r>
      <w:bookmarkEnd w:id="94"/>
      <w:bookmarkEnd w:id="95"/>
    </w:p>
    <w:p w14:paraId="40C4805C">
      <w:pPr>
        <w:tabs>
          <w:tab w:val="left" w:pos="1260"/>
        </w:tabs>
        <w:spacing w:line="360" w:lineRule="auto"/>
        <w:ind w:firstLine="482"/>
        <w:rPr>
          <w:rFonts w:ascii="宋体"/>
          <w:b/>
          <w:sz w:val="24"/>
        </w:rPr>
      </w:pPr>
      <w:bookmarkStart w:id="96" w:name="_Hlk104924548"/>
      <w:r>
        <w:rPr>
          <w:rFonts w:hint="eastAsia" w:ascii="宋体" w:hAnsi="宋体"/>
          <w:b/>
          <w:sz w:val="24"/>
        </w:rPr>
        <w:t>（一）基金管理人的管理费</w:t>
      </w:r>
    </w:p>
    <w:p w14:paraId="250A0DB7">
      <w:pPr>
        <w:tabs>
          <w:tab w:val="left" w:pos="1260"/>
        </w:tabs>
        <w:spacing w:line="360" w:lineRule="auto"/>
        <w:ind w:firstLine="482"/>
        <w:rPr>
          <w:rFonts w:ascii="宋体" w:hAnsi="宋体"/>
          <w:sz w:val="24"/>
        </w:rPr>
      </w:pPr>
      <w:r>
        <w:rPr>
          <w:rFonts w:hint="eastAsia" w:ascii="宋体" w:hAnsi="宋体"/>
          <w:sz w:val="24"/>
        </w:rPr>
        <w:t>本基金的管理费按前一日基金资产净值的0.50%年费率计提。管理费的计算方法如下：</w:t>
      </w:r>
    </w:p>
    <w:p w14:paraId="1A25E7AA">
      <w:pPr>
        <w:tabs>
          <w:tab w:val="left" w:pos="1260"/>
        </w:tabs>
        <w:spacing w:line="360" w:lineRule="auto"/>
        <w:ind w:firstLine="482"/>
        <w:rPr>
          <w:rFonts w:ascii="宋体" w:hAnsi="宋体"/>
          <w:sz w:val="24"/>
        </w:rPr>
      </w:pPr>
      <w:r>
        <w:rPr>
          <w:rFonts w:hint="eastAsia" w:ascii="宋体" w:hAnsi="宋体"/>
          <w:sz w:val="24"/>
        </w:rPr>
        <w:t>H＝E×0.50%÷当年天数</w:t>
      </w:r>
    </w:p>
    <w:p w14:paraId="49C9131E">
      <w:pPr>
        <w:tabs>
          <w:tab w:val="left" w:pos="1260"/>
        </w:tabs>
        <w:spacing w:line="360" w:lineRule="auto"/>
        <w:ind w:firstLine="482"/>
        <w:rPr>
          <w:rFonts w:ascii="宋体" w:hAnsi="宋体"/>
          <w:sz w:val="24"/>
        </w:rPr>
      </w:pPr>
      <w:r>
        <w:rPr>
          <w:rFonts w:hint="eastAsia" w:ascii="宋体" w:hAnsi="宋体"/>
          <w:sz w:val="24"/>
        </w:rPr>
        <w:t>H为每日应计提的基金管理费</w:t>
      </w:r>
    </w:p>
    <w:p w14:paraId="59384B8D">
      <w:pPr>
        <w:tabs>
          <w:tab w:val="left" w:pos="1260"/>
        </w:tabs>
        <w:spacing w:line="360" w:lineRule="auto"/>
        <w:ind w:firstLine="482"/>
        <w:rPr>
          <w:rFonts w:ascii="宋体" w:hAnsi="宋体"/>
          <w:sz w:val="24"/>
        </w:rPr>
      </w:pPr>
      <w:r>
        <w:rPr>
          <w:rFonts w:hint="eastAsia" w:ascii="宋体" w:hAnsi="宋体"/>
          <w:sz w:val="24"/>
        </w:rPr>
        <w:t>E为前一日的基金资产净值</w:t>
      </w:r>
    </w:p>
    <w:p w14:paraId="118AE7E2">
      <w:pPr>
        <w:tabs>
          <w:tab w:val="left" w:pos="1260"/>
        </w:tabs>
        <w:spacing w:line="360" w:lineRule="auto"/>
        <w:ind w:firstLine="482"/>
        <w:rPr>
          <w:rFonts w:ascii="宋体" w:hAnsi="宋体"/>
          <w:sz w:val="24"/>
        </w:rPr>
      </w:pPr>
      <w:r>
        <w:rPr>
          <w:rFonts w:hint="eastAsia" w:ascii="宋体" w:hAnsi="宋体"/>
          <w:sz w:val="24"/>
        </w:rPr>
        <w:t>基金管理人对本基金投资组合中投资于目标ETF部分的基金资产净值不计提基金管理费。</w:t>
      </w:r>
    </w:p>
    <w:p w14:paraId="60BE5F16">
      <w:pPr>
        <w:tabs>
          <w:tab w:val="left" w:pos="1260"/>
        </w:tabs>
        <w:spacing w:line="360" w:lineRule="auto"/>
        <w:ind w:firstLine="482"/>
        <w:rPr>
          <w:rFonts w:ascii="宋体" w:hAnsi="宋体"/>
          <w:sz w:val="24"/>
        </w:rPr>
      </w:pPr>
      <w:r>
        <w:rPr>
          <w:rFonts w:hint="eastAsia" w:ascii="宋体" w:hAnsi="宋体"/>
          <w:sz w:val="24"/>
        </w:rPr>
        <w:t>前一日的基金资产净值为已扣除本基金投资于目标ETF部分基金资产净值后的净额，金额为负时以零计。</w:t>
      </w:r>
    </w:p>
    <w:p w14:paraId="60AF334A">
      <w:pPr>
        <w:tabs>
          <w:tab w:val="left" w:pos="1260"/>
        </w:tabs>
        <w:spacing w:line="360" w:lineRule="auto"/>
        <w:ind w:firstLine="480"/>
        <w:rPr>
          <w:rFonts w:ascii="宋体" w:hAnsi="宋体"/>
          <w:sz w:val="24"/>
        </w:rPr>
      </w:pPr>
      <w:r>
        <w:rPr>
          <w:rFonts w:hint="eastAsia" w:ascii="宋体" w:hAnsi="宋体"/>
          <w:sz w:val="24"/>
        </w:rPr>
        <w:t>基金管理费每日计提，逐日累计至每月月末，按月支付。由基金托管人根据与基金管理人核对一致的财务数据，按照基金托管人与基金管理人协商一致的方式在月初3个工作日内、按照指定的账户路径进行资金支付。若遇法定节假日、公休日或不可抗力等致使无法按时支付的，支付日期顺延。</w:t>
      </w:r>
    </w:p>
    <w:p w14:paraId="583AE82A">
      <w:pPr>
        <w:tabs>
          <w:tab w:val="left" w:pos="1260"/>
        </w:tabs>
        <w:spacing w:line="360" w:lineRule="auto"/>
        <w:ind w:firstLine="482"/>
        <w:rPr>
          <w:rFonts w:ascii="宋体"/>
          <w:b/>
          <w:sz w:val="24"/>
        </w:rPr>
      </w:pPr>
      <w:r>
        <w:rPr>
          <w:rFonts w:hint="eastAsia" w:ascii="宋体" w:hAnsi="宋体"/>
          <w:b/>
          <w:sz w:val="24"/>
        </w:rPr>
        <w:t>（二）基金托管人的托管费</w:t>
      </w:r>
    </w:p>
    <w:p w14:paraId="00023658">
      <w:pPr>
        <w:tabs>
          <w:tab w:val="left" w:pos="1260"/>
        </w:tabs>
        <w:spacing w:line="360" w:lineRule="auto"/>
        <w:ind w:firstLine="482"/>
        <w:rPr>
          <w:rFonts w:ascii="宋体" w:hAnsi="宋体"/>
          <w:sz w:val="24"/>
        </w:rPr>
      </w:pPr>
      <w:r>
        <w:rPr>
          <w:rFonts w:hint="eastAsia" w:ascii="宋体" w:hAnsi="宋体"/>
          <w:sz w:val="24"/>
        </w:rPr>
        <w:t>本基金的托管费按前一日基金资产净值的0.10%年费率计提。托管费的计算方法如下：</w:t>
      </w:r>
    </w:p>
    <w:p w14:paraId="7DAE3175">
      <w:pPr>
        <w:tabs>
          <w:tab w:val="left" w:pos="1260"/>
        </w:tabs>
        <w:spacing w:line="360" w:lineRule="auto"/>
        <w:ind w:firstLine="482"/>
        <w:rPr>
          <w:rFonts w:ascii="宋体" w:hAnsi="宋体"/>
          <w:sz w:val="24"/>
        </w:rPr>
      </w:pPr>
      <w:r>
        <w:rPr>
          <w:rFonts w:hint="eastAsia" w:ascii="宋体" w:hAnsi="宋体"/>
          <w:sz w:val="24"/>
        </w:rPr>
        <w:t>H＝E×0.10%÷当年天数</w:t>
      </w:r>
    </w:p>
    <w:p w14:paraId="34630ABD">
      <w:pPr>
        <w:tabs>
          <w:tab w:val="left" w:pos="1260"/>
        </w:tabs>
        <w:spacing w:line="360" w:lineRule="auto"/>
        <w:ind w:firstLine="482"/>
        <w:rPr>
          <w:rFonts w:ascii="宋体" w:hAnsi="宋体"/>
          <w:sz w:val="24"/>
        </w:rPr>
      </w:pPr>
      <w:r>
        <w:rPr>
          <w:rFonts w:hint="eastAsia" w:ascii="宋体" w:hAnsi="宋体"/>
          <w:sz w:val="24"/>
        </w:rPr>
        <w:t>H为每日应计提的基金托管费</w:t>
      </w:r>
    </w:p>
    <w:p w14:paraId="46CEC0A2">
      <w:pPr>
        <w:tabs>
          <w:tab w:val="left" w:pos="1260"/>
        </w:tabs>
        <w:spacing w:line="360" w:lineRule="auto"/>
        <w:ind w:firstLine="482"/>
        <w:rPr>
          <w:rFonts w:ascii="宋体" w:hAnsi="宋体"/>
          <w:sz w:val="24"/>
        </w:rPr>
      </w:pPr>
      <w:r>
        <w:rPr>
          <w:rFonts w:hint="eastAsia" w:ascii="宋体" w:hAnsi="宋体"/>
          <w:sz w:val="24"/>
        </w:rPr>
        <w:t>E为前一日的基金资产净值</w:t>
      </w:r>
    </w:p>
    <w:p w14:paraId="2AC033A1">
      <w:pPr>
        <w:pStyle w:val="2"/>
        <w:ind w:firstLine="480" w:firstLineChars="200"/>
        <w:rPr>
          <w:rFonts w:ascii="宋体" w:hAnsi="宋体"/>
          <w:sz w:val="24"/>
          <w:szCs w:val="24"/>
        </w:rPr>
      </w:pPr>
      <w:r>
        <w:rPr>
          <w:rFonts w:hint="eastAsia" w:ascii="宋体" w:hAnsi="宋体"/>
          <w:sz w:val="24"/>
          <w:szCs w:val="24"/>
        </w:rPr>
        <w:t>基金托管人对本基金投资组合中投资于目标</w:t>
      </w:r>
      <w:r>
        <w:rPr>
          <w:rFonts w:ascii="宋体" w:hAnsi="宋体"/>
          <w:sz w:val="24"/>
          <w:szCs w:val="24"/>
        </w:rPr>
        <w:t>ETF</w:t>
      </w:r>
      <w:r>
        <w:rPr>
          <w:rFonts w:hint="eastAsia" w:ascii="宋体" w:hAnsi="宋体"/>
          <w:sz w:val="24"/>
          <w:szCs w:val="24"/>
        </w:rPr>
        <w:t>部分的基金资产净值不计提基金托管费。</w:t>
      </w:r>
    </w:p>
    <w:p w14:paraId="6B74EBA5">
      <w:pPr>
        <w:pStyle w:val="2"/>
        <w:ind w:firstLine="480" w:firstLineChars="200"/>
        <w:rPr>
          <w:rFonts w:ascii="宋体" w:hAnsi="宋体"/>
          <w:sz w:val="24"/>
          <w:szCs w:val="24"/>
        </w:rPr>
      </w:pPr>
      <w:r>
        <w:rPr>
          <w:rFonts w:hint="eastAsia" w:ascii="宋体" w:hAnsi="宋体"/>
          <w:sz w:val="24"/>
          <w:szCs w:val="24"/>
        </w:rPr>
        <w:t>前一日的基金资产净值为已扣除本基金投资于目标</w:t>
      </w:r>
      <w:r>
        <w:rPr>
          <w:rFonts w:ascii="宋体" w:hAnsi="宋体"/>
          <w:sz w:val="24"/>
          <w:szCs w:val="24"/>
        </w:rPr>
        <w:t>ETF</w:t>
      </w:r>
      <w:r>
        <w:rPr>
          <w:rFonts w:hint="eastAsia" w:ascii="宋体" w:hAnsi="宋体"/>
          <w:sz w:val="24"/>
          <w:szCs w:val="24"/>
        </w:rPr>
        <w:t>部分基金资产净值后的净额，金额为负时以零计。</w:t>
      </w:r>
    </w:p>
    <w:p w14:paraId="6A301BB4">
      <w:pPr>
        <w:spacing w:line="360" w:lineRule="auto"/>
        <w:ind w:firstLine="480"/>
        <w:rPr>
          <w:rFonts w:ascii="宋体" w:hAnsi="宋体"/>
          <w:sz w:val="24"/>
        </w:rPr>
      </w:pPr>
      <w:r>
        <w:rPr>
          <w:rFonts w:hint="eastAsia" w:ascii="宋体" w:hAnsi="宋体"/>
          <w:sz w:val="24"/>
        </w:rPr>
        <w:t>基金托管费每日计提，逐日累计至每月月末，按月支付。由基金托管人根据与基金管理人核对一致的财务数据，按照基金托管人与基金管理人协商一致的方式在月初3个工作日内、按照指定的账户路径进行资金支付。若遇法定节假日、公休日或不可抗力等致使无法按时支付的，支付日期顺延。</w:t>
      </w:r>
    </w:p>
    <w:p w14:paraId="6C8709B6">
      <w:pPr>
        <w:spacing w:line="360" w:lineRule="auto"/>
        <w:ind w:firstLine="482"/>
        <w:rPr>
          <w:rFonts w:ascii="宋体" w:hAnsi="宋体"/>
          <w:b/>
          <w:sz w:val="24"/>
        </w:rPr>
      </w:pPr>
      <w:r>
        <w:rPr>
          <w:rFonts w:hint="eastAsia" w:ascii="宋体" w:hAnsi="宋体"/>
          <w:b/>
          <w:sz w:val="24"/>
        </w:rPr>
        <w:t>（三）C类份额的销售服务费</w:t>
      </w:r>
    </w:p>
    <w:p w14:paraId="20251306">
      <w:pPr>
        <w:spacing w:line="360" w:lineRule="auto"/>
        <w:ind w:firstLine="482"/>
        <w:rPr>
          <w:rFonts w:ascii="宋体" w:hAnsi="宋体"/>
          <w:sz w:val="24"/>
        </w:rPr>
      </w:pPr>
      <w:r>
        <w:rPr>
          <w:rFonts w:hint="eastAsia" w:ascii="宋体" w:hAnsi="宋体"/>
          <w:sz w:val="24"/>
        </w:rPr>
        <w:t>本基金A类基金份额不收取销售服务费，C类基金份额的销售服务费年费率为0.30%。</w:t>
      </w:r>
    </w:p>
    <w:p w14:paraId="1688529B">
      <w:pPr>
        <w:spacing w:line="360" w:lineRule="auto"/>
        <w:ind w:firstLine="482"/>
        <w:rPr>
          <w:rFonts w:ascii="宋体" w:hAnsi="宋体"/>
          <w:sz w:val="24"/>
        </w:rPr>
      </w:pPr>
      <w:r>
        <w:rPr>
          <w:rFonts w:hint="eastAsia" w:ascii="宋体" w:hAnsi="宋体"/>
          <w:sz w:val="24"/>
        </w:rPr>
        <w:t xml:space="preserve">本基金销售服务费按前一日C类基金资产净值的0.30%年费率计提。计算方法如下： </w:t>
      </w:r>
    </w:p>
    <w:p w14:paraId="102A7AAE">
      <w:pPr>
        <w:spacing w:line="360" w:lineRule="auto"/>
        <w:ind w:firstLine="482"/>
        <w:rPr>
          <w:rFonts w:ascii="宋体" w:hAnsi="宋体"/>
          <w:sz w:val="24"/>
        </w:rPr>
      </w:pPr>
      <w:r>
        <w:rPr>
          <w:rFonts w:hint="eastAsia" w:ascii="宋体" w:hAnsi="宋体"/>
          <w:sz w:val="24"/>
        </w:rPr>
        <w:t xml:space="preserve">H＝E×0.30%÷当年天数 </w:t>
      </w:r>
    </w:p>
    <w:p w14:paraId="35B8DF22">
      <w:pPr>
        <w:spacing w:line="360" w:lineRule="auto"/>
        <w:ind w:firstLine="482"/>
        <w:rPr>
          <w:rFonts w:ascii="宋体" w:hAnsi="宋体"/>
          <w:sz w:val="24"/>
        </w:rPr>
      </w:pPr>
      <w:r>
        <w:rPr>
          <w:rFonts w:hint="eastAsia" w:ascii="宋体" w:hAnsi="宋体"/>
          <w:sz w:val="24"/>
        </w:rPr>
        <w:t>H为C类基金份额每日应计提的销售服务费</w:t>
      </w:r>
    </w:p>
    <w:p w14:paraId="73C23446">
      <w:pPr>
        <w:spacing w:line="360" w:lineRule="auto"/>
        <w:ind w:firstLine="482"/>
        <w:rPr>
          <w:rFonts w:ascii="宋体" w:hAnsi="宋体"/>
          <w:sz w:val="24"/>
        </w:rPr>
      </w:pPr>
      <w:r>
        <w:rPr>
          <w:rFonts w:hint="eastAsia" w:ascii="宋体" w:hAnsi="宋体"/>
          <w:sz w:val="24"/>
        </w:rPr>
        <w:t>E为C类基金份额前一日基金资产净值</w:t>
      </w:r>
    </w:p>
    <w:p w14:paraId="5F7E75C4">
      <w:pPr>
        <w:spacing w:line="360" w:lineRule="auto"/>
        <w:ind w:firstLine="480"/>
        <w:rPr>
          <w:rFonts w:ascii="宋体" w:hAnsi="宋体"/>
          <w:sz w:val="24"/>
        </w:rPr>
      </w:pPr>
      <w:r>
        <w:rPr>
          <w:rFonts w:hint="eastAsia" w:ascii="宋体" w:hAnsi="宋体"/>
          <w:sz w:val="24"/>
        </w:rPr>
        <w:t>基金销售服务费每日计提，逐日累计至每月月末，按月支付。由基金托管人根据与基金管理人核对一致的财务数据，按照基金托管人与基金管理人协商一致的方式在月初3个工作日内、按照指定的账户路径进行资金支付，由登记机构代付给销售机构。若遇法定节假日、公休日或不可抗力等致使无法按时支付的，支付日期顺延。</w:t>
      </w:r>
      <w:bookmarkEnd w:id="96"/>
    </w:p>
    <w:p w14:paraId="0CE4968E">
      <w:pPr>
        <w:spacing w:line="360" w:lineRule="auto"/>
        <w:ind w:firstLine="482"/>
        <w:jc w:val="left"/>
        <w:rPr>
          <w:rFonts w:ascii="宋体" w:hAnsi="宋体"/>
          <w:sz w:val="24"/>
        </w:rPr>
      </w:pPr>
      <w:r>
        <w:rPr>
          <w:rFonts w:hint="eastAsia" w:ascii="宋体" w:hAnsi="宋体"/>
          <w:b/>
          <w:sz w:val="24"/>
        </w:rPr>
        <w:t>（四）</w:t>
      </w:r>
      <w:r>
        <w:rPr>
          <w:rFonts w:hint="eastAsia" w:ascii="宋体" w:hAnsi="宋体"/>
          <w:sz w:val="24"/>
        </w:rPr>
        <w:t>从基金资产中列支基金管理人的管理费、基金托管人的托管费、基金销售服务费之外的其他基金费用，应当依据有关法律法规、《基金合同》的规定；基金管理人和基金托管人因未履行或未完全履行义务导致的费用支出或基金财产的损失，以及处理与基金运作无关的事项发生的费用等不列入基金费用。指数许可使用费、基金合同生效前的相关费用根据《博时中证有色金属矿业主题指数证券投资基金基金合同》的约定执行不得从基金财产中列支；基金托管人对不符合《基金法》、《运作办法》等有关规定以及《基金合同》的其他费用有权拒绝执行。如果基金托管人发现基金管理人违反有关法律法规的有关</w:t>
      </w:r>
      <w:r>
        <w:rPr>
          <w:rFonts w:ascii="宋体" w:hAnsi="宋体"/>
          <w:sz w:val="24"/>
        </w:rPr>
        <w:t>规定和《基金合同》、本协议的约定，从基金财产中列支费用，有权要求基金管理人做出书面解释，如果基金托管人认为基金管理人无正当或合理的理由，可以拒绝支付。</w:t>
      </w:r>
      <w:bookmarkStart w:id="97" w:name="_Toc125892448"/>
    </w:p>
    <w:p w14:paraId="2C95B9E4">
      <w:pPr>
        <w:spacing w:line="360" w:lineRule="auto"/>
        <w:ind w:firstLine="482"/>
        <w:jc w:val="left"/>
        <w:rPr>
          <w:rFonts w:ascii="宋体" w:hAnsi="宋体"/>
          <w:b/>
          <w:sz w:val="24"/>
        </w:rPr>
      </w:pPr>
      <w:r>
        <w:rPr>
          <w:rFonts w:hint="eastAsia" w:ascii="宋体" w:hAnsi="宋体"/>
          <w:b/>
          <w:sz w:val="24"/>
        </w:rPr>
        <w:t>（六）实施侧袋机制期间的基金费用</w:t>
      </w:r>
    </w:p>
    <w:p w14:paraId="13B1DF78">
      <w:pPr>
        <w:spacing w:line="360" w:lineRule="auto"/>
        <w:ind w:firstLine="480"/>
        <w:jc w:val="left"/>
        <w:rPr>
          <w:rFonts w:ascii="宋体" w:hAnsi="宋体"/>
          <w:sz w:val="24"/>
        </w:rPr>
      </w:pPr>
      <w:r>
        <w:rPr>
          <w:rFonts w:hint="eastAsia" w:ascii="宋体" w:hAnsi="宋体"/>
          <w:sz w:val="24"/>
        </w:rPr>
        <w:t>本基金实施侧袋机制的，与侧袋账户有关的费用可以从侧袋账户中列支，但应待侧袋账户资产变现后方可列支，有关费用可酌情收取或减免，但不得收取管理费，详见招募说明书的规定。</w:t>
      </w:r>
    </w:p>
    <w:p w14:paraId="7225E5E4">
      <w:pPr>
        <w:spacing w:line="360" w:lineRule="auto"/>
        <w:ind w:firstLine="480"/>
        <w:jc w:val="left"/>
        <w:rPr>
          <w:rFonts w:ascii="宋体" w:hAnsi="宋体"/>
          <w:sz w:val="24"/>
        </w:rPr>
      </w:pPr>
    </w:p>
    <w:p w14:paraId="05789C91">
      <w:pPr>
        <w:pStyle w:val="214"/>
      </w:pPr>
      <w:bookmarkStart w:id="98" w:name="_Toc35001437"/>
      <w:r>
        <w:t>十二、基金份额持有人名册的保管</w:t>
      </w:r>
      <w:bookmarkEnd w:id="97"/>
      <w:bookmarkEnd w:id="98"/>
    </w:p>
    <w:p w14:paraId="32C76756">
      <w:pPr>
        <w:tabs>
          <w:tab w:val="left" w:pos="1260"/>
        </w:tabs>
        <w:spacing w:line="360" w:lineRule="auto"/>
        <w:ind w:firstLine="480"/>
        <w:rPr>
          <w:rFonts w:ascii="宋体"/>
          <w:sz w:val="24"/>
        </w:rPr>
      </w:pPr>
      <w:r>
        <w:rPr>
          <w:rFonts w:hint="eastAsia" w:ascii="宋体" w:hAnsi="宋体"/>
          <w:sz w:val="24"/>
        </w:rPr>
        <w:t>基金管理人可委托基金登记机构登记和保管基金份额持有人名册。基金份额持有人名册的内容包括但不限于基金份额持有人的名称和持有的基金份额。</w:t>
      </w:r>
    </w:p>
    <w:p w14:paraId="2CE91798">
      <w:pPr>
        <w:tabs>
          <w:tab w:val="left" w:pos="1260"/>
        </w:tabs>
        <w:spacing w:line="360" w:lineRule="auto"/>
        <w:ind w:firstLine="480"/>
        <w:rPr>
          <w:rFonts w:ascii="宋体"/>
          <w:sz w:val="24"/>
        </w:rPr>
      </w:pPr>
      <w:r>
        <w:rPr>
          <w:rFonts w:hint="eastAsia" w:ascii="宋体" w:hAnsi="宋体"/>
          <w:sz w:val="24"/>
        </w:rPr>
        <w:t>基金份额持有人名册，包括基金募集期结束时的基金份额持有人名册、基金权益登记日的基金份额持有人名册、基金份额持有人大会登记日的基金份额持有人名册、每年最后一个交易日的基金份额持有人名册，由基金登记机构负责编制和保管，并对基金份额持有人名册的真实性、完整性和准确性负责。保存期限自基金账户销户之日起不少于20年，法律法规或监管机构另有规定除外。</w:t>
      </w:r>
    </w:p>
    <w:p w14:paraId="45DB1DB2">
      <w:pPr>
        <w:tabs>
          <w:tab w:val="left" w:pos="1260"/>
        </w:tabs>
        <w:spacing w:line="360" w:lineRule="auto"/>
        <w:ind w:firstLine="480"/>
        <w:rPr>
          <w:rFonts w:ascii="宋体"/>
          <w:sz w:val="24"/>
        </w:rPr>
      </w:pPr>
      <w:r>
        <w:rPr>
          <w:rFonts w:hint="eastAsia" w:ascii="宋体" w:hAnsi="宋体"/>
          <w:sz w:val="24"/>
        </w:rPr>
        <w:t>基金管理人应根据基金托管人的要求定期和不定期向基金托管人提供基金份额持有人名册。</w:t>
      </w:r>
    </w:p>
    <w:p w14:paraId="20D5C113">
      <w:pPr>
        <w:tabs>
          <w:tab w:val="left" w:pos="1260"/>
        </w:tabs>
        <w:spacing w:line="360" w:lineRule="auto"/>
        <w:ind w:firstLine="482"/>
        <w:rPr>
          <w:rFonts w:ascii="宋体"/>
          <w:sz w:val="24"/>
        </w:rPr>
      </w:pPr>
      <w:r>
        <w:rPr>
          <w:rFonts w:hint="eastAsia" w:ascii="宋体" w:hAnsi="宋体"/>
          <w:b/>
          <w:sz w:val="24"/>
        </w:rPr>
        <w:t>（一）</w:t>
      </w:r>
      <w:r>
        <w:rPr>
          <w:rFonts w:hint="eastAsia" w:ascii="宋体" w:hAnsi="宋体"/>
          <w:sz w:val="24"/>
        </w:rPr>
        <w:t>基金管理人于《基金合同》生效日及《基金合同》终止日后</w:t>
      </w:r>
      <w:r>
        <w:rPr>
          <w:rFonts w:ascii="宋体" w:hAnsi="宋体"/>
          <w:sz w:val="24"/>
        </w:rPr>
        <w:t>10</w:t>
      </w:r>
      <w:r>
        <w:rPr>
          <w:rFonts w:hint="eastAsia" w:ascii="宋体" w:hAnsi="宋体"/>
          <w:sz w:val="24"/>
        </w:rPr>
        <w:t>个工作日内向基金托管人提供由登记机构编制的基金份额持有人名册；</w:t>
      </w:r>
    </w:p>
    <w:p w14:paraId="380E783C">
      <w:pPr>
        <w:tabs>
          <w:tab w:val="left" w:pos="1260"/>
        </w:tabs>
        <w:spacing w:line="360" w:lineRule="auto"/>
        <w:ind w:firstLine="482"/>
        <w:rPr>
          <w:rFonts w:ascii="宋体"/>
          <w:sz w:val="24"/>
        </w:rPr>
      </w:pPr>
      <w:r>
        <w:rPr>
          <w:rFonts w:hint="eastAsia" w:ascii="宋体" w:hAnsi="宋体"/>
          <w:b/>
          <w:sz w:val="24"/>
        </w:rPr>
        <w:t>（二）</w:t>
      </w:r>
      <w:r>
        <w:rPr>
          <w:rFonts w:hint="eastAsia" w:ascii="宋体" w:hAnsi="宋体"/>
          <w:sz w:val="24"/>
        </w:rPr>
        <w:t>基金管理人于基金份额持有人大会权益登记日后</w:t>
      </w:r>
      <w:r>
        <w:rPr>
          <w:rFonts w:ascii="宋体" w:hAnsi="宋体"/>
          <w:sz w:val="24"/>
        </w:rPr>
        <w:t>5</w:t>
      </w:r>
      <w:r>
        <w:rPr>
          <w:rFonts w:hint="eastAsia" w:ascii="宋体" w:hAnsi="宋体"/>
          <w:sz w:val="24"/>
        </w:rPr>
        <w:t>个工作日内向基金托管人提供由登记机构编制的基金份额持有人名册；</w:t>
      </w:r>
    </w:p>
    <w:p w14:paraId="4E2351D5">
      <w:pPr>
        <w:tabs>
          <w:tab w:val="left" w:pos="1260"/>
        </w:tabs>
        <w:spacing w:line="360" w:lineRule="auto"/>
        <w:ind w:firstLine="482"/>
        <w:rPr>
          <w:rFonts w:ascii="宋体"/>
          <w:sz w:val="24"/>
        </w:rPr>
      </w:pPr>
      <w:r>
        <w:rPr>
          <w:rFonts w:hint="eastAsia" w:ascii="宋体" w:hAnsi="宋体"/>
          <w:b/>
          <w:sz w:val="24"/>
        </w:rPr>
        <w:t>（三）</w:t>
      </w:r>
      <w:r>
        <w:rPr>
          <w:rFonts w:hint="eastAsia" w:ascii="宋体" w:hAnsi="宋体"/>
          <w:sz w:val="24"/>
        </w:rPr>
        <w:t>基金管理人于每年最后一个交易日后</w:t>
      </w:r>
      <w:r>
        <w:rPr>
          <w:rFonts w:ascii="宋体" w:hAnsi="宋体"/>
          <w:sz w:val="24"/>
        </w:rPr>
        <w:t>10</w:t>
      </w:r>
      <w:r>
        <w:rPr>
          <w:rFonts w:hint="eastAsia" w:ascii="宋体" w:hAnsi="宋体"/>
          <w:sz w:val="24"/>
        </w:rPr>
        <w:t>个工作日内向基金托管人提供由登记机构编制的基金份额持有人名册；</w:t>
      </w:r>
    </w:p>
    <w:p w14:paraId="2E6E8976">
      <w:pPr>
        <w:tabs>
          <w:tab w:val="left" w:pos="1260"/>
        </w:tabs>
        <w:spacing w:line="360" w:lineRule="auto"/>
        <w:ind w:firstLine="482"/>
        <w:rPr>
          <w:rFonts w:ascii="宋体"/>
          <w:sz w:val="24"/>
        </w:rPr>
      </w:pPr>
      <w:r>
        <w:rPr>
          <w:rFonts w:hint="eastAsia" w:ascii="宋体" w:hAnsi="宋体"/>
          <w:b/>
          <w:sz w:val="24"/>
        </w:rPr>
        <w:t>（四）</w:t>
      </w:r>
      <w:r>
        <w:rPr>
          <w:rFonts w:hint="eastAsia" w:ascii="宋体" w:hAnsi="宋体"/>
          <w:sz w:val="24"/>
        </w:rPr>
        <w:t>除上述约定时间外，如果确因业务需要，基金托管人与基金管理人商议一致后，由基金管理人向基金托管人提供由登记机构编制的基金份额持有人名册。</w:t>
      </w:r>
    </w:p>
    <w:p w14:paraId="67478247">
      <w:pPr>
        <w:tabs>
          <w:tab w:val="left" w:pos="1260"/>
        </w:tabs>
        <w:spacing w:line="360" w:lineRule="auto"/>
        <w:ind w:firstLine="480"/>
        <w:rPr>
          <w:rFonts w:ascii="宋体"/>
          <w:sz w:val="24"/>
        </w:rPr>
      </w:pPr>
      <w:r>
        <w:rPr>
          <w:rFonts w:hint="eastAsia" w:ascii="宋体" w:hAnsi="宋体"/>
          <w:sz w:val="24"/>
        </w:rPr>
        <w:t>基金托管人以电子版形式妥善保管基金份额持有人名册，并定期刻成光盘备份，保存期限为</w:t>
      </w:r>
      <w:r>
        <w:rPr>
          <w:rFonts w:ascii="宋体" w:hAnsi="宋体"/>
          <w:sz w:val="24"/>
        </w:rPr>
        <w:t>20</w:t>
      </w:r>
      <w:r>
        <w:rPr>
          <w:rFonts w:hint="eastAsia" w:ascii="宋体" w:hAnsi="宋体"/>
          <w:sz w:val="24"/>
        </w:rPr>
        <w:t>年，法律法规或监管机构另有规定除外。基金托管人不得</w:t>
      </w:r>
      <w:r>
        <w:rPr>
          <w:rFonts w:ascii="宋体" w:hAnsi="宋体"/>
          <w:sz w:val="24"/>
        </w:rPr>
        <w:t>将所保管的基金份额持有人名册用于基金托管业务以外的其他用途，并应遵守保密义务。</w:t>
      </w:r>
      <w:bookmarkStart w:id="99" w:name="_Toc125892449"/>
      <w:bookmarkStart w:id="100" w:name="_Toc22454468"/>
      <w:bookmarkStart w:id="101" w:name="_Toc523830003"/>
      <w:r>
        <w:rPr>
          <w:rFonts w:hint="eastAsia" w:ascii="宋体" w:hAnsi="宋体"/>
          <w:sz w:val="24"/>
        </w:rPr>
        <w:t>若基金管理人或基金托管人由于自身原因无法妥善保管基金份额持有人名册，应按有关法规规定各自承担相应的责任。</w:t>
      </w:r>
    </w:p>
    <w:p w14:paraId="6546A4A2">
      <w:pPr>
        <w:pStyle w:val="214"/>
      </w:pPr>
      <w:bookmarkStart w:id="102" w:name="_Toc35001438"/>
      <w:r>
        <w:t>十三、基金有关文件档案的保存</w:t>
      </w:r>
      <w:bookmarkEnd w:id="93"/>
      <w:bookmarkEnd w:id="99"/>
      <w:bookmarkEnd w:id="100"/>
      <w:bookmarkEnd w:id="101"/>
      <w:bookmarkEnd w:id="102"/>
    </w:p>
    <w:p w14:paraId="38B821CE">
      <w:pPr>
        <w:tabs>
          <w:tab w:val="left" w:pos="1260"/>
        </w:tabs>
        <w:spacing w:line="360" w:lineRule="auto"/>
        <w:ind w:firstLine="480"/>
        <w:rPr>
          <w:rFonts w:ascii="宋体"/>
          <w:sz w:val="24"/>
        </w:rPr>
      </w:pPr>
      <w:r>
        <w:rPr>
          <w:rFonts w:hint="eastAsia" w:ascii="宋体" w:hAnsi="宋体"/>
          <w:sz w:val="24"/>
        </w:rPr>
        <w:t>基金管理人应保存基金财产管理业务活动的记录、账册、报表和其他相关资料，基金托管人应保存基金托管业务活动的记录、账册、报表和其他相关资料。</w:t>
      </w:r>
    </w:p>
    <w:p w14:paraId="7D360302">
      <w:pPr>
        <w:tabs>
          <w:tab w:val="left" w:pos="1260"/>
        </w:tabs>
        <w:spacing w:line="360" w:lineRule="auto"/>
        <w:ind w:firstLine="480"/>
        <w:rPr>
          <w:rFonts w:ascii="宋体"/>
          <w:sz w:val="24"/>
        </w:rPr>
      </w:pPr>
      <w:r>
        <w:rPr>
          <w:rFonts w:hint="eastAsia" w:ascii="宋体" w:hAnsi="宋体"/>
          <w:sz w:val="24"/>
        </w:rPr>
        <w:t>基金管理人和基金托管人应按各自职责完整保存原始凭证、记账凭证、基金账册、会计报告、交易记录和重要合同等，保存期限不少于</w:t>
      </w:r>
      <w:r>
        <w:rPr>
          <w:rFonts w:ascii="宋体" w:hAnsi="宋体"/>
          <w:sz w:val="24"/>
        </w:rPr>
        <w:t>20</w:t>
      </w:r>
      <w:r>
        <w:rPr>
          <w:rFonts w:hint="eastAsia" w:ascii="宋体" w:hAnsi="宋体"/>
          <w:sz w:val="24"/>
        </w:rPr>
        <w:t>年，法律法规或监管机构另有规定除外。</w:t>
      </w:r>
    </w:p>
    <w:p w14:paraId="6E36D1DF">
      <w:pPr>
        <w:tabs>
          <w:tab w:val="left" w:pos="1260"/>
        </w:tabs>
        <w:spacing w:line="360" w:lineRule="auto"/>
        <w:ind w:firstLine="480"/>
        <w:rPr>
          <w:rFonts w:ascii="宋体"/>
          <w:sz w:val="24"/>
        </w:rPr>
      </w:pPr>
      <w:r>
        <w:rPr>
          <w:rFonts w:hint="eastAsia" w:ascii="宋体" w:hAnsi="宋体"/>
          <w:sz w:val="24"/>
        </w:rPr>
        <w:t>基金管理人签署重大合同文本后，应及时将合同文本正本送达基金托管人处。基金管理人应及时将与本基金账务处理、资金划拨等有关的合同、协议传真给基金托管人。</w:t>
      </w:r>
    </w:p>
    <w:p w14:paraId="337F8582">
      <w:pPr>
        <w:tabs>
          <w:tab w:val="left" w:pos="1260"/>
        </w:tabs>
        <w:spacing w:line="360" w:lineRule="auto"/>
        <w:ind w:firstLine="480"/>
        <w:rPr>
          <w:rFonts w:ascii="宋体"/>
          <w:sz w:val="24"/>
        </w:rPr>
      </w:pPr>
      <w:r>
        <w:rPr>
          <w:rFonts w:ascii="宋体" w:hAnsi="宋体"/>
          <w:sz w:val="24"/>
        </w:rPr>
        <w:t>基金管理人或基金托管人变更后，未变更的一方有义务协助接任人接收基金的有关文件。</w:t>
      </w:r>
      <w:bookmarkStart w:id="103" w:name="_Toc523830005"/>
      <w:bookmarkStart w:id="104" w:name="_Toc22454470"/>
      <w:bookmarkStart w:id="105" w:name="_Toc466788864"/>
      <w:bookmarkStart w:id="106" w:name="_Toc125892450"/>
    </w:p>
    <w:p w14:paraId="6EE90A3E">
      <w:pPr>
        <w:pStyle w:val="214"/>
      </w:pPr>
      <w:bookmarkStart w:id="107" w:name="_Toc35001439"/>
      <w:r>
        <w:t>十四、基金管理人和基金托管人的更换</w:t>
      </w:r>
      <w:bookmarkEnd w:id="103"/>
      <w:bookmarkEnd w:id="104"/>
      <w:bookmarkEnd w:id="105"/>
      <w:bookmarkEnd w:id="106"/>
      <w:bookmarkEnd w:id="107"/>
    </w:p>
    <w:p w14:paraId="2AAB2C44">
      <w:pPr>
        <w:tabs>
          <w:tab w:val="left" w:pos="3780"/>
        </w:tabs>
        <w:spacing w:line="360" w:lineRule="auto"/>
        <w:outlineLvl w:val="0"/>
        <w:rPr>
          <w:rFonts w:ascii="宋体"/>
          <w:b/>
          <w:bCs/>
          <w:sz w:val="24"/>
        </w:rPr>
      </w:pPr>
      <w:bookmarkStart w:id="108" w:name="_Toc77663031"/>
      <w:bookmarkStart w:id="109" w:name="_Toc22454471"/>
      <w:bookmarkStart w:id="110" w:name="_Hlk104924722"/>
      <w:r>
        <w:rPr>
          <w:rFonts w:hint="eastAsia" w:ascii="宋体" w:hAnsi="宋体"/>
          <w:b/>
          <w:bCs/>
          <w:sz w:val="24"/>
        </w:rPr>
        <w:t>（一）基金管理人的更换</w:t>
      </w:r>
    </w:p>
    <w:p w14:paraId="75215A95">
      <w:pPr>
        <w:tabs>
          <w:tab w:val="left" w:pos="1260"/>
        </w:tabs>
        <w:spacing w:line="360" w:lineRule="auto"/>
        <w:ind w:firstLine="480"/>
        <w:rPr>
          <w:rFonts w:ascii="宋体"/>
          <w:sz w:val="24"/>
        </w:rPr>
      </w:pPr>
      <w:r>
        <w:rPr>
          <w:rFonts w:hint="eastAsia" w:ascii="宋体" w:hAnsi="宋体"/>
          <w:sz w:val="24"/>
        </w:rPr>
        <w:t>1.基金管理人职责终止的条件</w:t>
      </w:r>
    </w:p>
    <w:p w14:paraId="5664A197">
      <w:pPr>
        <w:spacing w:line="360" w:lineRule="auto"/>
        <w:ind w:firstLine="480"/>
        <w:rPr>
          <w:rFonts w:ascii="宋体"/>
          <w:sz w:val="24"/>
        </w:rPr>
      </w:pPr>
      <w:r>
        <w:rPr>
          <w:rFonts w:hint="eastAsia" w:ascii="宋体" w:hAnsi="宋体"/>
          <w:sz w:val="24"/>
        </w:rPr>
        <w:t>有下列情形之一的，基金管理人职责终止：</w:t>
      </w:r>
    </w:p>
    <w:p w14:paraId="442B1DCE">
      <w:pPr>
        <w:spacing w:line="360" w:lineRule="auto"/>
        <w:ind w:firstLine="480"/>
        <w:rPr>
          <w:bCs/>
          <w:sz w:val="24"/>
        </w:rPr>
      </w:pPr>
      <w:r>
        <w:rPr>
          <w:rFonts w:hint="eastAsia"/>
          <w:bCs/>
          <w:sz w:val="24"/>
        </w:rPr>
        <w:t>（1）被依法取消基金管理资格；</w:t>
      </w:r>
    </w:p>
    <w:p w14:paraId="2003584F">
      <w:pPr>
        <w:spacing w:line="360" w:lineRule="auto"/>
        <w:ind w:firstLine="480"/>
        <w:rPr>
          <w:bCs/>
          <w:sz w:val="24"/>
        </w:rPr>
      </w:pPr>
      <w:r>
        <w:rPr>
          <w:rFonts w:hint="eastAsia"/>
          <w:bCs/>
          <w:sz w:val="24"/>
        </w:rPr>
        <w:t>（2）被基金份额持有人大会解任；</w:t>
      </w:r>
    </w:p>
    <w:p w14:paraId="4D9AAC53">
      <w:pPr>
        <w:spacing w:line="360" w:lineRule="auto"/>
        <w:ind w:firstLine="480"/>
        <w:rPr>
          <w:bCs/>
          <w:sz w:val="24"/>
        </w:rPr>
      </w:pPr>
      <w:r>
        <w:rPr>
          <w:rFonts w:hint="eastAsia"/>
          <w:bCs/>
          <w:sz w:val="24"/>
        </w:rPr>
        <w:t>（3）依法解散、被依法撤销或被依法宣告破产；</w:t>
      </w:r>
    </w:p>
    <w:p w14:paraId="0B59D31C">
      <w:pPr>
        <w:spacing w:line="360" w:lineRule="auto"/>
        <w:ind w:firstLine="480"/>
        <w:rPr>
          <w:bCs/>
          <w:sz w:val="24"/>
        </w:rPr>
      </w:pPr>
      <w:r>
        <w:rPr>
          <w:rFonts w:hint="eastAsia"/>
          <w:bCs/>
          <w:sz w:val="24"/>
        </w:rPr>
        <w:t>（4）法律法规及中国证监会规定的和《基金合同》约定的其他情形。</w:t>
      </w:r>
    </w:p>
    <w:p w14:paraId="745B2D5C">
      <w:pPr>
        <w:spacing w:line="360" w:lineRule="auto"/>
        <w:ind w:firstLine="480"/>
        <w:rPr>
          <w:rFonts w:ascii="宋体"/>
          <w:sz w:val="24"/>
        </w:rPr>
      </w:pPr>
      <w:r>
        <w:rPr>
          <w:rFonts w:hint="eastAsia" w:ascii="宋体" w:hAnsi="宋体"/>
          <w:sz w:val="24"/>
        </w:rPr>
        <w:t>2</w:t>
      </w:r>
      <w:r>
        <w:rPr>
          <w:rFonts w:ascii="宋体" w:hAnsi="宋体"/>
          <w:sz w:val="24"/>
        </w:rPr>
        <w:t>.</w:t>
      </w:r>
      <w:r>
        <w:rPr>
          <w:rFonts w:hint="eastAsia" w:ascii="宋体" w:hAnsi="宋体"/>
          <w:sz w:val="24"/>
        </w:rPr>
        <w:t>基金管理人的更换程序</w:t>
      </w:r>
    </w:p>
    <w:p w14:paraId="703FE239">
      <w:pPr>
        <w:tabs>
          <w:tab w:val="left" w:pos="3780"/>
        </w:tabs>
        <w:spacing w:line="360" w:lineRule="auto"/>
        <w:ind w:firstLine="480"/>
        <w:outlineLvl w:val="0"/>
        <w:rPr>
          <w:rFonts w:ascii="宋体" w:hAnsi="宋体"/>
          <w:bCs/>
          <w:sz w:val="24"/>
          <w:szCs w:val="20"/>
        </w:rPr>
      </w:pPr>
      <w:r>
        <w:rPr>
          <w:rFonts w:hint="eastAsia" w:ascii="宋体" w:hAnsi="宋体"/>
          <w:bCs/>
          <w:sz w:val="24"/>
          <w:szCs w:val="20"/>
        </w:rPr>
        <w:t>（1）提名：新任基金管理人由基金托管人或由单独或合计持有10%以上（含10%）基金份额的基金份额持有人提名；</w:t>
      </w:r>
    </w:p>
    <w:p w14:paraId="12FABBBF">
      <w:pPr>
        <w:tabs>
          <w:tab w:val="left" w:pos="3780"/>
        </w:tabs>
        <w:spacing w:line="360" w:lineRule="auto"/>
        <w:ind w:firstLine="480"/>
        <w:outlineLvl w:val="0"/>
        <w:rPr>
          <w:rFonts w:ascii="宋体" w:hAnsi="宋体"/>
          <w:bCs/>
          <w:sz w:val="24"/>
          <w:szCs w:val="20"/>
        </w:rPr>
      </w:pPr>
      <w:r>
        <w:rPr>
          <w:rFonts w:hint="eastAsia" w:ascii="宋体" w:hAnsi="宋体"/>
          <w:bCs/>
          <w:sz w:val="24"/>
          <w:szCs w:val="20"/>
        </w:rPr>
        <w:t>（2）决议：基金份额持有人大会在基金管理人职责终止后6个月内对被提名的基金管理人形成决议，该决议需经参加大会的基金份额持有人所持表决权的三分之二以上（含三分之二）表决通过，决议自表决通过之日起生效；</w:t>
      </w:r>
    </w:p>
    <w:p w14:paraId="1D655108">
      <w:pPr>
        <w:tabs>
          <w:tab w:val="left" w:pos="3780"/>
        </w:tabs>
        <w:spacing w:line="360" w:lineRule="auto"/>
        <w:ind w:firstLine="480"/>
        <w:outlineLvl w:val="0"/>
        <w:rPr>
          <w:rFonts w:ascii="宋体" w:hAnsi="宋体"/>
          <w:bCs/>
          <w:sz w:val="24"/>
          <w:szCs w:val="20"/>
        </w:rPr>
      </w:pPr>
      <w:r>
        <w:rPr>
          <w:rFonts w:hint="eastAsia" w:ascii="宋体" w:hAnsi="宋体"/>
          <w:bCs/>
          <w:sz w:val="24"/>
          <w:szCs w:val="20"/>
        </w:rPr>
        <w:t>（3）临时基金管理人：新任基金管理人产生之前，由中国证监会指定临时基金管理人；</w:t>
      </w:r>
    </w:p>
    <w:p w14:paraId="186BCF64">
      <w:pPr>
        <w:tabs>
          <w:tab w:val="left" w:pos="3780"/>
        </w:tabs>
        <w:spacing w:line="360" w:lineRule="auto"/>
        <w:ind w:firstLine="480"/>
        <w:outlineLvl w:val="0"/>
        <w:rPr>
          <w:rFonts w:ascii="宋体" w:hAnsi="宋体"/>
          <w:bCs/>
          <w:sz w:val="24"/>
          <w:szCs w:val="20"/>
        </w:rPr>
      </w:pPr>
      <w:r>
        <w:rPr>
          <w:rFonts w:hint="eastAsia" w:ascii="宋体" w:hAnsi="宋体"/>
          <w:bCs/>
          <w:sz w:val="24"/>
          <w:szCs w:val="20"/>
        </w:rPr>
        <w:t>（4）备案：基金份额持有人大会</w:t>
      </w:r>
      <w:r>
        <w:rPr>
          <w:rFonts w:ascii="宋体" w:hAnsi="宋体"/>
          <w:bCs/>
          <w:sz w:val="24"/>
          <w:szCs w:val="20"/>
        </w:rPr>
        <w:t>更换</w:t>
      </w:r>
      <w:r>
        <w:rPr>
          <w:rFonts w:hint="eastAsia" w:ascii="宋体" w:hAnsi="宋体"/>
          <w:bCs/>
          <w:sz w:val="24"/>
          <w:szCs w:val="20"/>
        </w:rPr>
        <w:t>基金管理人的决议须报中国证监会备案；</w:t>
      </w:r>
    </w:p>
    <w:p w14:paraId="0775A635">
      <w:pPr>
        <w:tabs>
          <w:tab w:val="left" w:pos="3780"/>
        </w:tabs>
        <w:spacing w:line="360" w:lineRule="auto"/>
        <w:ind w:firstLine="480"/>
        <w:outlineLvl w:val="0"/>
        <w:rPr>
          <w:rFonts w:ascii="宋体" w:hAnsi="宋体"/>
          <w:bCs/>
          <w:sz w:val="24"/>
          <w:szCs w:val="20"/>
        </w:rPr>
      </w:pPr>
      <w:r>
        <w:rPr>
          <w:rFonts w:hint="eastAsia" w:ascii="宋体" w:hAnsi="宋体"/>
          <w:bCs/>
          <w:sz w:val="24"/>
          <w:szCs w:val="20"/>
        </w:rPr>
        <w:t>（5）公告：基金管理人更换后，由基金托管人在更换基金管理人的基金份额持有人大会决议生效后按规定在规定媒介公告；</w:t>
      </w:r>
    </w:p>
    <w:p w14:paraId="454F9711">
      <w:pPr>
        <w:tabs>
          <w:tab w:val="left" w:pos="3780"/>
        </w:tabs>
        <w:spacing w:line="360" w:lineRule="auto"/>
        <w:ind w:firstLine="480"/>
        <w:outlineLvl w:val="0"/>
        <w:rPr>
          <w:rFonts w:ascii="宋体" w:hAnsi="宋体"/>
          <w:bCs/>
          <w:sz w:val="24"/>
          <w:szCs w:val="20"/>
        </w:rPr>
      </w:pPr>
      <w:r>
        <w:rPr>
          <w:rFonts w:hint="eastAsia" w:ascii="宋体" w:hAnsi="宋体"/>
          <w:bCs/>
          <w:sz w:val="24"/>
          <w:szCs w:val="20"/>
        </w:rPr>
        <w:t>（6）交接：基金管理人职责终止的，基金管理人应妥善保管基金管理业务资料，及时向临时基金管理人或新任基金管理人办理基金管理业务的移交手续，临时基金管理人或新任基金管理人应及时接收。新任基金管理人或临时基金管理人应与基金托管人核对基金资产总值和净值；</w:t>
      </w:r>
    </w:p>
    <w:p w14:paraId="389586DE">
      <w:pPr>
        <w:tabs>
          <w:tab w:val="left" w:pos="3780"/>
        </w:tabs>
        <w:spacing w:line="360" w:lineRule="auto"/>
        <w:ind w:firstLine="480"/>
        <w:outlineLvl w:val="0"/>
        <w:rPr>
          <w:rFonts w:ascii="宋体" w:hAnsi="宋体"/>
          <w:bCs/>
          <w:sz w:val="24"/>
          <w:szCs w:val="20"/>
        </w:rPr>
      </w:pPr>
      <w:r>
        <w:rPr>
          <w:rFonts w:hint="eastAsia" w:ascii="宋体" w:hAnsi="宋体"/>
          <w:bCs/>
          <w:sz w:val="24"/>
          <w:szCs w:val="20"/>
        </w:rPr>
        <w:t>（7）审计：基金管理人职责终止的，应当按照法律法规规定聘请会计师事务所对基金财产进行审计，并将审计结果予以公告，同时报中国证监会备案，审计费用在基金财产中列支；</w:t>
      </w:r>
    </w:p>
    <w:p w14:paraId="2F61FF8A">
      <w:pPr>
        <w:tabs>
          <w:tab w:val="left" w:pos="3780"/>
        </w:tabs>
        <w:spacing w:line="360" w:lineRule="auto"/>
        <w:ind w:firstLine="480"/>
        <w:outlineLvl w:val="0"/>
        <w:rPr>
          <w:rFonts w:ascii="宋体" w:hAnsi="宋体"/>
          <w:bCs/>
          <w:sz w:val="24"/>
          <w:szCs w:val="20"/>
        </w:rPr>
      </w:pPr>
      <w:r>
        <w:rPr>
          <w:rFonts w:hint="eastAsia" w:ascii="宋体" w:hAnsi="宋体"/>
          <w:bCs/>
          <w:sz w:val="24"/>
          <w:szCs w:val="20"/>
        </w:rPr>
        <w:t>（8）基金名称变更：基金管理人更换后，如果原任或新任基金管理人要求，应按其要求替换或删除基金名称中与原基金管理人有关的名称字样。</w:t>
      </w:r>
    </w:p>
    <w:p w14:paraId="6BEA6236">
      <w:pPr>
        <w:tabs>
          <w:tab w:val="left" w:pos="3780"/>
        </w:tabs>
        <w:spacing w:line="360" w:lineRule="auto"/>
        <w:outlineLvl w:val="0"/>
        <w:rPr>
          <w:rFonts w:ascii="宋体"/>
          <w:b/>
          <w:bCs/>
          <w:sz w:val="24"/>
        </w:rPr>
      </w:pPr>
      <w:r>
        <w:rPr>
          <w:rFonts w:hint="eastAsia" w:ascii="宋体" w:hAnsi="宋体"/>
          <w:b/>
          <w:bCs/>
          <w:sz w:val="24"/>
        </w:rPr>
        <w:t>（二）基金托管人的更换</w:t>
      </w:r>
    </w:p>
    <w:p w14:paraId="6C584D12">
      <w:pPr>
        <w:spacing w:line="360" w:lineRule="auto"/>
        <w:ind w:firstLine="48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基金托管人职责终止的条件</w:t>
      </w:r>
    </w:p>
    <w:p w14:paraId="3004F30F">
      <w:pPr>
        <w:spacing w:line="360" w:lineRule="auto"/>
        <w:ind w:firstLine="480"/>
        <w:rPr>
          <w:rFonts w:ascii="宋体" w:hAnsi="宋体"/>
          <w:sz w:val="24"/>
        </w:rPr>
      </w:pPr>
      <w:r>
        <w:rPr>
          <w:rFonts w:hint="eastAsia" w:ascii="宋体" w:hAnsi="宋体"/>
          <w:sz w:val="24"/>
        </w:rPr>
        <w:t>有下列情形之一的，基金托管人职责终止：</w:t>
      </w:r>
    </w:p>
    <w:p w14:paraId="6751C073">
      <w:pPr>
        <w:spacing w:line="360" w:lineRule="auto"/>
        <w:ind w:firstLine="480"/>
        <w:rPr>
          <w:rFonts w:ascii="宋体" w:hAnsi="宋体"/>
          <w:sz w:val="24"/>
        </w:rPr>
      </w:pPr>
      <w:r>
        <w:rPr>
          <w:rFonts w:hint="eastAsia" w:ascii="宋体" w:hAnsi="宋体"/>
          <w:sz w:val="24"/>
        </w:rPr>
        <w:t>（1）被依法取消基金托管资格；</w:t>
      </w:r>
    </w:p>
    <w:p w14:paraId="714E40C4">
      <w:pPr>
        <w:spacing w:line="360" w:lineRule="auto"/>
        <w:ind w:firstLine="480"/>
        <w:rPr>
          <w:rFonts w:ascii="宋体" w:hAnsi="宋体"/>
          <w:sz w:val="24"/>
        </w:rPr>
      </w:pPr>
      <w:r>
        <w:rPr>
          <w:rFonts w:hint="eastAsia" w:ascii="宋体" w:hAnsi="宋体"/>
          <w:sz w:val="24"/>
        </w:rPr>
        <w:t>（2）被基金份额持有人大会解任；</w:t>
      </w:r>
    </w:p>
    <w:p w14:paraId="0DCDCBDD">
      <w:pPr>
        <w:spacing w:line="360" w:lineRule="auto"/>
        <w:ind w:firstLine="480"/>
        <w:rPr>
          <w:rFonts w:ascii="宋体" w:hAnsi="宋体"/>
          <w:sz w:val="24"/>
        </w:rPr>
      </w:pPr>
      <w:r>
        <w:rPr>
          <w:rFonts w:hint="eastAsia" w:ascii="宋体" w:hAnsi="宋体"/>
          <w:sz w:val="24"/>
        </w:rPr>
        <w:t>（3）依法解散、被依法撤销或被依法宣告破产；</w:t>
      </w:r>
    </w:p>
    <w:p w14:paraId="5AE4108F">
      <w:pPr>
        <w:spacing w:line="360" w:lineRule="auto"/>
        <w:ind w:firstLine="480"/>
        <w:rPr>
          <w:rFonts w:ascii="宋体" w:hAnsi="宋体"/>
          <w:sz w:val="24"/>
        </w:rPr>
      </w:pPr>
      <w:r>
        <w:rPr>
          <w:rFonts w:hint="eastAsia" w:ascii="宋体" w:hAnsi="宋体"/>
          <w:sz w:val="24"/>
        </w:rPr>
        <w:t>（4）法律法规及中国证监会规定的和《基金合同》约定的其他情形。</w:t>
      </w:r>
    </w:p>
    <w:p w14:paraId="119BB441">
      <w:pPr>
        <w:spacing w:line="360" w:lineRule="auto"/>
        <w:ind w:firstLine="480"/>
        <w:rPr>
          <w:rFonts w:ascii="宋体" w:hAnsi="宋体"/>
          <w:sz w:val="24"/>
        </w:rPr>
      </w:pPr>
      <w:r>
        <w:rPr>
          <w:rFonts w:hint="eastAsia" w:ascii="宋体" w:hAnsi="宋体"/>
          <w:sz w:val="24"/>
        </w:rPr>
        <w:t>2</w:t>
      </w:r>
      <w:r>
        <w:rPr>
          <w:rFonts w:ascii="宋体" w:hAnsi="宋体"/>
          <w:sz w:val="24"/>
        </w:rPr>
        <w:t>.基金托管人的更换程序</w:t>
      </w:r>
      <w:bookmarkEnd w:id="108"/>
      <w:bookmarkEnd w:id="109"/>
    </w:p>
    <w:p w14:paraId="0251B53C">
      <w:pPr>
        <w:tabs>
          <w:tab w:val="left" w:pos="3780"/>
        </w:tabs>
        <w:spacing w:line="360" w:lineRule="auto"/>
        <w:ind w:firstLine="480"/>
        <w:outlineLvl w:val="0"/>
        <w:rPr>
          <w:rFonts w:ascii="宋体" w:hAnsi="宋体"/>
          <w:sz w:val="24"/>
        </w:rPr>
      </w:pPr>
      <w:r>
        <w:rPr>
          <w:rFonts w:hint="eastAsia" w:ascii="宋体" w:hAnsi="宋体"/>
          <w:sz w:val="24"/>
        </w:rPr>
        <w:t>（1）提名：新任基金托管人由基金管理人或由单独或合计持有10%以上（含10%）基金份额的基金份额持有人提名；</w:t>
      </w:r>
    </w:p>
    <w:p w14:paraId="32612EA7">
      <w:pPr>
        <w:tabs>
          <w:tab w:val="left" w:pos="3780"/>
        </w:tabs>
        <w:spacing w:line="360" w:lineRule="auto"/>
        <w:ind w:firstLine="480"/>
        <w:outlineLvl w:val="0"/>
        <w:rPr>
          <w:rFonts w:ascii="宋体" w:hAnsi="宋体"/>
          <w:sz w:val="24"/>
        </w:rPr>
      </w:pPr>
      <w:r>
        <w:rPr>
          <w:rFonts w:hint="eastAsia" w:ascii="宋体" w:hAnsi="宋体"/>
          <w:sz w:val="24"/>
        </w:rPr>
        <w:t>（2）决议：基金份额持有人大会在基金托管人职责终止后6个月内对被提名的基金托管人形成决议，该决议需经参加大会的基金份额持有人所持表决权的三分之二以上（含三分之二）表决通过，</w:t>
      </w:r>
      <w:r>
        <w:rPr>
          <w:rFonts w:ascii="宋体" w:hAnsi="宋体"/>
          <w:sz w:val="24"/>
        </w:rPr>
        <w:t>决议</w:t>
      </w:r>
      <w:r>
        <w:rPr>
          <w:rFonts w:hint="eastAsia" w:ascii="宋体" w:hAnsi="宋体"/>
          <w:sz w:val="24"/>
        </w:rPr>
        <w:t>自表决通过之日起生效；</w:t>
      </w:r>
    </w:p>
    <w:p w14:paraId="3901E476">
      <w:pPr>
        <w:tabs>
          <w:tab w:val="left" w:pos="3780"/>
        </w:tabs>
        <w:spacing w:line="360" w:lineRule="auto"/>
        <w:ind w:firstLine="480"/>
        <w:outlineLvl w:val="0"/>
        <w:rPr>
          <w:rFonts w:ascii="宋体" w:hAnsi="宋体"/>
          <w:sz w:val="24"/>
        </w:rPr>
      </w:pPr>
      <w:r>
        <w:rPr>
          <w:rFonts w:hint="eastAsia" w:ascii="宋体" w:hAnsi="宋体"/>
          <w:sz w:val="24"/>
        </w:rPr>
        <w:t>（3）临时基金托管人：新任基金托管人产生之前，由中国证监会指定临时基金托管人；</w:t>
      </w:r>
    </w:p>
    <w:p w14:paraId="3CC9F7DB">
      <w:pPr>
        <w:tabs>
          <w:tab w:val="left" w:pos="3780"/>
        </w:tabs>
        <w:spacing w:line="360" w:lineRule="auto"/>
        <w:ind w:firstLine="480"/>
        <w:outlineLvl w:val="0"/>
        <w:rPr>
          <w:rFonts w:ascii="宋体" w:hAnsi="宋体"/>
          <w:sz w:val="24"/>
        </w:rPr>
      </w:pPr>
      <w:r>
        <w:rPr>
          <w:rFonts w:hint="eastAsia" w:ascii="宋体" w:hAnsi="宋体"/>
          <w:sz w:val="24"/>
        </w:rPr>
        <w:t>（4）备案：基金份额持有人大会更换基金托管人的决议须报中国证监会备案；</w:t>
      </w:r>
    </w:p>
    <w:p w14:paraId="16C99623">
      <w:pPr>
        <w:tabs>
          <w:tab w:val="left" w:pos="3780"/>
        </w:tabs>
        <w:spacing w:line="360" w:lineRule="auto"/>
        <w:ind w:firstLine="480"/>
        <w:outlineLvl w:val="0"/>
        <w:rPr>
          <w:rFonts w:ascii="宋体" w:hAnsi="宋体"/>
          <w:sz w:val="24"/>
        </w:rPr>
      </w:pPr>
      <w:r>
        <w:rPr>
          <w:rFonts w:hint="eastAsia" w:ascii="宋体" w:hAnsi="宋体"/>
          <w:sz w:val="24"/>
        </w:rPr>
        <w:t>（5）公告：基金托管人更换后，由基金管理人在更换基金托管人的基金份额持有人大会决议生效后按规定在规定媒介公告；</w:t>
      </w:r>
    </w:p>
    <w:p w14:paraId="5206C4FB">
      <w:pPr>
        <w:tabs>
          <w:tab w:val="left" w:pos="3780"/>
        </w:tabs>
        <w:spacing w:line="360" w:lineRule="auto"/>
        <w:ind w:firstLine="480"/>
        <w:outlineLvl w:val="0"/>
        <w:rPr>
          <w:rFonts w:ascii="宋体" w:hAnsi="宋体"/>
          <w:sz w:val="24"/>
        </w:rPr>
      </w:pPr>
      <w:r>
        <w:rPr>
          <w:rFonts w:hint="eastAsia" w:ascii="宋体" w:hAnsi="宋体"/>
          <w:sz w:val="24"/>
        </w:rPr>
        <w:t>（6）交接：基金托管人职责终止的，应当妥善保管基金财产和基金托管业务资料，及时办理基金财产和基金托管业务的移交手续，新任基金托管人或者临时基金托管人应当及时接收。新任基金托管人或临时基金托管人应与基金管理人核对基金资产总值和净值；</w:t>
      </w:r>
    </w:p>
    <w:p w14:paraId="3676C1CB">
      <w:pPr>
        <w:tabs>
          <w:tab w:val="left" w:pos="3780"/>
        </w:tabs>
        <w:spacing w:line="360" w:lineRule="auto"/>
        <w:ind w:firstLine="480"/>
        <w:outlineLvl w:val="0"/>
        <w:rPr>
          <w:rFonts w:ascii="宋体" w:hAnsi="宋体"/>
          <w:sz w:val="24"/>
        </w:rPr>
      </w:pPr>
      <w:r>
        <w:rPr>
          <w:rFonts w:hint="eastAsia" w:ascii="宋体" w:hAnsi="宋体"/>
          <w:sz w:val="24"/>
        </w:rPr>
        <w:t>（7）审计：基金托管人职责终止的，应当按照法律法规规定聘请会计师事务所对基金财产进行审计，并将审计结果予以公告，同时报中国证监会备案，审计费用在基金财产中列支。</w:t>
      </w:r>
    </w:p>
    <w:p w14:paraId="7B3D6014">
      <w:pPr>
        <w:tabs>
          <w:tab w:val="left" w:pos="3780"/>
        </w:tabs>
        <w:spacing w:line="360" w:lineRule="auto"/>
        <w:outlineLvl w:val="0"/>
        <w:rPr>
          <w:rFonts w:ascii="宋体" w:hAnsi="宋体"/>
          <w:b/>
          <w:bCs/>
          <w:sz w:val="24"/>
        </w:rPr>
      </w:pPr>
      <w:r>
        <w:rPr>
          <w:rFonts w:ascii="宋体" w:hAnsi="宋体"/>
          <w:b/>
          <w:bCs/>
          <w:sz w:val="24"/>
        </w:rPr>
        <w:t>（三）基金管理人与基金托管人同时更换</w:t>
      </w:r>
      <w:bookmarkStart w:id="111" w:name="_Toc22454478"/>
      <w:bookmarkStart w:id="112" w:name="_Toc125892451"/>
      <w:bookmarkStart w:id="113" w:name="_Toc466788866"/>
      <w:bookmarkStart w:id="114" w:name="_Toc523830007"/>
    </w:p>
    <w:p w14:paraId="78384C62">
      <w:pPr>
        <w:tabs>
          <w:tab w:val="left" w:pos="3780"/>
        </w:tabs>
        <w:spacing w:line="360" w:lineRule="auto"/>
        <w:ind w:firstLine="480"/>
        <w:outlineLvl w:val="0"/>
        <w:rPr>
          <w:rFonts w:hAnsi="宋体"/>
          <w:sz w:val="24"/>
        </w:rPr>
      </w:pPr>
      <w:r>
        <w:rPr>
          <w:rFonts w:hint="eastAsia" w:ascii="宋体" w:hAnsi="宋体"/>
          <w:bCs/>
          <w:sz w:val="24"/>
        </w:rPr>
        <w:t>（1）</w:t>
      </w:r>
      <w:r>
        <w:rPr>
          <w:rFonts w:hint="eastAsia" w:ascii="宋体" w:hAnsi="宋体"/>
          <w:sz w:val="24"/>
        </w:rPr>
        <w:t>提名：如果基金管理人和基金托管人同时更换，由单独或合计持有基金总份额10%以上（含10%）的基金份额</w:t>
      </w:r>
      <w:r>
        <w:rPr>
          <w:rFonts w:hint="eastAsia" w:hAnsi="宋体"/>
          <w:sz w:val="24"/>
        </w:rPr>
        <w:t>持有人提名新的基金管理人和基金托管人；</w:t>
      </w:r>
    </w:p>
    <w:p w14:paraId="6442927B">
      <w:pPr>
        <w:tabs>
          <w:tab w:val="left" w:pos="3780"/>
        </w:tabs>
        <w:spacing w:line="360" w:lineRule="auto"/>
        <w:ind w:firstLine="480"/>
        <w:outlineLvl w:val="0"/>
        <w:rPr>
          <w:rFonts w:hAnsi="宋体"/>
          <w:sz w:val="24"/>
        </w:rPr>
      </w:pPr>
      <w:r>
        <w:rPr>
          <w:rFonts w:hint="eastAsia" w:hAnsi="宋体"/>
          <w:sz w:val="24"/>
        </w:rPr>
        <w:t>（2）基金管理人和基金托管人的更换分别按上述程序进行；</w:t>
      </w:r>
    </w:p>
    <w:p w14:paraId="57E20384">
      <w:pPr>
        <w:tabs>
          <w:tab w:val="left" w:pos="3780"/>
        </w:tabs>
        <w:spacing w:line="360" w:lineRule="auto"/>
        <w:ind w:firstLine="480"/>
        <w:outlineLvl w:val="0"/>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）公告：新任基金管理人和新任基金托管人应在更换基金管理人和基金托管人的基金份额持有人大会决议生效后按规定在规定媒介上联合公告。</w:t>
      </w:r>
    </w:p>
    <w:p w14:paraId="7353F709">
      <w:pPr>
        <w:tabs>
          <w:tab w:val="left" w:pos="3780"/>
        </w:tabs>
        <w:spacing w:line="360" w:lineRule="auto"/>
        <w:ind w:firstLine="480"/>
        <w:outlineLvl w:val="0"/>
        <w:rPr>
          <w:rFonts w:ascii="宋体" w:hAnsi="宋体"/>
          <w:sz w:val="24"/>
        </w:rPr>
      </w:pPr>
      <w:r>
        <w:rPr>
          <w:rFonts w:hint="eastAsia" w:ascii="宋体" w:hAnsi="宋体"/>
          <w:sz w:val="24"/>
        </w:rPr>
        <w:t>（四）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基金合同的规定收取基金管理费或基金托管费。</w:t>
      </w:r>
    </w:p>
    <w:p w14:paraId="0317F424">
      <w:pPr>
        <w:tabs>
          <w:tab w:val="left" w:pos="3780"/>
        </w:tabs>
        <w:spacing w:line="360" w:lineRule="auto"/>
        <w:ind w:firstLine="480"/>
        <w:outlineLvl w:val="0"/>
        <w:rPr>
          <w:rFonts w:ascii="宋体" w:hAnsi="宋体"/>
          <w:sz w:val="24"/>
        </w:rPr>
      </w:pPr>
      <w:r>
        <w:rPr>
          <w:rFonts w:hint="eastAsia" w:ascii="宋体" w:hAnsi="宋体"/>
          <w:sz w:val="24"/>
        </w:rPr>
        <w:t>（五）本部分关于基金管理人、基金托管人更换条件和程序的约定，凡是直接引用法律法规的部分，如将来法律法规修改导致相关内容被取消或变更的，基金管理人与基金托管人根据新颁布的法律法规协商一致并提前公告后，可直接对相应内容进行修改和调整，无需召开基金份额持有人大会审议。</w:t>
      </w:r>
      <w:bookmarkEnd w:id="110"/>
    </w:p>
    <w:p w14:paraId="5451D9AD">
      <w:pPr>
        <w:pStyle w:val="214"/>
      </w:pPr>
      <w:bookmarkStart w:id="115" w:name="_Toc35001440"/>
      <w:r>
        <w:t>十五、禁止行为</w:t>
      </w:r>
      <w:bookmarkEnd w:id="111"/>
      <w:bookmarkEnd w:id="112"/>
      <w:bookmarkEnd w:id="113"/>
      <w:bookmarkEnd w:id="114"/>
      <w:bookmarkEnd w:id="115"/>
    </w:p>
    <w:p w14:paraId="1CA5367C">
      <w:pPr>
        <w:spacing w:line="360" w:lineRule="auto"/>
        <w:ind w:firstLine="480"/>
        <w:rPr>
          <w:rFonts w:ascii="宋体"/>
          <w:sz w:val="24"/>
        </w:rPr>
      </w:pPr>
      <w:r>
        <w:rPr>
          <w:rFonts w:hint="eastAsia" w:ascii="宋体" w:hAnsi="宋体"/>
          <w:sz w:val="24"/>
        </w:rPr>
        <w:t>本协议项下的基金管理人和基金托管人禁止行为如下：</w:t>
      </w:r>
    </w:p>
    <w:p w14:paraId="4B64292B">
      <w:pPr>
        <w:tabs>
          <w:tab w:val="left" w:pos="3780"/>
        </w:tabs>
        <w:spacing w:line="360" w:lineRule="auto"/>
        <w:ind w:firstLine="482"/>
        <w:outlineLvl w:val="0"/>
        <w:rPr>
          <w:rFonts w:ascii="宋体"/>
          <w:b/>
          <w:bCs/>
          <w:sz w:val="24"/>
        </w:rPr>
      </w:pPr>
      <w:r>
        <w:rPr>
          <w:rFonts w:hint="eastAsia" w:ascii="宋体" w:hAnsi="宋体"/>
          <w:b/>
          <w:bCs/>
          <w:sz w:val="24"/>
        </w:rPr>
        <w:t>（一）《基金法》禁止的行为。</w:t>
      </w:r>
    </w:p>
    <w:p w14:paraId="0F86F2B3">
      <w:pPr>
        <w:tabs>
          <w:tab w:val="left" w:pos="3780"/>
        </w:tabs>
        <w:spacing w:line="360" w:lineRule="auto"/>
        <w:ind w:firstLine="482"/>
        <w:outlineLvl w:val="0"/>
        <w:rPr>
          <w:rFonts w:ascii="宋体"/>
          <w:b/>
          <w:bCs/>
          <w:sz w:val="24"/>
        </w:rPr>
      </w:pPr>
      <w:r>
        <w:rPr>
          <w:rFonts w:hint="eastAsia" w:ascii="宋体" w:hAnsi="宋体"/>
          <w:b/>
          <w:bCs/>
          <w:sz w:val="24"/>
        </w:rPr>
        <w:t>（二）除非法律法规及中国证监会另有规定，托管协议当事人不得用基金财产从事《基金法》禁止的投资或活动。</w:t>
      </w:r>
    </w:p>
    <w:p w14:paraId="510CF12E">
      <w:pPr>
        <w:tabs>
          <w:tab w:val="left" w:pos="3780"/>
        </w:tabs>
        <w:spacing w:line="360" w:lineRule="auto"/>
        <w:ind w:firstLine="482"/>
        <w:outlineLvl w:val="0"/>
        <w:rPr>
          <w:rFonts w:ascii="宋体"/>
          <w:b/>
          <w:bCs/>
          <w:sz w:val="24"/>
        </w:rPr>
      </w:pPr>
      <w:r>
        <w:rPr>
          <w:rFonts w:hint="eastAsia" w:ascii="宋体" w:hAnsi="宋体"/>
          <w:b/>
          <w:bCs/>
          <w:sz w:val="24"/>
        </w:rPr>
        <w:t>（三）除《基金法》及其他有关法规、《基金合同》及中国证监会另有规定，基金管理人、基金托管人不得利用基金财产或职务之便为自身和任何第三人谋取利益。</w:t>
      </w:r>
    </w:p>
    <w:p w14:paraId="61C66C7A">
      <w:pPr>
        <w:tabs>
          <w:tab w:val="left" w:pos="3780"/>
        </w:tabs>
        <w:spacing w:line="360" w:lineRule="auto"/>
        <w:ind w:firstLine="482"/>
        <w:outlineLvl w:val="0"/>
        <w:rPr>
          <w:rFonts w:ascii="宋体"/>
          <w:b/>
          <w:bCs/>
          <w:sz w:val="24"/>
        </w:rPr>
      </w:pPr>
      <w:r>
        <w:rPr>
          <w:rFonts w:hint="eastAsia" w:ascii="宋体" w:hAnsi="宋体"/>
          <w:b/>
          <w:bCs/>
          <w:sz w:val="24"/>
        </w:rPr>
        <w:t>（四）基金管理人与基金托管人对基金运作过程中任何尚未按有关法规规定的方式公开披露的信息，不得对他人泄露。</w:t>
      </w:r>
    </w:p>
    <w:p w14:paraId="4052DF3A">
      <w:pPr>
        <w:tabs>
          <w:tab w:val="left" w:pos="3780"/>
        </w:tabs>
        <w:spacing w:line="360" w:lineRule="auto"/>
        <w:ind w:firstLine="482"/>
        <w:outlineLvl w:val="0"/>
        <w:rPr>
          <w:rFonts w:ascii="宋体"/>
          <w:b/>
          <w:bCs/>
          <w:sz w:val="24"/>
        </w:rPr>
      </w:pPr>
      <w:r>
        <w:rPr>
          <w:rFonts w:hint="eastAsia" w:ascii="宋体" w:hAnsi="宋体"/>
          <w:b/>
          <w:bCs/>
          <w:sz w:val="24"/>
        </w:rPr>
        <w:t>（五）基金管理人不得在资金头寸不足的情况下，向基金托管人发送划款指令。</w:t>
      </w:r>
    </w:p>
    <w:p w14:paraId="2AE8D7CF">
      <w:pPr>
        <w:tabs>
          <w:tab w:val="left" w:pos="3780"/>
        </w:tabs>
        <w:spacing w:line="360" w:lineRule="auto"/>
        <w:ind w:firstLine="482"/>
        <w:outlineLvl w:val="0"/>
        <w:rPr>
          <w:rFonts w:ascii="宋体"/>
          <w:b/>
          <w:bCs/>
          <w:sz w:val="24"/>
        </w:rPr>
      </w:pPr>
      <w:r>
        <w:rPr>
          <w:rFonts w:hint="eastAsia" w:ascii="宋体" w:hAnsi="宋体"/>
          <w:b/>
          <w:bCs/>
          <w:sz w:val="24"/>
        </w:rPr>
        <w:t>（六）在资金头寸充足且为基金托管人执行指令留出足够时间的情况下，基金托管人对基金管理人符合法律法规、《基金合同》、本协议的指令不得拖延或拒绝执行。</w:t>
      </w:r>
    </w:p>
    <w:p w14:paraId="5E38263C">
      <w:pPr>
        <w:tabs>
          <w:tab w:val="left" w:pos="3780"/>
        </w:tabs>
        <w:spacing w:line="360" w:lineRule="auto"/>
        <w:ind w:firstLine="482"/>
        <w:outlineLvl w:val="0"/>
        <w:rPr>
          <w:rFonts w:ascii="宋体"/>
          <w:b/>
          <w:bCs/>
          <w:sz w:val="24"/>
        </w:rPr>
      </w:pPr>
      <w:r>
        <w:rPr>
          <w:rFonts w:hint="eastAsia" w:ascii="宋体" w:hAnsi="宋体"/>
          <w:b/>
          <w:bCs/>
          <w:sz w:val="24"/>
        </w:rPr>
        <w:t>（七）除根据基金管理人指令或《基金合同》另有规定的，基金托管人不得动用或处分基金财产。</w:t>
      </w:r>
    </w:p>
    <w:p w14:paraId="60091A67">
      <w:pPr>
        <w:tabs>
          <w:tab w:val="left" w:pos="3780"/>
        </w:tabs>
        <w:spacing w:line="360" w:lineRule="auto"/>
        <w:ind w:firstLine="482"/>
        <w:outlineLvl w:val="0"/>
        <w:rPr>
          <w:rFonts w:ascii="宋体"/>
          <w:b/>
          <w:bCs/>
          <w:sz w:val="24"/>
        </w:rPr>
      </w:pPr>
      <w:r>
        <w:rPr>
          <w:rFonts w:hint="eastAsia" w:ascii="宋体" w:hAnsi="宋体"/>
          <w:b/>
          <w:bCs/>
          <w:sz w:val="24"/>
        </w:rPr>
        <w:t>（八）基金管理人与基金托管人不得为同一机构，不得相互出资或者持有股份。基金托管人、基金管理人应在行政上、财务上互相独立，其高级基金管理人员或其他从业人员不得相互兼职。</w:t>
      </w:r>
    </w:p>
    <w:p w14:paraId="07A9BF93">
      <w:pPr>
        <w:tabs>
          <w:tab w:val="left" w:pos="3780"/>
        </w:tabs>
        <w:spacing w:line="360" w:lineRule="auto"/>
        <w:ind w:firstLine="482"/>
        <w:outlineLvl w:val="0"/>
        <w:rPr>
          <w:rFonts w:ascii="宋体"/>
          <w:b/>
          <w:bCs/>
          <w:sz w:val="24"/>
        </w:rPr>
      </w:pPr>
      <w:r>
        <w:rPr>
          <w:rFonts w:hint="eastAsia" w:ascii="宋体" w:hAnsi="宋体"/>
          <w:b/>
          <w:bCs/>
          <w:sz w:val="24"/>
        </w:rPr>
        <w:t>（九）《基金合同》投资限制中禁止投资的行为。</w:t>
      </w:r>
    </w:p>
    <w:p w14:paraId="70DC23BC">
      <w:pPr>
        <w:tabs>
          <w:tab w:val="left" w:pos="3780"/>
        </w:tabs>
        <w:spacing w:line="360" w:lineRule="auto"/>
        <w:ind w:firstLine="482"/>
        <w:outlineLvl w:val="0"/>
        <w:rPr>
          <w:rFonts w:ascii="宋体"/>
          <w:b/>
          <w:bCs/>
          <w:sz w:val="24"/>
        </w:rPr>
      </w:pPr>
      <w:r>
        <w:rPr>
          <w:rFonts w:hint="eastAsia" w:ascii="宋体" w:hAnsi="宋体"/>
          <w:b/>
          <w:bCs/>
          <w:sz w:val="24"/>
        </w:rPr>
        <w:t>（十）法律法规、《基金合同》和本协议禁止的其他行为。</w:t>
      </w:r>
    </w:p>
    <w:p w14:paraId="039629CE">
      <w:pPr>
        <w:spacing w:line="360" w:lineRule="auto"/>
        <w:ind w:firstLine="480"/>
        <w:rPr>
          <w:rFonts w:ascii="宋体" w:hAnsi="宋体"/>
          <w:sz w:val="24"/>
        </w:rPr>
      </w:pPr>
      <w:r>
        <w:rPr>
          <w:rFonts w:hint="eastAsia" w:ascii="宋体" w:hAnsi="宋体"/>
          <w:sz w:val="24"/>
        </w:rPr>
        <w:t>法律法规和监管部门取消或变更上述禁止性规定的，则本基金不受上述相关限制或以变更后的规定为准。</w:t>
      </w:r>
    </w:p>
    <w:p w14:paraId="411A7B59">
      <w:pPr>
        <w:pStyle w:val="214"/>
      </w:pPr>
      <w:bookmarkStart w:id="116" w:name="_Toc35001441"/>
      <w:bookmarkStart w:id="117" w:name="_Toc125892452"/>
      <w:bookmarkStart w:id="118" w:name="_Toc523830008"/>
      <w:bookmarkStart w:id="119" w:name="_Toc466788867"/>
      <w:bookmarkStart w:id="120" w:name="_Toc22454479"/>
      <w:r>
        <w:t>十六、基金托管协议的变更、终止与基金财产的清算</w:t>
      </w:r>
      <w:bookmarkEnd w:id="116"/>
      <w:bookmarkEnd w:id="117"/>
    </w:p>
    <w:p w14:paraId="3290C7C3">
      <w:pPr>
        <w:tabs>
          <w:tab w:val="left" w:pos="3780"/>
        </w:tabs>
        <w:spacing w:line="360" w:lineRule="auto"/>
        <w:outlineLvl w:val="0"/>
        <w:rPr>
          <w:rFonts w:ascii="宋体"/>
          <w:b/>
          <w:bCs/>
          <w:sz w:val="24"/>
        </w:rPr>
      </w:pPr>
      <w:bookmarkStart w:id="121" w:name="_Toc510842757"/>
      <w:r>
        <w:rPr>
          <w:rFonts w:ascii="宋体" w:hAnsi="宋体"/>
          <w:b/>
          <w:bCs/>
          <w:sz w:val="24"/>
        </w:rPr>
        <w:t>（一）基金托管协议的变更</w:t>
      </w:r>
      <w:bookmarkEnd w:id="121"/>
    </w:p>
    <w:p w14:paraId="7B5BF383">
      <w:pPr>
        <w:spacing w:line="360" w:lineRule="auto"/>
        <w:ind w:firstLine="480"/>
        <w:rPr>
          <w:rFonts w:ascii="宋体"/>
          <w:sz w:val="24"/>
        </w:rPr>
      </w:pPr>
      <w:r>
        <w:rPr>
          <w:rFonts w:hint="eastAsia" w:ascii="宋体" w:hAnsi="宋体"/>
          <w:sz w:val="24"/>
        </w:rPr>
        <w:t>本协议双方当事人经协商一致，可以对协议进行修改。修改后的新协议，其内容不得与《基金合同》的规定有任何冲突。修改后的新协议，应按法律法规报中国证监会备案。</w:t>
      </w:r>
    </w:p>
    <w:p w14:paraId="7399EDB5">
      <w:pPr>
        <w:tabs>
          <w:tab w:val="left" w:pos="3780"/>
        </w:tabs>
        <w:spacing w:line="360" w:lineRule="auto"/>
        <w:outlineLvl w:val="0"/>
        <w:rPr>
          <w:rFonts w:ascii="宋体"/>
          <w:b/>
          <w:bCs/>
          <w:sz w:val="24"/>
        </w:rPr>
      </w:pPr>
      <w:r>
        <w:rPr>
          <w:rFonts w:hint="eastAsia" w:ascii="宋体" w:hAnsi="宋体"/>
          <w:b/>
          <w:bCs/>
          <w:sz w:val="24"/>
        </w:rPr>
        <w:t>（二）基金托管协议的终止</w:t>
      </w:r>
    </w:p>
    <w:p w14:paraId="0424531C">
      <w:pPr>
        <w:spacing w:line="360" w:lineRule="auto"/>
        <w:ind w:firstLine="480"/>
        <w:rPr>
          <w:rFonts w:ascii="宋体"/>
          <w:sz w:val="24"/>
        </w:rPr>
      </w:pPr>
      <w:r>
        <w:rPr>
          <w:rFonts w:hint="eastAsia" w:ascii="宋体" w:hAnsi="宋体"/>
          <w:sz w:val="24"/>
        </w:rPr>
        <w:t>1</w:t>
      </w:r>
      <w:r>
        <w:rPr>
          <w:rFonts w:ascii="宋体" w:hAnsi="宋体"/>
          <w:sz w:val="24"/>
        </w:rPr>
        <w:t>.</w:t>
      </w:r>
      <w:r>
        <w:rPr>
          <w:rFonts w:hint="eastAsia" w:ascii="宋体" w:hAnsi="宋体"/>
          <w:sz w:val="24"/>
        </w:rPr>
        <w:t>《基金合同》终止；</w:t>
      </w:r>
    </w:p>
    <w:p w14:paraId="75373038">
      <w:pPr>
        <w:spacing w:line="360" w:lineRule="auto"/>
        <w:ind w:firstLine="480"/>
        <w:rPr>
          <w:rFonts w:ascii="宋体"/>
          <w:sz w:val="24"/>
        </w:rPr>
      </w:pPr>
      <w:r>
        <w:rPr>
          <w:rFonts w:hint="eastAsia" w:ascii="宋体" w:hAnsi="宋体"/>
          <w:sz w:val="24"/>
        </w:rPr>
        <w:t>2</w:t>
      </w:r>
      <w:r>
        <w:rPr>
          <w:rFonts w:ascii="宋体" w:hAnsi="宋体"/>
          <w:sz w:val="24"/>
        </w:rPr>
        <w:t>.</w:t>
      </w:r>
      <w:r>
        <w:rPr>
          <w:rFonts w:hint="eastAsia" w:ascii="宋体" w:hAnsi="宋体"/>
          <w:sz w:val="24"/>
        </w:rPr>
        <w:t>基金托管人解散、依法被撤销、破产，被依法取消基金托管资格或因其他事由造成其他基金托管人接管基金财产；</w:t>
      </w:r>
    </w:p>
    <w:p w14:paraId="11B702B6">
      <w:pPr>
        <w:spacing w:line="360" w:lineRule="auto"/>
        <w:ind w:firstLine="480"/>
        <w:rPr>
          <w:rFonts w:ascii="宋体"/>
          <w:sz w:val="24"/>
        </w:rPr>
      </w:pPr>
      <w:r>
        <w:rPr>
          <w:rFonts w:hint="eastAsia" w:ascii="宋体" w:hAnsi="宋体"/>
          <w:sz w:val="24"/>
        </w:rPr>
        <w:t>3</w:t>
      </w:r>
      <w:r>
        <w:rPr>
          <w:rFonts w:ascii="宋体" w:hAnsi="宋体"/>
          <w:sz w:val="24"/>
        </w:rPr>
        <w:t>.</w:t>
      </w:r>
      <w:r>
        <w:rPr>
          <w:rFonts w:hint="eastAsia" w:ascii="宋体" w:hAnsi="宋体"/>
          <w:sz w:val="24"/>
        </w:rPr>
        <w:t>基金管理人解散、依法被撤销、破产，被依法取消基金管理资格或因其他事由造成其他基金管理人接管基金管理业务；</w:t>
      </w:r>
    </w:p>
    <w:p w14:paraId="1CA78A85">
      <w:pPr>
        <w:spacing w:line="360" w:lineRule="auto"/>
        <w:ind w:firstLine="480"/>
        <w:rPr>
          <w:rFonts w:ascii="宋体"/>
          <w:sz w:val="24"/>
        </w:rPr>
      </w:pPr>
      <w:r>
        <w:rPr>
          <w:rFonts w:hint="eastAsia" w:ascii="宋体" w:hAnsi="宋体"/>
          <w:sz w:val="24"/>
        </w:rPr>
        <w:t>4</w:t>
      </w:r>
      <w:r>
        <w:rPr>
          <w:rFonts w:ascii="宋体" w:hAnsi="宋体"/>
          <w:sz w:val="24"/>
        </w:rPr>
        <w:t>.</w:t>
      </w:r>
      <w:r>
        <w:rPr>
          <w:rFonts w:hint="eastAsia" w:ascii="宋体" w:hAnsi="宋体"/>
          <w:sz w:val="24"/>
        </w:rPr>
        <w:t>发生《基金法》、《销售办法》、《运作办法》或其他法律法规规定的终止事项。</w:t>
      </w:r>
    </w:p>
    <w:p w14:paraId="22A8AF53">
      <w:pPr>
        <w:tabs>
          <w:tab w:val="left" w:pos="3780"/>
        </w:tabs>
        <w:spacing w:line="360" w:lineRule="auto"/>
        <w:outlineLvl w:val="0"/>
        <w:rPr>
          <w:b/>
          <w:sz w:val="24"/>
        </w:rPr>
      </w:pPr>
      <w:bookmarkStart w:id="122" w:name="_Hlk104924845"/>
      <w:r>
        <w:rPr>
          <w:rFonts w:hint="eastAsia"/>
          <w:b/>
          <w:sz w:val="24"/>
        </w:rPr>
        <w:t>（三）基金财产的清算</w:t>
      </w:r>
    </w:p>
    <w:p w14:paraId="4B1DDAE9">
      <w:pPr>
        <w:spacing w:line="360" w:lineRule="auto"/>
        <w:ind w:firstLine="480"/>
        <w:rPr>
          <w:rFonts w:ascii="宋体" w:hAnsi="宋体"/>
          <w:sz w:val="24"/>
        </w:rPr>
      </w:pPr>
      <w:r>
        <w:rPr>
          <w:rFonts w:hint="eastAsia" w:ascii="宋体" w:hAnsi="宋体"/>
          <w:sz w:val="24"/>
        </w:rPr>
        <w:t>1、基金财产清算小组：自出现《基金合同》终止事由之日起30个工作日内成立基金财产清算小组，基金管理人组织基金财产清算小组并在中国证监会的监督下进行基金清算。</w:t>
      </w:r>
    </w:p>
    <w:p w14:paraId="7299759C">
      <w:pPr>
        <w:spacing w:line="360" w:lineRule="auto"/>
        <w:ind w:firstLine="480"/>
        <w:rPr>
          <w:rFonts w:ascii="宋体" w:hAnsi="宋体"/>
          <w:sz w:val="24"/>
        </w:rPr>
      </w:pPr>
      <w:r>
        <w:rPr>
          <w:rFonts w:hint="eastAsia" w:ascii="宋体" w:hAnsi="宋体"/>
          <w:sz w:val="24"/>
        </w:rPr>
        <w:t>2、在基金财产清算小组接管基金财产之前，基金管理人和基金托管人应按照《基金合同》和托管协议的规定继续履行保护基金财产安全的职责。</w:t>
      </w:r>
    </w:p>
    <w:p w14:paraId="30A6B46B">
      <w:pPr>
        <w:spacing w:line="360" w:lineRule="auto"/>
        <w:ind w:firstLine="480"/>
        <w:rPr>
          <w:rFonts w:ascii="宋体" w:hAnsi="宋体"/>
          <w:sz w:val="24"/>
        </w:rPr>
      </w:pPr>
      <w:r>
        <w:rPr>
          <w:rFonts w:hint="eastAsia" w:ascii="宋体" w:hAnsi="宋体"/>
          <w:sz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05311CE7">
      <w:pPr>
        <w:spacing w:line="360" w:lineRule="auto"/>
        <w:ind w:firstLine="480"/>
        <w:rPr>
          <w:rFonts w:ascii="宋体" w:hAnsi="宋体"/>
          <w:sz w:val="24"/>
        </w:rPr>
      </w:pPr>
      <w:r>
        <w:rPr>
          <w:rFonts w:hint="eastAsia" w:ascii="宋体" w:hAnsi="宋体"/>
          <w:sz w:val="24"/>
        </w:rPr>
        <w:t>4、基金财产清算小组职责：基金财产清算小组负责基金财产的保管、清理、估价、变现和分配。基金财产清算小组可以依法进行必要的民事活动。</w:t>
      </w:r>
    </w:p>
    <w:p w14:paraId="57C3F775">
      <w:pPr>
        <w:spacing w:line="360" w:lineRule="auto"/>
        <w:ind w:firstLine="480"/>
        <w:rPr>
          <w:rFonts w:ascii="宋体" w:hAnsi="宋体"/>
          <w:sz w:val="24"/>
        </w:rPr>
      </w:pPr>
      <w:r>
        <w:rPr>
          <w:rFonts w:hint="eastAsia" w:ascii="宋体" w:hAnsi="宋体"/>
          <w:sz w:val="24"/>
        </w:rPr>
        <w:t>5、在基金财产清算过程中，基金管理人和基金托管人应各自履行职责，继续忠实、勤勉、尽责地履行基金合同和托管协议规定的义务，维护基金份额持有人的合法权益。</w:t>
      </w:r>
    </w:p>
    <w:p w14:paraId="6B966B8E">
      <w:pPr>
        <w:spacing w:line="360" w:lineRule="auto"/>
        <w:ind w:firstLine="480"/>
        <w:rPr>
          <w:rFonts w:ascii="宋体" w:hAnsi="宋体"/>
          <w:sz w:val="24"/>
        </w:rPr>
      </w:pPr>
      <w:r>
        <w:rPr>
          <w:rFonts w:hint="eastAsia" w:ascii="宋体" w:hAnsi="宋体"/>
          <w:sz w:val="24"/>
        </w:rPr>
        <w:t>6、基金财产清算程序：</w:t>
      </w:r>
    </w:p>
    <w:p w14:paraId="2E27943A">
      <w:pPr>
        <w:spacing w:line="360" w:lineRule="auto"/>
        <w:ind w:firstLine="480"/>
        <w:rPr>
          <w:rFonts w:ascii="宋体" w:hAnsi="宋体"/>
          <w:sz w:val="24"/>
        </w:rPr>
      </w:pPr>
      <w:r>
        <w:rPr>
          <w:rFonts w:hint="eastAsia" w:ascii="宋体" w:hAnsi="宋体"/>
          <w:sz w:val="24"/>
        </w:rPr>
        <w:t>（1）《基金合同》终止情形出现时，由基金财产清算小组统一接管基金；</w:t>
      </w:r>
    </w:p>
    <w:p w14:paraId="5711947B">
      <w:pPr>
        <w:spacing w:line="360" w:lineRule="auto"/>
        <w:ind w:firstLine="480"/>
        <w:rPr>
          <w:rFonts w:ascii="宋体" w:hAnsi="宋体"/>
          <w:sz w:val="24"/>
        </w:rPr>
      </w:pPr>
      <w:r>
        <w:rPr>
          <w:rFonts w:hint="eastAsia" w:ascii="宋体" w:hAnsi="宋体"/>
          <w:sz w:val="24"/>
        </w:rPr>
        <w:t>（2）对基金财产和债权债务进行清理和确认；</w:t>
      </w:r>
    </w:p>
    <w:p w14:paraId="36920F20">
      <w:pPr>
        <w:spacing w:line="360" w:lineRule="auto"/>
        <w:ind w:firstLine="480"/>
        <w:rPr>
          <w:rFonts w:ascii="宋体" w:hAnsi="宋体"/>
          <w:sz w:val="24"/>
        </w:rPr>
      </w:pPr>
      <w:r>
        <w:rPr>
          <w:rFonts w:hint="eastAsia" w:ascii="宋体" w:hAnsi="宋体"/>
          <w:sz w:val="24"/>
        </w:rPr>
        <w:t>（3）对基金财产进行估值和变现；</w:t>
      </w:r>
    </w:p>
    <w:p w14:paraId="36DC390B">
      <w:pPr>
        <w:spacing w:line="360" w:lineRule="auto"/>
        <w:ind w:firstLine="480"/>
        <w:rPr>
          <w:rFonts w:ascii="宋体" w:hAnsi="宋体"/>
          <w:sz w:val="24"/>
        </w:rPr>
      </w:pPr>
      <w:r>
        <w:rPr>
          <w:rFonts w:hint="eastAsia" w:ascii="宋体" w:hAnsi="宋体"/>
          <w:sz w:val="24"/>
        </w:rPr>
        <w:t>（4）制作清算报告；</w:t>
      </w:r>
    </w:p>
    <w:p w14:paraId="6B922321">
      <w:pPr>
        <w:spacing w:line="360" w:lineRule="auto"/>
        <w:ind w:firstLine="480"/>
        <w:rPr>
          <w:rFonts w:ascii="宋体" w:hAnsi="宋体"/>
          <w:sz w:val="24"/>
        </w:rPr>
      </w:pPr>
      <w:r>
        <w:rPr>
          <w:rFonts w:hint="eastAsia" w:ascii="宋体" w:hAnsi="宋体"/>
          <w:sz w:val="24"/>
        </w:rPr>
        <w:t>（5）聘请会计师事务所对清算报告进行外部审计，聘请律师事务所对清算报告出具法律意见书；</w:t>
      </w:r>
    </w:p>
    <w:p w14:paraId="55910A09">
      <w:pPr>
        <w:spacing w:line="360" w:lineRule="auto"/>
        <w:ind w:firstLine="480"/>
        <w:rPr>
          <w:rFonts w:ascii="宋体" w:hAnsi="宋体"/>
          <w:sz w:val="24"/>
        </w:rPr>
      </w:pPr>
      <w:r>
        <w:rPr>
          <w:rFonts w:hint="eastAsia" w:ascii="宋体" w:hAnsi="宋体"/>
          <w:sz w:val="24"/>
        </w:rPr>
        <w:t>（6）将清算报告报中国证监会备案并公告；</w:t>
      </w:r>
    </w:p>
    <w:p w14:paraId="3C1F51AC">
      <w:pPr>
        <w:spacing w:line="360" w:lineRule="auto"/>
        <w:ind w:firstLine="480"/>
        <w:rPr>
          <w:rFonts w:ascii="宋体" w:hAnsi="宋体"/>
          <w:sz w:val="24"/>
        </w:rPr>
      </w:pPr>
      <w:r>
        <w:rPr>
          <w:rFonts w:hint="eastAsia" w:ascii="宋体" w:hAnsi="宋体"/>
          <w:sz w:val="24"/>
        </w:rPr>
        <w:t>（7）对基金剩余财产进行分配。</w:t>
      </w:r>
    </w:p>
    <w:p w14:paraId="564E848F">
      <w:pPr>
        <w:spacing w:line="360" w:lineRule="auto"/>
        <w:ind w:firstLine="480"/>
        <w:rPr>
          <w:rFonts w:ascii="宋体" w:hAnsi="宋体"/>
          <w:sz w:val="24"/>
        </w:rPr>
      </w:pPr>
      <w:r>
        <w:rPr>
          <w:rFonts w:hint="eastAsia" w:ascii="宋体" w:hAnsi="宋体"/>
          <w:sz w:val="24"/>
        </w:rPr>
        <w:t>7、基金财产清算的期限为6个月，但因本基金所持证券的流动性受到限制而不能及时变现的，清算期限可相应顺延。</w:t>
      </w:r>
    </w:p>
    <w:p w14:paraId="788AF363">
      <w:pPr>
        <w:spacing w:line="360" w:lineRule="auto"/>
        <w:ind w:firstLine="480"/>
        <w:rPr>
          <w:rFonts w:ascii="宋体" w:hAnsi="宋体"/>
          <w:sz w:val="24"/>
        </w:rPr>
      </w:pPr>
      <w:r>
        <w:rPr>
          <w:rFonts w:hint="eastAsia" w:ascii="宋体" w:hAnsi="宋体"/>
          <w:sz w:val="24"/>
        </w:rPr>
        <w:t>8、清算费用</w:t>
      </w:r>
    </w:p>
    <w:p w14:paraId="425FA7BF">
      <w:pPr>
        <w:spacing w:line="360" w:lineRule="auto"/>
        <w:ind w:firstLine="480"/>
        <w:rPr>
          <w:rFonts w:ascii="宋体" w:hAnsi="宋体"/>
          <w:sz w:val="24"/>
        </w:rPr>
      </w:pPr>
      <w:r>
        <w:rPr>
          <w:rFonts w:hint="eastAsia" w:ascii="宋体" w:hAnsi="宋体"/>
          <w:sz w:val="24"/>
        </w:rPr>
        <w:t>清算费用是指基金财产清算小组在进行基金清算过程中发生的所有合理费用，清算费用由基金财产清算小组优先从基金剩余财产中支付。</w:t>
      </w:r>
    </w:p>
    <w:p w14:paraId="4857CF9C">
      <w:pPr>
        <w:spacing w:line="360" w:lineRule="auto"/>
        <w:ind w:firstLine="480"/>
        <w:rPr>
          <w:rFonts w:ascii="宋体" w:hAnsi="宋体"/>
          <w:sz w:val="24"/>
        </w:rPr>
      </w:pPr>
      <w:r>
        <w:rPr>
          <w:rFonts w:hint="eastAsia" w:ascii="宋体" w:hAnsi="宋体"/>
          <w:sz w:val="24"/>
        </w:rPr>
        <w:t>9、基金财产清算剩余资产的分配</w:t>
      </w:r>
    </w:p>
    <w:p w14:paraId="7FD07780">
      <w:pPr>
        <w:spacing w:line="360" w:lineRule="auto"/>
        <w:ind w:firstLine="480"/>
        <w:rPr>
          <w:rFonts w:ascii="宋体" w:hAnsi="宋体"/>
          <w:sz w:val="24"/>
        </w:rPr>
      </w:pPr>
      <w:r>
        <w:rPr>
          <w:rFonts w:hint="eastAsia" w:ascii="宋体" w:hAnsi="宋体"/>
          <w:sz w:val="24"/>
        </w:rPr>
        <w:t>依据基金财产清算的分配方案，将基金财产清算后的全部剩余资产扣除基金财产清算费用、交纳所欠税款并清偿基金债务后，按基金份额持有人持有的各类基金份额比例进行分配。</w:t>
      </w:r>
    </w:p>
    <w:p w14:paraId="60569365">
      <w:pPr>
        <w:spacing w:line="360" w:lineRule="auto"/>
        <w:ind w:firstLine="480"/>
        <w:rPr>
          <w:rFonts w:ascii="宋体"/>
          <w:sz w:val="24"/>
        </w:rPr>
      </w:pPr>
      <w:r>
        <w:rPr>
          <w:rFonts w:hint="eastAsia" w:ascii="宋体" w:hAnsi="宋体"/>
          <w:sz w:val="24"/>
        </w:rPr>
        <w:t>10、基金财产清算的公告</w:t>
      </w:r>
    </w:p>
    <w:p w14:paraId="25FFF883">
      <w:pPr>
        <w:spacing w:line="360" w:lineRule="auto"/>
        <w:ind w:firstLine="480"/>
        <w:rPr>
          <w:rFonts w:ascii="宋体" w:hAnsi="宋体"/>
          <w:sz w:val="24"/>
        </w:rPr>
      </w:pPr>
      <w:r>
        <w:rPr>
          <w:rFonts w:hint="eastAsia"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13DF5C7B">
      <w:pPr>
        <w:spacing w:line="360" w:lineRule="auto"/>
        <w:ind w:firstLine="480"/>
        <w:rPr>
          <w:rFonts w:ascii="宋体"/>
          <w:sz w:val="24"/>
        </w:rPr>
      </w:pPr>
      <w:r>
        <w:rPr>
          <w:rFonts w:hint="eastAsia" w:ascii="宋体" w:hAnsi="宋体"/>
          <w:sz w:val="24"/>
        </w:rPr>
        <w:t>11、基金财产清算账册及文件的保存</w:t>
      </w:r>
    </w:p>
    <w:p w14:paraId="178AC4CB">
      <w:pPr>
        <w:spacing w:line="360" w:lineRule="auto"/>
        <w:ind w:firstLine="480"/>
        <w:rPr>
          <w:rFonts w:ascii="宋体" w:hAnsi="宋体"/>
          <w:sz w:val="24"/>
        </w:rPr>
      </w:pPr>
      <w:bookmarkStart w:id="123" w:name="_Toc125892453"/>
      <w:r>
        <w:rPr>
          <w:rFonts w:hint="eastAsia" w:ascii="宋体" w:hAnsi="宋体"/>
          <w:sz w:val="24"/>
        </w:rPr>
        <w:t>基金财产清算账册及有关文件由基金托管人保存，保存期限不低于法律法规规定的最低期限。</w:t>
      </w:r>
    </w:p>
    <w:p w14:paraId="3A366EED">
      <w:pPr>
        <w:spacing w:line="360" w:lineRule="auto"/>
        <w:ind w:firstLine="480"/>
        <w:rPr>
          <w:rFonts w:ascii="宋体"/>
          <w:sz w:val="24"/>
        </w:rPr>
      </w:pPr>
      <w:r>
        <w:rPr>
          <w:rFonts w:hint="eastAsia" w:ascii="宋体"/>
          <w:sz w:val="24"/>
        </w:rPr>
        <w:t>12、基金合并</w:t>
      </w:r>
    </w:p>
    <w:p w14:paraId="2B064E9F">
      <w:pPr>
        <w:spacing w:line="360" w:lineRule="auto"/>
        <w:ind w:firstLine="480"/>
        <w:rPr>
          <w:rFonts w:ascii="宋体"/>
          <w:sz w:val="24"/>
        </w:rPr>
      </w:pPr>
      <w:r>
        <w:rPr>
          <w:rFonts w:hint="eastAsia" w:ascii="宋体"/>
          <w:sz w:val="24"/>
        </w:rPr>
        <w:t>本基金与其他基金的合并应当按照法律法规规定的程序进行。</w:t>
      </w:r>
      <w:bookmarkEnd w:id="122"/>
    </w:p>
    <w:p w14:paraId="01B52EA7">
      <w:pPr>
        <w:pStyle w:val="214"/>
      </w:pPr>
      <w:bookmarkStart w:id="124" w:name="_Toc35001442"/>
      <w:r>
        <w:t>十七、违约责任</w:t>
      </w:r>
      <w:bookmarkEnd w:id="118"/>
      <w:bookmarkEnd w:id="119"/>
      <w:bookmarkEnd w:id="120"/>
      <w:bookmarkEnd w:id="123"/>
      <w:bookmarkEnd w:id="124"/>
    </w:p>
    <w:p w14:paraId="6C9535A7">
      <w:pPr>
        <w:tabs>
          <w:tab w:val="left" w:pos="3780"/>
        </w:tabs>
        <w:spacing w:line="360" w:lineRule="auto"/>
        <w:ind w:firstLine="482"/>
        <w:outlineLvl w:val="0"/>
        <w:rPr>
          <w:b/>
          <w:sz w:val="24"/>
        </w:rPr>
      </w:pPr>
      <w:r>
        <w:rPr>
          <w:rFonts w:hint="eastAsia"/>
          <w:b/>
          <w:sz w:val="24"/>
        </w:rPr>
        <w:t>（一）基金管理人或基金托管人不履行本协议或履行本协议不符合约定的，应当承担违约责任。</w:t>
      </w:r>
    </w:p>
    <w:p w14:paraId="42C76723">
      <w:pPr>
        <w:tabs>
          <w:tab w:val="left" w:pos="3780"/>
        </w:tabs>
        <w:spacing w:line="360" w:lineRule="auto"/>
        <w:ind w:firstLine="482"/>
        <w:outlineLvl w:val="0"/>
        <w:rPr>
          <w:b/>
          <w:sz w:val="24"/>
        </w:rPr>
      </w:pPr>
      <w:r>
        <w:rPr>
          <w:rFonts w:hint="eastAsia"/>
          <w:b/>
          <w:sz w:val="24"/>
        </w:rPr>
        <w:t>（二）</w:t>
      </w:r>
      <w:bookmarkStart w:id="125" w:name="OLE_LINK3"/>
      <w:r>
        <w:rPr>
          <w:rFonts w:hint="eastAsia"/>
          <w:b/>
          <w:sz w:val="24"/>
        </w:rPr>
        <w:t>基金管理人、基金托管人在履行各自职责的过程中，违反《基金法》等法律法规的规定或者本托管协议</w:t>
      </w:r>
      <w:r>
        <w:rPr>
          <w:rFonts w:hint="eastAsia" w:ascii="宋体" w:hAnsi="宋体"/>
          <w:b/>
          <w:bCs/>
          <w:sz w:val="24"/>
        </w:rPr>
        <w:t>约定</w:t>
      </w:r>
      <w:r>
        <w:rPr>
          <w:rFonts w:hint="eastAsia"/>
          <w:b/>
          <w:sz w:val="24"/>
        </w:rPr>
        <w:t>，给基金财产或者基金份额持有人造成损害的，应当分别对各自的行为依法承担赔偿责任；因共同行为给基金财产或者基金份额持有人造成损害的，应当承担连带赔偿责任，对损失的赔偿，仅限于直接损失，一方承担连带责任后有权根据另一方过错程度向另一方追偿。</w:t>
      </w:r>
      <w:bookmarkEnd w:id="125"/>
      <w:r>
        <w:rPr>
          <w:rFonts w:hint="eastAsia"/>
          <w:b/>
          <w:sz w:val="24"/>
        </w:rPr>
        <w:t>但是发生下列情况，当事人免责：</w:t>
      </w:r>
    </w:p>
    <w:p w14:paraId="33284D75">
      <w:pPr>
        <w:spacing w:line="360" w:lineRule="auto"/>
        <w:ind w:firstLine="480"/>
        <w:rPr>
          <w:rFonts w:ascii="宋体"/>
          <w:sz w:val="24"/>
        </w:rPr>
      </w:pPr>
      <w:r>
        <w:rPr>
          <w:rFonts w:hint="eastAsia" w:ascii="宋体" w:hAnsi="宋体"/>
          <w:sz w:val="24"/>
        </w:rPr>
        <w:t>1</w:t>
      </w:r>
      <w:r>
        <w:rPr>
          <w:rFonts w:ascii="宋体" w:hAnsi="宋体"/>
          <w:sz w:val="24"/>
        </w:rPr>
        <w:t>.</w:t>
      </w:r>
      <w:r>
        <w:rPr>
          <w:rFonts w:hint="eastAsia" w:ascii="宋体" w:hAnsi="宋体"/>
          <w:sz w:val="24"/>
        </w:rPr>
        <w:t>基金管理人和</w:t>
      </w:r>
      <w:r>
        <w:rPr>
          <w:rFonts w:ascii="宋体" w:hAnsi="宋体"/>
          <w:sz w:val="24"/>
        </w:rPr>
        <w:t>/</w:t>
      </w:r>
      <w:r>
        <w:rPr>
          <w:rFonts w:hint="eastAsia" w:ascii="宋体" w:hAnsi="宋体"/>
          <w:sz w:val="24"/>
        </w:rPr>
        <w:t>或基金托管人按照当时有效的法律法规、市场交易规则或中国证监会、银行业监督管理机构等监管机构的规定作为或不作为而造成的损失等；</w:t>
      </w:r>
    </w:p>
    <w:p w14:paraId="316CA6C2">
      <w:pPr>
        <w:spacing w:line="360" w:lineRule="auto"/>
        <w:ind w:firstLine="480"/>
        <w:rPr>
          <w:rFonts w:ascii="宋体"/>
          <w:sz w:val="24"/>
        </w:rPr>
      </w:pPr>
      <w:r>
        <w:rPr>
          <w:rFonts w:hint="eastAsia" w:ascii="宋体" w:hAnsi="宋体"/>
          <w:sz w:val="24"/>
        </w:rPr>
        <w:t>2</w:t>
      </w:r>
      <w:r>
        <w:rPr>
          <w:rFonts w:ascii="宋体" w:hAnsi="宋体"/>
          <w:sz w:val="24"/>
        </w:rPr>
        <w:t>.</w:t>
      </w:r>
      <w:r>
        <w:rPr>
          <w:rFonts w:hint="eastAsia" w:ascii="宋体" w:hAnsi="宋体"/>
          <w:sz w:val="24"/>
        </w:rPr>
        <w:t>基金管理人由于按照《基金合同》规定的投资原则行使或不行使其投资权而造成的损失等；</w:t>
      </w:r>
    </w:p>
    <w:p w14:paraId="736AAF3A">
      <w:pPr>
        <w:spacing w:line="360" w:lineRule="auto"/>
        <w:ind w:firstLine="480"/>
        <w:rPr>
          <w:rFonts w:ascii="宋体"/>
          <w:sz w:val="24"/>
        </w:rPr>
      </w:pPr>
      <w:r>
        <w:rPr>
          <w:rFonts w:hint="eastAsia" w:ascii="宋体" w:hAnsi="宋体"/>
          <w:sz w:val="24"/>
        </w:rPr>
        <w:t>3</w:t>
      </w:r>
      <w:r>
        <w:rPr>
          <w:rFonts w:ascii="宋体" w:hAnsi="宋体"/>
          <w:sz w:val="24"/>
        </w:rPr>
        <w:t>.不可抗力</w:t>
      </w:r>
      <w:r>
        <w:rPr>
          <w:rFonts w:hint="eastAsia" w:ascii="宋体" w:hAnsi="宋体"/>
          <w:sz w:val="24"/>
        </w:rPr>
        <w:t>。</w:t>
      </w:r>
    </w:p>
    <w:p w14:paraId="1BE71F33">
      <w:pPr>
        <w:spacing w:line="360" w:lineRule="auto"/>
        <w:ind w:firstLine="480"/>
        <w:rPr>
          <w:rFonts w:ascii="宋体"/>
          <w:sz w:val="24"/>
        </w:rPr>
      </w:pPr>
      <w:r>
        <w:rPr>
          <w:rFonts w:hint="eastAsia" w:ascii="宋体" w:hAnsi="宋体"/>
          <w:sz w:val="24"/>
        </w:rPr>
        <w:t>如果由于本协议一方当事人（“违约方”）的违约行为给基金资产或基金投资者造成损失，而另一方当事人（“非违约方”）赔偿了基金资产或基金投资者的损失，则非违约方有权向违约方追索由此遭受的所有直接损失。</w:t>
      </w:r>
    </w:p>
    <w:p w14:paraId="038EB120">
      <w:pPr>
        <w:spacing w:line="360" w:lineRule="auto"/>
        <w:ind w:firstLine="480"/>
        <w:rPr>
          <w:rFonts w:ascii="宋体"/>
          <w:sz w:val="24"/>
        </w:rPr>
      </w:pPr>
      <w:r>
        <w:rPr>
          <w:rFonts w:hint="eastAsia" w:ascii="宋体" w:hAnsi="宋体"/>
          <w:sz w:val="24"/>
        </w:rPr>
        <w:t>一方当事人违约，</w:t>
      </w:r>
      <w:bookmarkStart w:id="126" w:name="_Hlk104925037"/>
      <w:r>
        <w:rPr>
          <w:rFonts w:hint="eastAsia" w:ascii="宋体" w:hAnsi="宋体"/>
          <w:sz w:val="24"/>
        </w:rPr>
        <w:t>非违约方当事人在职责范围内有义务及时采取必要的措施，尽力防止损失的扩大。没有采取适当措施致使损失进一步扩大的，不得就扩大的损失要求赔偿。非违约方因防止损失扩大而支出的合理费用由违约方承担。</w:t>
      </w:r>
      <w:bookmarkEnd w:id="126"/>
    </w:p>
    <w:p w14:paraId="7C263B3A">
      <w:pPr>
        <w:spacing w:line="360" w:lineRule="auto"/>
        <w:ind w:firstLine="480"/>
        <w:rPr>
          <w:rFonts w:ascii="宋体"/>
          <w:sz w:val="24"/>
        </w:rPr>
      </w:pPr>
      <w:bookmarkStart w:id="127" w:name="_Hlk104925063"/>
      <w:r>
        <w:rPr>
          <w:rFonts w:hint="eastAsia" w:ascii="宋体" w:hAnsi="宋体"/>
          <w:sz w:val="24"/>
        </w:rPr>
        <w:t>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或减轻由此造成的影响。</w:t>
      </w:r>
      <w:bookmarkEnd w:id="127"/>
    </w:p>
    <w:p w14:paraId="40839691">
      <w:pPr>
        <w:tabs>
          <w:tab w:val="left" w:pos="3780"/>
        </w:tabs>
        <w:spacing w:line="360" w:lineRule="auto"/>
        <w:ind w:firstLine="482"/>
        <w:outlineLvl w:val="0"/>
        <w:rPr>
          <w:b/>
          <w:sz w:val="24"/>
        </w:rPr>
      </w:pPr>
      <w:r>
        <w:rPr>
          <w:rFonts w:hint="eastAsia"/>
          <w:b/>
          <w:sz w:val="24"/>
        </w:rPr>
        <w:t>（三）托管</w:t>
      </w:r>
      <w:r>
        <w:rPr>
          <w:rFonts w:hint="eastAsia" w:ascii="宋体" w:hAnsi="宋体"/>
          <w:b/>
          <w:bCs/>
          <w:sz w:val="24"/>
        </w:rPr>
        <w:t>协议</w:t>
      </w:r>
      <w:r>
        <w:rPr>
          <w:rFonts w:hint="eastAsia"/>
          <w:b/>
          <w:sz w:val="24"/>
        </w:rPr>
        <w:t>当事人违反托管协议，给另一方当事人造成损失的，应承担赔偿责任。</w:t>
      </w:r>
    </w:p>
    <w:p w14:paraId="4089E1DE">
      <w:pPr>
        <w:tabs>
          <w:tab w:val="left" w:pos="3780"/>
        </w:tabs>
        <w:spacing w:line="360" w:lineRule="auto"/>
        <w:ind w:firstLine="482"/>
        <w:outlineLvl w:val="0"/>
        <w:rPr>
          <w:b/>
          <w:sz w:val="24"/>
        </w:rPr>
      </w:pPr>
      <w:r>
        <w:rPr>
          <w:rFonts w:hint="eastAsia"/>
          <w:b/>
          <w:sz w:val="24"/>
        </w:rPr>
        <w:t>（四）违约行为虽已发生，但本托管协议能够继续履行的，在最大限度地保护基金份额持有人</w:t>
      </w:r>
      <w:r>
        <w:rPr>
          <w:rFonts w:hint="eastAsia" w:ascii="宋体" w:hAnsi="宋体"/>
          <w:b/>
          <w:bCs/>
          <w:sz w:val="24"/>
        </w:rPr>
        <w:t>利益</w:t>
      </w:r>
      <w:r>
        <w:rPr>
          <w:b/>
          <w:sz w:val="24"/>
        </w:rPr>
        <w:t>的前提下，基金管理人和基金托管人应当继续履行本协议。</w:t>
      </w:r>
      <w:bookmarkStart w:id="128" w:name="_Toc523830010"/>
      <w:bookmarkStart w:id="129" w:name="_Toc22454480"/>
      <w:bookmarkStart w:id="130" w:name="_Toc466788868"/>
      <w:bookmarkStart w:id="131" w:name="_Toc125892454"/>
    </w:p>
    <w:p w14:paraId="4B5D7F33">
      <w:pPr>
        <w:tabs>
          <w:tab w:val="left" w:pos="3780"/>
        </w:tabs>
        <w:spacing w:line="360" w:lineRule="auto"/>
        <w:ind w:firstLine="482"/>
        <w:outlineLvl w:val="0"/>
        <w:rPr>
          <w:b/>
          <w:sz w:val="24"/>
        </w:rPr>
      </w:pPr>
      <w:r>
        <w:rPr>
          <w:rFonts w:hint="eastAsia"/>
          <w:b/>
          <w:sz w:val="24"/>
        </w:rPr>
        <w:t>（五）本协议所指损失均为直接损失。</w:t>
      </w:r>
    </w:p>
    <w:p w14:paraId="2DC301F8">
      <w:pPr>
        <w:pStyle w:val="214"/>
      </w:pPr>
      <w:bookmarkStart w:id="132" w:name="_Toc35001443"/>
      <w:r>
        <w:t>十八、争议</w:t>
      </w:r>
      <w:bookmarkEnd w:id="128"/>
      <w:bookmarkEnd w:id="129"/>
      <w:bookmarkEnd w:id="130"/>
      <w:r>
        <w:t>解决方式</w:t>
      </w:r>
      <w:bookmarkEnd w:id="131"/>
      <w:bookmarkEnd w:id="132"/>
    </w:p>
    <w:p w14:paraId="1752DB14">
      <w:pPr>
        <w:spacing w:line="360" w:lineRule="auto"/>
        <w:ind w:firstLine="482"/>
        <w:rPr>
          <w:rFonts w:ascii="宋体" w:hAnsi="宋体"/>
          <w:b/>
          <w:i/>
          <w:sz w:val="24"/>
        </w:rPr>
      </w:pPr>
      <w:bookmarkStart w:id="133" w:name="_Toc466788869"/>
      <w:bookmarkStart w:id="134" w:name="_Toc125892455"/>
      <w:bookmarkStart w:id="135" w:name="_Toc523830011"/>
      <w:bookmarkStart w:id="136" w:name="_Toc22454481"/>
      <w:r>
        <w:rPr>
          <w:rFonts w:hint="eastAsia" w:ascii="宋体" w:hAnsi="宋体"/>
          <w:b/>
          <w:i/>
          <w:sz w:val="24"/>
        </w:rPr>
        <w:t>对于因本协议的订立、内容、履行和解释或与本协议有关的争议，当事人应尽量通过协商、调解途径解决。不愿或者不能通过协商、调解解决的，任何一方均有权将争议提交</w:t>
      </w:r>
      <w:r>
        <w:rPr>
          <w:rFonts w:hint="eastAsia" w:cs="宋体" w:asciiTheme="minorEastAsia" w:hAnsiTheme="minorEastAsia"/>
          <w:b/>
          <w:i/>
          <w:sz w:val="24"/>
        </w:rPr>
        <w:t>深圳国际仲裁院（深圳仲裁委员会）</w:t>
      </w:r>
      <w:r>
        <w:rPr>
          <w:rFonts w:hint="eastAsia" w:ascii="宋体" w:hAnsi="宋体"/>
          <w:b/>
          <w:i/>
          <w:sz w:val="24"/>
        </w:rPr>
        <w:t>，按照</w:t>
      </w:r>
      <w:r>
        <w:rPr>
          <w:rFonts w:hint="eastAsia" w:cs="宋体" w:asciiTheme="minorEastAsia" w:hAnsiTheme="minorEastAsia"/>
          <w:b/>
          <w:i/>
          <w:sz w:val="24"/>
        </w:rPr>
        <w:t>深圳国际仲裁院（深圳仲裁委员会）</w:t>
      </w:r>
      <w:r>
        <w:rPr>
          <w:rFonts w:hint="eastAsia" w:ascii="宋体" w:hAnsi="宋体"/>
          <w:b/>
          <w:i/>
          <w:sz w:val="24"/>
        </w:rPr>
        <w:t>届时有效的仲裁规则进行仲裁。仲裁地点为</w:t>
      </w:r>
      <w:r>
        <w:rPr>
          <w:rFonts w:hint="eastAsia" w:cs="宋体" w:asciiTheme="minorEastAsia" w:hAnsiTheme="minorEastAsia"/>
          <w:b/>
          <w:i/>
          <w:sz w:val="24"/>
        </w:rPr>
        <w:t>深圳</w:t>
      </w:r>
      <w:r>
        <w:rPr>
          <w:rFonts w:hint="eastAsia" w:ascii="宋体" w:hAnsi="宋体"/>
          <w:b/>
          <w:i/>
          <w:sz w:val="24"/>
        </w:rPr>
        <w:t>市。仲裁裁决是终局的，对双方当事人均有约束力。除仲裁裁决另有规定的，仲裁费用、律师费用由败诉方承担。</w:t>
      </w:r>
    </w:p>
    <w:p w14:paraId="06C64748">
      <w:pPr>
        <w:spacing w:line="360" w:lineRule="auto"/>
        <w:ind w:firstLine="482"/>
        <w:rPr>
          <w:rFonts w:ascii="宋体" w:hAnsi="宋体"/>
          <w:b/>
          <w:i/>
          <w:sz w:val="24"/>
        </w:rPr>
      </w:pPr>
      <w:r>
        <w:rPr>
          <w:rFonts w:hint="eastAsia" w:ascii="宋体" w:hAnsi="宋体"/>
          <w:b/>
          <w:i/>
          <w:sz w:val="24"/>
        </w:rPr>
        <w:t>争议处理期间，双方当事人应恪守各自的职责，继续忠实、勤勉、尽责地履行基金合同规定的义务，维护基金份额持有人的合法权益。</w:t>
      </w:r>
    </w:p>
    <w:p w14:paraId="6B3C89EA">
      <w:pPr>
        <w:spacing w:line="360" w:lineRule="auto"/>
        <w:ind w:firstLine="482"/>
        <w:rPr>
          <w:rFonts w:ascii="宋体"/>
          <w:b/>
          <w:i/>
          <w:sz w:val="24"/>
        </w:rPr>
      </w:pPr>
      <w:r>
        <w:rPr>
          <w:rFonts w:hint="eastAsia" w:ascii="宋体" w:hAnsi="宋体"/>
          <w:b/>
          <w:i/>
          <w:sz w:val="24"/>
        </w:rPr>
        <w:t>本协议受中国法律（为本协议之目的，在此不包括香港、澳门特别行政区和台湾地区的有关规定）管辖，并从其解释。</w:t>
      </w:r>
    </w:p>
    <w:p w14:paraId="3D4FA991">
      <w:pPr>
        <w:pStyle w:val="214"/>
      </w:pPr>
      <w:bookmarkStart w:id="137" w:name="_Toc35001444"/>
      <w:r>
        <w:t>十九、基金托管协议的效力</w:t>
      </w:r>
      <w:bookmarkEnd w:id="133"/>
      <w:bookmarkEnd w:id="134"/>
      <w:bookmarkEnd w:id="135"/>
      <w:bookmarkEnd w:id="136"/>
      <w:bookmarkEnd w:id="137"/>
    </w:p>
    <w:p w14:paraId="0B91E4C3">
      <w:pPr>
        <w:tabs>
          <w:tab w:val="left" w:pos="3780"/>
        </w:tabs>
        <w:spacing w:line="360" w:lineRule="auto"/>
        <w:ind w:firstLine="482"/>
        <w:outlineLvl w:val="0"/>
        <w:rPr>
          <w:b/>
          <w:sz w:val="24"/>
        </w:rPr>
      </w:pPr>
      <w:r>
        <w:rPr>
          <w:rFonts w:hint="eastAsia"/>
          <w:b/>
          <w:sz w:val="24"/>
        </w:rPr>
        <w:t>（一）基金托管协议应经托管协议当事人双方盖章以及双方法定代表人或授权代表签字或</w:t>
      </w:r>
      <w:r>
        <w:rPr>
          <w:b/>
          <w:sz w:val="24"/>
        </w:rPr>
        <w:t>盖章</w:t>
      </w:r>
      <w:r>
        <w:rPr>
          <w:rFonts w:hint="eastAsia"/>
          <w:b/>
          <w:sz w:val="24"/>
        </w:rPr>
        <w:t>。</w:t>
      </w:r>
    </w:p>
    <w:p w14:paraId="4EB020EF">
      <w:pPr>
        <w:tabs>
          <w:tab w:val="left" w:pos="3780"/>
        </w:tabs>
        <w:spacing w:line="360" w:lineRule="auto"/>
        <w:ind w:firstLine="482"/>
        <w:outlineLvl w:val="0"/>
        <w:rPr>
          <w:b/>
          <w:sz w:val="24"/>
        </w:rPr>
      </w:pPr>
      <w:r>
        <w:rPr>
          <w:rFonts w:hint="eastAsia"/>
          <w:b/>
          <w:sz w:val="24"/>
        </w:rPr>
        <w:t>（二）基金托管协议自《基金合同》生效之日起生效。基金</w:t>
      </w:r>
      <w:r>
        <w:rPr>
          <w:rFonts w:hint="eastAsia" w:ascii="宋体" w:hAnsi="宋体"/>
          <w:b/>
          <w:bCs/>
          <w:sz w:val="24"/>
        </w:rPr>
        <w:t>托管</w:t>
      </w:r>
      <w:r>
        <w:rPr>
          <w:rFonts w:hint="eastAsia"/>
          <w:b/>
          <w:sz w:val="24"/>
        </w:rPr>
        <w:t>协议的有效期自其生效之日起至基金财产清算结果报中国证监会备案并公告之日止。</w:t>
      </w:r>
    </w:p>
    <w:p w14:paraId="2D494DBB">
      <w:pPr>
        <w:tabs>
          <w:tab w:val="left" w:pos="3780"/>
        </w:tabs>
        <w:spacing w:line="360" w:lineRule="auto"/>
        <w:ind w:firstLine="482"/>
        <w:outlineLvl w:val="0"/>
        <w:rPr>
          <w:b/>
          <w:sz w:val="24"/>
        </w:rPr>
      </w:pPr>
      <w:r>
        <w:rPr>
          <w:rFonts w:hint="eastAsia"/>
          <w:b/>
          <w:sz w:val="24"/>
        </w:rPr>
        <w:t>（三）基金托管</w:t>
      </w:r>
      <w:r>
        <w:rPr>
          <w:rFonts w:hint="eastAsia" w:ascii="宋体" w:hAnsi="宋体"/>
          <w:b/>
          <w:bCs/>
          <w:sz w:val="24"/>
        </w:rPr>
        <w:t>协议</w:t>
      </w:r>
      <w:r>
        <w:rPr>
          <w:rFonts w:hint="eastAsia"/>
          <w:b/>
          <w:sz w:val="24"/>
        </w:rPr>
        <w:t>自生效之日起对托管协议当事人具有同等的法律约束力。</w:t>
      </w:r>
    </w:p>
    <w:p w14:paraId="1413BD22">
      <w:pPr>
        <w:tabs>
          <w:tab w:val="left" w:pos="3780"/>
        </w:tabs>
        <w:spacing w:line="360" w:lineRule="auto"/>
        <w:ind w:firstLine="482"/>
        <w:outlineLvl w:val="0"/>
        <w:rPr>
          <w:b/>
          <w:sz w:val="24"/>
        </w:rPr>
      </w:pPr>
      <w:r>
        <w:rPr>
          <w:rFonts w:hint="eastAsia"/>
          <w:b/>
          <w:sz w:val="24"/>
        </w:rPr>
        <w:t>（四）本协议正本一式叁份，除上报有关监管机构一式壹份外，基金管理人、基金托管人各持有壹份，每份具有同等的法律效力。</w:t>
      </w:r>
    </w:p>
    <w:p w14:paraId="4886725A">
      <w:pPr>
        <w:pStyle w:val="214"/>
      </w:pPr>
      <w:bookmarkStart w:id="138" w:name="_Toc35001445"/>
      <w:r>
        <w:t>二十、其他事项</w:t>
      </w:r>
      <w:bookmarkEnd w:id="138"/>
    </w:p>
    <w:p w14:paraId="7BABD52A">
      <w:pPr>
        <w:spacing w:line="360" w:lineRule="auto"/>
        <w:ind w:firstLine="480"/>
      </w:pPr>
      <w:r>
        <w:rPr>
          <w:rFonts w:hint="eastAsia" w:ascii="宋体" w:hAnsi="宋体"/>
          <w:sz w:val="24"/>
        </w:rPr>
        <w:t>本协议未尽事宜，当事人依据基金合同、有关法律法规等规定协商办理。</w:t>
      </w:r>
    </w:p>
    <w:sectPr>
      <w:footerReference r:id="rId9" w:type="default"/>
      <w:pgSz w:w="12240" w:h="15840"/>
      <w:pgMar w:top="1440" w:right="1800" w:bottom="1440" w:left="1800" w:header="720" w:footer="720" w:gutter="0"/>
      <w:pgNumType w:start="1"/>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0EA11">
    <w:pPr>
      <w:pStyle w:val="216"/>
      <w:rPr>
        <w:rStyle w:val="30"/>
      </w:rPr>
    </w:pPr>
    <w:r>
      <w:rPr>
        <w:rStyle w:val="30"/>
      </w:rPr>
      <w:fldChar w:fldCharType="begin"/>
    </w:r>
    <w:r>
      <w:rPr>
        <w:rStyle w:val="30"/>
      </w:rPr>
      <w:instrText xml:space="preserve">PAGE  </w:instrText>
    </w:r>
    <w:r>
      <w:rPr>
        <w:rStyle w:val="30"/>
      </w:rPr>
      <w:fldChar w:fldCharType="end"/>
    </w:r>
  </w:p>
  <w:p w14:paraId="22EA6C9A">
    <w:pPr>
      <w:pStyle w:val="21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499FD">
    <w:pPr>
      <w:pStyle w:val="216"/>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E2A71">
    <w:pPr>
      <w:pStyle w:val="21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1D4A4">
    <w:pPr>
      <w:pStyle w:val="21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5297A4">
                          <w:pPr>
                            <w:pStyle w:val="13"/>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Na8P8XFAQAAkAMAAA4AAAAAAAAAAQAgAAAAHgEAAGRycy9lMm9Eb2MueG1s&#10;UEsFBgAAAAAGAAYAWQEAAFUFAAAAAA==&#10;">
              <v:fill on="f" focussize="0,0"/>
              <v:stroke on="f"/>
              <v:imagedata o:title=""/>
              <o:lock v:ext="edit" aspectratio="f"/>
              <v:textbox inset="0mm,0mm,0mm,0mm" style="mso-fit-shape-to-text:t;">
                <w:txbxContent>
                  <w:p w14:paraId="255297A4">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402B2">
    <w:pPr>
      <w:pStyle w:val="217"/>
      <w:ind w:left="7470" w:right="360" w:hanging="7470"/>
      <w:jc w:val="right"/>
    </w:pPr>
    <w:r>
      <w:rPr>
        <w:rFonts w:hint="eastAsia" w:ascii="宋体" w:hAnsi="宋体"/>
        <w:sz w:val="21"/>
        <w:szCs w:val="21"/>
      </w:rPr>
      <w:t>博时中证有色金属矿业主题交易型开放式指数证券投资基金联接基金</w:t>
    </w:r>
    <w:r>
      <w:rPr>
        <w:rFonts w:hint="eastAsia"/>
      </w:rPr>
      <w:t>托管协议</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3663F1"/>
    <w:multiLevelType w:val="multilevel"/>
    <w:tmpl w:val="153663F1"/>
    <w:lvl w:ilvl="0" w:tentative="0">
      <w:start w:val="1"/>
      <w:numFmt w:val="decimal"/>
      <w:pStyle w:val="235"/>
      <w:lvlText w:val="(%1)"/>
      <w:lvlJc w:val="left"/>
      <w:pPr>
        <w:tabs>
          <w:tab w:val="left" w:pos="1941"/>
        </w:tabs>
        <w:ind w:left="1941" w:hanging="681"/>
      </w:pPr>
      <w:rPr>
        <w:rFonts w:hint="default" w:ascii="Arial" w:hAnsi="Arial" w:cs="Times New Roman"/>
        <w:b w:val="0"/>
        <w:i w:val="0"/>
        <w:sz w:val="20"/>
      </w:rPr>
    </w:lvl>
    <w:lvl w:ilvl="1" w:tentative="0">
      <w:start w:val="1"/>
      <w:numFmt w:val="lowerLetter"/>
      <w:lvlText w:val="%2."/>
      <w:lvlJc w:val="left"/>
      <w:pPr>
        <w:tabs>
          <w:tab w:val="left" w:pos="1620"/>
        </w:tabs>
        <w:ind w:left="1620" w:hanging="360"/>
      </w:pPr>
      <w:rPr>
        <w:rFonts w:hint="default" w:cs="Times New Roman"/>
      </w:rPr>
    </w:lvl>
    <w:lvl w:ilvl="2" w:tentative="0">
      <w:start w:val="1"/>
      <w:numFmt w:val="lowerRoman"/>
      <w:lvlText w:val="%3."/>
      <w:lvlJc w:val="right"/>
      <w:pPr>
        <w:tabs>
          <w:tab w:val="left" w:pos="2340"/>
        </w:tabs>
        <w:ind w:left="2340" w:hanging="180"/>
      </w:pPr>
      <w:rPr>
        <w:rFonts w:hint="default" w:cs="Times New Roman"/>
      </w:rPr>
    </w:lvl>
    <w:lvl w:ilvl="3" w:tentative="0">
      <w:start w:val="1"/>
      <w:numFmt w:val="decimal"/>
      <w:lvlText w:val="%4."/>
      <w:lvlJc w:val="left"/>
      <w:pPr>
        <w:tabs>
          <w:tab w:val="left" w:pos="3060"/>
        </w:tabs>
        <w:ind w:left="3060" w:hanging="360"/>
      </w:pPr>
      <w:rPr>
        <w:rFonts w:hint="default" w:cs="Times New Roman"/>
      </w:rPr>
    </w:lvl>
    <w:lvl w:ilvl="4" w:tentative="0">
      <w:start w:val="1"/>
      <w:numFmt w:val="lowerLetter"/>
      <w:lvlText w:val="%5."/>
      <w:lvlJc w:val="left"/>
      <w:pPr>
        <w:tabs>
          <w:tab w:val="left" w:pos="3780"/>
        </w:tabs>
        <w:ind w:left="3780" w:hanging="360"/>
      </w:pPr>
      <w:rPr>
        <w:rFonts w:hint="default" w:cs="Times New Roman"/>
      </w:rPr>
    </w:lvl>
    <w:lvl w:ilvl="5" w:tentative="0">
      <w:start w:val="1"/>
      <w:numFmt w:val="lowerRoman"/>
      <w:lvlText w:val="%6."/>
      <w:lvlJc w:val="right"/>
      <w:pPr>
        <w:tabs>
          <w:tab w:val="left" w:pos="4500"/>
        </w:tabs>
        <w:ind w:left="4500" w:hanging="180"/>
      </w:pPr>
      <w:rPr>
        <w:rFonts w:hint="default" w:cs="Times New Roman"/>
      </w:rPr>
    </w:lvl>
    <w:lvl w:ilvl="6" w:tentative="0">
      <w:start w:val="1"/>
      <w:numFmt w:val="decimal"/>
      <w:lvlText w:val="%7."/>
      <w:lvlJc w:val="left"/>
      <w:pPr>
        <w:tabs>
          <w:tab w:val="left" w:pos="5220"/>
        </w:tabs>
        <w:ind w:left="5220" w:hanging="360"/>
      </w:pPr>
      <w:rPr>
        <w:rFonts w:hint="default" w:cs="Times New Roman"/>
      </w:rPr>
    </w:lvl>
    <w:lvl w:ilvl="7" w:tentative="0">
      <w:start w:val="1"/>
      <w:numFmt w:val="lowerLetter"/>
      <w:lvlText w:val="%8."/>
      <w:lvlJc w:val="left"/>
      <w:pPr>
        <w:tabs>
          <w:tab w:val="left" w:pos="5940"/>
        </w:tabs>
        <w:ind w:left="5940" w:hanging="360"/>
      </w:pPr>
      <w:rPr>
        <w:rFonts w:hint="default" w:cs="Times New Roman"/>
      </w:rPr>
    </w:lvl>
    <w:lvl w:ilvl="8" w:tentative="0">
      <w:start w:val="1"/>
      <w:numFmt w:val="lowerRoman"/>
      <w:lvlText w:val="%9."/>
      <w:lvlJc w:val="right"/>
      <w:pPr>
        <w:tabs>
          <w:tab w:val="left" w:pos="6660"/>
        </w:tabs>
        <w:ind w:left="6660" w:hanging="180"/>
      </w:pPr>
      <w:rPr>
        <w:rFonts w:hint="default"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64E"/>
    <w:rsid w:val="0003749A"/>
    <w:rsid w:val="00330342"/>
    <w:rsid w:val="003E51A7"/>
    <w:rsid w:val="00404D42"/>
    <w:rsid w:val="004D00D7"/>
    <w:rsid w:val="00573BF1"/>
    <w:rsid w:val="0062664E"/>
    <w:rsid w:val="006B269F"/>
    <w:rsid w:val="006E4700"/>
    <w:rsid w:val="00705858"/>
    <w:rsid w:val="00741C4E"/>
    <w:rsid w:val="00775E9A"/>
    <w:rsid w:val="008942F4"/>
    <w:rsid w:val="009A4F1D"/>
    <w:rsid w:val="00A20A09"/>
    <w:rsid w:val="00A272DA"/>
    <w:rsid w:val="00A5593D"/>
    <w:rsid w:val="00A65945"/>
    <w:rsid w:val="00D43F97"/>
    <w:rsid w:val="00D6769D"/>
    <w:rsid w:val="00E87729"/>
    <w:rsid w:val="00EF0BE6"/>
    <w:rsid w:val="00F235EC"/>
    <w:rsid w:val="00F50E57"/>
    <w:rsid w:val="00FA6C02"/>
    <w:rsid w:val="0B9013F3"/>
    <w:rsid w:val="0EEA4326"/>
    <w:rsid w:val="15F66007"/>
    <w:rsid w:val="17CF406B"/>
    <w:rsid w:val="1ECE0145"/>
    <w:rsid w:val="21CF659D"/>
    <w:rsid w:val="241D03FD"/>
    <w:rsid w:val="2F4A1678"/>
    <w:rsid w:val="2FF7590A"/>
    <w:rsid w:val="33D4675F"/>
    <w:rsid w:val="350C225A"/>
    <w:rsid w:val="3AFFF832"/>
    <w:rsid w:val="3B7A00F6"/>
    <w:rsid w:val="3BDE8A26"/>
    <w:rsid w:val="3E8F2B29"/>
    <w:rsid w:val="3FDD8B3D"/>
    <w:rsid w:val="3FFF1D6F"/>
    <w:rsid w:val="460566D8"/>
    <w:rsid w:val="496F0CD8"/>
    <w:rsid w:val="4B007389"/>
    <w:rsid w:val="5A0737AE"/>
    <w:rsid w:val="5E542CD9"/>
    <w:rsid w:val="5EEA3A70"/>
    <w:rsid w:val="5FF7D287"/>
    <w:rsid w:val="64194D16"/>
    <w:rsid w:val="642E1ABA"/>
    <w:rsid w:val="67AC7EFD"/>
    <w:rsid w:val="6AE30C2A"/>
    <w:rsid w:val="6DBB2D3F"/>
    <w:rsid w:val="6FF97262"/>
    <w:rsid w:val="737A5C2F"/>
    <w:rsid w:val="73EA0322"/>
    <w:rsid w:val="765A52C9"/>
    <w:rsid w:val="78571C40"/>
    <w:rsid w:val="7FA7430A"/>
    <w:rsid w:val="7FFFE731"/>
    <w:rsid w:val="9FEB0194"/>
    <w:rsid w:val="A73F00D7"/>
    <w:rsid w:val="D7FBE9AC"/>
    <w:rsid w:val="ECB7F291"/>
    <w:rsid w:val="EDBDEF13"/>
    <w:rsid w:val="EF5515D9"/>
    <w:rsid w:val="F7FFDDC7"/>
    <w:rsid w:val="F83FEE77"/>
    <w:rsid w:val="F9ECCA08"/>
    <w:rsid w:val="FDB2187B"/>
    <w:rsid w:val="FEF6C9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mbria"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000000" w:sz="0" w:space="0"/>
        <w:left w:val="none" w:color="000000" w:sz="0" w:space="0"/>
        <w:bottom w:val="none" w:color="000000" w:sz="0" w:space="0"/>
        <w:right w:val="none" w:color="000000" w:sz="0" w:space="0"/>
        <w:between w:val="none" w:color="000000" w:sz="0" w:space="0"/>
      </w:pBdr>
      <w:spacing w:after="200" w:line="276" w:lineRule="auto"/>
      <w:jc w:val="both"/>
    </w:pPr>
    <w:rPr>
      <w:rFonts w:ascii="Times New Roman" w:hAnsi="Times New Roman" w:eastAsia="宋体" w:cs="Times New Roman"/>
      <w:sz w:val="21"/>
      <w:szCs w:val="24"/>
      <w:lang w:val="en-US" w:eastAsia="zh-CN" w:bidi="ar-SA"/>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226"/>
    <w:semiHidden/>
    <w:qFormat/>
    <w:uiPriority w:val="99"/>
    <w:rPr>
      <w:sz w:val="18"/>
      <w:szCs w:val="18"/>
    </w:rPr>
  </w:style>
  <w:style w:type="paragraph" w:styleId="3">
    <w:name w:val="toc 7"/>
    <w:basedOn w:val="1"/>
    <w:next w:val="1"/>
    <w:semiHidden/>
    <w:qFormat/>
    <w:uiPriority w:val="99"/>
    <w:pPr>
      <w:ind w:left="2520"/>
    </w:pPr>
  </w:style>
  <w:style w:type="paragraph" w:styleId="4">
    <w:name w:val="Document Map"/>
    <w:basedOn w:val="1"/>
    <w:link w:val="228"/>
    <w:semiHidden/>
    <w:qFormat/>
    <w:uiPriority w:val="99"/>
    <w:pPr>
      <w:shd w:val="clear" w:color="000080" w:fill="000080"/>
    </w:pPr>
  </w:style>
  <w:style w:type="paragraph" w:styleId="5">
    <w:name w:val="annotation text"/>
    <w:basedOn w:val="1"/>
    <w:link w:val="229"/>
    <w:qFormat/>
    <w:uiPriority w:val="0"/>
    <w:pPr>
      <w:jc w:val="left"/>
    </w:pPr>
  </w:style>
  <w:style w:type="paragraph" w:styleId="6">
    <w:name w:val="Body Text"/>
    <w:basedOn w:val="1"/>
    <w:link w:val="233"/>
    <w:qFormat/>
    <w:uiPriority w:val="99"/>
    <w:pPr>
      <w:tabs>
        <w:tab w:val="left" w:pos="3780"/>
      </w:tabs>
      <w:spacing w:line="360" w:lineRule="auto"/>
      <w:outlineLvl w:val="0"/>
    </w:pPr>
    <w:rPr>
      <w:rFonts w:ascii="宋体" w:hAnsi="宋体"/>
      <w:b/>
      <w:bCs/>
      <w:color w:val="FF0000"/>
      <w:sz w:val="24"/>
    </w:rPr>
  </w:style>
  <w:style w:type="paragraph" w:styleId="7">
    <w:name w:val="Body Text Indent"/>
    <w:basedOn w:val="1"/>
    <w:link w:val="222"/>
    <w:qFormat/>
    <w:uiPriority w:val="99"/>
    <w:pPr>
      <w:spacing w:line="360" w:lineRule="auto"/>
      <w:ind w:firstLine="420"/>
    </w:pPr>
    <w:rPr>
      <w:sz w:val="20"/>
      <w:szCs w:val="20"/>
    </w:rPr>
  </w:style>
  <w:style w:type="paragraph" w:styleId="8">
    <w:name w:val="toc 5"/>
    <w:basedOn w:val="1"/>
    <w:next w:val="1"/>
    <w:semiHidden/>
    <w:qFormat/>
    <w:uiPriority w:val="99"/>
    <w:pPr>
      <w:ind w:left="1680"/>
    </w:pPr>
  </w:style>
  <w:style w:type="paragraph" w:styleId="9">
    <w:name w:val="toc 3"/>
    <w:basedOn w:val="1"/>
    <w:next w:val="1"/>
    <w:semiHidden/>
    <w:qFormat/>
    <w:uiPriority w:val="99"/>
    <w:pPr>
      <w:ind w:left="840"/>
    </w:pPr>
  </w:style>
  <w:style w:type="paragraph" w:styleId="10">
    <w:name w:val="toc 8"/>
    <w:basedOn w:val="1"/>
    <w:next w:val="1"/>
    <w:semiHidden/>
    <w:qFormat/>
    <w:uiPriority w:val="99"/>
    <w:pPr>
      <w:ind w:left="2940"/>
    </w:pPr>
  </w:style>
  <w:style w:type="paragraph" w:styleId="11">
    <w:name w:val="Body Text Indent 2"/>
    <w:basedOn w:val="1"/>
    <w:link w:val="232"/>
    <w:qFormat/>
    <w:uiPriority w:val="99"/>
    <w:pPr>
      <w:tabs>
        <w:tab w:val="left" w:pos="1260"/>
      </w:tabs>
      <w:spacing w:line="360" w:lineRule="auto"/>
      <w:ind w:firstLine="480"/>
    </w:pPr>
    <w:rPr>
      <w:rFonts w:ascii="宋体" w:hAnsi="宋体"/>
      <w:sz w:val="24"/>
    </w:rPr>
  </w:style>
  <w:style w:type="paragraph" w:styleId="12">
    <w:name w:val="endnote text"/>
    <w:basedOn w:val="1"/>
    <w:link w:val="64"/>
    <w:semiHidden/>
    <w:unhideWhenUsed/>
    <w:qFormat/>
    <w:uiPriority w:val="99"/>
    <w:pPr>
      <w:spacing w:after="0" w:line="240" w:lineRule="auto"/>
    </w:pPr>
    <w:rPr>
      <w:sz w:val="20"/>
    </w:rPr>
  </w:style>
  <w:style w:type="paragraph" w:styleId="13">
    <w:name w:val="footer"/>
    <w:basedOn w:val="1"/>
    <w:link w:val="249"/>
    <w:unhideWhenUsed/>
    <w:qFormat/>
    <w:uiPriority w:val="99"/>
    <w:pPr>
      <w:tabs>
        <w:tab w:val="center" w:pos="4153"/>
        <w:tab w:val="right" w:pos="8306"/>
      </w:tabs>
      <w:snapToGrid w:val="0"/>
      <w:spacing w:line="240" w:lineRule="auto"/>
      <w:jc w:val="left"/>
    </w:pPr>
    <w:rPr>
      <w:sz w:val="18"/>
      <w:szCs w:val="18"/>
    </w:rPr>
  </w:style>
  <w:style w:type="paragraph" w:styleId="14">
    <w:name w:val="header"/>
    <w:basedOn w:val="1"/>
    <w:link w:val="248"/>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5">
    <w:name w:val="toc 1"/>
    <w:basedOn w:val="1"/>
    <w:next w:val="1"/>
    <w:qFormat/>
    <w:uiPriority w:val="39"/>
    <w:pPr>
      <w:tabs>
        <w:tab w:val="right" w:leader="dot" w:pos="8455"/>
      </w:tabs>
      <w:spacing w:before="120" w:line="360" w:lineRule="auto"/>
      <w:ind w:firstLine="425"/>
      <w:jc w:val="left"/>
    </w:pPr>
    <w:rPr>
      <w:b/>
      <w:caps/>
      <w:sz w:val="20"/>
      <w:szCs w:val="20"/>
    </w:rPr>
  </w:style>
  <w:style w:type="paragraph" w:styleId="16">
    <w:name w:val="toc 4"/>
    <w:basedOn w:val="1"/>
    <w:next w:val="1"/>
    <w:semiHidden/>
    <w:qFormat/>
    <w:uiPriority w:val="99"/>
    <w:pPr>
      <w:ind w:left="1260"/>
    </w:pPr>
  </w:style>
  <w:style w:type="paragraph" w:styleId="17">
    <w:name w:val="Subtitle"/>
    <w:basedOn w:val="1"/>
    <w:next w:val="1"/>
    <w:link w:val="99"/>
    <w:qFormat/>
    <w:uiPriority w:val="11"/>
    <w:pPr>
      <w:spacing w:before="200"/>
    </w:pPr>
    <w:rPr>
      <w:sz w:val="24"/>
    </w:rPr>
  </w:style>
  <w:style w:type="paragraph" w:styleId="18">
    <w:name w:val="footnote text"/>
    <w:basedOn w:val="1"/>
    <w:link w:val="212"/>
    <w:semiHidden/>
    <w:unhideWhenUsed/>
    <w:qFormat/>
    <w:uiPriority w:val="99"/>
    <w:pPr>
      <w:spacing w:after="40"/>
    </w:pPr>
    <w:rPr>
      <w:sz w:val="18"/>
    </w:rPr>
  </w:style>
  <w:style w:type="paragraph" w:styleId="19">
    <w:name w:val="toc 6"/>
    <w:basedOn w:val="1"/>
    <w:next w:val="1"/>
    <w:semiHidden/>
    <w:qFormat/>
    <w:uiPriority w:val="99"/>
    <w:pPr>
      <w:ind w:left="2100"/>
    </w:pPr>
  </w:style>
  <w:style w:type="paragraph" w:styleId="20">
    <w:name w:val="table of figures"/>
    <w:basedOn w:val="1"/>
    <w:next w:val="1"/>
    <w:unhideWhenUsed/>
    <w:qFormat/>
    <w:uiPriority w:val="99"/>
    <w:pPr>
      <w:spacing w:after="0"/>
    </w:pPr>
  </w:style>
  <w:style w:type="paragraph" w:styleId="21">
    <w:name w:val="toc 2"/>
    <w:basedOn w:val="1"/>
    <w:next w:val="1"/>
    <w:semiHidden/>
    <w:qFormat/>
    <w:uiPriority w:val="99"/>
    <w:pPr>
      <w:ind w:left="420"/>
    </w:pPr>
  </w:style>
  <w:style w:type="paragraph" w:styleId="22">
    <w:name w:val="toc 9"/>
    <w:basedOn w:val="1"/>
    <w:next w:val="1"/>
    <w:semiHidden/>
    <w:qFormat/>
    <w:uiPriority w:val="99"/>
    <w:pPr>
      <w:ind w:left="3360"/>
    </w:pPr>
  </w:style>
  <w:style w:type="paragraph" w:styleId="23">
    <w:name w:val="Body Text 2"/>
    <w:basedOn w:val="1"/>
    <w:link w:val="234"/>
    <w:qFormat/>
    <w:uiPriority w:val="99"/>
    <w:pPr>
      <w:tabs>
        <w:tab w:val="left" w:pos="3780"/>
      </w:tabs>
      <w:spacing w:line="300" w:lineRule="auto"/>
      <w:outlineLvl w:val="0"/>
    </w:pPr>
    <w:rPr>
      <w:rFonts w:ascii="宋体" w:hAnsi="宋体"/>
      <w:b/>
      <w:bCs/>
      <w:sz w:val="24"/>
    </w:rPr>
  </w:style>
  <w:style w:type="paragraph" w:styleId="24">
    <w:name w:val="Title"/>
    <w:basedOn w:val="1"/>
    <w:next w:val="1"/>
    <w:link w:val="98"/>
    <w:qFormat/>
    <w:uiPriority w:val="10"/>
    <w:pPr>
      <w:spacing w:before="300"/>
      <w:contextualSpacing/>
    </w:pPr>
    <w:rPr>
      <w:sz w:val="28"/>
      <w:szCs w:val="48"/>
    </w:rPr>
  </w:style>
  <w:style w:type="paragraph" w:styleId="25">
    <w:name w:val="annotation subject"/>
    <w:basedOn w:val="5"/>
    <w:next w:val="5"/>
    <w:link w:val="230"/>
    <w:semiHidden/>
    <w:qFormat/>
    <w:uiPriority w:val="99"/>
    <w:rPr>
      <w:b/>
      <w:bCs/>
    </w:rPr>
  </w:style>
  <w:style w:type="table" w:styleId="27">
    <w:name w:val="Table Grid"/>
    <w:basedOn w:val="2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styleId="29">
    <w:name w:val="endnote reference"/>
    <w:basedOn w:val="28"/>
    <w:semiHidden/>
    <w:unhideWhenUsed/>
    <w:qFormat/>
    <w:uiPriority w:val="99"/>
    <w:rPr>
      <w:vertAlign w:val="superscript"/>
    </w:rPr>
  </w:style>
  <w:style w:type="character" w:styleId="30">
    <w:name w:val="page number"/>
    <w:basedOn w:val="28"/>
    <w:qFormat/>
    <w:uiPriority w:val="99"/>
    <w:rPr>
      <w:rFonts w:cs="Times New Roman"/>
    </w:rPr>
  </w:style>
  <w:style w:type="character" w:styleId="31">
    <w:name w:val="Hyperlink"/>
    <w:basedOn w:val="28"/>
    <w:qFormat/>
    <w:uiPriority w:val="99"/>
    <w:rPr>
      <w:rFonts w:cs="Times New Roman"/>
      <w:color w:val="0000FF"/>
      <w:u w:val="single"/>
    </w:rPr>
  </w:style>
  <w:style w:type="character" w:styleId="32">
    <w:name w:val="annotation reference"/>
    <w:basedOn w:val="28"/>
    <w:qFormat/>
    <w:uiPriority w:val="99"/>
    <w:rPr>
      <w:rFonts w:cs="Times New Roman"/>
      <w:sz w:val="21"/>
    </w:rPr>
  </w:style>
  <w:style w:type="character" w:styleId="33">
    <w:name w:val="footnote reference"/>
    <w:basedOn w:val="28"/>
    <w:unhideWhenUsed/>
    <w:qFormat/>
    <w:uiPriority w:val="99"/>
    <w:rPr>
      <w:vertAlign w:val="superscript"/>
    </w:rPr>
  </w:style>
  <w:style w:type="paragraph" w:customStyle="1" w:styleId="34">
    <w:name w:val="标题 11"/>
    <w:basedOn w:val="1"/>
    <w:next w:val="1"/>
    <w:qFormat/>
    <w:uiPriority w:val="9"/>
    <w:pPr>
      <w:keepNext/>
      <w:keepLines/>
      <w:spacing w:before="480"/>
      <w:outlineLvl w:val="0"/>
    </w:pPr>
    <w:rPr>
      <w:rFonts w:ascii="Arial" w:hAnsi="Arial" w:cs="Arial"/>
      <w:sz w:val="40"/>
      <w:szCs w:val="40"/>
    </w:rPr>
  </w:style>
  <w:style w:type="paragraph" w:customStyle="1" w:styleId="35">
    <w:name w:val="标题 21"/>
    <w:basedOn w:val="1"/>
    <w:next w:val="1"/>
    <w:unhideWhenUsed/>
    <w:qFormat/>
    <w:uiPriority w:val="9"/>
    <w:pPr>
      <w:keepNext/>
      <w:keepLines/>
      <w:spacing w:before="360"/>
      <w:outlineLvl w:val="1"/>
    </w:pPr>
    <w:rPr>
      <w:rFonts w:ascii="Arial" w:hAnsi="Arial" w:cs="Arial"/>
      <w:sz w:val="34"/>
    </w:rPr>
  </w:style>
  <w:style w:type="paragraph" w:customStyle="1" w:styleId="36">
    <w:name w:val="标题 31"/>
    <w:basedOn w:val="1"/>
    <w:next w:val="1"/>
    <w:unhideWhenUsed/>
    <w:qFormat/>
    <w:uiPriority w:val="9"/>
    <w:pPr>
      <w:keepNext/>
      <w:keepLines/>
      <w:spacing w:before="320"/>
      <w:outlineLvl w:val="2"/>
    </w:pPr>
    <w:rPr>
      <w:rFonts w:ascii="Arial" w:hAnsi="Arial" w:cs="Arial"/>
      <w:sz w:val="30"/>
      <w:szCs w:val="30"/>
    </w:rPr>
  </w:style>
  <w:style w:type="paragraph" w:customStyle="1" w:styleId="37">
    <w:name w:val="标题 41"/>
    <w:basedOn w:val="1"/>
    <w:next w:val="1"/>
    <w:unhideWhenUsed/>
    <w:qFormat/>
    <w:uiPriority w:val="9"/>
    <w:pPr>
      <w:keepNext/>
      <w:keepLines/>
      <w:spacing w:before="320"/>
      <w:outlineLvl w:val="3"/>
    </w:pPr>
    <w:rPr>
      <w:rFonts w:ascii="Arial" w:hAnsi="Arial" w:cs="Arial"/>
      <w:b/>
      <w:bCs/>
      <w:sz w:val="26"/>
      <w:szCs w:val="26"/>
    </w:rPr>
  </w:style>
  <w:style w:type="paragraph" w:customStyle="1" w:styleId="38">
    <w:name w:val="标题 51"/>
    <w:basedOn w:val="1"/>
    <w:next w:val="1"/>
    <w:unhideWhenUsed/>
    <w:qFormat/>
    <w:uiPriority w:val="9"/>
    <w:pPr>
      <w:keepNext/>
      <w:keepLines/>
      <w:spacing w:before="320"/>
      <w:outlineLvl w:val="4"/>
    </w:pPr>
    <w:rPr>
      <w:rFonts w:ascii="Arial" w:hAnsi="Arial" w:cs="Arial"/>
      <w:b/>
      <w:bCs/>
      <w:sz w:val="24"/>
    </w:rPr>
  </w:style>
  <w:style w:type="paragraph" w:customStyle="1" w:styleId="39">
    <w:name w:val="标题 61"/>
    <w:basedOn w:val="1"/>
    <w:next w:val="1"/>
    <w:unhideWhenUsed/>
    <w:qFormat/>
    <w:uiPriority w:val="9"/>
    <w:pPr>
      <w:keepNext/>
      <w:keepLines/>
      <w:spacing w:before="320"/>
      <w:outlineLvl w:val="5"/>
    </w:pPr>
    <w:rPr>
      <w:rFonts w:ascii="Arial" w:hAnsi="Arial" w:cs="Arial"/>
      <w:b/>
      <w:bCs/>
      <w:sz w:val="22"/>
      <w:szCs w:val="22"/>
    </w:rPr>
  </w:style>
  <w:style w:type="paragraph" w:customStyle="1" w:styleId="40">
    <w:name w:val="标题 71"/>
    <w:basedOn w:val="1"/>
    <w:next w:val="1"/>
    <w:unhideWhenUsed/>
    <w:qFormat/>
    <w:uiPriority w:val="9"/>
    <w:pPr>
      <w:keepNext/>
      <w:keepLines/>
      <w:spacing w:before="320"/>
      <w:outlineLvl w:val="6"/>
    </w:pPr>
    <w:rPr>
      <w:rFonts w:ascii="Arial" w:hAnsi="Arial" w:cs="Arial"/>
      <w:b/>
      <w:bCs/>
      <w:i/>
      <w:iCs/>
      <w:sz w:val="22"/>
      <w:szCs w:val="22"/>
    </w:rPr>
  </w:style>
  <w:style w:type="paragraph" w:customStyle="1" w:styleId="41">
    <w:name w:val="标题 81"/>
    <w:basedOn w:val="1"/>
    <w:next w:val="1"/>
    <w:unhideWhenUsed/>
    <w:qFormat/>
    <w:uiPriority w:val="9"/>
    <w:pPr>
      <w:keepNext/>
      <w:keepLines/>
      <w:spacing w:before="320"/>
      <w:outlineLvl w:val="7"/>
    </w:pPr>
    <w:rPr>
      <w:rFonts w:ascii="Arial" w:hAnsi="Arial" w:cs="Arial"/>
      <w:i/>
      <w:iCs/>
      <w:sz w:val="22"/>
      <w:szCs w:val="22"/>
    </w:rPr>
  </w:style>
  <w:style w:type="paragraph" w:customStyle="1" w:styleId="42">
    <w:name w:val="标题 91"/>
    <w:basedOn w:val="1"/>
    <w:next w:val="1"/>
    <w:unhideWhenUsed/>
    <w:qFormat/>
    <w:uiPriority w:val="9"/>
    <w:pPr>
      <w:keepNext/>
      <w:keepLines/>
      <w:spacing w:before="320"/>
      <w:outlineLvl w:val="8"/>
    </w:pPr>
    <w:rPr>
      <w:rFonts w:ascii="Arial" w:hAnsi="Arial" w:cs="Arial"/>
      <w:i/>
      <w:iCs/>
      <w:szCs w:val="21"/>
    </w:rPr>
  </w:style>
  <w:style w:type="paragraph" w:customStyle="1" w:styleId="43">
    <w:name w:val="题注1"/>
    <w:basedOn w:val="1"/>
    <w:next w:val="1"/>
    <w:semiHidden/>
    <w:unhideWhenUsed/>
    <w:qFormat/>
    <w:uiPriority w:val="35"/>
    <w:rPr>
      <w:b/>
      <w:bCs/>
      <w:color w:val="4F81BD" w:themeColor="accent1"/>
      <w:sz w:val="18"/>
      <w:szCs w:val="18"/>
      <w14:textFill>
        <w14:solidFill>
          <w14:schemeClr w14:val="accent1"/>
        </w14:solidFill>
      </w14:textFill>
    </w:rPr>
  </w:style>
  <w:style w:type="character" w:customStyle="1" w:styleId="44">
    <w:name w:val="Caption Char"/>
    <w:qFormat/>
    <w:uiPriority w:val="99"/>
  </w:style>
  <w:style w:type="table" w:customStyle="1" w:styleId="45">
    <w:name w:val="无格式表格 11"/>
    <w:basedOn w:val="2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pPr>
        <w:snapToGrid/>
      </w:pPr>
      <w:rPr>
        <w:rFonts w:ascii="Arial" w:hAnsi="Arial"/>
        <w:b/>
        <w:color w:val="404040"/>
        <w:sz w:val="22"/>
      </w:r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shd w:val="clear" w:color="FFFFFF" w:fill="FFFFFF" w:themeFill="text1" w:themeFillTint="00"/>
      </w:tcPr>
    </w:tblStylePr>
    <w:tblStylePr w:type="band2Vert">
      <w:pPr>
        <w:snapToGrid/>
      </w:pPr>
    </w:tblStylePr>
    <w:tblStylePr w:type="band1Horz">
      <w:pPr>
        <w:snapToGrid/>
      </w:pPr>
      <w:tcPr>
        <w:shd w:val="clear" w:color="FFFFFF" w:fill="FFFFFF" w:themeFill="text1" w:themeFillTint="0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6">
    <w:name w:val="无格式表格 21"/>
    <w:basedOn w:val="2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pPr>
        <w:snapToGrid/>
      </w:pPr>
      <w:rPr>
        <w:rFonts w:ascii="Arial" w:hAnsi="Arial"/>
        <w:b/>
        <w:color w:val="404040"/>
        <w:sz w:val="22"/>
      </w:rPr>
      <w:tcPr>
        <w:tcBorders>
          <w:top w:val="single" w:color="000000" w:themeColor="text1" w:sz="4" w:space="0"/>
          <w:bottom w:val="single" w:color="000000" w:themeColor="text1" w:sz="4" w:space="0"/>
        </w:tcBorders>
      </w:tc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tcBorders>
          <w:left w:val="single" w:color="000000" w:themeColor="text1" w:sz="4" w:space="0"/>
          <w:right w:val="single" w:color="000000" w:themeColor="text1" w:sz="4" w:space="0"/>
        </w:tcBorders>
      </w:tcPr>
    </w:tblStylePr>
    <w:tblStylePr w:type="band2Vert">
      <w:pPr>
        <w:snapToGrid/>
      </w:pPr>
      <w:tcPr>
        <w:tcBorders>
          <w:left w:val="single" w:color="000000" w:themeColor="text1" w:sz="4" w:space="0"/>
          <w:right w:val="single" w:color="000000" w:themeColor="text1" w:sz="4" w:space="0"/>
        </w:tcBorders>
      </w:tcPr>
    </w:tblStylePr>
    <w:tblStylePr w:type="band1Horz">
      <w:pPr>
        <w:snapToGrid/>
      </w:p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7">
    <w:name w:val="无格式表格 31"/>
    <w:basedOn w:val="26"/>
    <w:qFormat/>
    <w:uiPriority w:val="99"/>
    <w:tblStylePr w:type="firstRow">
      <w:pPr>
        <w:snapToGrid/>
      </w:pPr>
      <w:rPr>
        <w:b/>
        <w:caps/>
        <w:color w:val="404040"/>
      </w:rPr>
      <w:tcPr>
        <w:tcBorders>
          <w:top w:val="nil"/>
          <w:left w:val="nil"/>
          <w:bottom w:val="single" w:color="404040" w:sz="4" w:space="0"/>
          <w:right w:val="nil"/>
        </w:tcBorders>
      </w:tcPr>
    </w:tblStylePr>
    <w:tblStylePr w:type="lastRow">
      <w:pPr>
        <w:snapToGrid/>
      </w:pPr>
      <w:rPr>
        <w:b/>
        <w:caps/>
        <w:color w:val="404040"/>
      </w:rPr>
    </w:tblStylePr>
    <w:tblStylePr w:type="firstCol">
      <w:pPr>
        <w:snapToGrid/>
      </w:pPr>
      <w:rPr>
        <w:b/>
        <w:caps/>
        <w:color w:val="404040"/>
      </w:rPr>
      <w:tcPr>
        <w:tcBorders>
          <w:top w:val="nil"/>
          <w:left w:val="nil"/>
          <w:bottom w:val="nil"/>
          <w:right w:val="single" w:color="404040" w:sz="4" w:space="0"/>
        </w:tcBorders>
      </w:tcPr>
    </w:tblStylePr>
    <w:tblStylePr w:type="lastCol">
      <w:pPr>
        <w:snapToGrid/>
      </w:pPr>
      <w:rPr>
        <w:b/>
        <w:caps/>
        <w:color w:val="404040"/>
      </w:rPr>
    </w:tblStylePr>
    <w:tblStylePr w:type="band1Vert">
      <w:pPr>
        <w:snapToGrid/>
      </w:pPr>
      <w:rPr>
        <w:rFonts w:ascii="Arial" w:hAnsi="Arial"/>
        <w:color w:val="404040"/>
        <w:sz w:val="22"/>
      </w:rPr>
      <w:tcPr>
        <w:shd w:val="clear" w:color="FFFFFF" w:fill="FFFFFF" w:themeFill="text1" w:themeFillTint="00"/>
      </w:tcPr>
    </w:tblStylePr>
    <w:tblStylePr w:type="band2Vert">
      <w:pPr>
        <w:snapToGrid/>
      </w:pPr>
    </w:tblStylePr>
    <w:tblStylePr w:type="band1Horz">
      <w:pPr>
        <w:snapToGrid/>
      </w:pPr>
      <w:rPr>
        <w:rFonts w:ascii="Arial" w:hAnsi="Arial"/>
        <w:color w:val="404040"/>
        <w:sz w:val="22"/>
      </w:rPr>
      <w:tcPr>
        <w:shd w:val="clear" w:color="FFFFFF" w:fill="FFFFFF" w:themeFill="text1" w:themeFillTint="0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8">
    <w:name w:val="无格式表格 41"/>
    <w:basedOn w:val="26"/>
    <w:qFormat/>
    <w:uiPriority w:val="99"/>
    <w:tblStylePr w:type="firstRow">
      <w:pPr>
        <w:snapToGrid/>
      </w:pPr>
      <w:rPr>
        <w:b/>
        <w:color w:val="404040"/>
      </w:r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FFFFF" w:themeFill="text1" w:themeFillTint="00"/>
      </w:tcPr>
    </w:tblStylePr>
    <w:tblStylePr w:type="band2Vert">
      <w:pPr>
        <w:snapToGrid/>
      </w:pPr>
    </w:tblStylePr>
    <w:tblStylePr w:type="band1Horz">
      <w:pPr>
        <w:snapToGrid/>
      </w:pPr>
      <w:rPr>
        <w:rFonts w:ascii="Arial" w:hAnsi="Arial"/>
        <w:color w:val="404040"/>
        <w:sz w:val="22"/>
      </w:rPr>
      <w:tcPr>
        <w:shd w:val="clear" w:color="FFFFFF" w:fill="FFFFFF" w:themeFill="text1" w:themeFillTint="0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9">
    <w:name w:val="无格式表格 51"/>
    <w:basedOn w:val="26"/>
    <w:qFormat/>
    <w:uiPriority w:val="99"/>
    <w:tblStylePr w:type="firstRow">
      <w:pPr>
        <w:snapToGrid/>
      </w:pPr>
      <w:rPr>
        <w:i/>
        <w:color w:val="404040"/>
      </w:rPr>
      <w:tcPr>
        <w:tcBorders>
          <w:left w:val="nil"/>
          <w:bottom w:val="single" w:color="404040" w:sz="4" w:space="0"/>
          <w:right w:val="nil"/>
        </w:tcBorders>
        <w:shd w:val="clear" w:color="FFFFFF" w:fill="FFFFFF"/>
      </w:tcPr>
    </w:tblStylePr>
    <w:tblStylePr w:type="lastRow">
      <w:pPr>
        <w:snapToGrid/>
      </w:pPr>
      <w:rPr>
        <w:i/>
        <w:color w:val="404040"/>
      </w:rPr>
      <w:tcPr>
        <w:tcBorders>
          <w:top w:val="single" w:color="404040" w:sz="4" w:space="0"/>
          <w:left w:val="nil"/>
          <w:right w:val="nil"/>
        </w:tcBorders>
        <w:shd w:val="clear" w:color="FFFFFF" w:fill="FFFFFF"/>
      </w:tcPr>
    </w:tblStylePr>
    <w:tblStylePr w:type="firstCol">
      <w:pPr>
        <w:snapToGrid/>
        <w:jc w:val="right"/>
      </w:pPr>
      <w:rPr>
        <w:i/>
        <w:color w:val="404040"/>
      </w:rPr>
      <w:tcPr>
        <w:tcBorders>
          <w:right w:val="single" w:color="404040" w:sz="4" w:space="0"/>
        </w:tcBorders>
        <w:shd w:val="clear" w:color="FFFFFF" w:fill="FFFFFF"/>
      </w:tcPr>
    </w:tblStylePr>
    <w:tblStylePr w:type="lastCol">
      <w:pPr>
        <w:snapToGrid/>
      </w:pPr>
      <w:rPr>
        <w:i/>
        <w:color w:val="404040"/>
      </w:rPr>
      <w:tcPr>
        <w:tcBorders>
          <w:left w:val="single" w:color="404040" w:sz="4" w:space="0"/>
        </w:tcBorders>
        <w:shd w:val="clear" w:color="FFFFFF" w:fill="FFFFFF"/>
      </w:tcPr>
    </w:tblStylePr>
    <w:tblStylePr w:type="band1Vert">
      <w:pPr>
        <w:snapToGrid/>
      </w:pPr>
      <w:rPr>
        <w:rFonts w:ascii="Arial" w:hAnsi="Arial"/>
        <w:color w:val="404040"/>
        <w:sz w:val="22"/>
      </w:rPr>
      <w:tcPr>
        <w:shd w:val="clear" w:color="FFFFFF" w:fill="FFFFFF" w:themeFill="text1" w:themeFillTint="00"/>
      </w:tcPr>
    </w:tblStylePr>
    <w:tblStylePr w:type="band2Vert">
      <w:pPr>
        <w:snapToGrid/>
      </w:pPr>
    </w:tblStylePr>
    <w:tblStylePr w:type="band1Horz">
      <w:pPr>
        <w:snapToGrid/>
      </w:pPr>
      <w:rPr>
        <w:rFonts w:ascii="Arial" w:hAnsi="Arial"/>
        <w:color w:val="404040"/>
        <w:sz w:val="22"/>
      </w:rPr>
      <w:tcPr>
        <w:shd w:val="clear" w:color="FFFFFF" w:fill="FFFFFF" w:themeFill="text1" w:themeFillTint="0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0">
    <w:name w:val="网格表 1 浅色1"/>
    <w:basedOn w:val="2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pPr>
        <w:snapToGrid/>
      </w:pPr>
      <w:rPr>
        <w:b/>
        <w:color w:val="404040"/>
      </w:rPr>
      <w:tcPr>
        <w:tcBorders>
          <w:bottom w:val="single" w:color="696969" w:themeColor="tex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1">
    <w:name w:val="网格表 21"/>
    <w:basedOn w:val="2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pPr>
        <w:snapToGrid/>
      </w:pPr>
      <w:rPr>
        <w:b/>
        <w:color w:val="404040"/>
      </w:rPr>
      <w:tcPr>
        <w:tcBorders>
          <w:top w:val="nil"/>
          <w:left w:val="nil"/>
          <w:bottom w:val="single" w:color="696969" w:themeColor="text1" w:themeTint="95" w:sz="12" w:space="0"/>
          <w:right w:val="nil"/>
        </w:tcBorders>
        <w:shd w:val="clear" w:color="FFFFFF" w:fill="FFFFFF"/>
      </w:tcPr>
    </w:tblStylePr>
    <w:tblStylePr w:type="lastRow">
      <w:pPr>
        <w:snapToGrid/>
      </w:pPr>
      <w:rPr>
        <w:b/>
        <w:color w:val="404040"/>
      </w:rPr>
      <w:tcPr>
        <w:tcBorders>
          <w:top w:val="single" w:color="696969" w:themeColor="text1" w:themeTint="95"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CACACA" w:fill="CACACA" w:themeFill="text1" w:themeFillTint="34"/>
      </w:tcPr>
    </w:tblStylePr>
    <w:tblStylePr w:type="band2Vert">
      <w:pPr>
        <w:snapToGrid/>
      </w:pPr>
    </w:tblStylePr>
    <w:tblStylePr w:type="band1Horz">
      <w:pPr>
        <w:snapToGrid/>
      </w:pPr>
      <w:rPr>
        <w:rFonts w:ascii="Arial" w:hAnsi="Arial"/>
        <w:color w:val="404040"/>
        <w:sz w:val="22"/>
      </w:rPr>
      <w:tcPr>
        <w:shd w:val="clear" w:color="CACACA"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2">
    <w:name w:val="网格表 31"/>
    <w:basedOn w:val="2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CACACA" w:fill="CACACA" w:themeFill="text1" w:themeFillTint="34"/>
      </w:tcPr>
    </w:tblStylePr>
    <w:tblStylePr w:type="band2Vert">
      <w:pPr>
        <w:snapToGrid/>
      </w:pPr>
    </w:tblStylePr>
    <w:tblStylePr w:type="band1Horz">
      <w:pPr>
        <w:snapToGrid/>
      </w:pPr>
      <w:rPr>
        <w:rFonts w:ascii="Arial" w:hAnsi="Arial"/>
        <w:color w:val="404040"/>
        <w:sz w:val="22"/>
      </w:rPr>
      <w:tcPr>
        <w:shd w:val="clear" w:color="CACACA"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3">
    <w:name w:val="网格表 41"/>
    <w:basedOn w:val="2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pPr>
        <w:snapToGrid/>
      </w:pPr>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Row">
      <w:pPr>
        <w:snapToGrid/>
      </w:pPr>
      <w:rPr>
        <w:b/>
        <w:color w:val="404040"/>
      </w:rPr>
      <w:tcPr>
        <w:tcBorders>
          <w:top w:val="single" w:color="000000" w:themeColor="text1"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CACACA" w:fill="CACACA" w:themeFill="text1" w:themeFillTint="34"/>
      </w:tcPr>
    </w:tblStylePr>
    <w:tblStylePr w:type="band2Vert">
      <w:pPr>
        <w:snapToGrid/>
      </w:pPr>
    </w:tblStylePr>
    <w:tblStylePr w:type="band1Horz">
      <w:pPr>
        <w:snapToGrid/>
      </w:pPr>
      <w:rPr>
        <w:rFonts w:ascii="Arial" w:hAnsi="Arial"/>
        <w:color w:val="404040"/>
        <w:sz w:val="22"/>
      </w:rPr>
      <w:tcPr>
        <w:shd w:val="clear" w:color="CACACA"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4">
    <w:name w:val="网格表 5 深色1"/>
    <w:basedOn w:val="2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000000" w:fill="000000" w:themeFill="text1"/>
      </w:tcPr>
    </w:tblStylePr>
    <w:tblStylePr w:type="lastRow">
      <w:pPr>
        <w:snapToGrid/>
      </w:pPr>
      <w:rPr>
        <w:rFonts w:ascii="Arial" w:hAnsi="Arial"/>
        <w:b/>
        <w:color w:val="FFFFFF"/>
        <w:sz w:val="22"/>
      </w:rPr>
      <w:tcPr>
        <w:tcBorders>
          <w:top w:val="single" w:color="FFFFFF" w:themeColor="light1" w:sz="4" w:space="0"/>
        </w:tcBorders>
        <w:shd w:val="clear" w:color="000000" w:fill="000000" w:themeFill="text1"/>
      </w:tcPr>
    </w:tblStylePr>
    <w:tblStylePr w:type="firstCol">
      <w:pPr>
        <w:snapToGrid/>
      </w:pPr>
      <w:rPr>
        <w:rFonts w:ascii="Arial" w:hAnsi="Arial"/>
        <w:b/>
        <w:color w:val="FFFFFF"/>
        <w:sz w:val="22"/>
      </w:rPr>
      <w:tcPr>
        <w:shd w:val="clear" w:color="000000" w:fill="000000" w:themeFill="text1"/>
      </w:tcPr>
    </w:tblStylePr>
    <w:tblStylePr w:type="lastCol">
      <w:pPr>
        <w:snapToGrid/>
      </w:pPr>
      <w:rPr>
        <w:rFonts w:ascii="Arial" w:hAnsi="Arial"/>
        <w:b/>
        <w:color w:val="FFFFFF"/>
        <w:sz w:val="22"/>
      </w:rPr>
      <w:tcPr>
        <w:shd w:val="clear" w:color="000000" w:fill="000000" w:themeFill="text1"/>
      </w:tcPr>
    </w:tblStylePr>
    <w:tblStylePr w:type="band1Vert">
      <w:pPr>
        <w:snapToGrid/>
      </w:pPr>
      <w:tcPr>
        <w:shd w:val="clear" w:color="898989" w:fill="898989" w:themeFill="text1" w:themeFillTint="75"/>
      </w:tcPr>
    </w:tblStylePr>
    <w:tblStylePr w:type="band2Vert">
      <w:pPr>
        <w:snapToGrid/>
      </w:pPr>
    </w:tblStylePr>
    <w:tblStylePr w:type="band1Horz">
      <w:pPr>
        <w:snapToGrid/>
      </w:pPr>
      <w:tcPr>
        <w:shd w:val="clear" w:color="898989" w:fill="898989" w:themeFill="tex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5">
    <w:name w:val="网格表 6 彩色1"/>
    <w:basedOn w:val="2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pPr>
        <w:snapToGrid/>
      </w:pPr>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pPr>
        <w:snapToGrid/>
      </w:pPr>
      <w:rPr>
        <w:b/>
        <w:color w:val="808080" w:themeColor="text1" w:themeTint="80"/>
        <w14:textFill>
          <w14:solidFill>
            <w14:schemeClr w14:val="tx1">
              <w14:lumMod w14:val="50000"/>
              <w14:lumOff w14:val="50000"/>
            </w14:schemeClr>
          </w14:solidFill>
        </w14:textFill>
      </w:rPr>
    </w:tblStylePr>
    <w:tblStylePr w:type="firstCol">
      <w:pPr>
        <w:snapToGrid/>
      </w:pPr>
      <w:rPr>
        <w:b/>
        <w:color w:val="808080" w:themeColor="text1" w:themeTint="80"/>
        <w14:textFill>
          <w14:solidFill>
            <w14:schemeClr w14:val="tx1">
              <w14:lumMod w14:val="50000"/>
              <w14:lumOff w14:val="50000"/>
            </w14:schemeClr>
          </w14:solidFill>
        </w14:textFill>
      </w:rPr>
    </w:tblStylePr>
    <w:tblStylePr w:type="lastCol">
      <w:pPr>
        <w:snapToGrid/>
      </w:pPr>
      <w:rPr>
        <w:b/>
        <w:color w:val="808080" w:themeColor="text1" w:themeTint="80"/>
        <w14:textFill>
          <w14:solidFill>
            <w14:schemeClr w14:val="tx1">
              <w14:lumMod w14:val="50000"/>
              <w14:lumOff w14:val="50000"/>
            </w14:schemeClr>
          </w14:solidFill>
        </w14:textFill>
      </w:rPr>
    </w:tblStylePr>
    <w:tblStylePr w:type="band1Vert">
      <w:pPr>
        <w:snapToGrid/>
      </w:pPr>
      <w:tcPr>
        <w:shd w:val="clear" w:color="CACACA" w:fill="CACACA" w:themeFill="text1" w:themeFillTint="34"/>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hemeFill="text1" w:themeFillTint="34"/>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6">
    <w:name w:val="网格表 7 彩色1"/>
    <w:basedOn w:val="2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pPr>
        <w:snapToGrid/>
      </w:pPr>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hemeFill="light1"/>
      </w:tcPr>
    </w:tblStylePr>
    <w:tblStylePr w:type="lastRow">
      <w:pPr>
        <w:snapToGrid/>
      </w:pPr>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hemeFill="light1"/>
      </w:tcPr>
    </w:tblStylePr>
    <w:tblStylePr w:type="firstCol">
      <w:pPr>
        <w:snapToGrid/>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FFFFFF"/>
      </w:tcPr>
    </w:tblStylePr>
    <w:tblStylePr w:type="lastCol">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FFFFFF"/>
      </w:tcPr>
    </w:tblStylePr>
    <w:tblStylePr w:type="band1Vert">
      <w:pPr>
        <w:snapToGrid/>
      </w:pPr>
      <w:tcPr>
        <w:shd w:val="clear" w:color="FFFFFF" w:fill="FFFFFF" w:themeFill="text1" w:themeFillTint="00"/>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FFFFFF" w:fill="FFFFFF" w:themeFill="text1" w:themeFillTint="00"/>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7">
    <w:name w:val="清单表 1 浅色1"/>
    <w:basedOn w:val="26"/>
    <w:qFormat/>
    <w:uiPriority w:val="99"/>
    <w:tblStylePr w:type="firstRow">
      <w:pPr>
        <w:snapToGrid/>
      </w:pPr>
      <w:rPr>
        <w:b/>
        <w:color w:val="404040"/>
      </w:rPr>
      <w:tcPr>
        <w:tcBorders>
          <w:top w:val="nil"/>
          <w:left w:val="nil"/>
          <w:bottom w:val="single" w:color="000000" w:themeColor="text1" w:sz="4" w:space="0"/>
          <w:right w:val="nil"/>
        </w:tcBorders>
      </w:tcPr>
    </w:tblStylePr>
    <w:tblStylePr w:type="lastRow">
      <w:pPr>
        <w:snapToGrid/>
      </w:pPr>
      <w:rPr>
        <w:b/>
        <w:color w:val="404040"/>
      </w:rPr>
      <w:tcPr>
        <w:tcBorders>
          <w:top w:val="single" w:color="000000" w:themeColor="tex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BEBEBE" w:fill="BEBEBE" w:themeFill="text1" w:themeFillTint="40"/>
      </w:tcPr>
    </w:tblStylePr>
    <w:tblStylePr w:type="band2Vert">
      <w:pPr>
        <w:snapToGrid/>
      </w:pPr>
    </w:tblStylePr>
    <w:tblStylePr w:type="band1Horz">
      <w:pPr>
        <w:snapToGrid/>
      </w:pPr>
      <w:tcPr>
        <w:shd w:val="clear" w:color="BEBEBE"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8">
    <w:name w:val="清单表 21"/>
    <w:basedOn w:val="2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BEBEBE" w:fill="BEBEBE" w:themeFill="text1" w:themeFillTint="40"/>
      </w:tcPr>
    </w:tblStylePr>
    <w:tblStylePr w:type="band2Vert">
      <w:pPr>
        <w:snapToGrid/>
      </w:pPr>
    </w:tblStylePr>
    <w:tblStylePr w:type="band1Horz">
      <w:pPr>
        <w:snapToGrid/>
      </w:pPr>
      <w:rPr>
        <w:rFonts w:ascii="Arial" w:hAnsi="Arial"/>
        <w:color w:val="404040"/>
        <w:sz w:val="22"/>
      </w:rPr>
      <w:tcPr>
        <w:shd w:val="clear" w:color="BEBEBE"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9">
    <w:name w:val="清单表 31"/>
    <w:basedOn w:val="2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pPr>
        <w:snapToGrid/>
      </w:pPr>
      <w:rPr>
        <w:rFonts w:ascii="Arial" w:hAnsi="Arial"/>
        <w:b/>
        <w:color w:val="FFFFFF"/>
        <w:sz w:val="22"/>
      </w:rPr>
      <w:tcPr>
        <w:shd w:val="clear" w:color="000000"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000000" w:themeColor="text1" w:sz="4" w:space="0"/>
          <w:right w:val="single" w:color="000000" w:themeColor="text1" w:sz="4" w:space="0"/>
        </w:tcBorders>
      </w:tcPr>
    </w:tblStylePr>
    <w:tblStylePr w:type="band2Vert">
      <w:pPr>
        <w:snapToGrid/>
      </w:pPr>
    </w:tblStylePr>
    <w:tblStylePr w:type="band1Horz">
      <w:pPr>
        <w:snapToGrid/>
      </w:pPr>
      <w:rPr>
        <w:rFonts w:ascii="Arial" w:hAnsi="Arial"/>
        <w:color w:val="404040"/>
        <w:sz w:val="22"/>
      </w:r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0">
    <w:name w:val="清单表 41"/>
    <w:basedOn w:val="2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pPr>
        <w:snapToGrid/>
      </w:pPr>
      <w:rPr>
        <w:rFonts w:ascii="Arial" w:hAnsi="Arial"/>
        <w:b/>
        <w:color w:val="FFFFFF"/>
        <w:sz w:val="22"/>
      </w:rPr>
      <w:tcPr>
        <w:shd w:val="clear" w:color="000000"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BEBEBE" w:fill="BEBEBE" w:themeFill="text1" w:themeFillTint="40"/>
      </w:tcPr>
    </w:tblStylePr>
    <w:tblStylePr w:type="band2Vert">
      <w:pPr>
        <w:snapToGrid/>
      </w:pPr>
    </w:tblStylePr>
    <w:tblStylePr w:type="band1Horz">
      <w:pPr>
        <w:snapToGrid/>
      </w:pPr>
      <w:rPr>
        <w:rFonts w:ascii="Arial" w:hAnsi="Arial"/>
        <w:color w:val="404040"/>
        <w:sz w:val="22"/>
      </w:rPr>
      <w:tcPr>
        <w:shd w:val="clear" w:color="BEBEBE"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1">
    <w:name w:val="清单表 5 深色1"/>
    <w:basedOn w:val="2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fill="7E7E7E" w:themeFill="text1" w:themeFillTint="80"/>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pPr>
        <w:snapToGrid/>
      </w:pPr>
      <w:tcPr>
        <w:tcBorders>
          <w:left w:val="single" w:color="FFFFFF" w:themeColor="light1" w:sz="4" w:space="0"/>
          <w:right w:val="single" w:color="7E7E7E" w:themeColor="text1" w:themeTint="80" w:sz="32" w:space="0"/>
        </w:tcBorders>
      </w:tcPr>
    </w:tblStylePr>
    <w:tblStylePr w:type="band1Vert">
      <w:pPr>
        <w:snapToGrid/>
      </w:pPr>
      <w:tcPr>
        <w:tcBorders>
          <w:left w:val="single" w:color="FFFFFF" w:themeColor="light1" w:sz="4" w:space="0"/>
          <w:right w:val="single" w:color="FFFFFF" w:themeColor="light1" w:sz="4" w:space="0"/>
        </w:tcBorders>
        <w:shd w:val="clear" w:color="7E7E7E" w:fill="7E7E7E" w:themeFill="text1" w:themeFillTint="80"/>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7E7E7E" w:fill="7E7E7E" w:themeFill="text1" w:themeFillTint="80"/>
      </w:tcPr>
    </w:tblStylePr>
    <w:tblStylePr w:type="band2Horz">
      <w:pPr>
        <w:snapToGrid/>
      </w:pPr>
      <w:tcPr>
        <w:tcBorders>
          <w:top w:val="single" w:color="FFFFFF" w:themeColor="light1" w:sz="4" w:space="0"/>
          <w:bottom w:val="single" w:color="FFFFFF" w:themeColor="light1" w:sz="4" w:space="0"/>
        </w:tcBorders>
        <w:shd w:val="clear" w:color="7E7E7E" w:fill="7E7E7E" w:themeFill="text1" w:themeFillTint="8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2">
    <w:name w:val="清单表 6 彩色1"/>
    <w:basedOn w:val="26"/>
    <w:qFormat/>
    <w:uiPriority w:val="99"/>
    <w:tblPr>
      <w:tblBorders>
        <w:top w:val="single" w:color="7E7E7E" w:themeColor="text1" w:themeTint="80" w:sz="4" w:space="0"/>
        <w:bottom w:val="single" w:color="7E7E7E" w:themeColor="text1" w:themeTint="80" w:sz="4" w:space="0"/>
      </w:tblBorders>
    </w:tblPr>
    <w:tblStylePr w:type="firstRow">
      <w:pPr>
        <w:snapToGrid/>
      </w:pPr>
      <w:rPr>
        <w:b/>
        <w:color w:val="000000" w:themeColor="text1"/>
        <w14:textFill>
          <w14:solidFill>
            <w14:schemeClr w14:val="tx1"/>
          </w14:solidFill>
        </w14:textFill>
      </w:rPr>
      <w:tcPr>
        <w:tcBorders>
          <w:bottom w:val="single" w:color="7E7E7E" w:themeColor="text1" w:themeTint="80" w:sz="4" w:space="0"/>
        </w:tcBorders>
      </w:tcPr>
    </w:tblStylePr>
    <w:tblStylePr w:type="lastRow">
      <w:pPr>
        <w:snapToGrid/>
      </w:pPr>
      <w:rPr>
        <w:b/>
        <w:color w:val="000000" w:themeColor="text1"/>
        <w14:textFill>
          <w14:solidFill>
            <w14:schemeClr w14:val="tx1"/>
          </w14:solidFill>
        </w14:textFill>
      </w:rPr>
      <w:tcPr>
        <w:tcBorders>
          <w:top w:val="single" w:color="7E7E7E" w:themeColor="text1" w:themeTint="80" w:sz="4" w:space="0"/>
        </w:tcBorders>
      </w:tcPr>
    </w:tblStylePr>
    <w:tblStylePr w:type="firstCol">
      <w:pPr>
        <w:snapToGrid/>
      </w:pPr>
      <w:rPr>
        <w:b/>
        <w:color w:val="000000" w:themeColor="text1"/>
        <w14:textFill>
          <w14:solidFill>
            <w14:schemeClr w14:val="tx1"/>
          </w14:solidFill>
        </w14:textFill>
      </w:rPr>
    </w:tblStylePr>
    <w:tblStylePr w:type="lastCol">
      <w:pPr>
        <w:snapToGrid/>
      </w:pPr>
      <w:rPr>
        <w:b/>
        <w:color w:val="000000" w:themeColor="text1"/>
        <w14:textFill>
          <w14:solidFill>
            <w14:schemeClr w14:val="tx1"/>
          </w14:solidFill>
        </w14:textFill>
      </w:rPr>
    </w:tblStylePr>
    <w:tblStylePr w:type="band1Vert">
      <w:pPr>
        <w:snapToGrid/>
      </w:pPr>
      <w:tcPr>
        <w:shd w:val="clear" w:color="BEBEBE" w:fill="BEBEBE" w:themeFill="text1" w:themeFillTint="40"/>
      </w:tcPr>
    </w:tblStylePr>
    <w:tblStylePr w:type="band2Vert">
      <w:pPr>
        <w:snapToGrid/>
      </w:pPr>
    </w:tblStylePr>
    <w:tblStylePr w:type="band1Horz">
      <w:pPr>
        <w:snapToGrid/>
      </w:pPr>
      <w:rPr>
        <w:rFonts w:ascii="Arial" w:hAnsi="Arial"/>
        <w:color w:val="000000" w:themeColor="text1"/>
        <w:sz w:val="22"/>
        <w14:textFill>
          <w14:solidFill>
            <w14:schemeClr w14:val="tx1"/>
          </w14:solidFill>
        </w14:textFill>
      </w:rPr>
      <w:tcPr>
        <w:shd w:val="clear" w:color="BEBEBE" w:fill="BEBEBE" w:themeFill="text1" w:themeFillTint="40"/>
      </w:tcPr>
    </w:tblStylePr>
    <w:tblStylePr w:type="band2Horz">
      <w:pPr>
        <w:snapToGrid/>
      </w:pPr>
      <w:rPr>
        <w:rFonts w:ascii="Arial" w:hAnsi="Arial"/>
        <w:color w:val="000000" w:themeColor="text1"/>
        <w:sz w:val="22"/>
        <w14:textFill>
          <w14:solidFill>
            <w14:schemeClr w14:val="tx1"/>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3">
    <w:name w:val="清单表 7 彩色1"/>
    <w:basedOn w:val="26"/>
    <w:qFormat/>
    <w:uiPriority w:val="99"/>
    <w:tblPr>
      <w:tblBorders>
        <w:right w:val="single" w:color="7E7E7E" w:themeColor="text1" w:themeTint="80" w:sz="4" w:space="0"/>
      </w:tblBorders>
    </w:tblPr>
    <w:tblStylePr w:type="firstRow">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hemeFill="light1"/>
      </w:tcPr>
    </w:tblStylePr>
    <w:tblStylePr w:type="lastRow">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hemeFill="light1"/>
      </w:tcPr>
    </w:tblStylePr>
    <w:tblStylePr w:type="firstCol">
      <w:pPr>
        <w:snapToGrid/>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FFFFFF"/>
      </w:tcPr>
    </w:tblStylePr>
    <w:tblStylePr w:type="lastCol">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FFFFFF"/>
      </w:tcPr>
    </w:tblStylePr>
    <w:tblStylePr w:type="band1Vert">
      <w:pPr>
        <w:snapToGrid/>
      </w:pPr>
      <w:tcPr>
        <w:shd w:val="clear" w:color="BEBEBE" w:fill="BEBEBE" w:themeFill="text1" w:themeFillTint="40"/>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hemeFill="text1" w:themeFillTint="40"/>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character" w:customStyle="1" w:styleId="64">
    <w:name w:val="尾注文本 字符"/>
    <w:link w:val="12"/>
    <w:qFormat/>
    <w:uiPriority w:val="99"/>
    <w:rPr>
      <w:sz w:val="20"/>
    </w:rPr>
  </w:style>
  <w:style w:type="paragraph" w:customStyle="1" w:styleId="65">
    <w:name w:val="页脚1"/>
    <w:basedOn w:val="1"/>
    <w:link w:val="247"/>
    <w:unhideWhenUsed/>
    <w:qFormat/>
    <w:uiPriority w:val="99"/>
    <w:pPr>
      <w:tabs>
        <w:tab w:val="center" w:pos="4153"/>
        <w:tab w:val="right" w:pos="8306"/>
      </w:tabs>
      <w:snapToGrid w:val="0"/>
      <w:jc w:val="left"/>
    </w:pPr>
    <w:rPr>
      <w:sz w:val="18"/>
      <w:szCs w:val="18"/>
    </w:rPr>
  </w:style>
  <w:style w:type="paragraph" w:customStyle="1" w:styleId="66">
    <w:name w:val="页眉1"/>
    <w:basedOn w:val="1"/>
    <w:link w:val="246"/>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7">
    <w:name w:val="标题 1111"/>
    <w:basedOn w:val="1"/>
    <w:next w:val="1"/>
    <w:link w:val="81"/>
    <w:qFormat/>
    <w:uiPriority w:val="9"/>
    <w:pPr>
      <w:keepNext/>
      <w:keepLines/>
      <w:spacing w:before="480"/>
      <w:outlineLvl w:val="0"/>
    </w:pPr>
    <w:rPr>
      <w:rFonts w:ascii="Arial" w:hAnsi="Arial" w:cs="Arial"/>
      <w:sz w:val="40"/>
      <w:szCs w:val="40"/>
    </w:rPr>
  </w:style>
  <w:style w:type="paragraph" w:customStyle="1" w:styleId="68">
    <w:name w:val="标题 2111"/>
    <w:basedOn w:val="1"/>
    <w:next w:val="1"/>
    <w:link w:val="82"/>
    <w:unhideWhenUsed/>
    <w:qFormat/>
    <w:uiPriority w:val="9"/>
    <w:pPr>
      <w:keepNext/>
      <w:keepLines/>
      <w:spacing w:before="360"/>
      <w:outlineLvl w:val="1"/>
    </w:pPr>
    <w:rPr>
      <w:rFonts w:ascii="Arial" w:hAnsi="Arial" w:cs="Arial"/>
      <w:sz w:val="34"/>
    </w:rPr>
  </w:style>
  <w:style w:type="paragraph" w:customStyle="1" w:styleId="69">
    <w:name w:val="标题 3111"/>
    <w:basedOn w:val="1"/>
    <w:next w:val="1"/>
    <w:unhideWhenUsed/>
    <w:qFormat/>
    <w:uiPriority w:val="9"/>
    <w:pPr>
      <w:keepNext/>
      <w:keepLines/>
      <w:spacing w:before="320"/>
      <w:outlineLvl w:val="2"/>
    </w:pPr>
    <w:rPr>
      <w:rFonts w:ascii="Arial" w:hAnsi="Arial" w:cs="Arial"/>
      <w:sz w:val="30"/>
      <w:szCs w:val="30"/>
    </w:rPr>
  </w:style>
  <w:style w:type="paragraph" w:customStyle="1" w:styleId="70">
    <w:name w:val="标题 4111"/>
    <w:basedOn w:val="1"/>
    <w:next w:val="1"/>
    <w:unhideWhenUsed/>
    <w:qFormat/>
    <w:uiPriority w:val="9"/>
    <w:pPr>
      <w:keepNext/>
      <w:keepLines/>
      <w:spacing w:before="320"/>
      <w:outlineLvl w:val="3"/>
    </w:pPr>
    <w:rPr>
      <w:rFonts w:ascii="Arial" w:hAnsi="Arial" w:cs="Arial"/>
      <w:b/>
      <w:bCs/>
      <w:sz w:val="26"/>
      <w:szCs w:val="26"/>
    </w:rPr>
  </w:style>
  <w:style w:type="paragraph" w:customStyle="1" w:styleId="71">
    <w:name w:val="标题 5111"/>
    <w:basedOn w:val="1"/>
    <w:next w:val="1"/>
    <w:unhideWhenUsed/>
    <w:qFormat/>
    <w:uiPriority w:val="9"/>
    <w:pPr>
      <w:keepNext/>
      <w:keepLines/>
      <w:spacing w:before="320"/>
      <w:outlineLvl w:val="4"/>
    </w:pPr>
    <w:rPr>
      <w:rFonts w:ascii="Arial" w:hAnsi="Arial" w:cs="Arial"/>
      <w:b/>
      <w:bCs/>
      <w:sz w:val="24"/>
    </w:rPr>
  </w:style>
  <w:style w:type="paragraph" w:customStyle="1" w:styleId="72">
    <w:name w:val="标题 6111"/>
    <w:basedOn w:val="1"/>
    <w:next w:val="1"/>
    <w:unhideWhenUsed/>
    <w:qFormat/>
    <w:uiPriority w:val="9"/>
    <w:pPr>
      <w:keepNext/>
      <w:keepLines/>
      <w:spacing w:before="320"/>
      <w:outlineLvl w:val="5"/>
    </w:pPr>
    <w:rPr>
      <w:rFonts w:ascii="Arial" w:hAnsi="Arial" w:cs="Arial"/>
      <w:b/>
      <w:bCs/>
      <w:sz w:val="22"/>
      <w:szCs w:val="22"/>
    </w:rPr>
  </w:style>
  <w:style w:type="paragraph" w:customStyle="1" w:styleId="73">
    <w:name w:val="标题 7111"/>
    <w:basedOn w:val="1"/>
    <w:next w:val="1"/>
    <w:unhideWhenUsed/>
    <w:qFormat/>
    <w:uiPriority w:val="9"/>
    <w:pPr>
      <w:keepNext/>
      <w:keepLines/>
      <w:spacing w:before="320"/>
      <w:outlineLvl w:val="6"/>
    </w:pPr>
    <w:rPr>
      <w:rFonts w:ascii="Arial" w:hAnsi="Arial" w:cs="Arial"/>
      <w:b/>
      <w:bCs/>
      <w:i/>
      <w:iCs/>
      <w:sz w:val="22"/>
      <w:szCs w:val="22"/>
    </w:rPr>
  </w:style>
  <w:style w:type="paragraph" w:customStyle="1" w:styleId="74">
    <w:name w:val="标题 8111"/>
    <w:basedOn w:val="1"/>
    <w:next w:val="1"/>
    <w:unhideWhenUsed/>
    <w:qFormat/>
    <w:uiPriority w:val="9"/>
    <w:pPr>
      <w:keepNext/>
      <w:keepLines/>
      <w:spacing w:before="320"/>
      <w:outlineLvl w:val="7"/>
    </w:pPr>
    <w:rPr>
      <w:rFonts w:ascii="Arial" w:hAnsi="Arial" w:cs="Arial"/>
      <w:i/>
      <w:iCs/>
      <w:sz w:val="22"/>
      <w:szCs w:val="22"/>
    </w:rPr>
  </w:style>
  <w:style w:type="paragraph" w:customStyle="1" w:styleId="75">
    <w:name w:val="标题 9111"/>
    <w:basedOn w:val="1"/>
    <w:next w:val="1"/>
    <w:unhideWhenUsed/>
    <w:qFormat/>
    <w:uiPriority w:val="9"/>
    <w:pPr>
      <w:keepNext/>
      <w:keepLines/>
      <w:spacing w:before="320"/>
      <w:outlineLvl w:val="8"/>
    </w:pPr>
    <w:rPr>
      <w:rFonts w:ascii="Arial" w:hAnsi="Arial" w:cs="Arial"/>
      <w:i/>
      <w:iCs/>
      <w:szCs w:val="21"/>
    </w:rPr>
  </w:style>
  <w:style w:type="character" w:customStyle="1" w:styleId="76">
    <w:name w:val="Title Char"/>
    <w:basedOn w:val="28"/>
    <w:qFormat/>
    <w:uiPriority w:val="10"/>
    <w:rPr>
      <w:sz w:val="48"/>
      <w:szCs w:val="48"/>
    </w:rPr>
  </w:style>
  <w:style w:type="character" w:customStyle="1" w:styleId="77">
    <w:name w:val="Subtitle Char"/>
    <w:basedOn w:val="28"/>
    <w:qFormat/>
    <w:uiPriority w:val="11"/>
    <w:rPr>
      <w:sz w:val="24"/>
      <w:szCs w:val="24"/>
    </w:rPr>
  </w:style>
  <w:style w:type="character" w:customStyle="1" w:styleId="78">
    <w:name w:val="Quote Char"/>
    <w:qFormat/>
    <w:uiPriority w:val="29"/>
    <w:rPr>
      <w:i/>
    </w:rPr>
  </w:style>
  <w:style w:type="character" w:customStyle="1" w:styleId="79">
    <w:name w:val="Intense Quote Char"/>
    <w:qFormat/>
    <w:uiPriority w:val="30"/>
    <w:rPr>
      <w:i/>
    </w:rPr>
  </w:style>
  <w:style w:type="character" w:customStyle="1" w:styleId="80">
    <w:name w:val="Footnote Text Char"/>
    <w:qFormat/>
    <w:uiPriority w:val="99"/>
    <w:rPr>
      <w:sz w:val="18"/>
    </w:rPr>
  </w:style>
  <w:style w:type="character" w:customStyle="1" w:styleId="81">
    <w:name w:val="Heading 1 Char"/>
    <w:basedOn w:val="28"/>
    <w:link w:val="67"/>
    <w:qFormat/>
    <w:uiPriority w:val="9"/>
    <w:rPr>
      <w:rFonts w:ascii="Arial" w:hAnsi="Arial" w:cs="Arial"/>
      <w:sz w:val="40"/>
      <w:szCs w:val="40"/>
    </w:rPr>
  </w:style>
  <w:style w:type="character" w:customStyle="1" w:styleId="82">
    <w:name w:val="Heading 2 Char"/>
    <w:basedOn w:val="28"/>
    <w:link w:val="68"/>
    <w:qFormat/>
    <w:uiPriority w:val="9"/>
    <w:rPr>
      <w:rFonts w:ascii="Arial" w:hAnsi="Arial" w:cs="Arial"/>
      <w:sz w:val="34"/>
    </w:rPr>
  </w:style>
  <w:style w:type="paragraph" w:customStyle="1" w:styleId="83">
    <w:name w:val="标题 311"/>
    <w:basedOn w:val="1"/>
    <w:next w:val="1"/>
    <w:link w:val="84"/>
    <w:unhideWhenUsed/>
    <w:qFormat/>
    <w:uiPriority w:val="9"/>
    <w:pPr>
      <w:keepNext/>
      <w:keepLines/>
      <w:spacing w:before="320"/>
      <w:outlineLvl w:val="2"/>
    </w:pPr>
    <w:rPr>
      <w:rFonts w:ascii="Arial" w:hAnsi="Arial" w:cs="Arial"/>
      <w:sz w:val="28"/>
      <w:szCs w:val="30"/>
    </w:rPr>
  </w:style>
  <w:style w:type="character" w:customStyle="1" w:styleId="84">
    <w:name w:val="Heading 3 Char"/>
    <w:basedOn w:val="28"/>
    <w:link w:val="83"/>
    <w:qFormat/>
    <w:uiPriority w:val="9"/>
    <w:rPr>
      <w:rFonts w:ascii="Arial" w:hAnsi="Arial" w:cs="Arial"/>
      <w:sz w:val="30"/>
      <w:szCs w:val="30"/>
    </w:rPr>
  </w:style>
  <w:style w:type="paragraph" w:customStyle="1" w:styleId="85">
    <w:name w:val="标题 411"/>
    <w:basedOn w:val="1"/>
    <w:next w:val="1"/>
    <w:link w:val="86"/>
    <w:unhideWhenUsed/>
    <w:qFormat/>
    <w:uiPriority w:val="9"/>
    <w:pPr>
      <w:keepNext/>
      <w:keepLines/>
      <w:spacing w:before="320"/>
      <w:outlineLvl w:val="3"/>
    </w:pPr>
    <w:rPr>
      <w:rFonts w:ascii="Arial" w:hAnsi="Arial" w:cs="Arial"/>
      <w:b/>
      <w:bCs/>
      <w:sz w:val="26"/>
      <w:szCs w:val="26"/>
    </w:rPr>
  </w:style>
  <w:style w:type="character" w:customStyle="1" w:styleId="86">
    <w:name w:val="Heading 4 Char"/>
    <w:basedOn w:val="28"/>
    <w:link w:val="85"/>
    <w:qFormat/>
    <w:uiPriority w:val="9"/>
    <w:rPr>
      <w:rFonts w:ascii="Arial" w:hAnsi="Arial" w:cs="Arial"/>
      <w:b/>
      <w:bCs/>
      <w:sz w:val="26"/>
      <w:szCs w:val="26"/>
    </w:rPr>
  </w:style>
  <w:style w:type="paragraph" w:customStyle="1" w:styleId="87">
    <w:name w:val="标题 511"/>
    <w:basedOn w:val="1"/>
    <w:next w:val="1"/>
    <w:link w:val="88"/>
    <w:unhideWhenUsed/>
    <w:qFormat/>
    <w:uiPriority w:val="9"/>
    <w:pPr>
      <w:keepNext/>
      <w:keepLines/>
      <w:spacing w:before="320"/>
      <w:outlineLvl w:val="4"/>
    </w:pPr>
    <w:rPr>
      <w:rFonts w:ascii="Arial" w:hAnsi="Arial" w:cs="Arial"/>
      <w:b/>
      <w:bCs/>
      <w:sz w:val="24"/>
    </w:rPr>
  </w:style>
  <w:style w:type="character" w:customStyle="1" w:styleId="88">
    <w:name w:val="Heading 5 Char"/>
    <w:basedOn w:val="28"/>
    <w:link w:val="87"/>
    <w:qFormat/>
    <w:uiPriority w:val="9"/>
    <w:rPr>
      <w:rFonts w:ascii="Arial" w:hAnsi="Arial" w:cs="Arial"/>
      <w:b/>
      <w:bCs/>
      <w:sz w:val="24"/>
      <w:szCs w:val="24"/>
    </w:rPr>
  </w:style>
  <w:style w:type="paragraph" w:customStyle="1" w:styleId="89">
    <w:name w:val="标题 611"/>
    <w:basedOn w:val="1"/>
    <w:next w:val="1"/>
    <w:link w:val="90"/>
    <w:unhideWhenUsed/>
    <w:qFormat/>
    <w:uiPriority w:val="9"/>
    <w:pPr>
      <w:keepNext/>
      <w:keepLines/>
      <w:spacing w:before="320"/>
      <w:outlineLvl w:val="5"/>
    </w:pPr>
    <w:rPr>
      <w:rFonts w:ascii="Arial" w:hAnsi="Arial" w:cs="Arial"/>
      <w:b/>
      <w:bCs/>
      <w:sz w:val="22"/>
      <w:szCs w:val="22"/>
    </w:rPr>
  </w:style>
  <w:style w:type="character" w:customStyle="1" w:styleId="90">
    <w:name w:val="Heading 6 Char"/>
    <w:basedOn w:val="28"/>
    <w:link w:val="89"/>
    <w:qFormat/>
    <w:uiPriority w:val="9"/>
    <w:rPr>
      <w:rFonts w:ascii="Arial" w:hAnsi="Arial" w:cs="Arial"/>
      <w:b/>
      <w:bCs/>
      <w:sz w:val="22"/>
      <w:szCs w:val="22"/>
    </w:rPr>
  </w:style>
  <w:style w:type="paragraph" w:customStyle="1" w:styleId="91">
    <w:name w:val="标题 711"/>
    <w:basedOn w:val="1"/>
    <w:next w:val="1"/>
    <w:link w:val="92"/>
    <w:unhideWhenUsed/>
    <w:qFormat/>
    <w:uiPriority w:val="9"/>
    <w:pPr>
      <w:keepNext/>
      <w:keepLines/>
      <w:spacing w:before="320"/>
      <w:outlineLvl w:val="6"/>
    </w:pPr>
    <w:rPr>
      <w:rFonts w:ascii="Arial" w:hAnsi="Arial" w:cs="Arial"/>
      <w:b/>
      <w:bCs/>
      <w:i/>
      <w:iCs/>
      <w:sz w:val="22"/>
      <w:szCs w:val="22"/>
    </w:rPr>
  </w:style>
  <w:style w:type="character" w:customStyle="1" w:styleId="92">
    <w:name w:val="Heading 7 Char"/>
    <w:basedOn w:val="28"/>
    <w:link w:val="91"/>
    <w:qFormat/>
    <w:uiPriority w:val="9"/>
    <w:rPr>
      <w:rFonts w:ascii="Arial" w:hAnsi="Arial" w:cs="Arial"/>
      <w:b/>
      <w:bCs/>
      <w:i/>
      <w:iCs/>
      <w:sz w:val="22"/>
      <w:szCs w:val="22"/>
    </w:rPr>
  </w:style>
  <w:style w:type="paragraph" w:customStyle="1" w:styleId="93">
    <w:name w:val="标题 811"/>
    <w:basedOn w:val="1"/>
    <w:next w:val="1"/>
    <w:link w:val="94"/>
    <w:unhideWhenUsed/>
    <w:qFormat/>
    <w:uiPriority w:val="9"/>
    <w:pPr>
      <w:keepNext/>
      <w:keepLines/>
      <w:spacing w:before="320"/>
      <w:outlineLvl w:val="7"/>
    </w:pPr>
    <w:rPr>
      <w:rFonts w:ascii="Arial" w:hAnsi="Arial" w:cs="Arial"/>
      <w:i/>
      <w:iCs/>
      <w:sz w:val="22"/>
      <w:szCs w:val="22"/>
    </w:rPr>
  </w:style>
  <w:style w:type="character" w:customStyle="1" w:styleId="94">
    <w:name w:val="Heading 8 Char"/>
    <w:basedOn w:val="28"/>
    <w:link w:val="93"/>
    <w:qFormat/>
    <w:uiPriority w:val="9"/>
    <w:rPr>
      <w:rFonts w:ascii="Arial" w:hAnsi="Arial" w:cs="Arial"/>
      <w:i/>
      <w:iCs/>
      <w:sz w:val="22"/>
      <w:szCs w:val="22"/>
    </w:rPr>
  </w:style>
  <w:style w:type="paragraph" w:customStyle="1" w:styleId="95">
    <w:name w:val="标题 911"/>
    <w:basedOn w:val="1"/>
    <w:next w:val="1"/>
    <w:link w:val="96"/>
    <w:unhideWhenUsed/>
    <w:qFormat/>
    <w:uiPriority w:val="9"/>
    <w:pPr>
      <w:keepNext/>
      <w:keepLines/>
      <w:spacing w:before="320"/>
      <w:outlineLvl w:val="8"/>
    </w:pPr>
    <w:rPr>
      <w:rFonts w:ascii="Arial" w:hAnsi="Arial" w:cs="Arial"/>
      <w:i/>
      <w:iCs/>
      <w:szCs w:val="21"/>
    </w:rPr>
  </w:style>
  <w:style w:type="character" w:customStyle="1" w:styleId="96">
    <w:name w:val="Heading 9 Char"/>
    <w:basedOn w:val="28"/>
    <w:link w:val="95"/>
    <w:qFormat/>
    <w:uiPriority w:val="9"/>
    <w:rPr>
      <w:rFonts w:ascii="Arial" w:hAnsi="Arial" w:cs="Arial"/>
      <w:i/>
      <w:iCs/>
      <w:sz w:val="21"/>
      <w:szCs w:val="21"/>
    </w:rPr>
  </w:style>
  <w:style w:type="paragraph" w:styleId="97">
    <w:name w:val="No Spacing"/>
    <w:qFormat/>
    <w:uiPriority w:val="1"/>
    <w:pPr>
      <w:pBdr>
        <w:top w:val="none" w:color="000000" w:sz="0" w:space="0"/>
        <w:left w:val="none" w:color="000000" w:sz="0" w:space="0"/>
        <w:bottom w:val="none" w:color="000000" w:sz="0" w:space="0"/>
        <w:right w:val="none" w:color="000000" w:sz="0" w:space="0"/>
        <w:between w:val="none" w:color="000000" w:sz="0" w:space="0"/>
      </w:pBdr>
      <w:spacing w:after="200" w:line="276" w:lineRule="auto"/>
    </w:pPr>
    <w:rPr>
      <w:rFonts w:ascii="Times New Roman" w:hAnsi="Times New Roman" w:eastAsia="宋体" w:cs="Times New Roman"/>
      <w:sz w:val="22"/>
      <w:szCs w:val="22"/>
      <w:lang w:val="en-US" w:eastAsia="zh-CN" w:bidi="ar-SA"/>
    </w:rPr>
  </w:style>
  <w:style w:type="character" w:customStyle="1" w:styleId="98">
    <w:name w:val="标题 字符"/>
    <w:basedOn w:val="28"/>
    <w:link w:val="24"/>
    <w:qFormat/>
    <w:uiPriority w:val="10"/>
    <w:rPr>
      <w:sz w:val="48"/>
      <w:szCs w:val="48"/>
    </w:rPr>
  </w:style>
  <w:style w:type="character" w:customStyle="1" w:styleId="99">
    <w:name w:val="副标题 字符"/>
    <w:basedOn w:val="28"/>
    <w:link w:val="17"/>
    <w:qFormat/>
    <w:uiPriority w:val="11"/>
    <w:rPr>
      <w:sz w:val="24"/>
      <w:szCs w:val="24"/>
    </w:rPr>
  </w:style>
  <w:style w:type="paragraph" w:styleId="100">
    <w:name w:val="Quote"/>
    <w:basedOn w:val="1"/>
    <w:next w:val="1"/>
    <w:link w:val="101"/>
    <w:qFormat/>
    <w:uiPriority w:val="29"/>
    <w:pPr>
      <w:ind w:left="720" w:right="720"/>
    </w:pPr>
    <w:rPr>
      <w:i/>
    </w:rPr>
  </w:style>
  <w:style w:type="character" w:customStyle="1" w:styleId="101">
    <w:name w:val="引用 字符"/>
    <w:link w:val="100"/>
    <w:qFormat/>
    <w:uiPriority w:val="29"/>
    <w:rPr>
      <w:i/>
    </w:rPr>
  </w:style>
  <w:style w:type="paragraph" w:styleId="102">
    <w:name w:val="Intense Quote"/>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F2F2F2" w:fill="F2F2F2"/>
      <w:ind w:left="720" w:right="720"/>
    </w:pPr>
    <w:rPr>
      <w:i/>
    </w:rPr>
  </w:style>
  <w:style w:type="character" w:customStyle="1" w:styleId="103">
    <w:name w:val="明显引用 字符"/>
    <w:link w:val="102"/>
    <w:qFormat/>
    <w:uiPriority w:val="30"/>
    <w:rPr>
      <w:i/>
    </w:rPr>
  </w:style>
  <w:style w:type="character" w:customStyle="1" w:styleId="104">
    <w:name w:val="Header Char"/>
    <w:basedOn w:val="28"/>
    <w:qFormat/>
    <w:uiPriority w:val="99"/>
  </w:style>
  <w:style w:type="character" w:customStyle="1" w:styleId="105">
    <w:name w:val="Footer Char"/>
    <w:basedOn w:val="28"/>
    <w:qFormat/>
    <w:uiPriority w:val="99"/>
  </w:style>
  <w:style w:type="table" w:customStyle="1" w:styleId="106">
    <w:name w:val="Table Grid Light"/>
    <w:basedOn w:val="2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7">
    <w:name w:val="Grid Table 1 Light - Accent 1"/>
    <w:basedOn w:val="2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pPr>
        <w:snapToGrid/>
      </w:pPr>
      <w:rPr>
        <w:b/>
        <w:color w:val="404040"/>
      </w:rPr>
      <w:tcPr>
        <w:tcBorders>
          <w:bottom w:val="single" w:color="98B5D8" w:themeColor="accen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8">
    <w:name w:val="Grid Table 1 Light - Accent 2"/>
    <w:basedOn w:val="2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pPr>
        <w:snapToGrid/>
      </w:pPr>
      <w:rPr>
        <w:b/>
        <w:color w:val="404040"/>
      </w:rPr>
      <w:tcPr>
        <w:tcBorders>
          <w:bottom w:val="single" w:color="DA9896" w:themeColor="accent2"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9">
    <w:name w:val="Grid Table 1 Light - Accent 3"/>
    <w:basedOn w:val="2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pPr>
        <w:snapToGrid/>
      </w:pPr>
      <w:rPr>
        <w:b/>
        <w:color w:val="404040"/>
      </w:rPr>
      <w:tcPr>
        <w:tcBorders>
          <w:bottom w:val="single" w:color="C4D79E" w:themeColor="accent3"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0">
    <w:name w:val="Grid Table 1 Light - Accent 4"/>
    <w:basedOn w:val="2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pPr>
        <w:snapToGrid/>
      </w:pPr>
      <w:rPr>
        <w:b/>
        <w:color w:val="404040"/>
      </w:rPr>
      <w:tcPr>
        <w:tcBorders>
          <w:bottom w:val="single" w:color="B4A4C8" w:themeColor="accent4"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1">
    <w:name w:val="Grid Table 1 Light - Accent 5"/>
    <w:basedOn w:val="2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pPr>
        <w:snapToGrid/>
      </w:pPr>
      <w:rPr>
        <w:b/>
        <w:color w:val="404040"/>
      </w:rPr>
      <w:tcPr>
        <w:tcBorders>
          <w:bottom w:val="single" w:color="95CEDD" w:themeColor="accent5"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2">
    <w:name w:val="Grid Table 1 Light - Accent 6"/>
    <w:basedOn w:val="2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pPr>
        <w:snapToGrid/>
      </w:pPr>
      <w:rPr>
        <w:b/>
        <w:color w:val="404040"/>
      </w:rPr>
      <w:tcPr>
        <w:tcBorders>
          <w:bottom w:val="single" w:color="FAC192" w:themeColor="accent6"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3">
    <w:name w:val="Grid Table 2 - Accent 1"/>
    <w:basedOn w:val="2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pPr>
        <w:snapToGrid/>
      </w:pPr>
      <w:rPr>
        <w:b/>
        <w:color w:val="404040"/>
      </w:rPr>
      <w:tcPr>
        <w:tcBorders>
          <w:top w:val="nil"/>
          <w:left w:val="nil"/>
          <w:bottom w:val="single" w:color="5D8BC2" w:themeColor="accent1" w:themeTint="EA" w:sz="12" w:space="0"/>
          <w:right w:val="nil"/>
        </w:tcBorders>
        <w:shd w:val="clear" w:color="FFFFFF" w:fill="FFFFFF"/>
      </w:tcPr>
    </w:tblStylePr>
    <w:tblStylePr w:type="lastRow">
      <w:pPr>
        <w:snapToGrid/>
      </w:pPr>
      <w:rPr>
        <w:b/>
        <w:color w:val="404040"/>
      </w:rPr>
      <w:tcPr>
        <w:tcBorders>
          <w:top w:val="single" w:color="5D8BC2" w:themeColor="accent1" w:themeTint="EA"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BE5F1" w:fill="DBE5F1" w:themeFill="accent1" w:themeFillTint="34"/>
      </w:tcPr>
    </w:tblStylePr>
    <w:tblStylePr w:type="band2Vert">
      <w:pPr>
        <w:snapToGrid/>
      </w:pPr>
    </w:tblStylePr>
    <w:tblStylePr w:type="band1Horz">
      <w:pPr>
        <w:snapToGrid/>
      </w:pPr>
      <w:rPr>
        <w:rFonts w:ascii="Arial" w:hAnsi="Arial"/>
        <w:color w:val="404040"/>
        <w:sz w:val="22"/>
      </w:rPr>
      <w:tcPr>
        <w:shd w:val="clear" w:color="DBE5F1" w:fill="DBE5F1"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4">
    <w:name w:val="Grid Table 2 - Accent 2"/>
    <w:basedOn w:val="2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404040"/>
      </w:rPr>
      <w:tcPr>
        <w:tcBorders>
          <w:top w:val="nil"/>
          <w:left w:val="nil"/>
          <w:bottom w:val="single" w:color="D99795" w:themeColor="accent2" w:themeTint="97" w:sz="12" w:space="0"/>
          <w:right w:val="nil"/>
        </w:tcBorders>
        <w:shd w:val="clear" w:color="FFFFFF" w:fill="FFFFFF"/>
      </w:tcPr>
    </w:tblStylePr>
    <w:tblStylePr w:type="lastRow">
      <w:pPr>
        <w:snapToGrid/>
      </w:pPr>
      <w:rPr>
        <w:b/>
        <w:color w:val="404040"/>
      </w:rPr>
      <w:tcPr>
        <w:tcBorders>
          <w:top w:val="single" w:color="D99795" w:themeColor="accent2" w:themeTint="97"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2DCDC" w:fill="F2DCDC" w:themeFill="accent2" w:themeFillTint="32"/>
      </w:tcPr>
    </w:tblStylePr>
    <w:tblStylePr w:type="band2Vert">
      <w:pPr>
        <w:snapToGrid/>
      </w:pPr>
    </w:tblStylePr>
    <w:tblStylePr w:type="band1Horz">
      <w:pPr>
        <w:snapToGrid/>
      </w:pPr>
      <w:rPr>
        <w:rFonts w:ascii="Arial" w:hAnsi="Arial"/>
        <w:color w:val="404040"/>
        <w:sz w:val="22"/>
      </w:rPr>
      <w:tcPr>
        <w:shd w:val="clear" w:color="F2DCDC"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5">
    <w:name w:val="Grid Table 2 - Accent 3"/>
    <w:basedOn w:val="2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404040"/>
      </w:rPr>
      <w:tcPr>
        <w:tcBorders>
          <w:top w:val="nil"/>
          <w:left w:val="nil"/>
          <w:bottom w:val="single" w:color="9BBB59" w:themeColor="accent3" w:themeTint="FE" w:sz="12" w:space="0"/>
          <w:right w:val="nil"/>
        </w:tcBorders>
        <w:shd w:val="clear" w:color="FFFFFF" w:fill="FFFFFF"/>
      </w:tcPr>
    </w:tblStylePr>
    <w:tblStylePr w:type="lastRow">
      <w:pPr>
        <w:snapToGrid/>
      </w:pPr>
      <w:rPr>
        <w:b/>
        <w:color w:val="404040"/>
      </w:rPr>
      <w:tcPr>
        <w:tcBorders>
          <w:top w:val="single" w:color="9BBB59" w:themeColor="accent3" w:themeTint="FE"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AF1DD" w:fill="EAF1DD" w:themeFill="accent3" w:themeFillTint="34"/>
      </w:tcPr>
    </w:tblStylePr>
    <w:tblStylePr w:type="band2Vert">
      <w:pPr>
        <w:snapToGrid/>
      </w:pPr>
    </w:tblStylePr>
    <w:tblStylePr w:type="band1Horz">
      <w:pPr>
        <w:snapToGrid/>
      </w:pPr>
      <w:rPr>
        <w:rFonts w:ascii="Arial" w:hAnsi="Arial"/>
        <w:color w:val="404040"/>
        <w:sz w:val="22"/>
      </w:rPr>
      <w:tcPr>
        <w:shd w:val="clear" w:color="EAF1DD"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6">
    <w:name w:val="Grid Table 2 - Accent 4"/>
    <w:basedOn w:val="2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404040"/>
      </w:rPr>
      <w:tcPr>
        <w:tcBorders>
          <w:top w:val="nil"/>
          <w:left w:val="nil"/>
          <w:bottom w:val="single" w:color="B2A1C6" w:themeColor="accent4" w:themeTint="9A" w:sz="12" w:space="0"/>
          <w:right w:val="nil"/>
        </w:tcBorders>
        <w:shd w:val="clear" w:color="FFFFFF" w:fill="FFFFFF"/>
      </w:tcPr>
    </w:tblStylePr>
    <w:tblStylePr w:type="lastRow">
      <w:pPr>
        <w:snapToGrid/>
      </w:pPr>
      <w:rPr>
        <w:b/>
        <w:color w:val="404040"/>
      </w:rPr>
      <w:tcPr>
        <w:tcBorders>
          <w:top w:val="single" w:color="B2A1C6" w:themeColor="accent4" w:themeTint="9A"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5DFEC" w:fill="E5DFEC" w:themeFill="accent4" w:themeFillTint="34"/>
      </w:tcPr>
    </w:tblStylePr>
    <w:tblStylePr w:type="band2Vert">
      <w:pPr>
        <w:snapToGrid/>
      </w:pPr>
    </w:tblStylePr>
    <w:tblStylePr w:type="band1Horz">
      <w:pPr>
        <w:snapToGrid/>
      </w:pPr>
      <w:rPr>
        <w:rFonts w:ascii="Arial" w:hAnsi="Arial"/>
        <w:color w:val="404040"/>
        <w:sz w:val="22"/>
      </w:rPr>
      <w:tcPr>
        <w:shd w:val="clear" w:color="E5DFEC"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7">
    <w:name w:val="Grid Table 2 - Accent 5"/>
    <w:basedOn w:val="2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pPr>
        <w:snapToGrid/>
      </w:pPr>
      <w:rPr>
        <w:b/>
        <w:color w:val="404040"/>
      </w:rPr>
      <w:tcPr>
        <w:tcBorders>
          <w:top w:val="nil"/>
          <w:left w:val="nil"/>
          <w:bottom w:val="single" w:color="4BACC6" w:themeColor="accent5" w:sz="12" w:space="0"/>
          <w:right w:val="nil"/>
        </w:tcBorders>
        <w:shd w:val="clear" w:color="FFFFFF" w:fill="FFFFFF"/>
      </w:tcPr>
    </w:tblStylePr>
    <w:tblStylePr w:type="lastRow">
      <w:pPr>
        <w:snapToGrid/>
      </w:pPr>
      <w:rPr>
        <w:b/>
        <w:color w:val="404040"/>
      </w:rPr>
      <w:tcPr>
        <w:tcBorders>
          <w:top w:val="single" w:color="4BACC6" w:themeColor="accent5"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AEEF3" w:fill="DAEEF3" w:themeFill="accent5" w:themeFillTint="34"/>
      </w:tcPr>
    </w:tblStylePr>
    <w:tblStylePr w:type="band2Vert">
      <w:pPr>
        <w:snapToGrid/>
      </w:pPr>
    </w:tblStylePr>
    <w:tblStylePr w:type="band1Horz">
      <w:pPr>
        <w:snapToGrid/>
      </w:pPr>
      <w:rPr>
        <w:rFonts w:ascii="Arial" w:hAnsi="Arial"/>
        <w:color w:val="404040"/>
        <w:sz w:val="22"/>
      </w:rPr>
      <w:tcPr>
        <w:shd w:val="clear" w:color="DAEEF3"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8">
    <w:name w:val="Grid Table 2 - Accent 6"/>
    <w:basedOn w:val="2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pPr>
        <w:snapToGrid/>
      </w:pPr>
      <w:rPr>
        <w:b/>
        <w:color w:val="404040"/>
      </w:rPr>
      <w:tcPr>
        <w:tcBorders>
          <w:top w:val="nil"/>
          <w:left w:val="nil"/>
          <w:bottom w:val="single" w:color="F79646" w:themeColor="accent6" w:sz="12" w:space="0"/>
          <w:right w:val="nil"/>
        </w:tcBorders>
        <w:shd w:val="clear" w:color="FFFFFF" w:fill="FFFFFF"/>
      </w:tcPr>
    </w:tblStylePr>
    <w:tblStylePr w:type="lastRow">
      <w:pPr>
        <w:snapToGrid/>
      </w:pPr>
      <w:rPr>
        <w:b/>
        <w:color w:val="404040"/>
      </w:rPr>
      <w:tcPr>
        <w:tcBorders>
          <w:top w:val="single" w:color="F79646" w:themeColor="accent6"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DE9D9" w:fill="FDE9D9" w:themeFill="accent6" w:themeFillTint="34"/>
      </w:tcPr>
    </w:tblStylePr>
    <w:tblStylePr w:type="band2Vert">
      <w:pPr>
        <w:snapToGrid/>
      </w:pPr>
    </w:tblStylePr>
    <w:tblStylePr w:type="band1Horz">
      <w:pPr>
        <w:snapToGrid/>
      </w:pPr>
      <w:rPr>
        <w:rFonts w:ascii="Arial" w:hAnsi="Arial"/>
        <w:color w:val="404040"/>
        <w:sz w:val="22"/>
      </w:rPr>
      <w:tcPr>
        <w:shd w:val="clear" w:color="FDE9D9"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9">
    <w:name w:val="Grid Table 3 - Accent 1"/>
    <w:basedOn w:val="2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DBE5F1" w:fill="DBE5F1" w:themeFill="accent1" w:themeFillTint="34"/>
      </w:tcPr>
    </w:tblStylePr>
    <w:tblStylePr w:type="band2Vert">
      <w:pPr>
        <w:snapToGrid/>
      </w:pPr>
    </w:tblStylePr>
    <w:tblStylePr w:type="band1Horz">
      <w:pPr>
        <w:snapToGrid/>
      </w:pPr>
      <w:rPr>
        <w:rFonts w:ascii="Arial" w:hAnsi="Arial"/>
        <w:color w:val="404040"/>
        <w:sz w:val="22"/>
      </w:rPr>
      <w:tcPr>
        <w:shd w:val="clear" w:color="DBE5F1" w:fill="DBE5F1"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0">
    <w:name w:val="Grid Table 3 - Accent 2"/>
    <w:basedOn w:val="2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2DCDC" w:fill="F2DCDC" w:themeFill="accent2" w:themeFillTint="32"/>
      </w:tcPr>
    </w:tblStylePr>
    <w:tblStylePr w:type="band2Vert">
      <w:pPr>
        <w:snapToGrid/>
      </w:pPr>
    </w:tblStylePr>
    <w:tblStylePr w:type="band1Horz">
      <w:pPr>
        <w:snapToGrid/>
      </w:pPr>
      <w:rPr>
        <w:rFonts w:ascii="Arial" w:hAnsi="Arial"/>
        <w:color w:val="404040"/>
        <w:sz w:val="22"/>
      </w:rPr>
      <w:tcPr>
        <w:shd w:val="clear" w:color="F2DCDC"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1">
    <w:name w:val="Grid Table 3 - Accent 3"/>
    <w:basedOn w:val="2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EAF1DD" w:fill="EAF1DD" w:themeFill="accent3" w:themeFillTint="34"/>
      </w:tcPr>
    </w:tblStylePr>
    <w:tblStylePr w:type="band2Vert">
      <w:pPr>
        <w:snapToGrid/>
      </w:pPr>
    </w:tblStylePr>
    <w:tblStylePr w:type="band1Horz">
      <w:pPr>
        <w:snapToGrid/>
      </w:pPr>
      <w:rPr>
        <w:rFonts w:ascii="Arial" w:hAnsi="Arial"/>
        <w:color w:val="404040"/>
        <w:sz w:val="22"/>
      </w:rPr>
      <w:tcPr>
        <w:shd w:val="clear" w:color="EAF1DD"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2">
    <w:name w:val="Grid Table 3 - Accent 4"/>
    <w:basedOn w:val="2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E5DFEC" w:fill="E5DFEC" w:themeFill="accent4" w:themeFillTint="34"/>
      </w:tcPr>
    </w:tblStylePr>
    <w:tblStylePr w:type="band2Vert">
      <w:pPr>
        <w:snapToGrid/>
      </w:pPr>
    </w:tblStylePr>
    <w:tblStylePr w:type="band1Horz">
      <w:pPr>
        <w:snapToGrid/>
      </w:pPr>
      <w:rPr>
        <w:rFonts w:ascii="Arial" w:hAnsi="Arial"/>
        <w:color w:val="404040"/>
        <w:sz w:val="22"/>
      </w:rPr>
      <w:tcPr>
        <w:shd w:val="clear" w:color="E5DFEC"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3">
    <w:name w:val="Grid Table 3 - Accent 5"/>
    <w:basedOn w:val="2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DAEEF3" w:fill="DAEEF3" w:themeFill="accent5" w:themeFillTint="34"/>
      </w:tcPr>
    </w:tblStylePr>
    <w:tblStylePr w:type="band2Vert">
      <w:pPr>
        <w:snapToGrid/>
      </w:pPr>
    </w:tblStylePr>
    <w:tblStylePr w:type="band1Horz">
      <w:pPr>
        <w:snapToGrid/>
      </w:pPr>
      <w:rPr>
        <w:rFonts w:ascii="Arial" w:hAnsi="Arial"/>
        <w:color w:val="404040"/>
        <w:sz w:val="22"/>
      </w:rPr>
      <w:tcPr>
        <w:shd w:val="clear" w:color="DAEEF3"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4">
    <w:name w:val="Grid Table 3 - Accent 6"/>
    <w:basedOn w:val="2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DE9D9" w:fill="FDE9D9" w:themeFill="accent6" w:themeFillTint="34"/>
      </w:tcPr>
    </w:tblStylePr>
    <w:tblStylePr w:type="band2Vert">
      <w:pPr>
        <w:snapToGrid/>
      </w:pPr>
    </w:tblStylePr>
    <w:tblStylePr w:type="band1Horz">
      <w:pPr>
        <w:snapToGrid/>
      </w:pPr>
      <w:rPr>
        <w:rFonts w:ascii="Arial" w:hAnsi="Arial"/>
        <w:color w:val="404040"/>
        <w:sz w:val="22"/>
      </w:rPr>
      <w:tcPr>
        <w:shd w:val="clear" w:color="FDE9D9"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5">
    <w:name w:val="Grid Table 4 - Accent 1"/>
    <w:basedOn w:val="26"/>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pPr>
        <w:snapToGrid/>
      </w:pPr>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fill="5D8BC2" w:themeFill="accent1" w:themeFillTint="EA"/>
      </w:tcPr>
    </w:tblStylePr>
    <w:tblStylePr w:type="lastRow">
      <w:pPr>
        <w:snapToGrid/>
      </w:pPr>
      <w:rPr>
        <w:b/>
        <w:color w:val="404040"/>
      </w:rPr>
      <w:tcPr>
        <w:tcBorders>
          <w:top w:val="single" w:color="5D8BC2" w:themeColor="accent1" w:themeTint="E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CE6F2" w:fill="DCE6F2" w:themeFill="accent1" w:themeFillTint="32"/>
      </w:tcPr>
    </w:tblStylePr>
    <w:tblStylePr w:type="band2Vert">
      <w:pPr>
        <w:snapToGrid/>
      </w:pPr>
    </w:tblStylePr>
    <w:tblStylePr w:type="band1Horz">
      <w:pPr>
        <w:snapToGrid/>
      </w:pPr>
      <w:rPr>
        <w:rFonts w:ascii="Arial" w:hAnsi="Arial"/>
        <w:color w:val="404040"/>
        <w:sz w:val="22"/>
      </w:rPr>
      <w:tcPr>
        <w:shd w:val="clear" w:color="DCE6F2" w:fill="DCE6F2" w:themeFill="accent1"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6">
    <w:name w:val="Grid Table 4 - Accent 2"/>
    <w:basedOn w:val="26"/>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pPr>
        <w:snapToGrid/>
      </w:pPr>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fill="D99795" w:themeFill="accent2" w:themeFillTint="97"/>
      </w:tcPr>
    </w:tblStylePr>
    <w:tblStylePr w:type="lastRow">
      <w:pPr>
        <w:snapToGrid/>
      </w:pPr>
      <w:rPr>
        <w:b/>
        <w:color w:val="404040"/>
      </w:rPr>
      <w:tcPr>
        <w:tcBorders>
          <w:top w:val="single" w:color="D99795" w:themeColor="accent2" w:themeTint="97"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2DCDC" w:fill="F2DCDC" w:themeFill="accent2" w:themeFillTint="32"/>
      </w:tcPr>
    </w:tblStylePr>
    <w:tblStylePr w:type="band2Vert">
      <w:pPr>
        <w:snapToGrid/>
      </w:pPr>
    </w:tblStylePr>
    <w:tblStylePr w:type="band1Horz">
      <w:pPr>
        <w:snapToGrid/>
      </w:pPr>
      <w:rPr>
        <w:rFonts w:ascii="Arial" w:hAnsi="Arial"/>
        <w:color w:val="404040"/>
        <w:sz w:val="22"/>
      </w:rPr>
      <w:tcPr>
        <w:shd w:val="clear" w:color="F2DCDC"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7">
    <w:name w:val="Grid Table 4 - Accent 3"/>
    <w:basedOn w:val="26"/>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pPr>
        <w:snapToGrid/>
      </w:pPr>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fill="9BBB59" w:themeFill="accent3" w:themeFillTint="FE"/>
      </w:tcPr>
    </w:tblStylePr>
    <w:tblStylePr w:type="lastRow">
      <w:pPr>
        <w:snapToGrid/>
      </w:pPr>
      <w:rPr>
        <w:b/>
        <w:color w:val="404040"/>
      </w:rPr>
      <w:tcPr>
        <w:tcBorders>
          <w:top w:val="single" w:color="9BBB59" w:themeColor="accent3" w:themeTint="FE"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AF1DD" w:fill="EAF1DD" w:themeFill="accent3" w:themeFillTint="34"/>
      </w:tcPr>
    </w:tblStylePr>
    <w:tblStylePr w:type="band2Vert">
      <w:pPr>
        <w:snapToGrid/>
      </w:pPr>
    </w:tblStylePr>
    <w:tblStylePr w:type="band1Horz">
      <w:pPr>
        <w:snapToGrid/>
      </w:pPr>
      <w:rPr>
        <w:rFonts w:ascii="Arial" w:hAnsi="Arial"/>
        <w:color w:val="404040"/>
        <w:sz w:val="22"/>
      </w:rPr>
      <w:tcPr>
        <w:shd w:val="clear" w:color="EAF1DD"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8">
    <w:name w:val="Grid Table 4 - Accent 4"/>
    <w:basedOn w:val="26"/>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pPr>
        <w:snapToGrid/>
      </w:pPr>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fill="B2A1C6" w:themeFill="accent4" w:themeFillTint="9A"/>
      </w:tcPr>
    </w:tblStylePr>
    <w:tblStylePr w:type="lastRow">
      <w:pPr>
        <w:snapToGrid/>
      </w:pPr>
      <w:rPr>
        <w:b/>
        <w:color w:val="404040"/>
      </w:rPr>
      <w:tcPr>
        <w:tcBorders>
          <w:top w:val="single" w:color="B2A1C6" w:themeColor="accent4" w:themeTint="9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5DFEC" w:fill="E5DFEC" w:themeFill="accent4" w:themeFillTint="34"/>
      </w:tcPr>
    </w:tblStylePr>
    <w:tblStylePr w:type="band2Vert">
      <w:pPr>
        <w:snapToGrid/>
      </w:pPr>
    </w:tblStylePr>
    <w:tblStylePr w:type="band1Horz">
      <w:pPr>
        <w:snapToGrid/>
      </w:pPr>
      <w:rPr>
        <w:rFonts w:ascii="Arial" w:hAnsi="Arial"/>
        <w:color w:val="404040"/>
        <w:sz w:val="22"/>
      </w:rPr>
      <w:tcPr>
        <w:shd w:val="clear" w:color="E5DFEC"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9">
    <w:name w:val="Grid Table 4 - Accent 5"/>
    <w:basedOn w:val="26"/>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pPr>
        <w:snapToGrid/>
      </w:pPr>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fill="4BACC6" w:themeFill="accent5"/>
      </w:tcPr>
    </w:tblStylePr>
    <w:tblStylePr w:type="lastRow">
      <w:pPr>
        <w:snapToGrid/>
      </w:pPr>
      <w:rPr>
        <w:b/>
        <w:color w:val="404040"/>
      </w:rPr>
      <w:tcPr>
        <w:tcBorders>
          <w:top w:val="single" w:color="4BACC6" w:themeColor="accent5"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AEEF3" w:fill="DAEEF3" w:themeFill="accent5" w:themeFillTint="34"/>
      </w:tcPr>
    </w:tblStylePr>
    <w:tblStylePr w:type="band2Vert">
      <w:pPr>
        <w:snapToGrid/>
      </w:pPr>
    </w:tblStylePr>
    <w:tblStylePr w:type="band1Horz">
      <w:pPr>
        <w:snapToGrid/>
      </w:pPr>
      <w:rPr>
        <w:rFonts w:ascii="Arial" w:hAnsi="Arial"/>
        <w:color w:val="404040"/>
        <w:sz w:val="22"/>
      </w:rPr>
      <w:tcPr>
        <w:shd w:val="clear" w:color="DAEEF3"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0">
    <w:name w:val="Grid Table 4 - Accent 6"/>
    <w:basedOn w:val="2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pPr>
        <w:snapToGrid/>
      </w:pPr>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fill="F79646" w:themeFill="accent6"/>
      </w:tcPr>
    </w:tblStylePr>
    <w:tblStylePr w:type="lastRow">
      <w:pPr>
        <w:snapToGrid/>
      </w:pPr>
      <w:rPr>
        <w:b/>
        <w:color w:val="404040"/>
      </w:rPr>
      <w:tcPr>
        <w:tcBorders>
          <w:top w:val="single" w:color="F79646" w:themeColor="accent6"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DE9D9" w:fill="FDE9D9" w:themeFill="accent6" w:themeFillTint="34"/>
      </w:tcPr>
    </w:tblStylePr>
    <w:tblStylePr w:type="band2Vert">
      <w:pPr>
        <w:snapToGrid/>
      </w:pPr>
    </w:tblStylePr>
    <w:tblStylePr w:type="band1Horz">
      <w:pPr>
        <w:snapToGrid/>
      </w:pPr>
      <w:rPr>
        <w:rFonts w:ascii="Arial" w:hAnsi="Arial"/>
        <w:color w:val="404040"/>
        <w:sz w:val="22"/>
      </w:rPr>
      <w:tcPr>
        <w:shd w:val="clear" w:color="FDE9D9"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1">
    <w:name w:val="Grid Table 5 Dark- Accent 1"/>
    <w:basedOn w:val="2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4F81BD" w:fill="4F81BD" w:themeFill="accent1"/>
      </w:tcPr>
    </w:tblStylePr>
    <w:tblStylePr w:type="lastRow">
      <w:pPr>
        <w:snapToGrid/>
      </w:pPr>
      <w:rPr>
        <w:rFonts w:ascii="Arial" w:hAnsi="Arial"/>
        <w:b/>
        <w:color w:val="FFFFFF"/>
        <w:sz w:val="22"/>
      </w:rPr>
      <w:tcPr>
        <w:tcBorders>
          <w:top w:val="single" w:color="FFFFFF" w:themeColor="light1" w:sz="4" w:space="0"/>
        </w:tcBorders>
        <w:shd w:val="clear" w:color="4F81BD" w:fill="4F81BD" w:themeFill="accent1"/>
      </w:tcPr>
    </w:tblStylePr>
    <w:tblStylePr w:type="firstCol">
      <w:pPr>
        <w:snapToGrid/>
      </w:pPr>
      <w:rPr>
        <w:rFonts w:ascii="Arial" w:hAnsi="Arial"/>
        <w:b/>
        <w:color w:val="FFFFFF"/>
        <w:sz w:val="22"/>
      </w:rPr>
      <w:tcPr>
        <w:shd w:val="clear" w:color="4F81BD" w:fill="4F81BD" w:themeFill="accent1"/>
      </w:tcPr>
    </w:tblStylePr>
    <w:tblStylePr w:type="lastCol">
      <w:pPr>
        <w:snapToGrid/>
      </w:pPr>
      <w:rPr>
        <w:rFonts w:ascii="Arial" w:hAnsi="Arial"/>
        <w:b/>
        <w:color w:val="FFFFFF"/>
        <w:sz w:val="22"/>
      </w:rPr>
      <w:tcPr>
        <w:shd w:val="clear" w:color="4F81BD" w:fill="4F81BD" w:themeFill="accent1"/>
      </w:tcPr>
    </w:tblStylePr>
    <w:tblStylePr w:type="band1Vert">
      <w:pPr>
        <w:snapToGrid/>
      </w:pPr>
      <w:tcPr>
        <w:shd w:val="clear" w:color="AEC5E0" w:fill="AEC5E0" w:themeFill="accent1" w:themeFillTint="75"/>
      </w:tcPr>
    </w:tblStylePr>
    <w:tblStylePr w:type="band2Vert">
      <w:pPr>
        <w:snapToGrid/>
      </w:pPr>
    </w:tblStylePr>
    <w:tblStylePr w:type="band1Horz">
      <w:pPr>
        <w:snapToGrid/>
      </w:pPr>
      <w:tcPr>
        <w:shd w:val="clear" w:color="AEC5E0" w:fill="AEC5E0" w:themeFill="accen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2">
    <w:name w:val="Grid Table 5 Dark - Accent 2"/>
    <w:basedOn w:val="2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C0504D" w:fill="C0504D" w:themeFill="accent2"/>
      </w:tcPr>
    </w:tblStylePr>
    <w:tblStylePr w:type="lastRow">
      <w:pPr>
        <w:snapToGrid/>
      </w:pPr>
      <w:rPr>
        <w:rFonts w:ascii="Arial" w:hAnsi="Arial"/>
        <w:b/>
        <w:color w:val="FFFFFF"/>
        <w:sz w:val="22"/>
      </w:rPr>
      <w:tcPr>
        <w:tcBorders>
          <w:top w:val="single" w:color="FFFFFF" w:themeColor="light1" w:sz="4" w:space="0"/>
        </w:tcBorders>
        <w:shd w:val="clear" w:color="C0504D" w:fill="C0504D" w:themeFill="accent2"/>
      </w:tcPr>
    </w:tblStylePr>
    <w:tblStylePr w:type="firstCol">
      <w:pPr>
        <w:snapToGrid/>
      </w:pPr>
      <w:rPr>
        <w:rFonts w:ascii="Arial" w:hAnsi="Arial"/>
        <w:b/>
        <w:color w:val="FFFFFF"/>
        <w:sz w:val="22"/>
      </w:rPr>
      <w:tcPr>
        <w:shd w:val="clear" w:color="C0504D" w:fill="C0504D" w:themeFill="accent2"/>
      </w:tcPr>
    </w:tblStylePr>
    <w:tblStylePr w:type="lastCol">
      <w:pPr>
        <w:snapToGrid/>
      </w:pPr>
      <w:rPr>
        <w:rFonts w:ascii="Arial" w:hAnsi="Arial"/>
        <w:b/>
        <w:color w:val="FFFFFF"/>
        <w:sz w:val="22"/>
      </w:rPr>
      <w:tcPr>
        <w:shd w:val="clear" w:color="C0504D" w:fill="C0504D" w:themeFill="accent2"/>
      </w:tcPr>
    </w:tblStylePr>
    <w:tblStylePr w:type="band1Vert">
      <w:pPr>
        <w:snapToGrid/>
      </w:pPr>
      <w:tcPr>
        <w:shd w:val="clear" w:color="E2AEAD" w:fill="E2AEAD" w:themeFill="accent2" w:themeFillTint="75"/>
      </w:tcPr>
    </w:tblStylePr>
    <w:tblStylePr w:type="band2Vert">
      <w:pPr>
        <w:snapToGrid/>
      </w:pPr>
    </w:tblStylePr>
    <w:tblStylePr w:type="band1Horz">
      <w:pPr>
        <w:snapToGrid/>
      </w:pPr>
      <w:tcPr>
        <w:shd w:val="clear" w:color="E2AEAD" w:fill="E2AEAD" w:themeFill="accent2"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3">
    <w:name w:val="Grid Table 5 Dark - Accent 3"/>
    <w:basedOn w:val="2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9BBB59" w:fill="9BBB59" w:themeFill="accent3"/>
      </w:tcPr>
    </w:tblStylePr>
    <w:tblStylePr w:type="lastRow">
      <w:pPr>
        <w:snapToGrid/>
      </w:pPr>
      <w:rPr>
        <w:rFonts w:ascii="Arial" w:hAnsi="Arial"/>
        <w:b/>
        <w:color w:val="FFFFFF"/>
        <w:sz w:val="22"/>
      </w:rPr>
      <w:tcPr>
        <w:tcBorders>
          <w:top w:val="single" w:color="FFFFFF" w:themeColor="light1" w:sz="4" w:space="0"/>
        </w:tcBorders>
        <w:shd w:val="clear" w:color="9BBB59" w:fill="9BBB59" w:themeFill="accent3"/>
      </w:tcPr>
    </w:tblStylePr>
    <w:tblStylePr w:type="firstCol">
      <w:pPr>
        <w:snapToGrid/>
      </w:pPr>
      <w:rPr>
        <w:rFonts w:ascii="Arial" w:hAnsi="Arial"/>
        <w:b/>
        <w:color w:val="FFFFFF"/>
        <w:sz w:val="22"/>
      </w:rPr>
      <w:tcPr>
        <w:shd w:val="clear" w:color="9BBB59" w:fill="9BBB59" w:themeFill="accent3"/>
      </w:tcPr>
    </w:tblStylePr>
    <w:tblStylePr w:type="lastCol">
      <w:pPr>
        <w:snapToGrid/>
      </w:pPr>
      <w:rPr>
        <w:rFonts w:ascii="Arial" w:hAnsi="Arial"/>
        <w:b/>
        <w:color w:val="FFFFFF"/>
        <w:sz w:val="22"/>
      </w:rPr>
      <w:tcPr>
        <w:shd w:val="clear" w:color="9BBB59" w:fill="9BBB59" w:themeFill="accent3"/>
      </w:tcPr>
    </w:tblStylePr>
    <w:tblStylePr w:type="band1Vert">
      <w:pPr>
        <w:snapToGrid/>
      </w:pPr>
      <w:tcPr>
        <w:shd w:val="clear" w:color="D1DFB2" w:fill="D1DFB2" w:themeFill="accent3" w:themeFillTint="75"/>
      </w:tcPr>
    </w:tblStylePr>
    <w:tblStylePr w:type="band2Vert">
      <w:pPr>
        <w:snapToGrid/>
      </w:pPr>
    </w:tblStylePr>
    <w:tblStylePr w:type="band1Horz">
      <w:pPr>
        <w:snapToGrid/>
      </w:pPr>
      <w:tcPr>
        <w:shd w:val="clear" w:color="D1DFB2" w:fill="D1DFB2" w:themeFill="accent3"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4">
    <w:name w:val="Grid Table 5 Dark- Accent 4"/>
    <w:basedOn w:val="2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8064A2" w:fill="8064A2" w:themeFill="accent4"/>
      </w:tcPr>
    </w:tblStylePr>
    <w:tblStylePr w:type="lastRow">
      <w:pPr>
        <w:snapToGrid/>
      </w:pPr>
      <w:rPr>
        <w:rFonts w:ascii="Arial" w:hAnsi="Arial"/>
        <w:b/>
        <w:color w:val="FFFFFF"/>
        <w:sz w:val="22"/>
      </w:rPr>
      <w:tcPr>
        <w:tcBorders>
          <w:top w:val="single" w:color="FFFFFF" w:themeColor="light1" w:sz="4" w:space="0"/>
        </w:tcBorders>
        <w:shd w:val="clear" w:color="8064A2" w:fill="8064A2" w:themeFill="accent4"/>
      </w:tcPr>
    </w:tblStylePr>
    <w:tblStylePr w:type="firstCol">
      <w:pPr>
        <w:snapToGrid/>
      </w:pPr>
      <w:rPr>
        <w:rFonts w:ascii="Arial" w:hAnsi="Arial"/>
        <w:b/>
        <w:color w:val="FFFFFF"/>
        <w:sz w:val="22"/>
      </w:rPr>
      <w:tcPr>
        <w:shd w:val="clear" w:color="8064A2" w:fill="8064A2" w:themeFill="accent4"/>
      </w:tcPr>
    </w:tblStylePr>
    <w:tblStylePr w:type="lastCol">
      <w:pPr>
        <w:snapToGrid/>
      </w:pPr>
      <w:rPr>
        <w:rFonts w:ascii="Arial" w:hAnsi="Arial"/>
        <w:b/>
        <w:color w:val="FFFFFF"/>
        <w:sz w:val="22"/>
      </w:rPr>
      <w:tcPr>
        <w:shd w:val="clear" w:color="8064A2" w:fill="8064A2" w:themeFill="accent4"/>
      </w:tcPr>
    </w:tblStylePr>
    <w:tblStylePr w:type="band1Vert">
      <w:pPr>
        <w:snapToGrid/>
      </w:pPr>
      <w:tcPr>
        <w:shd w:val="clear" w:color="C4B7D4" w:fill="C4B7D4" w:themeFill="accent4" w:themeFillTint="75"/>
      </w:tcPr>
    </w:tblStylePr>
    <w:tblStylePr w:type="band2Vert">
      <w:pPr>
        <w:snapToGrid/>
      </w:pPr>
    </w:tblStylePr>
    <w:tblStylePr w:type="band1Horz">
      <w:pPr>
        <w:snapToGrid/>
      </w:pPr>
      <w:tcPr>
        <w:shd w:val="clear" w:color="C4B7D4" w:fill="C4B7D4" w:themeFill="accent4"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5">
    <w:name w:val="Grid Table 5 Dark - Accent 5"/>
    <w:basedOn w:val="2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4BACC6" w:fill="4BACC6" w:themeFill="accent5"/>
      </w:tcPr>
    </w:tblStylePr>
    <w:tblStylePr w:type="lastRow">
      <w:pPr>
        <w:snapToGrid/>
      </w:pPr>
      <w:rPr>
        <w:rFonts w:ascii="Arial" w:hAnsi="Arial"/>
        <w:b/>
        <w:color w:val="FFFFFF"/>
        <w:sz w:val="22"/>
      </w:rPr>
      <w:tcPr>
        <w:tcBorders>
          <w:top w:val="single" w:color="FFFFFF" w:themeColor="light1" w:sz="4" w:space="0"/>
        </w:tcBorders>
        <w:shd w:val="clear" w:color="4BACC6" w:fill="4BACC6" w:themeFill="accent5"/>
      </w:tcPr>
    </w:tblStylePr>
    <w:tblStylePr w:type="firstCol">
      <w:pPr>
        <w:snapToGrid/>
      </w:pPr>
      <w:rPr>
        <w:rFonts w:ascii="Arial" w:hAnsi="Arial"/>
        <w:b/>
        <w:color w:val="FFFFFF"/>
        <w:sz w:val="22"/>
      </w:rPr>
      <w:tcPr>
        <w:shd w:val="clear" w:color="4BACC6" w:fill="4BACC6" w:themeFill="accent5"/>
      </w:tcPr>
    </w:tblStylePr>
    <w:tblStylePr w:type="lastCol">
      <w:pPr>
        <w:snapToGrid/>
      </w:pPr>
      <w:rPr>
        <w:rFonts w:ascii="Arial" w:hAnsi="Arial"/>
        <w:b/>
        <w:color w:val="FFFFFF"/>
        <w:sz w:val="22"/>
      </w:rPr>
      <w:tcPr>
        <w:shd w:val="clear" w:color="4BACC6" w:fill="4BACC6" w:themeFill="accent5"/>
      </w:tcPr>
    </w:tblStylePr>
    <w:tblStylePr w:type="band1Vert">
      <w:pPr>
        <w:snapToGrid/>
      </w:pPr>
      <w:tcPr>
        <w:shd w:val="clear" w:color="ACD8E4" w:fill="ACD8E4" w:themeFill="accent5" w:themeFillTint="75"/>
      </w:tcPr>
    </w:tblStylePr>
    <w:tblStylePr w:type="band2Vert">
      <w:pPr>
        <w:snapToGrid/>
      </w:pPr>
    </w:tblStylePr>
    <w:tblStylePr w:type="band1Horz">
      <w:pPr>
        <w:snapToGrid/>
      </w:pPr>
      <w:tcPr>
        <w:shd w:val="clear" w:color="ACD8E4" w:fill="ACD8E4" w:themeFill="accent5"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6">
    <w:name w:val="Grid Table 5 Dark - Accent 6"/>
    <w:basedOn w:val="2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F79646" w:fill="F79646" w:themeFill="accent6"/>
      </w:tcPr>
    </w:tblStylePr>
    <w:tblStylePr w:type="lastRow">
      <w:pPr>
        <w:snapToGrid/>
      </w:pPr>
      <w:rPr>
        <w:rFonts w:ascii="Arial" w:hAnsi="Arial"/>
        <w:b/>
        <w:color w:val="FFFFFF"/>
        <w:sz w:val="22"/>
      </w:rPr>
      <w:tcPr>
        <w:tcBorders>
          <w:top w:val="single" w:color="FFFFFF" w:themeColor="light1" w:sz="4" w:space="0"/>
        </w:tcBorders>
        <w:shd w:val="clear" w:color="F79646" w:fill="F79646" w:themeFill="accent6"/>
      </w:tcPr>
    </w:tblStylePr>
    <w:tblStylePr w:type="firstCol">
      <w:pPr>
        <w:snapToGrid/>
      </w:pPr>
      <w:rPr>
        <w:rFonts w:ascii="Arial" w:hAnsi="Arial"/>
        <w:b/>
        <w:color w:val="FFFFFF"/>
        <w:sz w:val="22"/>
      </w:rPr>
      <w:tcPr>
        <w:shd w:val="clear" w:color="F79646" w:fill="F79646" w:themeFill="accent6"/>
      </w:tcPr>
    </w:tblStylePr>
    <w:tblStylePr w:type="lastCol">
      <w:pPr>
        <w:snapToGrid/>
      </w:pPr>
      <w:rPr>
        <w:rFonts w:ascii="Arial" w:hAnsi="Arial"/>
        <w:b/>
        <w:color w:val="FFFFFF"/>
        <w:sz w:val="22"/>
      </w:rPr>
      <w:tcPr>
        <w:shd w:val="clear" w:color="F79646" w:fill="F79646" w:themeFill="accent6"/>
      </w:tcPr>
    </w:tblStylePr>
    <w:tblStylePr w:type="band1Vert">
      <w:pPr>
        <w:snapToGrid/>
      </w:pPr>
      <w:tcPr>
        <w:shd w:val="clear" w:color="FBCEAA" w:fill="FBCEAA" w:themeFill="accent6" w:themeFillTint="75"/>
      </w:tcPr>
    </w:tblStylePr>
    <w:tblStylePr w:type="band2Vert">
      <w:pPr>
        <w:snapToGrid/>
      </w:pPr>
    </w:tblStylePr>
    <w:tblStylePr w:type="band1Horz">
      <w:pPr>
        <w:snapToGrid/>
      </w:pPr>
      <w:tcPr>
        <w:shd w:val="clear" w:color="FBCEAA" w:fill="FBCEAA" w:themeFill="accent6"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7">
    <w:name w:val="Grid Table 6 Colorful - Accent 1"/>
    <w:basedOn w:val="26"/>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pPr>
        <w:snapToGrid/>
      </w:pPr>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pPr>
        <w:snapToGrid/>
      </w:pPr>
      <w:rPr>
        <w:b/>
        <w:color w:val="A7C0DE" w:themeColor="accent1" w:themeTint="80"/>
        <w14:textFill>
          <w14:solidFill>
            <w14:schemeClr w14:val="accent1">
              <w14:lumMod w14:val="50000"/>
              <w14:lumOff w14:val="50000"/>
            </w14:schemeClr>
          </w14:solidFill>
        </w14:textFill>
      </w:rPr>
    </w:tblStylePr>
    <w:tblStylePr w:type="firstCol">
      <w:pPr>
        <w:snapToGrid/>
      </w:pPr>
      <w:rPr>
        <w:b/>
        <w:color w:val="A7C0DE" w:themeColor="accent1" w:themeTint="80"/>
        <w14:textFill>
          <w14:solidFill>
            <w14:schemeClr w14:val="accent1">
              <w14:lumMod w14:val="50000"/>
              <w14:lumOff w14:val="50000"/>
            </w14:schemeClr>
          </w14:solidFill>
        </w14:textFill>
      </w:rPr>
    </w:tblStylePr>
    <w:tblStylePr w:type="lastCol">
      <w:pPr>
        <w:snapToGrid/>
      </w:pPr>
      <w:rPr>
        <w:b/>
        <w:color w:val="A7C0DE" w:themeColor="accent1" w:themeTint="80"/>
        <w14:textFill>
          <w14:solidFill>
            <w14:schemeClr w14:val="accent1">
              <w14:lumMod w14:val="50000"/>
              <w14:lumOff w14:val="50000"/>
            </w14:schemeClr>
          </w14:solidFill>
        </w14:textFill>
      </w:rPr>
    </w:tblStylePr>
    <w:tblStylePr w:type="band1Vert">
      <w:pPr>
        <w:snapToGrid/>
      </w:pPr>
      <w:tcPr>
        <w:shd w:val="clear" w:color="DBE5F1" w:fill="DBE5F1" w:themeFill="accent1" w:themeFillTint="34"/>
      </w:tcPr>
    </w:tblStylePr>
    <w:tblStylePr w:type="band2Vert">
      <w:pPr>
        <w:snapToGrid/>
      </w:pPr>
    </w:tblStylePr>
    <w:tblStylePr w:type="band1Horz">
      <w:pPr>
        <w:snapToGrid/>
      </w:pPr>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hemeFill="accent1" w:themeFillTint="34"/>
      </w:tcPr>
    </w:tblStylePr>
    <w:tblStylePr w:type="band2Horz">
      <w:pPr>
        <w:snapToGrid/>
      </w:pPr>
      <w:rPr>
        <w:rFonts w:ascii="Arial" w:hAnsi="Arial"/>
        <w:color w:val="A7C0DE" w:themeColor="accent1" w:themeTint="80"/>
        <w:sz w:val="22"/>
        <w14:textFill>
          <w14:solidFill>
            <w14:schemeClr w14:val="accent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8">
    <w:name w:val="Grid Table 6 Colorful - Accent 2"/>
    <w:basedOn w:val="2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pPr>
        <w:snapToGrid/>
      </w:pPr>
      <w:rPr>
        <w:b/>
        <w:color w:val="DA9896" w:themeColor="accent2" w:themeTint="96"/>
        <w14:textFill>
          <w14:solidFill>
            <w14:schemeClr w14:val="accent2">
              <w14:lumMod w14:val="59000"/>
              <w14:lumOff w14:val="41000"/>
            </w14:schemeClr>
          </w14:solidFill>
        </w14:textFill>
      </w:rPr>
    </w:tblStylePr>
    <w:tblStylePr w:type="firstCol">
      <w:pPr>
        <w:snapToGrid/>
      </w:pPr>
      <w:rPr>
        <w:b/>
        <w:color w:val="DA9896" w:themeColor="accent2" w:themeTint="96"/>
        <w14:textFill>
          <w14:solidFill>
            <w14:schemeClr w14:val="accent2">
              <w14:lumMod w14:val="59000"/>
              <w14:lumOff w14:val="41000"/>
            </w14:schemeClr>
          </w14:solidFill>
        </w14:textFill>
      </w:rPr>
    </w:tblStylePr>
    <w:tblStylePr w:type="lastCol">
      <w:pPr>
        <w:snapToGrid/>
      </w:pPr>
      <w:rPr>
        <w:b/>
        <w:color w:val="DA9896" w:themeColor="accent2" w:themeTint="96"/>
        <w14:textFill>
          <w14:solidFill>
            <w14:schemeClr w14:val="accent2">
              <w14:lumMod w14:val="59000"/>
              <w14:lumOff w14:val="41000"/>
            </w14:schemeClr>
          </w14:solidFill>
        </w14:textFill>
      </w:rPr>
    </w:tblStylePr>
    <w:tblStylePr w:type="band1Vert">
      <w:pPr>
        <w:snapToGrid/>
      </w:pPr>
      <w:tcPr>
        <w:shd w:val="clear" w:color="F2DCDC" w:fill="F2DCDC" w:themeFill="accent2" w:themeFillTint="32"/>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hemeFill="accent2" w:themeFillTint="32"/>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9">
    <w:name w:val="Grid Table 6 Colorful - Accent 3"/>
    <w:basedOn w:val="26"/>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9BBB59" w:themeColor="accent3"/>
        <w14:textFill>
          <w14:solidFill>
            <w14:schemeClr w14:val="accent3"/>
          </w14:solidFill>
        </w14:textFill>
      </w:rPr>
      <w:tcPr>
        <w:tcBorders>
          <w:bottom w:val="single" w:color="9BBB59" w:themeColor="accent3" w:themeTint="FE" w:sz="12" w:space="0"/>
        </w:tcBorders>
      </w:tcPr>
    </w:tblStylePr>
    <w:tblStylePr w:type="lastRow">
      <w:pPr>
        <w:snapToGrid/>
      </w:pPr>
      <w:rPr>
        <w:b/>
        <w:color w:val="9BBB59" w:themeColor="accent3"/>
        <w14:textFill>
          <w14:solidFill>
            <w14:schemeClr w14:val="accent3"/>
          </w14:solidFill>
        </w14:textFill>
      </w:rPr>
    </w:tblStylePr>
    <w:tblStylePr w:type="firstCol">
      <w:pPr>
        <w:snapToGrid/>
      </w:pPr>
      <w:rPr>
        <w:b/>
        <w:color w:val="9BBB59" w:themeColor="accent3"/>
        <w14:textFill>
          <w14:solidFill>
            <w14:schemeClr w14:val="accent3"/>
          </w14:solidFill>
        </w14:textFill>
      </w:rPr>
    </w:tblStylePr>
    <w:tblStylePr w:type="lastCol">
      <w:pPr>
        <w:snapToGrid/>
      </w:pPr>
      <w:rPr>
        <w:b/>
        <w:color w:val="9BBB59" w:themeColor="accent3"/>
        <w14:textFill>
          <w14:solidFill>
            <w14:schemeClr w14:val="accent3"/>
          </w14:solidFill>
        </w14:textFill>
      </w:rPr>
    </w:tblStylePr>
    <w:tblStylePr w:type="band1Vert">
      <w:pPr>
        <w:snapToGrid/>
      </w:pPr>
      <w:tcPr>
        <w:shd w:val="clear" w:color="EAF1DD" w:fill="EAF1DD" w:themeFill="accent3" w:themeFillTint="34"/>
      </w:tcPr>
    </w:tblStylePr>
    <w:tblStylePr w:type="band2Vert">
      <w:pPr>
        <w:snapToGrid/>
      </w:pPr>
    </w:tblStylePr>
    <w:tblStylePr w:type="band1Horz">
      <w:pPr>
        <w:snapToGrid/>
      </w:pPr>
      <w:rPr>
        <w:rFonts w:ascii="Arial" w:hAnsi="Arial"/>
        <w:color w:val="9BBB59" w:themeColor="accent3"/>
        <w:sz w:val="22"/>
        <w14:textFill>
          <w14:solidFill>
            <w14:schemeClr w14:val="accent3"/>
          </w14:solidFill>
        </w14:textFill>
      </w:rPr>
      <w:tcPr>
        <w:shd w:val="clear" w:color="EAF1DD" w:fill="EAF1DD" w:themeFill="accent3" w:themeFillTint="34"/>
      </w:tcPr>
    </w:tblStylePr>
    <w:tblStylePr w:type="band2Horz">
      <w:pPr>
        <w:snapToGrid/>
      </w:pPr>
      <w:rPr>
        <w:rFonts w:ascii="Arial" w:hAnsi="Arial"/>
        <w:color w:val="9BBB59" w:themeColor="accent3"/>
        <w:sz w:val="22"/>
        <w14:textFill>
          <w14:solidFill>
            <w14:schemeClr w14:val="accent3"/>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0">
    <w:name w:val="Grid Table 6 Colorful - Accent 4"/>
    <w:basedOn w:val="2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pPr>
        <w:snapToGrid/>
      </w:pPr>
      <w:rPr>
        <w:b/>
        <w:color w:val="B3A2C7" w:themeColor="accent4" w:themeTint="99"/>
        <w14:textFill>
          <w14:solidFill>
            <w14:schemeClr w14:val="accent4">
              <w14:lumMod w14:val="60000"/>
              <w14:lumOff w14:val="40000"/>
            </w14:schemeClr>
          </w14:solidFill>
        </w14:textFill>
      </w:rPr>
    </w:tblStylePr>
    <w:tblStylePr w:type="firstCol">
      <w:pPr>
        <w:snapToGrid/>
      </w:pPr>
      <w:rPr>
        <w:b/>
        <w:color w:val="B3A2C7" w:themeColor="accent4" w:themeTint="99"/>
        <w14:textFill>
          <w14:solidFill>
            <w14:schemeClr w14:val="accent4">
              <w14:lumMod w14:val="60000"/>
              <w14:lumOff w14:val="40000"/>
            </w14:schemeClr>
          </w14:solidFill>
        </w14:textFill>
      </w:rPr>
    </w:tblStylePr>
    <w:tblStylePr w:type="lastCol">
      <w:pPr>
        <w:snapToGrid/>
      </w:pPr>
      <w:rPr>
        <w:b/>
        <w:color w:val="B3A2C7" w:themeColor="accent4" w:themeTint="99"/>
        <w14:textFill>
          <w14:solidFill>
            <w14:schemeClr w14:val="accent4">
              <w14:lumMod w14:val="60000"/>
              <w14:lumOff w14:val="40000"/>
            </w14:schemeClr>
          </w14:solidFill>
        </w14:textFill>
      </w:rPr>
    </w:tblStylePr>
    <w:tblStylePr w:type="band1Vert">
      <w:pPr>
        <w:snapToGrid/>
      </w:pPr>
      <w:tcPr>
        <w:shd w:val="clear" w:color="E5DFEC" w:fill="E5DFEC" w:themeFill="accent4" w:themeFillTint="34"/>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hemeFill="accent4" w:themeFillTint="34"/>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1">
    <w:name w:val="Grid Table 6 Colorful - Accent 5"/>
    <w:basedOn w:val="26"/>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pPr>
        <w:snapToGrid/>
      </w:pPr>
      <w:rPr>
        <w:b/>
        <w:color w:val="266778" w:themeColor="accent5" w:themeShade="94"/>
      </w:rPr>
      <w:tcPr>
        <w:tcBorders>
          <w:bottom w:val="single" w:color="4BACC6" w:themeColor="accent5" w:sz="12" w:space="0"/>
        </w:tcBorders>
      </w:tcPr>
    </w:tblStylePr>
    <w:tblStylePr w:type="lastRow">
      <w:pPr>
        <w:snapToGrid/>
      </w:pPr>
      <w:rPr>
        <w:b/>
        <w:color w:val="266778" w:themeColor="accent5" w:themeShade="94"/>
      </w:rPr>
    </w:tblStylePr>
    <w:tblStylePr w:type="firstCol">
      <w:pPr>
        <w:snapToGrid/>
      </w:pPr>
      <w:rPr>
        <w:b/>
        <w:color w:val="266778" w:themeColor="accent5" w:themeShade="94"/>
      </w:rPr>
    </w:tblStylePr>
    <w:tblStylePr w:type="lastCol">
      <w:pPr>
        <w:snapToGrid/>
      </w:pPr>
      <w:rPr>
        <w:b/>
        <w:color w:val="266778" w:themeColor="accent5" w:themeShade="94"/>
      </w:rPr>
    </w:tblStylePr>
    <w:tblStylePr w:type="band1Vert">
      <w:pPr>
        <w:snapToGrid/>
      </w:pPr>
      <w:tcPr>
        <w:shd w:val="clear" w:color="DAEEF3" w:fill="DAEEF3" w:themeFill="accent5" w:themeFillTint="34"/>
      </w:tcPr>
    </w:tblStylePr>
    <w:tblStylePr w:type="band2Vert">
      <w:pPr>
        <w:snapToGrid/>
      </w:pPr>
    </w:tblStylePr>
    <w:tblStylePr w:type="band1Horz">
      <w:pPr>
        <w:snapToGrid/>
      </w:pPr>
      <w:rPr>
        <w:rFonts w:ascii="Arial" w:hAnsi="Arial"/>
        <w:color w:val="266778" w:themeColor="accent5" w:themeShade="94"/>
        <w:sz w:val="22"/>
      </w:rPr>
      <w:tcPr>
        <w:shd w:val="clear" w:color="DAEEF3" w:fill="DAEEF3" w:themeFill="accent5"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2">
    <w:name w:val="Grid Table 6 Colorful - Accent 6"/>
    <w:basedOn w:val="2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pPr>
        <w:snapToGrid/>
      </w:pPr>
      <w:rPr>
        <w:b/>
        <w:color w:val="266778" w:themeColor="accent5" w:themeShade="94"/>
      </w:rPr>
      <w:tcPr>
        <w:tcBorders>
          <w:bottom w:val="single" w:color="F79646" w:themeColor="accent6" w:sz="12" w:space="0"/>
        </w:tcBorders>
      </w:tcPr>
    </w:tblStylePr>
    <w:tblStylePr w:type="lastRow">
      <w:pPr>
        <w:snapToGrid/>
      </w:pPr>
      <w:rPr>
        <w:b/>
        <w:color w:val="266778" w:themeColor="accent5" w:themeShade="94"/>
      </w:rPr>
    </w:tblStylePr>
    <w:tblStylePr w:type="firstCol">
      <w:pPr>
        <w:snapToGrid/>
      </w:pPr>
      <w:rPr>
        <w:b/>
        <w:color w:val="266778" w:themeColor="accent5" w:themeShade="94"/>
      </w:rPr>
    </w:tblStylePr>
    <w:tblStylePr w:type="lastCol">
      <w:pPr>
        <w:snapToGrid/>
      </w:pPr>
      <w:rPr>
        <w:b/>
        <w:color w:val="266778" w:themeColor="accent5" w:themeShade="94"/>
      </w:rPr>
    </w:tblStylePr>
    <w:tblStylePr w:type="band1Vert">
      <w:pPr>
        <w:snapToGrid/>
      </w:pPr>
      <w:tcPr>
        <w:shd w:val="clear" w:color="FDE9D9" w:fill="FDE9D9" w:themeFill="accent6" w:themeFillTint="34"/>
      </w:tcPr>
    </w:tblStylePr>
    <w:tblStylePr w:type="band2Vert">
      <w:pPr>
        <w:snapToGrid/>
      </w:pPr>
    </w:tblStylePr>
    <w:tblStylePr w:type="band1Horz">
      <w:pPr>
        <w:snapToGrid/>
      </w:pPr>
      <w:rPr>
        <w:rFonts w:ascii="Arial" w:hAnsi="Arial"/>
        <w:color w:val="266778" w:themeColor="accent5" w:themeShade="94"/>
        <w:sz w:val="22"/>
      </w:rPr>
      <w:tcPr>
        <w:shd w:val="clear" w:color="FDE9D9" w:fill="FDE9D9" w:themeFill="accent6"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3">
    <w:name w:val="Grid Table 7 Colorful - Accent 1"/>
    <w:basedOn w:val="26"/>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pPr>
        <w:snapToGrid/>
      </w:pPr>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fill="FFFFFF" w:themeFill="light1"/>
      </w:tcPr>
    </w:tblStylePr>
    <w:tblStylePr w:type="lastRow">
      <w:pPr>
        <w:snapToGrid/>
      </w:pPr>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fill="FFFFFF" w:themeFill="light1"/>
      </w:tcPr>
    </w:tblStylePr>
    <w:tblStylePr w:type="firstCol">
      <w:pPr>
        <w:snapToGrid/>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FFFFFF"/>
      </w:tcPr>
    </w:tblStylePr>
    <w:tblStylePr w:type="lastCol">
      <w:pPr>
        <w:snapToGrid/>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FFFFFF"/>
      </w:tcPr>
    </w:tblStylePr>
    <w:tblStylePr w:type="band1Vert">
      <w:pPr>
        <w:snapToGrid/>
      </w:pPr>
      <w:tcPr>
        <w:shd w:val="clear" w:color="DBE5F1" w:fill="DBE5F1" w:themeFill="accent1" w:themeFillTint="34"/>
      </w:tcPr>
    </w:tblStylePr>
    <w:tblStylePr w:type="band2Vert">
      <w:pPr>
        <w:snapToGrid/>
      </w:pPr>
    </w:tblStylePr>
    <w:tblStylePr w:type="band1Horz">
      <w:pPr>
        <w:snapToGrid/>
      </w:pPr>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hemeFill="accent1" w:themeFillTint="34"/>
      </w:tcPr>
    </w:tblStylePr>
    <w:tblStylePr w:type="band2Horz">
      <w:pPr>
        <w:snapToGrid/>
      </w:pPr>
      <w:rPr>
        <w:rFonts w:ascii="Arial" w:hAnsi="Arial"/>
        <w:color w:val="A7C0DE" w:themeColor="accent1" w:themeTint="80"/>
        <w:sz w:val="22"/>
        <w14:textFill>
          <w14:solidFill>
            <w14:schemeClr w14:val="accent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4">
    <w:name w:val="Grid Table 7 Colorful - Accent 2"/>
    <w:basedOn w:val="26"/>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fill="FFFFFF" w:themeFill="light1"/>
      </w:tcPr>
    </w:tblStylePr>
    <w:tblStylePr w:type="lastRow">
      <w:pPr>
        <w:snapToGrid/>
      </w:pPr>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fill="FFFFFF" w:themeFill="light1"/>
      </w:tcPr>
    </w:tblStylePr>
    <w:tblStylePr w:type="firstCol">
      <w:pPr>
        <w:snapToGrid/>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FFFFFF"/>
      </w:tcPr>
    </w:tblStylePr>
    <w:tblStylePr w:type="lastCol">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FFFFFF"/>
      </w:tcPr>
    </w:tblStylePr>
    <w:tblStylePr w:type="band1Vert">
      <w:pPr>
        <w:snapToGrid/>
      </w:pPr>
      <w:tcPr>
        <w:shd w:val="clear" w:color="F2DCDC" w:fill="F2DCDC" w:themeFill="accent2" w:themeFillTint="32"/>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hemeFill="accent2" w:themeFillTint="32"/>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5">
    <w:name w:val="Grid Table 7 Colorful - Accent 3"/>
    <w:basedOn w:val="26"/>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fill="FFFFFF" w:themeFill="light1"/>
      </w:tcPr>
    </w:tblStylePr>
    <w:tblStylePr w:type="lastRow">
      <w:pPr>
        <w:snapToGrid/>
      </w:pPr>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fill="FFFFFF" w:themeFill="light1"/>
      </w:tcPr>
    </w:tblStylePr>
    <w:tblStylePr w:type="firstCol">
      <w:pPr>
        <w:snapToGrid/>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FFFFFF"/>
      </w:tcPr>
    </w:tblStylePr>
    <w:tblStylePr w:type="lastCol">
      <w:pPr>
        <w:snapToGrid/>
      </w:pPr>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FFFFFF"/>
      </w:tcPr>
    </w:tblStylePr>
    <w:tblStylePr w:type="band1Vert">
      <w:pPr>
        <w:snapToGrid/>
      </w:pPr>
      <w:tcPr>
        <w:shd w:val="clear" w:color="EAF1DD" w:fill="EAF1DD" w:themeFill="accent3" w:themeFillTint="34"/>
      </w:tcPr>
    </w:tblStylePr>
    <w:tblStylePr w:type="band2Vert">
      <w:pPr>
        <w:snapToGrid/>
      </w:pPr>
    </w:tblStylePr>
    <w:tblStylePr w:type="band1Horz">
      <w:pPr>
        <w:snapToGrid/>
      </w:pPr>
      <w:rPr>
        <w:rFonts w:ascii="Arial" w:hAnsi="Arial"/>
        <w:color w:val="9BBB59" w:themeColor="accent3"/>
        <w:sz w:val="22"/>
        <w14:textFill>
          <w14:solidFill>
            <w14:schemeClr w14:val="accent3"/>
          </w14:solidFill>
        </w14:textFill>
      </w:rPr>
      <w:tcPr>
        <w:shd w:val="clear" w:color="EAF1DD" w:fill="EAF1DD" w:themeFill="accent3" w:themeFillTint="34"/>
      </w:tcPr>
    </w:tblStylePr>
    <w:tblStylePr w:type="band2Horz">
      <w:pPr>
        <w:snapToGrid/>
      </w:pPr>
      <w:rPr>
        <w:rFonts w:ascii="Arial" w:hAnsi="Arial"/>
        <w:color w:val="9BBB59" w:themeColor="accent3"/>
        <w:sz w:val="22"/>
        <w14:textFill>
          <w14:solidFill>
            <w14:schemeClr w14:val="accent3"/>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6">
    <w:name w:val="Grid Table 7 Colorful - Accent 4"/>
    <w:basedOn w:val="26"/>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fill="FFFFFF" w:themeFill="light1"/>
      </w:tcPr>
    </w:tblStylePr>
    <w:tblStylePr w:type="lastRow">
      <w:pPr>
        <w:snapToGrid/>
      </w:pPr>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fill="FFFFFF" w:themeFill="light1"/>
      </w:tcPr>
    </w:tblStylePr>
    <w:tblStylePr w:type="firstCol">
      <w:pPr>
        <w:snapToGrid/>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FFFFFF"/>
      </w:tcPr>
    </w:tblStylePr>
    <w:tblStylePr w:type="lastCol">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FFFFFF"/>
      </w:tcPr>
    </w:tblStylePr>
    <w:tblStylePr w:type="band1Vert">
      <w:pPr>
        <w:snapToGrid/>
      </w:pPr>
      <w:tcPr>
        <w:shd w:val="clear" w:color="E5DFEC" w:fill="E5DFEC" w:themeFill="accent4" w:themeFillTint="34"/>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hemeFill="accent4" w:themeFillTint="34"/>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7">
    <w:name w:val="Grid Table 7 Colorful - Accent 5"/>
    <w:basedOn w:val="26"/>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pPr>
        <w:snapToGrid/>
      </w:pPr>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fill="FFFFFF" w:themeFill="light1"/>
      </w:tcPr>
    </w:tblStylePr>
    <w:tblStylePr w:type="lastRow">
      <w:pPr>
        <w:snapToGrid/>
      </w:pPr>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fill="FFFFFF" w:themeFill="light1"/>
      </w:tcPr>
    </w:tblStylePr>
    <w:tblStylePr w:type="firstCol">
      <w:pPr>
        <w:snapToGrid/>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FFFFFF"/>
      </w:tcPr>
    </w:tblStylePr>
    <w:tblStylePr w:type="lastCol">
      <w:pPr>
        <w:snapToGrid/>
      </w:pPr>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FFFFFF"/>
      </w:tcPr>
    </w:tblStylePr>
    <w:tblStylePr w:type="band1Vert">
      <w:pPr>
        <w:snapToGrid/>
      </w:pPr>
      <w:tcPr>
        <w:shd w:val="clear" w:color="DAEEF3" w:fill="DAEEF3" w:themeFill="accent5" w:themeFillTint="34"/>
      </w:tcPr>
    </w:tblStylePr>
    <w:tblStylePr w:type="band2Vert">
      <w:pPr>
        <w:snapToGrid/>
      </w:pPr>
    </w:tblStylePr>
    <w:tblStylePr w:type="band1Horz">
      <w:pPr>
        <w:snapToGrid/>
      </w:pPr>
      <w:rPr>
        <w:rFonts w:ascii="Arial" w:hAnsi="Arial"/>
        <w:color w:val="266778" w:themeColor="accent5" w:themeShade="94"/>
        <w:sz w:val="22"/>
      </w:rPr>
      <w:tcPr>
        <w:shd w:val="clear" w:color="DAEEF3" w:fill="DAEEF3" w:themeFill="accent5"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8">
    <w:name w:val="Grid Table 7 Colorful - Accent 6"/>
    <w:basedOn w:val="2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pPr>
        <w:snapToGrid/>
      </w:pPr>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fill="FFFFFF" w:themeFill="light1"/>
      </w:tcPr>
    </w:tblStylePr>
    <w:tblStylePr w:type="lastRow">
      <w:pPr>
        <w:snapToGrid/>
      </w:pPr>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fill="FFFFFF" w:themeFill="light1"/>
      </w:tcPr>
    </w:tblStylePr>
    <w:tblStylePr w:type="firstCol">
      <w:pPr>
        <w:snapToGrid/>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FFFFFF"/>
      </w:tcPr>
    </w:tblStylePr>
    <w:tblStylePr w:type="lastCol">
      <w:pPr>
        <w:snapToGrid/>
      </w:pPr>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FFFFFF"/>
      </w:tcPr>
    </w:tblStylePr>
    <w:tblStylePr w:type="band1Vert">
      <w:pPr>
        <w:snapToGrid/>
      </w:pPr>
      <w:tcPr>
        <w:shd w:val="clear" w:color="FDE9D9" w:fill="FDE9D9" w:themeFill="accent6" w:themeFillTint="34"/>
      </w:tcPr>
    </w:tblStylePr>
    <w:tblStylePr w:type="band2Vert">
      <w:pPr>
        <w:snapToGrid/>
      </w:pPr>
    </w:tblStylePr>
    <w:tblStylePr w:type="band1Horz">
      <w:pPr>
        <w:snapToGrid/>
      </w:pPr>
      <w:rPr>
        <w:rFonts w:ascii="Arial" w:hAnsi="Arial"/>
        <w:color w:val="B05408" w:themeColor="accent6" w:themeShade="94"/>
        <w:sz w:val="22"/>
      </w:rPr>
      <w:tcPr>
        <w:shd w:val="clear" w:color="FDE9D9" w:fill="FDE9D9" w:themeFill="accent6" w:themeFillTint="34"/>
      </w:tcPr>
    </w:tblStylePr>
    <w:tblStylePr w:type="band2Horz">
      <w:pPr>
        <w:snapToGrid/>
      </w:pPr>
      <w:rPr>
        <w:rFonts w:ascii="Arial" w:hAnsi="Arial"/>
        <w:color w:val="B05408" w:themeColor="accent6"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9">
    <w:name w:val="List Table 1 Light - Accent 1"/>
    <w:basedOn w:val="26"/>
    <w:qFormat/>
    <w:uiPriority w:val="99"/>
    <w:tblStylePr w:type="firstRow">
      <w:pPr>
        <w:snapToGrid/>
      </w:pPr>
      <w:rPr>
        <w:b/>
        <w:color w:val="404040"/>
      </w:rPr>
      <w:tcPr>
        <w:tcBorders>
          <w:top w:val="nil"/>
          <w:left w:val="nil"/>
          <w:bottom w:val="single" w:color="4F81BD" w:themeColor="accent1" w:sz="4" w:space="0"/>
          <w:right w:val="nil"/>
        </w:tcBorders>
      </w:tcPr>
    </w:tblStylePr>
    <w:tblStylePr w:type="lastRow">
      <w:pPr>
        <w:snapToGrid/>
      </w:pPr>
      <w:rPr>
        <w:b/>
        <w:color w:val="404040"/>
      </w:rPr>
      <w:tcPr>
        <w:tcBorders>
          <w:top w:val="single" w:color="4F81BD" w:themeColor="accen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D2DFEE" w:fill="D2DFEE" w:themeFill="accent1" w:themeFillTint="40"/>
      </w:tcPr>
    </w:tblStylePr>
    <w:tblStylePr w:type="band2Vert">
      <w:pPr>
        <w:snapToGrid/>
      </w:pPr>
    </w:tblStylePr>
    <w:tblStylePr w:type="band1Horz">
      <w:pPr>
        <w:snapToGrid/>
      </w:pPr>
      <w:tcPr>
        <w:shd w:val="clear" w:color="D2DFEE"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0">
    <w:name w:val="List Table 1 Light - Accent 2"/>
    <w:basedOn w:val="26"/>
    <w:qFormat/>
    <w:uiPriority w:val="99"/>
    <w:tblStylePr w:type="firstRow">
      <w:pPr>
        <w:snapToGrid/>
      </w:pPr>
      <w:rPr>
        <w:b/>
        <w:color w:val="404040"/>
      </w:rPr>
      <w:tcPr>
        <w:tcBorders>
          <w:top w:val="nil"/>
          <w:left w:val="nil"/>
          <w:bottom w:val="single" w:color="C0504D" w:themeColor="accent2" w:sz="4" w:space="0"/>
          <w:right w:val="nil"/>
        </w:tcBorders>
      </w:tcPr>
    </w:tblStylePr>
    <w:tblStylePr w:type="lastRow">
      <w:pPr>
        <w:snapToGrid/>
      </w:pPr>
      <w:rPr>
        <w:b/>
        <w:color w:val="404040"/>
      </w:rPr>
      <w:tcPr>
        <w:tcBorders>
          <w:top w:val="single" w:color="C0504D" w:themeColor="accent2"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EFD3D2" w:fill="EFD3D2" w:themeFill="accent2" w:themeFillTint="40"/>
      </w:tcPr>
    </w:tblStylePr>
    <w:tblStylePr w:type="band2Vert">
      <w:pPr>
        <w:snapToGrid/>
      </w:pPr>
    </w:tblStylePr>
    <w:tblStylePr w:type="band1Horz">
      <w:pPr>
        <w:snapToGrid/>
      </w:pPr>
      <w:tcPr>
        <w:shd w:val="clear" w:color="EFD3D2"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1">
    <w:name w:val="List Table 1 Light - Accent 3"/>
    <w:basedOn w:val="26"/>
    <w:qFormat/>
    <w:uiPriority w:val="99"/>
    <w:tblStylePr w:type="firstRow">
      <w:pPr>
        <w:snapToGrid/>
      </w:pPr>
      <w:rPr>
        <w:b/>
        <w:color w:val="404040"/>
      </w:rPr>
      <w:tcPr>
        <w:tcBorders>
          <w:top w:val="nil"/>
          <w:left w:val="nil"/>
          <w:bottom w:val="single" w:color="9BBB59" w:themeColor="accent3" w:sz="4" w:space="0"/>
          <w:right w:val="nil"/>
        </w:tcBorders>
      </w:tcPr>
    </w:tblStylePr>
    <w:tblStylePr w:type="lastRow">
      <w:pPr>
        <w:snapToGrid/>
      </w:pPr>
      <w:rPr>
        <w:b/>
        <w:color w:val="404040"/>
      </w:rPr>
      <w:tcPr>
        <w:tcBorders>
          <w:top w:val="single" w:color="9BBB59" w:themeColor="accent3"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E5EDD5" w:fill="E5EDD5" w:themeFill="accent3" w:themeFillTint="40"/>
      </w:tcPr>
    </w:tblStylePr>
    <w:tblStylePr w:type="band2Vert">
      <w:pPr>
        <w:snapToGrid/>
      </w:pPr>
    </w:tblStylePr>
    <w:tblStylePr w:type="band1Horz">
      <w:pPr>
        <w:snapToGrid/>
      </w:pPr>
      <w:tcPr>
        <w:shd w:val="clear" w:color="E5EDD5"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2">
    <w:name w:val="List Table 1 Light - Accent 4"/>
    <w:basedOn w:val="26"/>
    <w:qFormat/>
    <w:uiPriority w:val="99"/>
    <w:tblStylePr w:type="firstRow">
      <w:pPr>
        <w:snapToGrid/>
      </w:pPr>
      <w:rPr>
        <w:b/>
        <w:color w:val="404040"/>
      </w:rPr>
      <w:tcPr>
        <w:tcBorders>
          <w:top w:val="nil"/>
          <w:left w:val="nil"/>
          <w:bottom w:val="single" w:color="8064A2" w:themeColor="accent4" w:sz="4" w:space="0"/>
          <w:right w:val="nil"/>
        </w:tcBorders>
      </w:tcPr>
    </w:tblStylePr>
    <w:tblStylePr w:type="lastRow">
      <w:pPr>
        <w:snapToGrid/>
      </w:pPr>
      <w:rPr>
        <w:b/>
        <w:color w:val="404040"/>
      </w:rPr>
      <w:tcPr>
        <w:tcBorders>
          <w:top w:val="single" w:color="8064A2" w:themeColor="accent4"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DFD8E7" w:fill="DFD8E7" w:themeFill="accent4" w:themeFillTint="40"/>
      </w:tcPr>
    </w:tblStylePr>
    <w:tblStylePr w:type="band2Vert">
      <w:pPr>
        <w:snapToGrid/>
      </w:pPr>
    </w:tblStylePr>
    <w:tblStylePr w:type="band1Horz">
      <w:pPr>
        <w:snapToGrid/>
      </w:pPr>
      <w:tcPr>
        <w:shd w:val="clear" w:color="DFD8E7"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3">
    <w:name w:val="List Table 1 Light - Accent 5"/>
    <w:basedOn w:val="26"/>
    <w:qFormat/>
    <w:uiPriority w:val="99"/>
    <w:tblStylePr w:type="firstRow">
      <w:pPr>
        <w:snapToGrid/>
      </w:pPr>
      <w:rPr>
        <w:b/>
        <w:color w:val="404040"/>
      </w:rPr>
      <w:tcPr>
        <w:tcBorders>
          <w:top w:val="nil"/>
          <w:left w:val="nil"/>
          <w:bottom w:val="single" w:color="4BACC6" w:themeColor="accent5" w:sz="4" w:space="0"/>
          <w:right w:val="nil"/>
        </w:tcBorders>
      </w:tcPr>
    </w:tblStylePr>
    <w:tblStylePr w:type="lastRow">
      <w:pPr>
        <w:snapToGrid/>
      </w:pPr>
      <w:rPr>
        <w:b/>
        <w:color w:val="404040"/>
      </w:rPr>
      <w:tcPr>
        <w:tcBorders>
          <w:top w:val="single" w:color="4BACC6" w:themeColor="accent5"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D1EAF0" w:fill="D1EAF0" w:themeFill="accent5" w:themeFillTint="40"/>
      </w:tcPr>
    </w:tblStylePr>
    <w:tblStylePr w:type="band2Vert">
      <w:pPr>
        <w:snapToGrid/>
      </w:pPr>
    </w:tblStylePr>
    <w:tblStylePr w:type="band1Horz">
      <w:pPr>
        <w:snapToGrid/>
      </w:pPr>
      <w:tcPr>
        <w:shd w:val="clear" w:color="D1EAF0"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4">
    <w:name w:val="List Table 1 Light - Accent 6"/>
    <w:basedOn w:val="26"/>
    <w:qFormat/>
    <w:uiPriority w:val="99"/>
    <w:tblStylePr w:type="firstRow">
      <w:pPr>
        <w:snapToGrid/>
      </w:pPr>
      <w:rPr>
        <w:b/>
        <w:color w:val="404040"/>
      </w:rPr>
      <w:tcPr>
        <w:tcBorders>
          <w:top w:val="nil"/>
          <w:left w:val="nil"/>
          <w:bottom w:val="single" w:color="F79646" w:themeColor="accent6" w:sz="4" w:space="0"/>
          <w:right w:val="nil"/>
        </w:tcBorders>
      </w:tcPr>
    </w:tblStylePr>
    <w:tblStylePr w:type="lastRow">
      <w:pPr>
        <w:snapToGrid/>
      </w:pPr>
      <w:rPr>
        <w:b/>
        <w:color w:val="404040"/>
      </w:rPr>
      <w:tcPr>
        <w:tcBorders>
          <w:top w:val="single" w:color="F79646" w:themeColor="accent6"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CE4D0" w:fill="FCE4D0" w:themeFill="accent6" w:themeFillTint="40"/>
      </w:tcPr>
    </w:tblStylePr>
    <w:tblStylePr w:type="band2Vert">
      <w:pPr>
        <w:snapToGrid/>
      </w:pPr>
    </w:tblStylePr>
    <w:tblStylePr w:type="band1Horz">
      <w:pPr>
        <w:snapToGrid/>
      </w:pPr>
      <w:tcPr>
        <w:shd w:val="clear" w:color="FCE4D0"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5">
    <w:name w:val="List Table 2 - Accent 1"/>
    <w:basedOn w:val="26"/>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pPr>
        <w:snapToGrid/>
      </w:pPr>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pPr>
        <w:snapToGrid/>
      </w:pPr>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D2DFEE" w:fill="D2DFEE" w:themeFill="accent1" w:themeFillTint="40"/>
      </w:tcPr>
    </w:tblStylePr>
    <w:tblStylePr w:type="band2Vert">
      <w:pPr>
        <w:snapToGrid/>
      </w:pPr>
    </w:tblStylePr>
    <w:tblStylePr w:type="band1Horz">
      <w:pPr>
        <w:snapToGrid/>
      </w:pPr>
      <w:rPr>
        <w:rFonts w:ascii="Arial" w:hAnsi="Arial"/>
        <w:color w:val="404040"/>
        <w:sz w:val="22"/>
      </w:rPr>
      <w:tcPr>
        <w:shd w:val="clear" w:color="D2DFEE"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6">
    <w:name w:val="List Table 2 - Accent 2"/>
    <w:basedOn w:val="26"/>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pPr>
        <w:snapToGrid/>
      </w:pPr>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pPr>
        <w:snapToGrid/>
      </w:pPr>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EFD3D2" w:fill="EFD3D2" w:themeFill="accent2" w:themeFillTint="40"/>
      </w:tcPr>
    </w:tblStylePr>
    <w:tblStylePr w:type="band2Vert">
      <w:pPr>
        <w:snapToGrid/>
      </w:pPr>
    </w:tblStylePr>
    <w:tblStylePr w:type="band1Horz">
      <w:pPr>
        <w:snapToGrid/>
      </w:pPr>
      <w:rPr>
        <w:rFonts w:ascii="Arial" w:hAnsi="Arial"/>
        <w:color w:val="404040"/>
        <w:sz w:val="22"/>
      </w:rPr>
      <w:tcPr>
        <w:shd w:val="clear" w:color="EFD3D2"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7">
    <w:name w:val="List Table 2 - Accent 3"/>
    <w:basedOn w:val="26"/>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pPr>
        <w:snapToGrid/>
      </w:pPr>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pPr>
        <w:snapToGrid/>
      </w:pPr>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E5EDD5" w:fill="E5EDD5" w:themeFill="accent3" w:themeFillTint="40"/>
      </w:tcPr>
    </w:tblStylePr>
    <w:tblStylePr w:type="band2Vert">
      <w:pPr>
        <w:snapToGrid/>
      </w:pPr>
    </w:tblStylePr>
    <w:tblStylePr w:type="band1Horz">
      <w:pPr>
        <w:snapToGrid/>
      </w:pPr>
      <w:rPr>
        <w:rFonts w:ascii="Arial" w:hAnsi="Arial"/>
        <w:color w:val="404040"/>
        <w:sz w:val="22"/>
      </w:rPr>
      <w:tcPr>
        <w:shd w:val="clear" w:color="E5EDD5"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8">
    <w:name w:val="List Table 2 - Accent 4"/>
    <w:basedOn w:val="26"/>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pPr>
        <w:snapToGrid/>
      </w:pPr>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pPr>
        <w:snapToGrid/>
      </w:pPr>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DFD8E7" w:fill="DFD8E7" w:themeFill="accent4" w:themeFillTint="40"/>
      </w:tcPr>
    </w:tblStylePr>
    <w:tblStylePr w:type="band2Vert">
      <w:pPr>
        <w:snapToGrid/>
      </w:pPr>
    </w:tblStylePr>
    <w:tblStylePr w:type="band1Horz">
      <w:pPr>
        <w:snapToGrid/>
      </w:pPr>
      <w:rPr>
        <w:rFonts w:ascii="Arial" w:hAnsi="Arial"/>
        <w:color w:val="404040"/>
        <w:sz w:val="22"/>
      </w:rPr>
      <w:tcPr>
        <w:shd w:val="clear" w:color="DFD8E7"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9">
    <w:name w:val="List Table 2 - Accent 5"/>
    <w:basedOn w:val="26"/>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pPr>
        <w:snapToGrid/>
      </w:pPr>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pPr>
        <w:snapToGrid/>
      </w:pPr>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D1EAF0" w:fill="D1EAF0" w:themeFill="accent5" w:themeFillTint="40"/>
      </w:tcPr>
    </w:tblStylePr>
    <w:tblStylePr w:type="band2Vert">
      <w:pPr>
        <w:snapToGrid/>
      </w:pPr>
    </w:tblStylePr>
    <w:tblStylePr w:type="band1Horz">
      <w:pPr>
        <w:snapToGrid/>
      </w:pPr>
      <w:rPr>
        <w:rFonts w:ascii="Arial" w:hAnsi="Arial"/>
        <w:color w:val="404040"/>
        <w:sz w:val="22"/>
      </w:rPr>
      <w:tcPr>
        <w:shd w:val="clear" w:color="D1EAF0"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0">
    <w:name w:val="List Table 2 - Accent 6"/>
    <w:basedOn w:val="2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pPr>
        <w:snapToGrid/>
      </w:pPr>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pPr>
        <w:snapToGrid/>
      </w:pPr>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CE4D0" w:fill="FCE4D0" w:themeFill="accent6" w:themeFillTint="40"/>
      </w:tcPr>
    </w:tblStylePr>
    <w:tblStylePr w:type="band2Vert">
      <w:pPr>
        <w:snapToGrid/>
      </w:pPr>
    </w:tblStylePr>
    <w:tblStylePr w:type="band1Horz">
      <w:pPr>
        <w:snapToGrid/>
      </w:pPr>
      <w:rPr>
        <w:rFonts w:ascii="Arial" w:hAnsi="Arial"/>
        <w:color w:val="404040"/>
        <w:sz w:val="22"/>
      </w:rPr>
      <w:tcPr>
        <w:shd w:val="clear" w:color="FCE4D0"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1">
    <w:name w:val="List Table 3 - Accent 1"/>
    <w:basedOn w:val="26"/>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pPr>
        <w:snapToGrid/>
      </w:pPr>
      <w:rPr>
        <w:rFonts w:ascii="Arial" w:hAnsi="Arial"/>
        <w:b/>
        <w:color w:val="FFFFFF"/>
        <w:sz w:val="22"/>
      </w:rPr>
      <w:tcPr>
        <w:shd w:val="clear" w:color="4F81BD" w:fill="4F81BD"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4F81BD" w:themeColor="accent1" w:sz="4" w:space="0"/>
          <w:right w:val="single" w:color="4F81BD" w:themeColor="accent1" w:sz="4" w:space="0"/>
        </w:tcBorders>
      </w:tcPr>
    </w:tblStylePr>
    <w:tblStylePr w:type="band2Vert">
      <w:pPr>
        <w:snapToGrid/>
      </w:pPr>
    </w:tblStylePr>
    <w:tblStylePr w:type="band1Horz">
      <w:pPr>
        <w:snapToGrid/>
      </w:pPr>
      <w:rPr>
        <w:rFonts w:ascii="Arial" w:hAnsi="Arial"/>
        <w:color w:val="404040"/>
        <w:sz w:val="22"/>
      </w:rPr>
      <w:tcPr>
        <w:tcBorders>
          <w:top w:val="single" w:color="4F81BD" w:themeColor="accent1" w:sz="4" w:space="0"/>
          <w:bottom w:val="single" w:color="4F81BD" w:themeColor="accen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2">
    <w:name w:val="List Table 3 - Accent 2"/>
    <w:basedOn w:val="2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pPr>
        <w:snapToGrid/>
      </w:pPr>
      <w:rPr>
        <w:rFonts w:ascii="Arial" w:hAnsi="Arial"/>
        <w:b/>
        <w:color w:val="FFFFFF"/>
        <w:sz w:val="22"/>
      </w:rPr>
      <w:tcPr>
        <w:shd w:val="clear" w:color="D99795" w:fill="D99795" w:themeFill="accent2" w:themeFillTint="97"/>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pPr>
        <w:snapToGrid/>
      </w:pPr>
    </w:tblStylePr>
    <w:tblStylePr w:type="band1Horz">
      <w:pPr>
        <w:snapToGrid/>
      </w:pPr>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3">
    <w:name w:val="List Table 3 - Accent 3"/>
    <w:basedOn w:val="26"/>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pPr>
        <w:snapToGrid/>
      </w:pPr>
      <w:rPr>
        <w:rFonts w:ascii="Arial" w:hAnsi="Arial"/>
        <w:b/>
        <w:color w:val="FFFFFF"/>
        <w:sz w:val="22"/>
      </w:rPr>
      <w:tcPr>
        <w:shd w:val="clear" w:color="C3D69C" w:fill="C3D69C" w:themeFill="accent3"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pPr>
        <w:snapToGrid/>
      </w:pPr>
    </w:tblStylePr>
    <w:tblStylePr w:type="band1Horz">
      <w:pPr>
        <w:snapToGrid/>
      </w:pPr>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4">
    <w:name w:val="List Table 3 - Accent 4"/>
    <w:basedOn w:val="2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pPr>
        <w:snapToGrid/>
      </w:pPr>
      <w:rPr>
        <w:rFonts w:ascii="Arial" w:hAnsi="Arial"/>
        <w:b/>
        <w:color w:val="FFFFFF"/>
        <w:sz w:val="22"/>
      </w:rPr>
      <w:tcPr>
        <w:shd w:val="clear" w:color="B2A1C6" w:fill="B2A1C6" w:themeFill="accent4"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pPr>
        <w:snapToGrid/>
      </w:pPr>
    </w:tblStylePr>
    <w:tblStylePr w:type="band1Horz">
      <w:pPr>
        <w:snapToGrid/>
      </w:pPr>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5">
    <w:name w:val="List Table 3 - Accent 5"/>
    <w:basedOn w:val="26"/>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pPr>
        <w:snapToGrid/>
      </w:pPr>
      <w:rPr>
        <w:rFonts w:ascii="Arial" w:hAnsi="Arial"/>
        <w:b/>
        <w:color w:val="FFFFFF"/>
        <w:sz w:val="22"/>
      </w:rPr>
      <w:tcPr>
        <w:shd w:val="clear" w:color="92CCDC" w:fill="92CCDC" w:themeFill="accent5"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pPr>
        <w:snapToGrid/>
      </w:pPr>
    </w:tblStylePr>
    <w:tblStylePr w:type="band1Horz">
      <w:pPr>
        <w:snapToGrid/>
      </w:pPr>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6">
    <w:name w:val="List Table 3 - Accent 6"/>
    <w:basedOn w:val="2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pPr>
        <w:snapToGrid/>
      </w:pPr>
      <w:rPr>
        <w:rFonts w:ascii="Arial" w:hAnsi="Arial"/>
        <w:b/>
        <w:color w:val="FFFFFF"/>
        <w:sz w:val="22"/>
      </w:rPr>
      <w:tcPr>
        <w:shd w:val="clear" w:color="FAC090" w:fill="FAC090" w:themeFill="accent6"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pPr>
        <w:snapToGrid/>
      </w:pPr>
    </w:tblStylePr>
    <w:tblStylePr w:type="band1Horz">
      <w:pPr>
        <w:snapToGrid/>
      </w:pPr>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7">
    <w:name w:val="List Table 4 - Accent 1"/>
    <w:basedOn w:val="26"/>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pPr>
        <w:snapToGrid/>
      </w:pPr>
      <w:rPr>
        <w:rFonts w:ascii="Arial" w:hAnsi="Arial"/>
        <w:b/>
        <w:color w:val="FFFFFF"/>
        <w:sz w:val="22"/>
      </w:rPr>
      <w:tcPr>
        <w:shd w:val="clear" w:color="4F81BD" w:fill="4F81BD"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2DFEE" w:fill="D2DFEE" w:themeFill="accent1" w:themeFillTint="40"/>
      </w:tcPr>
    </w:tblStylePr>
    <w:tblStylePr w:type="band2Vert">
      <w:pPr>
        <w:snapToGrid/>
      </w:pPr>
    </w:tblStylePr>
    <w:tblStylePr w:type="band1Horz">
      <w:pPr>
        <w:snapToGrid/>
      </w:pPr>
      <w:rPr>
        <w:rFonts w:ascii="Arial" w:hAnsi="Arial"/>
        <w:color w:val="404040"/>
        <w:sz w:val="22"/>
      </w:rPr>
      <w:tcPr>
        <w:shd w:val="clear" w:color="D2DFEE"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8">
    <w:name w:val="List Table 4 - Accent 2"/>
    <w:basedOn w:val="26"/>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pPr>
        <w:snapToGrid/>
      </w:pPr>
      <w:rPr>
        <w:rFonts w:ascii="Arial" w:hAnsi="Arial"/>
        <w:b/>
        <w:color w:val="FFFFFF"/>
        <w:sz w:val="22"/>
      </w:rPr>
      <w:tcPr>
        <w:shd w:val="clear" w:color="C0504D" w:fill="C0504D" w:themeFill="accent2"/>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FD3D2" w:fill="EFD3D2" w:themeFill="accent2" w:themeFillTint="40"/>
      </w:tcPr>
    </w:tblStylePr>
    <w:tblStylePr w:type="band2Vert">
      <w:pPr>
        <w:snapToGrid/>
      </w:pPr>
    </w:tblStylePr>
    <w:tblStylePr w:type="band1Horz">
      <w:pPr>
        <w:snapToGrid/>
      </w:pPr>
      <w:rPr>
        <w:rFonts w:ascii="Arial" w:hAnsi="Arial"/>
        <w:color w:val="404040"/>
        <w:sz w:val="22"/>
      </w:rPr>
      <w:tcPr>
        <w:shd w:val="clear" w:color="EFD3D2"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9">
    <w:name w:val="List Table 4 - Accent 3"/>
    <w:basedOn w:val="26"/>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pPr>
        <w:snapToGrid/>
      </w:pPr>
      <w:rPr>
        <w:rFonts w:ascii="Arial" w:hAnsi="Arial"/>
        <w:b/>
        <w:color w:val="FFFFFF"/>
        <w:sz w:val="22"/>
      </w:rPr>
      <w:tcPr>
        <w:shd w:val="clear" w:color="9BBB59" w:fill="9BBB59" w:themeFill="accent3"/>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5EDD5" w:fill="E5EDD5" w:themeFill="accent3" w:themeFillTint="40"/>
      </w:tcPr>
    </w:tblStylePr>
    <w:tblStylePr w:type="band2Vert">
      <w:pPr>
        <w:snapToGrid/>
      </w:pPr>
    </w:tblStylePr>
    <w:tblStylePr w:type="band1Horz">
      <w:pPr>
        <w:snapToGrid/>
      </w:pPr>
      <w:rPr>
        <w:rFonts w:ascii="Arial" w:hAnsi="Arial"/>
        <w:color w:val="404040"/>
        <w:sz w:val="22"/>
      </w:rPr>
      <w:tcPr>
        <w:shd w:val="clear" w:color="E5EDD5"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0">
    <w:name w:val="List Table 4 - Accent 4"/>
    <w:basedOn w:val="26"/>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pPr>
        <w:snapToGrid/>
      </w:pPr>
      <w:rPr>
        <w:rFonts w:ascii="Arial" w:hAnsi="Arial"/>
        <w:b/>
        <w:color w:val="FFFFFF"/>
        <w:sz w:val="22"/>
      </w:rPr>
      <w:tcPr>
        <w:shd w:val="clear" w:color="8064A2" w:fill="8064A2" w:themeFill="accent4"/>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FD8E7" w:fill="DFD8E7" w:themeFill="accent4" w:themeFillTint="40"/>
      </w:tcPr>
    </w:tblStylePr>
    <w:tblStylePr w:type="band2Vert">
      <w:pPr>
        <w:snapToGrid/>
      </w:pPr>
    </w:tblStylePr>
    <w:tblStylePr w:type="band1Horz">
      <w:pPr>
        <w:snapToGrid/>
      </w:pPr>
      <w:rPr>
        <w:rFonts w:ascii="Arial" w:hAnsi="Arial"/>
        <w:color w:val="404040"/>
        <w:sz w:val="22"/>
      </w:rPr>
      <w:tcPr>
        <w:shd w:val="clear" w:color="DFD8E7"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1">
    <w:name w:val="List Table 4 - Accent 5"/>
    <w:basedOn w:val="26"/>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pPr>
        <w:snapToGrid/>
      </w:pPr>
      <w:rPr>
        <w:rFonts w:ascii="Arial" w:hAnsi="Arial"/>
        <w:b/>
        <w:color w:val="FFFFFF"/>
        <w:sz w:val="22"/>
      </w:rPr>
      <w:tcPr>
        <w:shd w:val="clear" w:color="4BACC6" w:fill="4BACC6" w:themeFill="accent5"/>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1EAF0" w:fill="D1EAF0" w:themeFill="accent5" w:themeFillTint="40"/>
      </w:tcPr>
    </w:tblStylePr>
    <w:tblStylePr w:type="band2Vert">
      <w:pPr>
        <w:snapToGrid/>
      </w:pPr>
    </w:tblStylePr>
    <w:tblStylePr w:type="band1Horz">
      <w:pPr>
        <w:snapToGrid/>
      </w:pPr>
      <w:rPr>
        <w:rFonts w:ascii="Arial" w:hAnsi="Arial"/>
        <w:color w:val="404040"/>
        <w:sz w:val="22"/>
      </w:rPr>
      <w:tcPr>
        <w:shd w:val="clear" w:color="D1EAF0"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2">
    <w:name w:val="List Table 4 - Accent 6"/>
    <w:basedOn w:val="2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pPr>
        <w:snapToGrid/>
      </w:pPr>
      <w:rPr>
        <w:rFonts w:ascii="Arial" w:hAnsi="Arial"/>
        <w:b/>
        <w:color w:val="FFFFFF"/>
        <w:sz w:val="22"/>
      </w:rPr>
      <w:tcPr>
        <w:shd w:val="clear" w:color="F79646" w:fill="F79646" w:themeFill="accent6"/>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CE4D0" w:fill="FCE4D0" w:themeFill="accent6" w:themeFillTint="40"/>
      </w:tcPr>
    </w:tblStylePr>
    <w:tblStylePr w:type="band2Vert">
      <w:pPr>
        <w:snapToGrid/>
      </w:pPr>
    </w:tblStylePr>
    <w:tblStylePr w:type="band1Horz">
      <w:pPr>
        <w:snapToGrid/>
      </w:pPr>
      <w:rPr>
        <w:rFonts w:ascii="Arial" w:hAnsi="Arial"/>
        <w:color w:val="404040"/>
        <w:sz w:val="22"/>
      </w:rPr>
      <w:tcPr>
        <w:shd w:val="clear" w:color="FCE4D0"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3">
    <w:name w:val="List Table 5 Dark - Accent 1"/>
    <w:basedOn w:val="26"/>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fill="4F81BD" w:themeFill="accent1"/>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pPr>
        <w:snapToGrid/>
      </w:pPr>
      <w:tcPr>
        <w:tcBorders>
          <w:left w:val="single" w:color="FFFFFF" w:themeColor="light1" w:sz="4" w:space="0"/>
          <w:right w:val="single" w:color="4F81BD" w:themeColor="accent1" w:sz="32" w:space="0"/>
        </w:tcBorders>
      </w:tcPr>
    </w:tblStylePr>
    <w:tblStylePr w:type="band1Vert">
      <w:pPr>
        <w:snapToGrid/>
      </w:pPr>
      <w:tcPr>
        <w:tcBorders>
          <w:left w:val="single" w:color="FFFFFF" w:themeColor="light1" w:sz="4" w:space="0"/>
          <w:right w:val="single" w:color="FFFFFF" w:themeColor="light1" w:sz="4" w:space="0"/>
        </w:tcBorders>
        <w:shd w:val="clear" w:color="4F81BD" w:fill="4F81BD" w:themeFill="accent1"/>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4F81BD" w:fill="4F81BD" w:themeFill="accent1"/>
      </w:tcPr>
    </w:tblStylePr>
    <w:tblStylePr w:type="band2Horz">
      <w:pPr>
        <w:snapToGrid/>
      </w:pPr>
      <w:tcPr>
        <w:tcBorders>
          <w:top w:val="single" w:color="FFFFFF" w:themeColor="light1" w:sz="4" w:space="0"/>
          <w:bottom w:val="single" w:color="FFFFFF" w:themeColor="light1" w:sz="4" w:space="0"/>
        </w:tcBorders>
        <w:shd w:val="clear" w:color="4F81BD" w:fill="4F81BD" w:themeFill="accent1"/>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4">
    <w:name w:val="List Table 5 Dark - Accent 2"/>
    <w:basedOn w:val="26"/>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fill="D99795" w:themeFill="accent2" w:themeFillTint="97"/>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pPr>
        <w:snapToGrid/>
      </w:pPr>
      <w:tcPr>
        <w:tcBorders>
          <w:left w:val="single" w:color="FFFFFF" w:themeColor="light1" w:sz="4" w:space="0"/>
          <w:right w:val="single" w:color="D99795" w:themeColor="accent2" w:themeTint="97" w:sz="32" w:space="0"/>
        </w:tcBorders>
      </w:tcPr>
    </w:tblStylePr>
    <w:tblStylePr w:type="band1Vert">
      <w:pPr>
        <w:snapToGrid/>
      </w:pPr>
      <w:tcPr>
        <w:tcBorders>
          <w:left w:val="single" w:color="FFFFFF" w:themeColor="light1" w:sz="4" w:space="0"/>
          <w:right w:val="single" w:color="FFFFFF" w:themeColor="light1" w:sz="4" w:space="0"/>
        </w:tcBorders>
        <w:shd w:val="clear" w:color="D99795" w:fill="D99795" w:themeFill="accent2" w:themeFillTint="97"/>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D99795" w:fill="D99795" w:themeFill="accent2" w:themeFillTint="97"/>
      </w:tcPr>
    </w:tblStylePr>
    <w:tblStylePr w:type="band2Horz">
      <w:pPr>
        <w:snapToGrid/>
      </w:pPr>
      <w:tcPr>
        <w:tcBorders>
          <w:top w:val="single" w:color="FFFFFF" w:themeColor="light1" w:sz="4" w:space="0"/>
          <w:bottom w:val="single" w:color="FFFFFF" w:themeColor="light1" w:sz="4" w:space="0"/>
        </w:tcBorders>
        <w:shd w:val="clear" w:color="D99795" w:fill="D99795" w:themeFill="accent2" w:themeFillTint="97"/>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5">
    <w:name w:val="List Table 5 Dark - Accent 3"/>
    <w:basedOn w:val="26"/>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fill="C3D69C" w:themeFill="accent3" w:themeFillTint="98"/>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pPr>
        <w:snapToGrid/>
      </w:pPr>
      <w:tcPr>
        <w:tcBorders>
          <w:left w:val="single" w:color="FFFFFF" w:themeColor="light1" w:sz="4" w:space="0"/>
          <w:right w:val="single" w:color="C3D69C" w:themeColor="accent3" w:themeTint="98" w:sz="32" w:space="0"/>
        </w:tcBorders>
      </w:tcPr>
    </w:tblStylePr>
    <w:tblStylePr w:type="band1Vert">
      <w:pPr>
        <w:snapToGrid/>
      </w:pPr>
      <w:tcPr>
        <w:tcBorders>
          <w:left w:val="single" w:color="FFFFFF" w:themeColor="light1" w:sz="4" w:space="0"/>
          <w:right w:val="single" w:color="FFFFFF" w:themeColor="light1" w:sz="4" w:space="0"/>
        </w:tcBorders>
        <w:shd w:val="clear" w:color="C3D69C" w:fill="C3D69C" w:themeFill="accent3"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C3D69C" w:fill="C3D69C" w:themeFill="accent3" w:themeFillTint="98"/>
      </w:tcPr>
    </w:tblStylePr>
    <w:tblStylePr w:type="band2Horz">
      <w:pPr>
        <w:snapToGrid/>
      </w:pPr>
      <w:tcPr>
        <w:tcBorders>
          <w:top w:val="single" w:color="FFFFFF" w:themeColor="light1" w:sz="4" w:space="0"/>
          <w:bottom w:val="single" w:color="FFFFFF" w:themeColor="light1" w:sz="4" w:space="0"/>
        </w:tcBorders>
        <w:shd w:val="clear" w:color="C3D69C" w:fill="C3D69C" w:themeFill="accent3"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6">
    <w:name w:val="List Table 5 Dark - Accent 4"/>
    <w:basedOn w:val="26"/>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fill="B2A1C6" w:themeFill="accent4" w:themeFillTint="9A"/>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pPr>
        <w:snapToGrid/>
      </w:pPr>
      <w:tcPr>
        <w:tcBorders>
          <w:left w:val="single" w:color="FFFFFF" w:themeColor="light1" w:sz="4" w:space="0"/>
          <w:right w:val="single" w:color="B2A1C6" w:themeColor="accent4" w:themeTint="9A" w:sz="32" w:space="0"/>
        </w:tcBorders>
      </w:tcPr>
    </w:tblStylePr>
    <w:tblStylePr w:type="band1Vert">
      <w:pPr>
        <w:snapToGrid/>
      </w:pPr>
      <w:tcPr>
        <w:tcBorders>
          <w:left w:val="single" w:color="FFFFFF" w:themeColor="light1" w:sz="4" w:space="0"/>
          <w:right w:val="single" w:color="FFFFFF" w:themeColor="light1" w:sz="4" w:space="0"/>
        </w:tcBorders>
        <w:shd w:val="clear" w:color="B2A1C6" w:fill="B2A1C6" w:themeFill="accent4"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B2A1C6" w:fill="B2A1C6" w:themeFill="accent4" w:themeFillTint="9A"/>
      </w:tcPr>
    </w:tblStylePr>
    <w:tblStylePr w:type="band2Horz">
      <w:pPr>
        <w:snapToGrid/>
      </w:pPr>
      <w:tcPr>
        <w:tcBorders>
          <w:top w:val="single" w:color="FFFFFF" w:themeColor="light1" w:sz="4" w:space="0"/>
          <w:bottom w:val="single" w:color="FFFFFF" w:themeColor="light1" w:sz="4" w:space="0"/>
        </w:tcBorders>
        <w:shd w:val="clear" w:color="B2A1C6" w:fill="B2A1C6" w:themeFill="accent4"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7">
    <w:name w:val="List Table 5 Dark - Accent 5"/>
    <w:basedOn w:val="26"/>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fill="92CCDC" w:themeFill="accent5" w:themeFillTint="9A"/>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pPr>
        <w:snapToGrid/>
      </w:pPr>
      <w:tcPr>
        <w:tcBorders>
          <w:left w:val="single" w:color="FFFFFF" w:themeColor="light1" w:sz="4" w:space="0"/>
          <w:right w:val="single" w:color="92CCDC" w:themeColor="accent5" w:themeTint="9A" w:sz="32" w:space="0"/>
        </w:tcBorders>
      </w:tcPr>
    </w:tblStylePr>
    <w:tblStylePr w:type="band1Vert">
      <w:pPr>
        <w:snapToGrid/>
      </w:pPr>
      <w:tcPr>
        <w:tcBorders>
          <w:left w:val="single" w:color="FFFFFF" w:themeColor="light1" w:sz="4" w:space="0"/>
          <w:right w:val="single" w:color="FFFFFF" w:themeColor="light1" w:sz="4" w:space="0"/>
        </w:tcBorders>
        <w:shd w:val="clear" w:color="92CCDC" w:fill="92CCDC" w:themeFill="accent5"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92CCDC" w:fill="92CCDC" w:themeFill="accent5" w:themeFillTint="9A"/>
      </w:tcPr>
    </w:tblStylePr>
    <w:tblStylePr w:type="band2Horz">
      <w:pPr>
        <w:snapToGrid/>
      </w:pPr>
      <w:tcPr>
        <w:tcBorders>
          <w:top w:val="single" w:color="FFFFFF" w:themeColor="light1" w:sz="4" w:space="0"/>
          <w:bottom w:val="single" w:color="FFFFFF" w:themeColor="light1" w:sz="4" w:space="0"/>
        </w:tcBorders>
        <w:shd w:val="clear" w:color="92CCDC" w:fill="92CCDC" w:themeFill="accent5"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8">
    <w:name w:val="List Table 5 Dark - Accent 6"/>
    <w:basedOn w:val="2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fill="FAC090" w:themeFill="accent6" w:themeFillTint="98"/>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pPr>
        <w:snapToGrid/>
      </w:pPr>
      <w:tcPr>
        <w:tcBorders>
          <w:left w:val="single" w:color="FFFFFF" w:themeColor="light1" w:sz="4" w:space="0"/>
          <w:right w:val="single" w:color="FAC090" w:themeColor="accent6" w:themeTint="98" w:sz="32" w:space="0"/>
        </w:tcBorders>
      </w:tcPr>
    </w:tblStylePr>
    <w:tblStylePr w:type="band1Vert">
      <w:pPr>
        <w:snapToGrid/>
      </w:pPr>
      <w:tcPr>
        <w:tcBorders>
          <w:left w:val="single" w:color="FFFFFF" w:themeColor="light1" w:sz="4" w:space="0"/>
          <w:right w:val="single" w:color="FFFFFF" w:themeColor="light1" w:sz="4" w:space="0"/>
        </w:tcBorders>
        <w:shd w:val="clear" w:color="FAC090" w:fill="FAC090" w:themeFill="accent6"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AC090" w:fill="FAC090" w:themeFill="accent6" w:themeFillTint="98"/>
      </w:tcPr>
    </w:tblStylePr>
    <w:tblStylePr w:type="band2Horz">
      <w:pPr>
        <w:snapToGrid/>
      </w:pPr>
      <w:tcPr>
        <w:tcBorders>
          <w:top w:val="single" w:color="FFFFFF" w:themeColor="light1" w:sz="4" w:space="0"/>
          <w:bottom w:val="single" w:color="FFFFFF" w:themeColor="light1" w:sz="4" w:space="0"/>
        </w:tcBorders>
        <w:shd w:val="clear" w:color="FAC090" w:fill="FAC090" w:themeFill="accent6"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9">
    <w:name w:val="List Table 6 Colorful - Accent 1"/>
    <w:basedOn w:val="26"/>
    <w:qFormat/>
    <w:uiPriority w:val="99"/>
    <w:tblPr>
      <w:tblBorders>
        <w:top w:val="single" w:color="4F81BD" w:themeColor="accent1" w:sz="4" w:space="0"/>
        <w:bottom w:val="single" w:color="4F81BD" w:themeColor="accent1" w:sz="4" w:space="0"/>
      </w:tblBorders>
    </w:tblPr>
    <w:tblStylePr w:type="firstRow">
      <w:pPr>
        <w:snapToGrid/>
      </w:pPr>
      <w:rPr>
        <w:b/>
        <w:color w:val="2A4B71" w:themeColor="accent1" w:themeShade="94"/>
      </w:rPr>
      <w:tcPr>
        <w:tcBorders>
          <w:bottom w:val="single" w:color="4F81BD" w:themeColor="accent1" w:sz="4" w:space="0"/>
        </w:tcBorders>
      </w:tcPr>
    </w:tblStylePr>
    <w:tblStylePr w:type="lastRow">
      <w:pPr>
        <w:snapToGrid/>
      </w:pPr>
      <w:rPr>
        <w:b/>
        <w:color w:val="2A4B71" w:themeColor="accent1" w:themeShade="94"/>
      </w:rPr>
      <w:tcPr>
        <w:tcBorders>
          <w:top w:val="single" w:color="4F81BD" w:themeColor="accent1" w:sz="4" w:space="0"/>
        </w:tcBorders>
      </w:tcPr>
    </w:tblStylePr>
    <w:tblStylePr w:type="firstCol">
      <w:pPr>
        <w:snapToGrid/>
      </w:pPr>
      <w:rPr>
        <w:b/>
        <w:color w:val="2A4B71" w:themeColor="accent1" w:themeShade="94"/>
      </w:rPr>
    </w:tblStylePr>
    <w:tblStylePr w:type="lastCol">
      <w:pPr>
        <w:snapToGrid/>
      </w:pPr>
      <w:rPr>
        <w:b/>
        <w:color w:val="2A4B71" w:themeColor="accent1" w:themeShade="94"/>
      </w:rPr>
    </w:tblStylePr>
    <w:tblStylePr w:type="band1Vert">
      <w:pPr>
        <w:snapToGrid/>
      </w:pPr>
      <w:tcPr>
        <w:shd w:val="clear" w:color="D2DFEE" w:fill="D2DFEE" w:themeFill="accent1" w:themeFillTint="40"/>
      </w:tcPr>
    </w:tblStylePr>
    <w:tblStylePr w:type="band2Vert">
      <w:pPr>
        <w:snapToGrid/>
      </w:pPr>
    </w:tblStylePr>
    <w:tblStylePr w:type="band1Horz">
      <w:pPr>
        <w:snapToGrid/>
      </w:pPr>
      <w:rPr>
        <w:rFonts w:ascii="Arial" w:hAnsi="Arial"/>
        <w:color w:val="2A4B71" w:themeColor="accent1" w:themeShade="94"/>
        <w:sz w:val="22"/>
      </w:rPr>
      <w:tcPr>
        <w:shd w:val="clear" w:color="D2DFEE" w:fill="D2DFEE" w:themeFill="accent1" w:themeFillTint="40"/>
      </w:tcPr>
    </w:tblStylePr>
    <w:tblStylePr w:type="band2Horz">
      <w:pPr>
        <w:snapToGrid/>
      </w:pPr>
      <w:rPr>
        <w:rFonts w:ascii="Arial" w:hAnsi="Arial"/>
        <w:color w:val="2A4B71" w:themeColor="accent1"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0">
    <w:name w:val="List Table 6 Colorful - Accent 2"/>
    <w:basedOn w:val="26"/>
    <w:qFormat/>
    <w:uiPriority w:val="99"/>
    <w:tblPr>
      <w:tblBorders>
        <w:top w:val="single" w:color="D99795" w:themeColor="accent2" w:themeTint="97" w:sz="4" w:space="0"/>
        <w:bottom w:val="single" w:color="D99795" w:themeColor="accent2" w:themeTint="97" w:sz="4" w:space="0"/>
      </w:tblBorders>
    </w:tblPr>
    <w:tblStylePr w:type="firstRow">
      <w:pPr>
        <w:snapToGrid/>
      </w:pPr>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pPr>
        <w:snapToGrid/>
      </w:pPr>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pPr>
        <w:snapToGrid/>
      </w:pPr>
      <w:rPr>
        <w:b/>
        <w:color w:val="DA9896" w:themeColor="accent2" w:themeTint="96"/>
        <w14:textFill>
          <w14:solidFill>
            <w14:schemeClr w14:val="accent2">
              <w14:lumMod w14:val="59000"/>
              <w14:lumOff w14:val="41000"/>
            </w14:schemeClr>
          </w14:solidFill>
        </w14:textFill>
      </w:rPr>
    </w:tblStylePr>
    <w:tblStylePr w:type="lastCol">
      <w:pPr>
        <w:snapToGrid/>
      </w:pPr>
      <w:rPr>
        <w:b/>
        <w:color w:val="DA9896" w:themeColor="accent2" w:themeTint="96"/>
        <w14:textFill>
          <w14:solidFill>
            <w14:schemeClr w14:val="accent2">
              <w14:lumMod w14:val="59000"/>
              <w14:lumOff w14:val="41000"/>
            </w14:schemeClr>
          </w14:solidFill>
        </w14:textFill>
      </w:rPr>
    </w:tblStylePr>
    <w:tblStylePr w:type="band1Vert">
      <w:pPr>
        <w:snapToGrid/>
      </w:pPr>
      <w:tcPr>
        <w:shd w:val="clear" w:color="EFD3D2" w:fill="EFD3D2" w:themeFill="accent2" w:themeFillTint="40"/>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hemeFill="accent2" w:themeFillTint="40"/>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1">
    <w:name w:val="List Table 6 Colorful - Accent 3"/>
    <w:basedOn w:val="26"/>
    <w:qFormat/>
    <w:uiPriority w:val="99"/>
    <w:tblPr>
      <w:tblBorders>
        <w:top w:val="single" w:color="C3D69C" w:themeColor="accent3" w:themeTint="98" w:sz="4" w:space="0"/>
        <w:bottom w:val="single" w:color="C3D69C" w:themeColor="accent3" w:themeTint="98" w:sz="4" w:space="0"/>
      </w:tblBorders>
    </w:tblPr>
    <w:tblStylePr w:type="firstRow">
      <w:pPr>
        <w:snapToGrid/>
      </w:pPr>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pPr>
        <w:snapToGrid/>
      </w:pPr>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pPr>
        <w:snapToGrid/>
      </w:pPr>
      <w:rPr>
        <w:b/>
        <w:color w:val="C3D69B" w:themeColor="accent3" w:themeTint="99"/>
        <w14:textFill>
          <w14:solidFill>
            <w14:schemeClr w14:val="accent3">
              <w14:lumMod w14:val="60000"/>
              <w14:lumOff w14:val="40000"/>
            </w14:schemeClr>
          </w14:solidFill>
        </w14:textFill>
      </w:rPr>
    </w:tblStylePr>
    <w:tblStylePr w:type="lastCol">
      <w:pPr>
        <w:snapToGrid/>
      </w:pPr>
      <w:rPr>
        <w:b/>
        <w:color w:val="C3D69B" w:themeColor="accent3" w:themeTint="99"/>
        <w14:textFill>
          <w14:solidFill>
            <w14:schemeClr w14:val="accent3">
              <w14:lumMod w14:val="60000"/>
              <w14:lumOff w14:val="40000"/>
            </w14:schemeClr>
          </w14:solidFill>
        </w14:textFill>
      </w:rPr>
    </w:tblStylePr>
    <w:tblStylePr w:type="band1Vert">
      <w:pPr>
        <w:snapToGrid/>
      </w:pPr>
      <w:tcPr>
        <w:shd w:val="clear" w:color="E5EDD5" w:fill="E5EDD5" w:themeFill="accent3" w:themeFillTint="40"/>
      </w:tcPr>
    </w:tblStylePr>
    <w:tblStylePr w:type="band2Vert">
      <w:pPr>
        <w:snapToGrid/>
      </w:pPr>
    </w:tblStylePr>
    <w:tblStylePr w:type="band1Horz">
      <w:pPr>
        <w:snapToGrid/>
      </w:pPr>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hemeFill="accent3" w:themeFillTint="40"/>
      </w:tcPr>
    </w:tblStylePr>
    <w:tblStylePr w:type="band2Horz">
      <w:pPr>
        <w:snapToGrid/>
      </w:pPr>
      <w:rPr>
        <w:rFonts w:ascii="Arial" w:hAnsi="Arial"/>
        <w:color w:val="C3D69B" w:themeColor="accent3" w:themeTint="99"/>
        <w:sz w:val="22"/>
        <w14:textFill>
          <w14:solidFill>
            <w14:schemeClr w14:val="accent3">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2">
    <w:name w:val="List Table 6 Colorful - Accent 4"/>
    <w:basedOn w:val="26"/>
    <w:qFormat/>
    <w:uiPriority w:val="99"/>
    <w:tblPr>
      <w:tblBorders>
        <w:top w:val="single" w:color="B2A1C6" w:themeColor="accent4" w:themeTint="9A" w:sz="4" w:space="0"/>
        <w:bottom w:val="single" w:color="B2A1C6" w:themeColor="accent4" w:themeTint="9A" w:sz="4" w:space="0"/>
      </w:tblBorders>
    </w:tblPr>
    <w:tblStylePr w:type="firstRow">
      <w:pPr>
        <w:snapToGrid/>
      </w:pPr>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pPr>
        <w:snapToGrid/>
      </w:pPr>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pPr>
        <w:snapToGrid/>
      </w:pPr>
      <w:rPr>
        <w:b/>
        <w:color w:val="B3A2C7" w:themeColor="accent4" w:themeTint="99"/>
        <w14:textFill>
          <w14:solidFill>
            <w14:schemeClr w14:val="accent4">
              <w14:lumMod w14:val="60000"/>
              <w14:lumOff w14:val="40000"/>
            </w14:schemeClr>
          </w14:solidFill>
        </w14:textFill>
      </w:rPr>
    </w:tblStylePr>
    <w:tblStylePr w:type="lastCol">
      <w:pPr>
        <w:snapToGrid/>
      </w:pPr>
      <w:rPr>
        <w:b/>
        <w:color w:val="B3A2C7" w:themeColor="accent4" w:themeTint="99"/>
        <w14:textFill>
          <w14:solidFill>
            <w14:schemeClr w14:val="accent4">
              <w14:lumMod w14:val="60000"/>
              <w14:lumOff w14:val="40000"/>
            </w14:schemeClr>
          </w14:solidFill>
        </w14:textFill>
      </w:rPr>
    </w:tblStylePr>
    <w:tblStylePr w:type="band1Vert">
      <w:pPr>
        <w:snapToGrid/>
      </w:pPr>
      <w:tcPr>
        <w:shd w:val="clear" w:color="DFD8E7" w:fill="DFD8E7" w:themeFill="accent4" w:themeFillTint="40"/>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hemeFill="accent4" w:themeFillTint="40"/>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3">
    <w:name w:val="List Table 6 Colorful - Accent 5"/>
    <w:basedOn w:val="26"/>
    <w:qFormat/>
    <w:uiPriority w:val="99"/>
    <w:tblPr>
      <w:tblBorders>
        <w:top w:val="single" w:color="92CCDC" w:themeColor="accent5" w:themeTint="9A" w:sz="4" w:space="0"/>
        <w:bottom w:val="single" w:color="92CCDC" w:themeColor="accent5" w:themeTint="9A" w:sz="4" w:space="0"/>
      </w:tblBorders>
    </w:tblPr>
    <w:tblStylePr w:type="firstRow">
      <w:pPr>
        <w:snapToGrid/>
      </w:pPr>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pPr>
        <w:snapToGrid/>
      </w:pPr>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pPr>
        <w:snapToGrid/>
      </w:pPr>
      <w:rPr>
        <w:b/>
        <w:color w:val="93CDDD" w:themeColor="accent5" w:themeTint="99"/>
        <w14:textFill>
          <w14:solidFill>
            <w14:schemeClr w14:val="accent5">
              <w14:lumMod w14:val="60000"/>
              <w14:lumOff w14:val="40000"/>
            </w14:schemeClr>
          </w14:solidFill>
        </w14:textFill>
      </w:rPr>
    </w:tblStylePr>
    <w:tblStylePr w:type="lastCol">
      <w:pPr>
        <w:snapToGrid/>
      </w:pPr>
      <w:rPr>
        <w:b/>
        <w:color w:val="93CDDD" w:themeColor="accent5" w:themeTint="99"/>
        <w14:textFill>
          <w14:solidFill>
            <w14:schemeClr w14:val="accent5">
              <w14:lumMod w14:val="60000"/>
              <w14:lumOff w14:val="40000"/>
            </w14:schemeClr>
          </w14:solidFill>
        </w14:textFill>
      </w:rPr>
    </w:tblStylePr>
    <w:tblStylePr w:type="band1Vert">
      <w:pPr>
        <w:snapToGrid/>
      </w:pPr>
      <w:tcPr>
        <w:shd w:val="clear" w:color="D1EAF0" w:fill="D1EAF0" w:themeFill="accent5" w:themeFillTint="40"/>
      </w:tcPr>
    </w:tblStylePr>
    <w:tblStylePr w:type="band2Vert">
      <w:pPr>
        <w:snapToGrid/>
      </w:pPr>
    </w:tblStylePr>
    <w:tblStylePr w:type="band1Horz">
      <w:pPr>
        <w:snapToGrid/>
      </w:pPr>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hemeFill="accent5" w:themeFillTint="40"/>
      </w:tcPr>
    </w:tblStylePr>
    <w:tblStylePr w:type="band2Horz">
      <w:pPr>
        <w:snapToGrid/>
      </w:pPr>
      <w:rPr>
        <w:rFonts w:ascii="Arial" w:hAnsi="Arial"/>
        <w:color w:val="93CDDD" w:themeColor="accent5" w:themeTint="99"/>
        <w:sz w:val="22"/>
        <w14:textFill>
          <w14:solidFill>
            <w14:schemeClr w14:val="accent5">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4">
    <w:name w:val="List Table 6 Colorful - Accent 6"/>
    <w:basedOn w:val="26"/>
    <w:qFormat/>
    <w:uiPriority w:val="99"/>
    <w:tblPr>
      <w:tblBorders>
        <w:top w:val="single" w:color="FAC090" w:themeColor="accent6" w:themeTint="98" w:sz="4" w:space="0"/>
        <w:bottom w:val="single" w:color="FAC090" w:themeColor="accent6" w:themeTint="98" w:sz="4" w:space="0"/>
      </w:tblBorders>
    </w:tblPr>
    <w:tblStylePr w:type="firstRow">
      <w:pPr>
        <w:snapToGrid/>
      </w:pPr>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pPr>
        <w:snapToGrid/>
      </w:pPr>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pPr>
        <w:snapToGrid/>
      </w:pPr>
      <w:rPr>
        <w:b/>
        <w:color w:val="FAC090" w:themeColor="accent6" w:themeTint="99"/>
        <w14:textFill>
          <w14:solidFill>
            <w14:schemeClr w14:val="accent6">
              <w14:lumMod w14:val="60000"/>
              <w14:lumOff w14:val="40000"/>
            </w14:schemeClr>
          </w14:solidFill>
        </w14:textFill>
      </w:rPr>
    </w:tblStylePr>
    <w:tblStylePr w:type="lastCol">
      <w:pPr>
        <w:snapToGrid/>
      </w:pPr>
      <w:rPr>
        <w:b/>
        <w:color w:val="FAC090" w:themeColor="accent6" w:themeTint="99"/>
        <w14:textFill>
          <w14:solidFill>
            <w14:schemeClr w14:val="accent6">
              <w14:lumMod w14:val="60000"/>
              <w14:lumOff w14:val="40000"/>
            </w14:schemeClr>
          </w14:solidFill>
        </w14:textFill>
      </w:rPr>
    </w:tblStylePr>
    <w:tblStylePr w:type="band1Vert">
      <w:pPr>
        <w:snapToGrid/>
      </w:pPr>
      <w:tcPr>
        <w:shd w:val="clear" w:color="FCE4D0" w:fill="FCE4D0" w:themeFill="accent6" w:themeFillTint="40"/>
      </w:tcPr>
    </w:tblStylePr>
    <w:tblStylePr w:type="band2Vert">
      <w:pPr>
        <w:snapToGrid/>
      </w:pPr>
    </w:tblStylePr>
    <w:tblStylePr w:type="band1Horz">
      <w:pPr>
        <w:snapToGrid/>
      </w:pPr>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hemeFill="accent6" w:themeFillTint="40"/>
      </w:tcPr>
    </w:tblStylePr>
    <w:tblStylePr w:type="band2Horz">
      <w:pPr>
        <w:snapToGrid/>
      </w:pPr>
      <w:rPr>
        <w:rFonts w:ascii="Arial" w:hAnsi="Arial"/>
        <w:color w:val="FAC090" w:themeColor="accent6" w:themeTint="99"/>
        <w:sz w:val="22"/>
        <w14:textFill>
          <w14:solidFill>
            <w14:schemeClr w14:val="accent6">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5">
    <w:name w:val="List Table 7 Colorful - Accent 1"/>
    <w:basedOn w:val="26"/>
    <w:qFormat/>
    <w:uiPriority w:val="99"/>
    <w:tblPr>
      <w:tblBorders>
        <w:right w:val="single" w:color="4F81BD" w:themeColor="accent1" w:sz="4" w:space="0"/>
      </w:tblBorders>
    </w:tblPr>
    <w:tblStylePr w:type="firstRow">
      <w:pPr>
        <w:snapToGrid/>
      </w:pPr>
      <w:rPr>
        <w:rFonts w:ascii="Arial" w:hAnsi="Arial"/>
        <w:i/>
        <w:color w:val="2A4B71" w:themeColor="accent1" w:themeShade="94"/>
        <w:sz w:val="22"/>
      </w:rPr>
      <w:tcPr>
        <w:tcBorders>
          <w:top w:val="nil"/>
          <w:left w:val="nil"/>
          <w:bottom w:val="single" w:color="4F81BD" w:themeColor="accent1" w:sz="4" w:space="0"/>
          <w:right w:val="nil"/>
        </w:tcBorders>
        <w:shd w:val="clear" w:color="FFFFFF" w:fill="FFFFFF" w:themeFill="light1"/>
      </w:tcPr>
    </w:tblStylePr>
    <w:tblStylePr w:type="lastRow">
      <w:pPr>
        <w:snapToGrid/>
      </w:pPr>
      <w:rPr>
        <w:rFonts w:ascii="Arial" w:hAnsi="Arial"/>
        <w:i/>
        <w:color w:val="2A4B71" w:themeColor="accent1" w:themeShade="94"/>
        <w:sz w:val="22"/>
      </w:rPr>
      <w:tcPr>
        <w:tcBorders>
          <w:top w:val="single" w:color="4F81BD" w:themeColor="accent1" w:sz="4" w:space="0"/>
          <w:left w:val="nil"/>
          <w:bottom w:val="nil"/>
          <w:right w:val="nil"/>
        </w:tcBorders>
        <w:shd w:val="clear" w:color="FFFFFF" w:fill="FFFFFF" w:themeFill="light1"/>
      </w:tcPr>
    </w:tblStylePr>
    <w:tblStylePr w:type="firstCol">
      <w:pPr>
        <w:snapToGrid/>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FFFFFF"/>
      </w:tcPr>
    </w:tblStylePr>
    <w:tblStylePr w:type="lastCol">
      <w:pPr>
        <w:snapToGrid/>
      </w:pPr>
      <w:rPr>
        <w:rFonts w:ascii="Arial" w:hAnsi="Arial"/>
        <w:i/>
        <w:color w:val="2A4B71" w:themeColor="accent1" w:themeShade="94"/>
        <w:sz w:val="22"/>
      </w:rPr>
      <w:tcPr>
        <w:tcBorders>
          <w:top w:val="nil"/>
          <w:left w:val="single" w:color="4F81BD" w:themeColor="accent1" w:sz="4" w:space="0"/>
          <w:bottom w:val="nil"/>
          <w:right w:val="nil"/>
        </w:tcBorders>
        <w:shd w:val="clear" w:color="FFFFFF" w:fill="FFFFFF"/>
      </w:tcPr>
    </w:tblStylePr>
    <w:tblStylePr w:type="band1Vert">
      <w:pPr>
        <w:snapToGrid/>
      </w:pPr>
      <w:tcPr>
        <w:shd w:val="clear" w:color="D2DFEE" w:fill="D2DFEE" w:themeFill="accent1" w:themeFillTint="40"/>
      </w:tcPr>
    </w:tblStylePr>
    <w:tblStylePr w:type="band2Vert">
      <w:pPr>
        <w:snapToGrid/>
      </w:pPr>
    </w:tblStylePr>
    <w:tblStylePr w:type="band1Horz">
      <w:pPr>
        <w:snapToGrid/>
      </w:pPr>
      <w:rPr>
        <w:rFonts w:ascii="Arial" w:hAnsi="Arial"/>
        <w:color w:val="2A4B71" w:themeColor="accent1" w:themeShade="94"/>
        <w:sz w:val="22"/>
      </w:rPr>
      <w:tcPr>
        <w:shd w:val="clear" w:color="D2DFEE" w:fill="D2DFEE" w:themeFill="accent1" w:themeFillTint="40"/>
      </w:tcPr>
    </w:tblStylePr>
    <w:tblStylePr w:type="band2Horz">
      <w:pPr>
        <w:snapToGrid/>
      </w:pPr>
      <w:rPr>
        <w:rFonts w:ascii="Arial" w:hAnsi="Arial"/>
        <w:color w:val="2A4B71" w:themeColor="accent1"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6">
    <w:name w:val="List Table 7 Colorful - Accent 2"/>
    <w:basedOn w:val="26"/>
    <w:qFormat/>
    <w:uiPriority w:val="99"/>
    <w:tblPr>
      <w:tblBorders>
        <w:right w:val="single" w:color="D99795" w:themeColor="accent2" w:themeTint="97" w:sz="4" w:space="0"/>
      </w:tblBorders>
    </w:tblPr>
    <w:tblStylePr w:type="firstRow">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fill="FFFFFF" w:themeFill="light1"/>
      </w:tcPr>
    </w:tblStylePr>
    <w:tblStylePr w:type="lastRow">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fill="FFFFFF" w:themeFill="light1"/>
      </w:tcPr>
    </w:tblStylePr>
    <w:tblStylePr w:type="firstCol">
      <w:pPr>
        <w:snapToGrid/>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FFFFFF"/>
      </w:tcPr>
    </w:tblStylePr>
    <w:tblStylePr w:type="lastCol">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FFFFFF"/>
      </w:tcPr>
    </w:tblStylePr>
    <w:tblStylePr w:type="band1Vert">
      <w:pPr>
        <w:snapToGrid/>
      </w:pPr>
      <w:tcPr>
        <w:shd w:val="clear" w:color="EFD3D2" w:fill="EFD3D2" w:themeFill="accent2" w:themeFillTint="40"/>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hemeFill="accent2" w:themeFillTint="40"/>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7">
    <w:name w:val="List Table 7 Colorful - Accent 3"/>
    <w:basedOn w:val="26"/>
    <w:qFormat/>
    <w:uiPriority w:val="99"/>
    <w:tblPr>
      <w:tblBorders>
        <w:right w:val="single" w:color="C3D69C" w:themeColor="accent3" w:themeTint="98" w:sz="4" w:space="0"/>
      </w:tblBorders>
    </w:tblPr>
    <w:tblStylePr w:type="firstRow">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fill="FFFFFF" w:themeFill="light1"/>
      </w:tcPr>
    </w:tblStylePr>
    <w:tblStylePr w:type="lastRow">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fill="FFFFFF" w:themeFill="light1"/>
      </w:tcPr>
    </w:tblStylePr>
    <w:tblStylePr w:type="firstCol">
      <w:pPr>
        <w:snapToGrid/>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FFFFFF"/>
      </w:tcPr>
    </w:tblStylePr>
    <w:tblStylePr w:type="lastCol">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FFFFFF"/>
      </w:tcPr>
    </w:tblStylePr>
    <w:tblStylePr w:type="band1Vert">
      <w:pPr>
        <w:snapToGrid/>
      </w:pPr>
      <w:tcPr>
        <w:shd w:val="clear" w:color="E5EDD5" w:fill="E5EDD5" w:themeFill="accent3" w:themeFillTint="40"/>
      </w:tcPr>
    </w:tblStylePr>
    <w:tblStylePr w:type="band2Vert">
      <w:pPr>
        <w:snapToGrid/>
      </w:pPr>
    </w:tblStylePr>
    <w:tblStylePr w:type="band1Horz">
      <w:pPr>
        <w:snapToGrid/>
      </w:pPr>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hemeFill="accent3" w:themeFillTint="40"/>
      </w:tcPr>
    </w:tblStylePr>
    <w:tblStylePr w:type="band2Horz">
      <w:pPr>
        <w:snapToGrid/>
      </w:pPr>
      <w:rPr>
        <w:rFonts w:ascii="Arial" w:hAnsi="Arial"/>
        <w:color w:val="C3D69B" w:themeColor="accent3" w:themeTint="99"/>
        <w:sz w:val="22"/>
        <w14:textFill>
          <w14:solidFill>
            <w14:schemeClr w14:val="accent3">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8">
    <w:name w:val="List Table 7 Colorful - Accent 4"/>
    <w:basedOn w:val="26"/>
    <w:qFormat/>
    <w:uiPriority w:val="99"/>
    <w:tblPr>
      <w:tblBorders>
        <w:right w:val="single" w:color="B2A1C6" w:themeColor="accent4" w:themeTint="9A" w:sz="4" w:space="0"/>
      </w:tblBorders>
    </w:tblPr>
    <w:tblStylePr w:type="firstRow">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fill="FFFFFF" w:themeFill="light1"/>
      </w:tcPr>
    </w:tblStylePr>
    <w:tblStylePr w:type="lastRow">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fill="FFFFFF" w:themeFill="light1"/>
      </w:tcPr>
    </w:tblStylePr>
    <w:tblStylePr w:type="firstCol">
      <w:pPr>
        <w:snapToGrid/>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FFFFFF"/>
      </w:tcPr>
    </w:tblStylePr>
    <w:tblStylePr w:type="lastCol">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FFFFFF"/>
      </w:tcPr>
    </w:tblStylePr>
    <w:tblStylePr w:type="band1Vert">
      <w:pPr>
        <w:snapToGrid/>
      </w:pPr>
      <w:tcPr>
        <w:shd w:val="clear" w:color="DFD8E7" w:fill="DFD8E7" w:themeFill="accent4" w:themeFillTint="40"/>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hemeFill="accent4" w:themeFillTint="40"/>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9">
    <w:name w:val="List Table 7 Colorful - Accent 5"/>
    <w:basedOn w:val="26"/>
    <w:qFormat/>
    <w:uiPriority w:val="99"/>
    <w:tblPr>
      <w:tblBorders>
        <w:right w:val="single" w:color="92CCDC" w:themeColor="accent5" w:themeTint="9A" w:sz="4" w:space="0"/>
      </w:tblBorders>
    </w:tblPr>
    <w:tblStylePr w:type="firstRow">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fill="FFFFFF" w:themeFill="light1"/>
      </w:tcPr>
    </w:tblStylePr>
    <w:tblStylePr w:type="lastRow">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fill="FFFFFF" w:themeFill="light1"/>
      </w:tcPr>
    </w:tblStylePr>
    <w:tblStylePr w:type="firstCol">
      <w:pPr>
        <w:snapToGrid/>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FFFFFF"/>
      </w:tcPr>
    </w:tblStylePr>
    <w:tblStylePr w:type="lastCol">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FFFFFF"/>
      </w:tcPr>
    </w:tblStylePr>
    <w:tblStylePr w:type="band1Vert">
      <w:pPr>
        <w:snapToGrid/>
      </w:pPr>
      <w:tcPr>
        <w:shd w:val="clear" w:color="D1EAF0" w:fill="D1EAF0" w:themeFill="accent5" w:themeFillTint="40"/>
      </w:tcPr>
    </w:tblStylePr>
    <w:tblStylePr w:type="band2Vert">
      <w:pPr>
        <w:snapToGrid/>
      </w:pPr>
    </w:tblStylePr>
    <w:tblStylePr w:type="band1Horz">
      <w:pPr>
        <w:snapToGrid/>
      </w:pPr>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hemeFill="accent5" w:themeFillTint="40"/>
      </w:tcPr>
    </w:tblStylePr>
    <w:tblStylePr w:type="band2Horz">
      <w:pPr>
        <w:snapToGrid/>
      </w:pPr>
      <w:rPr>
        <w:rFonts w:ascii="Arial" w:hAnsi="Arial"/>
        <w:color w:val="93CDDD" w:themeColor="accent5" w:themeTint="99"/>
        <w:sz w:val="22"/>
        <w14:textFill>
          <w14:solidFill>
            <w14:schemeClr w14:val="accent5">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0">
    <w:name w:val="List Table 7 Colorful - Accent 6"/>
    <w:basedOn w:val="26"/>
    <w:qFormat/>
    <w:uiPriority w:val="99"/>
    <w:tblPr>
      <w:tblBorders>
        <w:right w:val="single" w:color="FAC090" w:themeColor="accent6" w:themeTint="98" w:sz="4" w:space="0"/>
      </w:tblBorders>
    </w:tblPr>
    <w:tblStylePr w:type="firstRow">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fill="FFFFFF" w:themeFill="light1"/>
      </w:tcPr>
    </w:tblStylePr>
    <w:tblStylePr w:type="lastRow">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fill="FFFFFF" w:themeFill="light1"/>
      </w:tcPr>
    </w:tblStylePr>
    <w:tblStylePr w:type="firstCol">
      <w:pPr>
        <w:snapToGrid/>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FFFFFF"/>
      </w:tcPr>
    </w:tblStylePr>
    <w:tblStylePr w:type="lastCol">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FFFFFF"/>
      </w:tcPr>
    </w:tblStylePr>
    <w:tblStylePr w:type="band1Vert">
      <w:pPr>
        <w:snapToGrid/>
      </w:pPr>
      <w:tcPr>
        <w:shd w:val="clear" w:color="FCE4D0" w:fill="FCE4D0" w:themeFill="accent6" w:themeFillTint="40"/>
      </w:tcPr>
    </w:tblStylePr>
    <w:tblStylePr w:type="band2Vert">
      <w:pPr>
        <w:snapToGrid/>
      </w:pPr>
    </w:tblStylePr>
    <w:tblStylePr w:type="band1Horz">
      <w:pPr>
        <w:snapToGrid/>
      </w:pPr>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hemeFill="accent6" w:themeFillTint="40"/>
      </w:tcPr>
    </w:tblStylePr>
    <w:tblStylePr w:type="band2Horz">
      <w:pPr>
        <w:snapToGrid/>
      </w:pPr>
      <w:rPr>
        <w:rFonts w:ascii="Arial" w:hAnsi="Arial"/>
        <w:color w:val="FAC090" w:themeColor="accent6" w:themeTint="99"/>
        <w:sz w:val="22"/>
        <w14:textFill>
          <w14:solidFill>
            <w14:schemeClr w14:val="accent6">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1">
    <w:name w:val="Lined - Accent"/>
    <w:basedOn w:val="26"/>
    <w:qFormat/>
    <w:uiPriority w:val="99"/>
    <w:rPr>
      <w:color w:val="404040"/>
    </w:rPr>
    <w:tblStylePr w:type="firstRow">
      <w:pPr>
        <w:snapToGrid/>
      </w:pPr>
      <w:rPr>
        <w:rFonts w:ascii="Arial" w:hAnsi="Arial"/>
        <w:color w:val="F2F2F2"/>
        <w:sz w:val="22"/>
      </w:rPr>
      <w:tcPr>
        <w:shd w:val="clear" w:color="7E7E7E" w:fill="7E7E7E" w:themeFill="text1" w:themeFillTint="80"/>
      </w:tcPr>
    </w:tblStylePr>
    <w:tblStylePr w:type="lastRow">
      <w:pPr>
        <w:snapToGrid/>
      </w:pPr>
      <w:rPr>
        <w:rFonts w:ascii="Arial" w:hAnsi="Arial"/>
        <w:color w:val="F2F2F2"/>
        <w:sz w:val="22"/>
      </w:rPr>
      <w:tcPr>
        <w:shd w:val="clear" w:color="7E7E7E" w:fill="7E7E7E" w:themeFill="text1" w:themeFillTint="80"/>
      </w:tcPr>
    </w:tblStylePr>
    <w:tblStylePr w:type="firstCol">
      <w:pPr>
        <w:snapToGrid/>
      </w:pPr>
      <w:rPr>
        <w:rFonts w:ascii="Arial" w:hAnsi="Arial"/>
        <w:color w:val="F2F2F2"/>
        <w:sz w:val="22"/>
      </w:rPr>
      <w:tcPr>
        <w:shd w:val="clear" w:color="7E7E7E" w:fill="7E7E7E" w:themeFill="text1" w:themeFillTint="80"/>
      </w:tcPr>
    </w:tblStylePr>
    <w:tblStylePr w:type="lastCol">
      <w:pPr>
        <w:snapToGrid/>
      </w:pPr>
      <w:rPr>
        <w:rFonts w:ascii="Arial" w:hAnsi="Arial"/>
        <w:color w:val="F2F2F2"/>
        <w:sz w:val="22"/>
      </w:rPr>
      <w:tcPr>
        <w:shd w:val="clear" w:color="7E7E7E"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FFFFF" w:themeFill="text1" w:themeFillTint="0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FFFFF" w:themeFill="text1" w:themeFillTint="0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2">
    <w:name w:val="Lined - Accent 1"/>
    <w:basedOn w:val="26"/>
    <w:qFormat/>
    <w:uiPriority w:val="99"/>
    <w:rPr>
      <w:color w:val="404040"/>
    </w:rPr>
    <w:tblStylePr w:type="firstRow">
      <w:pPr>
        <w:snapToGrid/>
      </w:pPr>
      <w:rPr>
        <w:rFonts w:ascii="Arial" w:hAnsi="Arial"/>
        <w:color w:val="F2F2F2"/>
        <w:sz w:val="22"/>
      </w:rPr>
      <w:tcPr>
        <w:shd w:val="clear" w:color="5D8BC2" w:fill="5D8BC2" w:themeFill="accent1" w:themeFillTint="EA"/>
      </w:tcPr>
    </w:tblStylePr>
    <w:tblStylePr w:type="lastRow">
      <w:pPr>
        <w:snapToGrid/>
      </w:pPr>
      <w:rPr>
        <w:rFonts w:ascii="Arial" w:hAnsi="Arial"/>
        <w:color w:val="F2F2F2"/>
        <w:sz w:val="22"/>
      </w:rPr>
      <w:tcPr>
        <w:shd w:val="clear" w:color="5D8BC2" w:fill="5D8BC2" w:themeFill="accent1" w:themeFillTint="EA"/>
      </w:tcPr>
    </w:tblStylePr>
    <w:tblStylePr w:type="firstCol">
      <w:pPr>
        <w:snapToGrid/>
      </w:pPr>
      <w:rPr>
        <w:rFonts w:ascii="Arial" w:hAnsi="Arial"/>
        <w:color w:val="F2F2F2"/>
        <w:sz w:val="22"/>
      </w:rPr>
      <w:tcPr>
        <w:shd w:val="clear" w:color="5D8BC2" w:fill="5D8BC2" w:themeFill="accent1" w:themeFillTint="EA"/>
      </w:tcPr>
    </w:tblStylePr>
    <w:tblStylePr w:type="lastCol">
      <w:pPr>
        <w:snapToGrid/>
      </w:pPr>
      <w:rPr>
        <w:rFonts w:ascii="Arial" w:hAnsi="Arial"/>
        <w:color w:val="F2F2F2"/>
        <w:sz w:val="22"/>
      </w:rPr>
      <w:tcPr>
        <w:shd w:val="clear" w:color="5D8BC2" w:fill="5D8BC2"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C7D7EA" w:fill="C7D7EA"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C7D7EA" w:fill="C7D7EA"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3">
    <w:name w:val="Lined - Accent 2"/>
    <w:basedOn w:val="26"/>
    <w:qFormat/>
    <w:uiPriority w:val="99"/>
    <w:rPr>
      <w:color w:val="404040"/>
    </w:rPr>
    <w:tblStylePr w:type="firstRow">
      <w:pPr>
        <w:snapToGrid/>
      </w:pPr>
      <w:rPr>
        <w:rFonts w:ascii="Arial" w:hAnsi="Arial"/>
        <w:color w:val="F2F2F2"/>
        <w:sz w:val="22"/>
      </w:rPr>
      <w:tcPr>
        <w:shd w:val="clear" w:color="D99795" w:fill="D99795" w:themeFill="accent2" w:themeFillTint="97"/>
      </w:tcPr>
    </w:tblStylePr>
    <w:tblStylePr w:type="lastRow">
      <w:pPr>
        <w:snapToGrid/>
      </w:pPr>
      <w:rPr>
        <w:rFonts w:ascii="Arial" w:hAnsi="Arial"/>
        <w:color w:val="F2F2F2"/>
        <w:sz w:val="22"/>
      </w:rPr>
      <w:tcPr>
        <w:shd w:val="clear" w:color="D99795" w:fill="D99795" w:themeFill="accent2" w:themeFillTint="97"/>
      </w:tcPr>
    </w:tblStylePr>
    <w:tblStylePr w:type="firstCol">
      <w:pPr>
        <w:snapToGrid/>
      </w:pPr>
      <w:rPr>
        <w:rFonts w:ascii="Arial" w:hAnsi="Arial"/>
        <w:color w:val="F2F2F2"/>
        <w:sz w:val="22"/>
      </w:rPr>
      <w:tcPr>
        <w:shd w:val="clear" w:color="D99795" w:fill="D99795" w:themeFill="accent2" w:themeFillTint="97"/>
      </w:tcPr>
    </w:tblStylePr>
    <w:tblStylePr w:type="lastCol">
      <w:pPr>
        <w:snapToGrid/>
      </w:pPr>
      <w:rPr>
        <w:rFonts w:ascii="Arial" w:hAnsi="Arial"/>
        <w:color w:val="F2F2F2"/>
        <w:sz w:val="22"/>
      </w:rPr>
      <w:tcPr>
        <w:shd w:val="clear" w:color="D99795" w:fill="D9979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2DCDC" w:fill="F2DCDC"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2DCDC" w:fill="F2DCDC"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4">
    <w:name w:val="Lined - Accent 3"/>
    <w:basedOn w:val="26"/>
    <w:qFormat/>
    <w:uiPriority w:val="99"/>
    <w:rPr>
      <w:color w:val="404040"/>
    </w:rPr>
    <w:tblStylePr w:type="firstRow">
      <w:pPr>
        <w:snapToGrid/>
      </w:pPr>
      <w:rPr>
        <w:rFonts w:ascii="Arial" w:hAnsi="Arial"/>
        <w:color w:val="F2F2F2"/>
        <w:sz w:val="22"/>
      </w:rPr>
      <w:tcPr>
        <w:shd w:val="clear" w:color="9BBB59" w:fill="9BBB59" w:themeFill="accent3" w:themeFillTint="FE"/>
      </w:tcPr>
    </w:tblStylePr>
    <w:tblStylePr w:type="lastRow">
      <w:pPr>
        <w:snapToGrid/>
      </w:pPr>
      <w:rPr>
        <w:rFonts w:ascii="Arial" w:hAnsi="Arial"/>
        <w:color w:val="F2F2F2"/>
        <w:sz w:val="22"/>
      </w:rPr>
      <w:tcPr>
        <w:shd w:val="clear" w:color="9BBB59" w:fill="9BBB59" w:themeFill="accent3" w:themeFillTint="FE"/>
      </w:tcPr>
    </w:tblStylePr>
    <w:tblStylePr w:type="firstCol">
      <w:pPr>
        <w:snapToGrid/>
      </w:pPr>
      <w:rPr>
        <w:rFonts w:ascii="Arial" w:hAnsi="Arial"/>
        <w:color w:val="F2F2F2"/>
        <w:sz w:val="22"/>
      </w:rPr>
      <w:tcPr>
        <w:shd w:val="clear" w:color="9BBB59" w:fill="9BBB59" w:themeFill="accent3" w:themeFillTint="FE"/>
      </w:tcPr>
    </w:tblStylePr>
    <w:tblStylePr w:type="lastCol">
      <w:pPr>
        <w:snapToGrid/>
      </w:pPr>
      <w:rPr>
        <w:rFonts w:ascii="Arial" w:hAnsi="Arial"/>
        <w:color w:val="F2F2F2"/>
        <w:sz w:val="22"/>
      </w:rPr>
      <w:tcPr>
        <w:shd w:val="clear" w:color="9BBB59" w:fill="9BBB59"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EAF1DD" w:fill="EAF1DD"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EAF1DD" w:fill="EAF1DD"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5">
    <w:name w:val="Lined - Accent 4"/>
    <w:basedOn w:val="26"/>
    <w:qFormat/>
    <w:uiPriority w:val="99"/>
    <w:rPr>
      <w:color w:val="404040"/>
    </w:rPr>
    <w:tblStylePr w:type="firstRow">
      <w:pPr>
        <w:snapToGrid/>
      </w:pPr>
      <w:rPr>
        <w:rFonts w:ascii="Arial" w:hAnsi="Arial"/>
        <w:color w:val="F2F2F2"/>
        <w:sz w:val="22"/>
      </w:rPr>
      <w:tcPr>
        <w:shd w:val="clear" w:color="B2A1C6" w:fill="B2A1C6" w:themeFill="accent4" w:themeFillTint="9A"/>
      </w:tcPr>
    </w:tblStylePr>
    <w:tblStylePr w:type="lastRow">
      <w:pPr>
        <w:snapToGrid/>
      </w:pPr>
      <w:rPr>
        <w:rFonts w:ascii="Arial" w:hAnsi="Arial"/>
        <w:color w:val="F2F2F2"/>
        <w:sz w:val="22"/>
      </w:rPr>
      <w:tcPr>
        <w:shd w:val="clear" w:color="B2A1C6" w:fill="B2A1C6" w:themeFill="accent4" w:themeFillTint="9A"/>
      </w:tcPr>
    </w:tblStylePr>
    <w:tblStylePr w:type="firstCol">
      <w:pPr>
        <w:snapToGrid/>
      </w:pPr>
      <w:rPr>
        <w:rFonts w:ascii="Arial" w:hAnsi="Arial"/>
        <w:color w:val="F2F2F2"/>
        <w:sz w:val="22"/>
      </w:rPr>
      <w:tcPr>
        <w:shd w:val="clear" w:color="B2A1C6" w:fill="B2A1C6" w:themeFill="accent4" w:themeFillTint="9A"/>
      </w:tcPr>
    </w:tblStylePr>
    <w:tblStylePr w:type="lastCol">
      <w:pPr>
        <w:snapToGrid/>
      </w:pPr>
      <w:rPr>
        <w:rFonts w:ascii="Arial" w:hAnsi="Arial"/>
        <w:color w:val="F2F2F2"/>
        <w:sz w:val="22"/>
      </w:rPr>
      <w:tcPr>
        <w:shd w:val="clear" w:color="B2A1C6" w:fill="B2A1C6"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E5DFEC" w:fill="E5DFEC"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E5DFEC" w:fill="E5DFEC"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6">
    <w:name w:val="Lined - Accent 5"/>
    <w:basedOn w:val="26"/>
    <w:qFormat/>
    <w:uiPriority w:val="99"/>
    <w:rPr>
      <w:color w:val="404040"/>
    </w:rPr>
    <w:tblStylePr w:type="firstRow">
      <w:pPr>
        <w:snapToGrid/>
      </w:pPr>
      <w:rPr>
        <w:rFonts w:ascii="Arial" w:hAnsi="Arial"/>
        <w:color w:val="F2F2F2"/>
        <w:sz w:val="22"/>
      </w:rPr>
      <w:tcPr>
        <w:shd w:val="clear" w:color="4BACC6" w:fill="4BACC6" w:themeFill="accent5"/>
      </w:tcPr>
    </w:tblStylePr>
    <w:tblStylePr w:type="lastRow">
      <w:pPr>
        <w:snapToGrid/>
      </w:pPr>
      <w:rPr>
        <w:rFonts w:ascii="Arial" w:hAnsi="Arial"/>
        <w:color w:val="F2F2F2"/>
        <w:sz w:val="22"/>
      </w:rPr>
      <w:tcPr>
        <w:shd w:val="clear" w:color="4BACC6" w:fill="4BACC6" w:themeFill="accent5"/>
      </w:tcPr>
    </w:tblStylePr>
    <w:tblStylePr w:type="firstCol">
      <w:pPr>
        <w:snapToGrid/>
      </w:pPr>
      <w:rPr>
        <w:rFonts w:ascii="Arial" w:hAnsi="Arial"/>
        <w:color w:val="F2F2F2"/>
        <w:sz w:val="22"/>
      </w:rPr>
      <w:tcPr>
        <w:shd w:val="clear" w:color="4BACC6" w:fill="4BACC6" w:themeFill="accent5"/>
      </w:tcPr>
    </w:tblStylePr>
    <w:tblStylePr w:type="lastCol">
      <w:pPr>
        <w:snapToGrid/>
      </w:pPr>
      <w:rPr>
        <w:rFonts w:ascii="Arial" w:hAnsi="Arial"/>
        <w:color w:val="F2F2F2"/>
        <w:sz w:val="22"/>
      </w:rPr>
      <w:tcPr>
        <w:shd w:val="clear" w:color="4BACC6" w:fill="4BACC6"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DAEEF3" w:fill="DAEEF3"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DAEEF3" w:fill="DAEEF3"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7">
    <w:name w:val="Lined - Accent 6"/>
    <w:basedOn w:val="26"/>
    <w:qFormat/>
    <w:uiPriority w:val="99"/>
    <w:rPr>
      <w:color w:val="404040"/>
    </w:rPr>
    <w:tblStylePr w:type="firstRow">
      <w:pPr>
        <w:snapToGrid/>
      </w:pPr>
      <w:rPr>
        <w:rFonts w:ascii="Arial" w:hAnsi="Arial"/>
        <w:color w:val="F2F2F2"/>
        <w:sz w:val="22"/>
      </w:rPr>
      <w:tcPr>
        <w:shd w:val="clear" w:color="F79646" w:fill="F79646" w:themeFill="accent6"/>
      </w:tcPr>
    </w:tblStylePr>
    <w:tblStylePr w:type="lastRow">
      <w:pPr>
        <w:snapToGrid/>
      </w:pPr>
      <w:rPr>
        <w:rFonts w:ascii="Arial" w:hAnsi="Arial"/>
        <w:color w:val="F2F2F2"/>
        <w:sz w:val="22"/>
      </w:rPr>
      <w:tcPr>
        <w:shd w:val="clear" w:color="F79646" w:fill="F79646" w:themeFill="accent6"/>
      </w:tcPr>
    </w:tblStylePr>
    <w:tblStylePr w:type="firstCol">
      <w:pPr>
        <w:snapToGrid/>
      </w:pPr>
      <w:rPr>
        <w:rFonts w:ascii="Arial" w:hAnsi="Arial"/>
        <w:color w:val="F2F2F2"/>
        <w:sz w:val="22"/>
      </w:rPr>
      <w:tcPr>
        <w:shd w:val="clear" w:color="F79646" w:fill="F79646" w:themeFill="accent6"/>
      </w:tcPr>
    </w:tblStylePr>
    <w:tblStylePr w:type="lastCol">
      <w:pPr>
        <w:snapToGrid/>
      </w:pPr>
      <w:rPr>
        <w:rFonts w:ascii="Arial" w:hAnsi="Arial"/>
        <w:color w:val="F2F2F2"/>
        <w:sz w:val="22"/>
      </w:rPr>
      <w:tcPr>
        <w:shd w:val="clear" w:color="F79646" w:fill="F79646"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DE9D9" w:fill="FDE9D9"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DE9D9" w:fill="FDE9D9"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8">
    <w:name w:val="Bordered &amp; Lined - Accent"/>
    <w:basedOn w:val="2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pPr>
        <w:snapToGrid/>
      </w:pPr>
      <w:rPr>
        <w:rFonts w:ascii="Arial" w:hAnsi="Arial"/>
        <w:color w:val="F2F2F2"/>
        <w:sz w:val="22"/>
      </w:rPr>
      <w:tcPr>
        <w:shd w:val="clear" w:color="7E7E7E" w:fill="7E7E7E" w:themeFill="text1" w:themeFillTint="80"/>
      </w:tcPr>
    </w:tblStylePr>
    <w:tblStylePr w:type="lastRow">
      <w:pPr>
        <w:snapToGrid/>
      </w:pPr>
      <w:rPr>
        <w:rFonts w:ascii="Arial" w:hAnsi="Arial"/>
        <w:color w:val="F2F2F2"/>
        <w:sz w:val="22"/>
      </w:rPr>
      <w:tcPr>
        <w:shd w:val="clear" w:color="7E7E7E" w:fill="7E7E7E" w:themeFill="text1" w:themeFillTint="80"/>
      </w:tcPr>
    </w:tblStylePr>
    <w:tblStylePr w:type="firstCol">
      <w:pPr>
        <w:snapToGrid/>
      </w:pPr>
      <w:rPr>
        <w:rFonts w:ascii="Arial" w:hAnsi="Arial"/>
        <w:color w:val="F2F2F2"/>
        <w:sz w:val="22"/>
      </w:rPr>
      <w:tcPr>
        <w:shd w:val="clear" w:color="7E7E7E" w:fill="7E7E7E" w:themeFill="text1" w:themeFillTint="80"/>
      </w:tcPr>
    </w:tblStylePr>
    <w:tblStylePr w:type="lastCol">
      <w:pPr>
        <w:snapToGrid/>
      </w:pPr>
      <w:rPr>
        <w:rFonts w:ascii="Arial" w:hAnsi="Arial"/>
        <w:color w:val="F2F2F2"/>
        <w:sz w:val="22"/>
      </w:rPr>
      <w:tcPr>
        <w:shd w:val="clear" w:color="7E7E7E"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FFFFF" w:themeFill="text1" w:themeFillTint="0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FFFFF" w:themeFill="text1" w:themeFillTint="0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9">
    <w:name w:val="Bordered &amp; Lined - Accent 1"/>
    <w:basedOn w:val="26"/>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pPr>
        <w:snapToGrid/>
      </w:pPr>
      <w:rPr>
        <w:rFonts w:ascii="Arial" w:hAnsi="Arial"/>
        <w:color w:val="F2F2F2"/>
        <w:sz w:val="22"/>
      </w:rPr>
      <w:tcPr>
        <w:shd w:val="clear" w:color="5D8BC2" w:fill="5D8BC2" w:themeFill="accent1" w:themeFillTint="EA"/>
      </w:tcPr>
    </w:tblStylePr>
    <w:tblStylePr w:type="lastRow">
      <w:pPr>
        <w:snapToGrid/>
      </w:pPr>
      <w:rPr>
        <w:rFonts w:ascii="Arial" w:hAnsi="Arial"/>
        <w:color w:val="F2F2F2"/>
        <w:sz w:val="22"/>
      </w:rPr>
      <w:tcPr>
        <w:shd w:val="clear" w:color="5D8BC2" w:fill="5D8BC2" w:themeFill="accent1" w:themeFillTint="EA"/>
      </w:tcPr>
    </w:tblStylePr>
    <w:tblStylePr w:type="firstCol">
      <w:pPr>
        <w:snapToGrid/>
      </w:pPr>
      <w:rPr>
        <w:rFonts w:ascii="Arial" w:hAnsi="Arial"/>
        <w:color w:val="F2F2F2"/>
        <w:sz w:val="22"/>
      </w:rPr>
      <w:tcPr>
        <w:shd w:val="clear" w:color="5D8BC2" w:fill="5D8BC2" w:themeFill="accent1" w:themeFillTint="EA"/>
      </w:tcPr>
    </w:tblStylePr>
    <w:tblStylePr w:type="lastCol">
      <w:pPr>
        <w:snapToGrid/>
      </w:pPr>
      <w:rPr>
        <w:rFonts w:ascii="Arial" w:hAnsi="Arial"/>
        <w:color w:val="F2F2F2"/>
        <w:sz w:val="22"/>
      </w:rPr>
      <w:tcPr>
        <w:shd w:val="clear" w:color="5D8BC2" w:fill="5D8BC2"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C7D7EA" w:fill="C7D7EA"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C7D7EA" w:fill="C7D7EA"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200">
    <w:name w:val="Bordered &amp; Lined - Accent 2"/>
    <w:basedOn w:val="26"/>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pPr>
        <w:snapToGrid/>
      </w:pPr>
      <w:rPr>
        <w:rFonts w:ascii="Arial" w:hAnsi="Arial"/>
        <w:color w:val="F2F2F2"/>
        <w:sz w:val="22"/>
      </w:rPr>
      <w:tcPr>
        <w:shd w:val="clear" w:color="D99795" w:fill="D99795" w:themeFill="accent2" w:themeFillTint="97"/>
      </w:tcPr>
    </w:tblStylePr>
    <w:tblStylePr w:type="lastRow">
      <w:pPr>
        <w:snapToGrid/>
      </w:pPr>
      <w:rPr>
        <w:rFonts w:ascii="Arial" w:hAnsi="Arial"/>
        <w:color w:val="F2F2F2"/>
        <w:sz w:val="22"/>
      </w:rPr>
      <w:tcPr>
        <w:shd w:val="clear" w:color="D99795" w:fill="D99795" w:themeFill="accent2" w:themeFillTint="97"/>
      </w:tcPr>
    </w:tblStylePr>
    <w:tblStylePr w:type="firstCol">
      <w:pPr>
        <w:snapToGrid/>
      </w:pPr>
      <w:rPr>
        <w:rFonts w:ascii="Arial" w:hAnsi="Arial"/>
        <w:color w:val="F2F2F2"/>
        <w:sz w:val="22"/>
      </w:rPr>
      <w:tcPr>
        <w:shd w:val="clear" w:color="D99795" w:fill="D99795" w:themeFill="accent2" w:themeFillTint="97"/>
      </w:tcPr>
    </w:tblStylePr>
    <w:tblStylePr w:type="lastCol">
      <w:pPr>
        <w:snapToGrid/>
      </w:pPr>
      <w:rPr>
        <w:rFonts w:ascii="Arial" w:hAnsi="Arial"/>
        <w:color w:val="F2F2F2"/>
        <w:sz w:val="22"/>
      </w:rPr>
      <w:tcPr>
        <w:shd w:val="clear" w:color="D99795" w:fill="D9979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2DCDC" w:fill="F2DCDC"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2DCDC" w:fill="F2DCDC"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201">
    <w:name w:val="Bordered &amp; Lined - Accent 3"/>
    <w:basedOn w:val="26"/>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pPr>
        <w:snapToGrid/>
      </w:pPr>
      <w:rPr>
        <w:rFonts w:ascii="Arial" w:hAnsi="Arial"/>
        <w:color w:val="F2F2F2"/>
        <w:sz w:val="22"/>
      </w:rPr>
      <w:tcPr>
        <w:shd w:val="clear" w:color="9BBB59" w:fill="9BBB59" w:themeFill="accent3" w:themeFillTint="FE"/>
      </w:tcPr>
    </w:tblStylePr>
    <w:tblStylePr w:type="lastRow">
      <w:pPr>
        <w:snapToGrid/>
      </w:pPr>
      <w:rPr>
        <w:rFonts w:ascii="Arial" w:hAnsi="Arial"/>
        <w:color w:val="F2F2F2"/>
        <w:sz w:val="22"/>
      </w:rPr>
      <w:tcPr>
        <w:shd w:val="clear" w:color="9BBB59" w:fill="9BBB59" w:themeFill="accent3" w:themeFillTint="FE"/>
      </w:tcPr>
    </w:tblStylePr>
    <w:tblStylePr w:type="firstCol">
      <w:pPr>
        <w:snapToGrid/>
      </w:pPr>
      <w:rPr>
        <w:rFonts w:ascii="Arial" w:hAnsi="Arial"/>
        <w:color w:val="F2F2F2"/>
        <w:sz w:val="22"/>
      </w:rPr>
      <w:tcPr>
        <w:shd w:val="clear" w:color="9BBB59" w:fill="9BBB59" w:themeFill="accent3" w:themeFillTint="FE"/>
      </w:tcPr>
    </w:tblStylePr>
    <w:tblStylePr w:type="lastCol">
      <w:pPr>
        <w:snapToGrid/>
      </w:pPr>
      <w:rPr>
        <w:rFonts w:ascii="Arial" w:hAnsi="Arial"/>
        <w:color w:val="F2F2F2"/>
        <w:sz w:val="22"/>
      </w:rPr>
      <w:tcPr>
        <w:shd w:val="clear" w:color="9BBB59" w:fill="9BBB59"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EAF1DD" w:fill="EAF1DD"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EAF1DD" w:fill="EAF1DD"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202">
    <w:name w:val="Bordered &amp; Lined - Accent 4"/>
    <w:basedOn w:val="26"/>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pPr>
        <w:snapToGrid/>
      </w:pPr>
      <w:rPr>
        <w:rFonts w:ascii="Arial" w:hAnsi="Arial"/>
        <w:color w:val="F2F2F2"/>
        <w:sz w:val="22"/>
      </w:rPr>
      <w:tcPr>
        <w:shd w:val="clear" w:color="B2A1C6" w:fill="B2A1C6" w:themeFill="accent4" w:themeFillTint="9A"/>
      </w:tcPr>
    </w:tblStylePr>
    <w:tblStylePr w:type="lastRow">
      <w:pPr>
        <w:snapToGrid/>
      </w:pPr>
      <w:rPr>
        <w:rFonts w:ascii="Arial" w:hAnsi="Arial"/>
        <w:color w:val="F2F2F2"/>
        <w:sz w:val="22"/>
      </w:rPr>
      <w:tcPr>
        <w:shd w:val="clear" w:color="B2A1C6" w:fill="B2A1C6" w:themeFill="accent4" w:themeFillTint="9A"/>
      </w:tcPr>
    </w:tblStylePr>
    <w:tblStylePr w:type="firstCol">
      <w:pPr>
        <w:snapToGrid/>
      </w:pPr>
      <w:rPr>
        <w:rFonts w:ascii="Arial" w:hAnsi="Arial"/>
        <w:color w:val="F2F2F2"/>
        <w:sz w:val="22"/>
      </w:rPr>
      <w:tcPr>
        <w:shd w:val="clear" w:color="B2A1C6" w:fill="B2A1C6" w:themeFill="accent4" w:themeFillTint="9A"/>
      </w:tcPr>
    </w:tblStylePr>
    <w:tblStylePr w:type="lastCol">
      <w:pPr>
        <w:snapToGrid/>
      </w:pPr>
      <w:rPr>
        <w:rFonts w:ascii="Arial" w:hAnsi="Arial"/>
        <w:color w:val="F2F2F2"/>
        <w:sz w:val="22"/>
      </w:rPr>
      <w:tcPr>
        <w:shd w:val="clear" w:color="B2A1C6" w:fill="B2A1C6"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E5DFEC" w:fill="E5DFEC"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E5DFEC" w:fill="E5DFEC"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203">
    <w:name w:val="Bordered &amp; Lined - Accent 5"/>
    <w:basedOn w:val="26"/>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pPr>
        <w:snapToGrid/>
      </w:pPr>
      <w:rPr>
        <w:rFonts w:ascii="Arial" w:hAnsi="Arial"/>
        <w:color w:val="F2F2F2"/>
        <w:sz w:val="22"/>
      </w:rPr>
      <w:tcPr>
        <w:shd w:val="clear" w:color="4BACC6" w:fill="4BACC6" w:themeFill="accent5"/>
      </w:tcPr>
    </w:tblStylePr>
    <w:tblStylePr w:type="lastRow">
      <w:pPr>
        <w:snapToGrid/>
      </w:pPr>
      <w:rPr>
        <w:rFonts w:ascii="Arial" w:hAnsi="Arial"/>
        <w:color w:val="F2F2F2"/>
        <w:sz w:val="22"/>
      </w:rPr>
      <w:tcPr>
        <w:shd w:val="clear" w:color="4BACC6" w:fill="4BACC6" w:themeFill="accent5"/>
      </w:tcPr>
    </w:tblStylePr>
    <w:tblStylePr w:type="firstCol">
      <w:pPr>
        <w:snapToGrid/>
      </w:pPr>
      <w:rPr>
        <w:rFonts w:ascii="Arial" w:hAnsi="Arial"/>
        <w:color w:val="F2F2F2"/>
        <w:sz w:val="22"/>
      </w:rPr>
      <w:tcPr>
        <w:shd w:val="clear" w:color="4BACC6" w:fill="4BACC6" w:themeFill="accent5"/>
      </w:tcPr>
    </w:tblStylePr>
    <w:tblStylePr w:type="lastCol">
      <w:pPr>
        <w:snapToGrid/>
      </w:pPr>
      <w:rPr>
        <w:rFonts w:ascii="Arial" w:hAnsi="Arial"/>
        <w:color w:val="F2F2F2"/>
        <w:sz w:val="22"/>
      </w:rPr>
      <w:tcPr>
        <w:shd w:val="clear" w:color="4BACC6" w:fill="4BACC6"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DAEEF3" w:fill="DAEEF3"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DAEEF3" w:fill="DAEEF3"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204">
    <w:name w:val="Bordered &amp; Lined - Accent 6"/>
    <w:basedOn w:val="2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pPr>
        <w:snapToGrid/>
      </w:pPr>
      <w:rPr>
        <w:rFonts w:ascii="Arial" w:hAnsi="Arial"/>
        <w:color w:val="F2F2F2"/>
        <w:sz w:val="22"/>
      </w:rPr>
      <w:tcPr>
        <w:shd w:val="clear" w:color="F79646" w:fill="F79646" w:themeFill="accent6"/>
      </w:tcPr>
    </w:tblStylePr>
    <w:tblStylePr w:type="lastRow">
      <w:pPr>
        <w:snapToGrid/>
      </w:pPr>
      <w:rPr>
        <w:rFonts w:ascii="Arial" w:hAnsi="Arial"/>
        <w:color w:val="F2F2F2"/>
        <w:sz w:val="22"/>
      </w:rPr>
      <w:tcPr>
        <w:shd w:val="clear" w:color="F79646" w:fill="F79646" w:themeFill="accent6"/>
      </w:tcPr>
    </w:tblStylePr>
    <w:tblStylePr w:type="firstCol">
      <w:pPr>
        <w:snapToGrid/>
      </w:pPr>
      <w:rPr>
        <w:rFonts w:ascii="Arial" w:hAnsi="Arial"/>
        <w:color w:val="F2F2F2"/>
        <w:sz w:val="22"/>
      </w:rPr>
      <w:tcPr>
        <w:shd w:val="clear" w:color="F79646" w:fill="F79646" w:themeFill="accent6"/>
      </w:tcPr>
    </w:tblStylePr>
    <w:tblStylePr w:type="lastCol">
      <w:pPr>
        <w:snapToGrid/>
      </w:pPr>
      <w:rPr>
        <w:rFonts w:ascii="Arial" w:hAnsi="Arial"/>
        <w:color w:val="F2F2F2"/>
        <w:sz w:val="22"/>
      </w:rPr>
      <w:tcPr>
        <w:shd w:val="clear" w:color="F79646" w:fill="F79646"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DE9D9" w:fill="FDE9D9"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DE9D9" w:fill="FDE9D9"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205">
    <w:name w:val="Bordered"/>
    <w:basedOn w:val="2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pPr>
        <w:snapToGrid/>
      </w:pPr>
      <w:rPr>
        <w:rFonts w:ascii="Arial" w:hAnsi="Arial"/>
        <w:color w:val="404040"/>
        <w:sz w:val="22"/>
      </w:rPr>
      <w:tcPr>
        <w:tcBorders>
          <w:bottom w:val="single" w:color="7E7E7E" w:themeColor="text1" w:themeTint="80" w:sz="12" w:space="0"/>
        </w:tcBorders>
      </w:tcPr>
    </w:tblStylePr>
    <w:tblStylePr w:type="lastRow">
      <w:pPr>
        <w:snapToGrid/>
      </w:pPr>
      <w:rPr>
        <w:rFonts w:ascii="Arial" w:hAnsi="Arial"/>
        <w:color w:val="404040"/>
        <w:sz w:val="22"/>
      </w:rPr>
      <w:tcPr>
        <w:tcBorders>
          <w:top w:val="single" w:color="7E7E7E" w:themeColor="text1" w:themeTint="80"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7E7E7E" w:themeColor="text1" w:themeTint="80"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206">
    <w:name w:val="Bordered - Accent 1"/>
    <w:basedOn w:val="2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pPr>
        <w:snapToGrid/>
      </w:pPr>
      <w:rPr>
        <w:rFonts w:ascii="Arial" w:hAnsi="Arial"/>
        <w:color w:val="404040"/>
        <w:sz w:val="22"/>
      </w:rPr>
      <w:tcPr>
        <w:tcBorders>
          <w:bottom w:val="single" w:color="4F81BD" w:themeColor="accent1" w:sz="12" w:space="0"/>
        </w:tcBorders>
      </w:tcPr>
    </w:tblStylePr>
    <w:tblStylePr w:type="lastRow">
      <w:pPr>
        <w:snapToGrid/>
      </w:pPr>
      <w:rPr>
        <w:rFonts w:ascii="Arial" w:hAnsi="Arial"/>
        <w:color w:val="404040"/>
        <w:sz w:val="22"/>
      </w:rPr>
      <w:tcPr>
        <w:tcBorders>
          <w:top w:val="single" w:color="4F81BD" w:themeColor="accent1"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4F81BD" w:themeColor="accent1"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207">
    <w:name w:val="Bordered - Accent 2"/>
    <w:basedOn w:val="2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pPr>
        <w:snapToGrid/>
      </w:pPr>
      <w:rPr>
        <w:rFonts w:ascii="Arial" w:hAnsi="Arial"/>
        <w:color w:val="404040"/>
        <w:sz w:val="22"/>
      </w:rPr>
      <w:tcPr>
        <w:tcBorders>
          <w:bottom w:val="single" w:color="D99795" w:themeColor="accent2" w:themeTint="97" w:sz="12" w:space="0"/>
        </w:tcBorders>
      </w:tcPr>
    </w:tblStylePr>
    <w:tblStylePr w:type="lastRow">
      <w:pPr>
        <w:snapToGrid/>
      </w:pPr>
      <w:rPr>
        <w:rFonts w:ascii="Arial" w:hAnsi="Arial"/>
        <w:color w:val="404040"/>
        <w:sz w:val="22"/>
      </w:rPr>
      <w:tcPr>
        <w:tcBorders>
          <w:top w:val="single" w:color="D99795" w:themeColor="accent2" w:themeTint="97"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D99795" w:themeColor="accent2" w:themeTint="97"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208">
    <w:name w:val="Bordered - Accent 3"/>
    <w:basedOn w:val="2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pPr>
        <w:snapToGrid/>
      </w:pPr>
      <w:rPr>
        <w:rFonts w:ascii="Arial" w:hAnsi="Arial"/>
        <w:color w:val="404040"/>
        <w:sz w:val="22"/>
      </w:rPr>
      <w:tcPr>
        <w:tcBorders>
          <w:bottom w:val="single" w:color="C3D69C" w:themeColor="accent3" w:themeTint="98" w:sz="12" w:space="0"/>
        </w:tcBorders>
      </w:tcPr>
    </w:tblStylePr>
    <w:tblStylePr w:type="lastRow">
      <w:pPr>
        <w:snapToGrid/>
      </w:pPr>
      <w:rPr>
        <w:rFonts w:ascii="Arial" w:hAnsi="Arial"/>
        <w:color w:val="404040"/>
        <w:sz w:val="22"/>
      </w:rPr>
      <w:tcPr>
        <w:tcBorders>
          <w:top w:val="single" w:color="C3D69C" w:themeColor="accent3"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C3D69C" w:themeColor="accent3"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209">
    <w:name w:val="Bordered - Accent 4"/>
    <w:basedOn w:val="2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pPr>
        <w:snapToGrid/>
      </w:pPr>
      <w:rPr>
        <w:rFonts w:ascii="Arial" w:hAnsi="Arial"/>
        <w:color w:val="404040"/>
        <w:sz w:val="22"/>
      </w:rPr>
      <w:tcPr>
        <w:tcBorders>
          <w:bottom w:val="single" w:color="B2A1C6" w:themeColor="accent4" w:themeTint="9A" w:sz="12" w:space="0"/>
        </w:tcBorders>
      </w:tcPr>
    </w:tblStylePr>
    <w:tblStylePr w:type="lastRow">
      <w:pPr>
        <w:snapToGrid/>
      </w:pPr>
      <w:rPr>
        <w:rFonts w:ascii="Arial" w:hAnsi="Arial"/>
        <w:color w:val="404040"/>
        <w:sz w:val="22"/>
      </w:rPr>
      <w:tcPr>
        <w:tcBorders>
          <w:top w:val="single" w:color="B2A1C6" w:themeColor="accent4"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B2A1C6" w:themeColor="accent4"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210">
    <w:name w:val="Bordered - Accent 5"/>
    <w:basedOn w:val="2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pPr>
        <w:snapToGrid/>
      </w:pPr>
      <w:rPr>
        <w:rFonts w:ascii="Arial" w:hAnsi="Arial"/>
        <w:color w:val="404040"/>
        <w:sz w:val="22"/>
      </w:rPr>
      <w:tcPr>
        <w:tcBorders>
          <w:bottom w:val="single" w:color="92CCDC" w:themeColor="accent5" w:themeTint="9A" w:sz="12" w:space="0"/>
        </w:tcBorders>
      </w:tcPr>
    </w:tblStylePr>
    <w:tblStylePr w:type="lastRow">
      <w:pPr>
        <w:snapToGrid/>
      </w:pPr>
      <w:rPr>
        <w:rFonts w:ascii="Arial" w:hAnsi="Arial"/>
        <w:color w:val="404040"/>
        <w:sz w:val="22"/>
      </w:rPr>
      <w:tcPr>
        <w:tcBorders>
          <w:top w:val="single" w:color="92CCDC" w:themeColor="accent5"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92CCDC" w:themeColor="accent5"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211">
    <w:name w:val="Bordered - Accent 6"/>
    <w:basedOn w:val="2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pPr>
        <w:snapToGrid/>
      </w:pPr>
      <w:rPr>
        <w:rFonts w:ascii="Arial" w:hAnsi="Arial"/>
        <w:color w:val="404040"/>
        <w:sz w:val="22"/>
      </w:rPr>
      <w:tcPr>
        <w:tcBorders>
          <w:bottom w:val="single" w:color="FAC090" w:themeColor="accent6" w:themeTint="98" w:sz="12" w:space="0"/>
        </w:tcBorders>
      </w:tcPr>
    </w:tblStylePr>
    <w:tblStylePr w:type="lastRow">
      <w:pPr>
        <w:snapToGrid/>
      </w:pPr>
      <w:rPr>
        <w:rFonts w:ascii="Arial" w:hAnsi="Arial"/>
        <w:color w:val="404040"/>
        <w:sz w:val="22"/>
      </w:rPr>
      <w:tcPr>
        <w:tcBorders>
          <w:top w:val="single" w:color="FAC090" w:themeColor="accent6"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FAC090" w:themeColor="accent6"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customStyle="1" w:styleId="212">
    <w:name w:val="脚注文本 字符"/>
    <w:link w:val="18"/>
    <w:qFormat/>
    <w:uiPriority w:val="99"/>
    <w:rPr>
      <w:sz w:val="18"/>
    </w:rPr>
  </w:style>
  <w:style w:type="paragraph" w:customStyle="1" w:styleId="213">
    <w:name w:val="TOC 标题1"/>
    <w:unhideWhenUsed/>
    <w:qFormat/>
    <w:uiPriority w:val="39"/>
    <w:pPr>
      <w:pBdr>
        <w:top w:val="none" w:color="000000" w:sz="0" w:space="0"/>
        <w:left w:val="none" w:color="000000" w:sz="0" w:space="0"/>
        <w:bottom w:val="none" w:color="000000" w:sz="0" w:space="0"/>
        <w:right w:val="none" w:color="000000" w:sz="0" w:space="0"/>
        <w:between w:val="none" w:color="000000" w:sz="0" w:space="0"/>
      </w:pBdr>
      <w:spacing w:after="200" w:line="276" w:lineRule="auto"/>
    </w:pPr>
    <w:rPr>
      <w:rFonts w:ascii="Times New Roman" w:hAnsi="Times New Roman" w:eastAsia="宋体" w:cs="Times New Roman"/>
      <w:sz w:val="22"/>
      <w:szCs w:val="22"/>
      <w:lang w:val="en-US" w:eastAsia="zh-CN" w:bidi="ar-SA"/>
    </w:rPr>
  </w:style>
  <w:style w:type="paragraph" w:customStyle="1" w:styleId="214">
    <w:name w:val="标题 111"/>
    <w:basedOn w:val="1"/>
    <w:next w:val="1"/>
    <w:link w:val="218"/>
    <w:qFormat/>
    <w:uiPriority w:val="99"/>
    <w:pPr>
      <w:keepNext/>
      <w:keepLines/>
      <w:spacing w:before="120" w:after="120" w:line="360" w:lineRule="auto"/>
      <w:outlineLvl w:val="0"/>
    </w:pPr>
    <w:rPr>
      <w:rFonts w:ascii="宋体"/>
      <w:b/>
      <w:color w:val="000000"/>
      <w:sz w:val="24"/>
      <w:szCs w:val="20"/>
    </w:rPr>
  </w:style>
  <w:style w:type="paragraph" w:customStyle="1" w:styleId="215">
    <w:name w:val="标题 211"/>
    <w:basedOn w:val="1"/>
    <w:next w:val="1"/>
    <w:link w:val="219"/>
    <w:qFormat/>
    <w:uiPriority w:val="99"/>
    <w:pPr>
      <w:keepNext/>
      <w:keepLines/>
      <w:spacing w:before="120" w:after="120" w:line="360" w:lineRule="auto"/>
      <w:outlineLvl w:val="1"/>
    </w:pPr>
    <w:rPr>
      <w:rFonts w:ascii="宋体" w:hAnsi="Arial"/>
      <w:b/>
      <w:sz w:val="20"/>
      <w:szCs w:val="20"/>
    </w:rPr>
  </w:style>
  <w:style w:type="paragraph" w:customStyle="1" w:styleId="216">
    <w:name w:val="页脚11"/>
    <w:basedOn w:val="1"/>
    <w:link w:val="221"/>
    <w:qFormat/>
    <w:uiPriority w:val="99"/>
    <w:pPr>
      <w:tabs>
        <w:tab w:val="center" w:pos="4153"/>
        <w:tab w:val="right" w:pos="8306"/>
      </w:tabs>
      <w:jc w:val="left"/>
    </w:pPr>
    <w:rPr>
      <w:sz w:val="18"/>
      <w:szCs w:val="18"/>
    </w:rPr>
  </w:style>
  <w:style w:type="paragraph" w:customStyle="1" w:styleId="217">
    <w:name w:val="页眉11"/>
    <w:basedOn w:val="1"/>
    <w:link w:val="220"/>
    <w:qFormat/>
    <w:uiPriority w:val="99"/>
    <w:pPr>
      <w:pBdr>
        <w:bottom w:val="single" w:color="auto" w:sz="6" w:space="1"/>
      </w:pBdr>
      <w:tabs>
        <w:tab w:val="center" w:pos="4153"/>
        <w:tab w:val="right" w:pos="8306"/>
      </w:tabs>
      <w:jc w:val="center"/>
    </w:pPr>
    <w:rPr>
      <w:sz w:val="18"/>
      <w:szCs w:val="18"/>
    </w:rPr>
  </w:style>
  <w:style w:type="character" w:customStyle="1" w:styleId="218">
    <w:name w:val="标题 1 Char"/>
    <w:basedOn w:val="28"/>
    <w:link w:val="214"/>
    <w:qFormat/>
    <w:uiPriority w:val="99"/>
    <w:rPr>
      <w:rFonts w:cs="Times New Roman"/>
      <w:b/>
      <w:bCs/>
      <w:sz w:val="44"/>
      <w:szCs w:val="44"/>
    </w:rPr>
  </w:style>
  <w:style w:type="character" w:customStyle="1" w:styleId="219">
    <w:name w:val="标题 2 Char"/>
    <w:basedOn w:val="28"/>
    <w:link w:val="215"/>
    <w:semiHidden/>
    <w:qFormat/>
    <w:uiPriority w:val="99"/>
    <w:rPr>
      <w:rFonts w:ascii="Cambria" w:hAnsi="Cambria" w:eastAsia="宋体" w:cs="Times New Roman"/>
      <w:b/>
      <w:bCs/>
      <w:sz w:val="32"/>
      <w:szCs w:val="32"/>
    </w:rPr>
  </w:style>
  <w:style w:type="character" w:customStyle="1" w:styleId="220">
    <w:name w:val="页眉 Char"/>
    <w:basedOn w:val="28"/>
    <w:link w:val="217"/>
    <w:semiHidden/>
    <w:qFormat/>
    <w:uiPriority w:val="99"/>
    <w:rPr>
      <w:rFonts w:cs="Times New Roman"/>
      <w:sz w:val="18"/>
      <w:szCs w:val="18"/>
    </w:rPr>
  </w:style>
  <w:style w:type="character" w:customStyle="1" w:styleId="221">
    <w:name w:val="页脚 Char"/>
    <w:basedOn w:val="28"/>
    <w:link w:val="216"/>
    <w:semiHidden/>
    <w:qFormat/>
    <w:uiPriority w:val="99"/>
    <w:rPr>
      <w:rFonts w:cs="Times New Roman"/>
      <w:sz w:val="18"/>
      <w:szCs w:val="18"/>
    </w:rPr>
  </w:style>
  <w:style w:type="character" w:customStyle="1" w:styleId="222">
    <w:name w:val="正文文本缩进 字符"/>
    <w:basedOn w:val="28"/>
    <w:link w:val="7"/>
    <w:qFormat/>
    <w:uiPriority w:val="99"/>
    <w:rPr>
      <w:rFonts w:cs="Times New Roman"/>
      <w:sz w:val="24"/>
      <w:szCs w:val="24"/>
    </w:rPr>
  </w:style>
  <w:style w:type="paragraph" w:customStyle="1" w:styleId="223">
    <w:name w:val="正文所"/>
    <w:basedOn w:val="1"/>
    <w:qFormat/>
    <w:uiPriority w:val="99"/>
    <w:pPr>
      <w:spacing w:line="360" w:lineRule="auto"/>
      <w:ind w:firstLine="420"/>
    </w:pPr>
  </w:style>
  <w:style w:type="paragraph" w:customStyle="1" w:styleId="224">
    <w:name w:val="样式 首行缩进:  2 字符 段前: 0.25 行 段后: 0.25 行"/>
    <w:basedOn w:val="1"/>
    <w:qFormat/>
    <w:uiPriority w:val="99"/>
    <w:pPr>
      <w:spacing w:line="300" w:lineRule="auto"/>
      <w:ind w:firstLine="420"/>
    </w:pPr>
    <w:rPr>
      <w:szCs w:val="21"/>
    </w:rPr>
  </w:style>
  <w:style w:type="paragraph" w:customStyle="1" w:styleId="225">
    <w:name w:val="Default"/>
    <w:qFormat/>
    <w:uiPriority w:val="99"/>
    <w:pPr>
      <w:widowControl w:val="0"/>
      <w:pBdr>
        <w:top w:val="none" w:color="000000" w:sz="0" w:space="0"/>
        <w:left w:val="none" w:color="000000" w:sz="0" w:space="0"/>
        <w:bottom w:val="none" w:color="000000" w:sz="0" w:space="0"/>
        <w:right w:val="none" w:color="000000" w:sz="0" w:space="0"/>
        <w:between w:val="none" w:color="000000" w:sz="0" w:space="0"/>
      </w:pBdr>
      <w:spacing w:after="200" w:line="276" w:lineRule="auto"/>
    </w:pPr>
    <w:rPr>
      <w:rFonts w:ascii="宋体" w:hAnsi="Times New Roman" w:eastAsia="宋体" w:cs="宋体"/>
      <w:color w:val="000000"/>
      <w:sz w:val="24"/>
      <w:szCs w:val="24"/>
      <w:lang w:val="en-US" w:eastAsia="zh-CN" w:bidi="ar-SA"/>
    </w:rPr>
  </w:style>
  <w:style w:type="character" w:customStyle="1" w:styleId="226">
    <w:name w:val="批注框文本 字符"/>
    <w:basedOn w:val="28"/>
    <w:link w:val="2"/>
    <w:semiHidden/>
    <w:qFormat/>
    <w:uiPriority w:val="99"/>
    <w:rPr>
      <w:rFonts w:cs="Times New Roman"/>
      <w:sz w:val="2"/>
    </w:rPr>
  </w:style>
  <w:style w:type="paragraph" w:customStyle="1" w:styleId="227">
    <w:name w:val="默认段落字体 Para Char"/>
    <w:basedOn w:val="1"/>
    <w:qFormat/>
    <w:uiPriority w:val="99"/>
  </w:style>
  <w:style w:type="character" w:customStyle="1" w:styleId="228">
    <w:name w:val="文档结构图 字符"/>
    <w:basedOn w:val="28"/>
    <w:link w:val="4"/>
    <w:semiHidden/>
    <w:qFormat/>
    <w:uiPriority w:val="99"/>
    <w:rPr>
      <w:rFonts w:cs="Times New Roman"/>
      <w:sz w:val="2"/>
    </w:rPr>
  </w:style>
  <w:style w:type="character" w:customStyle="1" w:styleId="229">
    <w:name w:val="批注文字 字符"/>
    <w:basedOn w:val="28"/>
    <w:link w:val="5"/>
    <w:qFormat/>
    <w:uiPriority w:val="0"/>
    <w:rPr>
      <w:rFonts w:cs="Times New Roman"/>
      <w:sz w:val="24"/>
      <w:szCs w:val="24"/>
    </w:rPr>
  </w:style>
  <w:style w:type="character" w:customStyle="1" w:styleId="230">
    <w:name w:val="批注主题 字符"/>
    <w:basedOn w:val="229"/>
    <w:link w:val="25"/>
    <w:semiHidden/>
    <w:qFormat/>
    <w:uiPriority w:val="99"/>
    <w:rPr>
      <w:rFonts w:cs="Times New Roman"/>
      <w:b/>
      <w:bCs/>
      <w:sz w:val="24"/>
      <w:szCs w:val="24"/>
    </w:rPr>
  </w:style>
  <w:style w:type="paragraph" w:customStyle="1" w:styleId="231">
    <w:name w:val="Char"/>
    <w:basedOn w:val="1"/>
    <w:qFormat/>
    <w:uiPriority w:val="99"/>
  </w:style>
  <w:style w:type="character" w:customStyle="1" w:styleId="232">
    <w:name w:val="正文文本缩进 2 字符"/>
    <w:basedOn w:val="28"/>
    <w:link w:val="11"/>
    <w:semiHidden/>
    <w:qFormat/>
    <w:uiPriority w:val="99"/>
    <w:rPr>
      <w:rFonts w:cs="Times New Roman"/>
      <w:sz w:val="24"/>
      <w:szCs w:val="24"/>
    </w:rPr>
  </w:style>
  <w:style w:type="character" w:customStyle="1" w:styleId="233">
    <w:name w:val="正文文本 字符"/>
    <w:basedOn w:val="28"/>
    <w:link w:val="6"/>
    <w:semiHidden/>
    <w:qFormat/>
    <w:uiPriority w:val="99"/>
    <w:rPr>
      <w:rFonts w:cs="Times New Roman"/>
      <w:sz w:val="24"/>
      <w:szCs w:val="24"/>
    </w:rPr>
  </w:style>
  <w:style w:type="character" w:customStyle="1" w:styleId="234">
    <w:name w:val="正文文本 2 字符"/>
    <w:basedOn w:val="28"/>
    <w:link w:val="23"/>
    <w:semiHidden/>
    <w:qFormat/>
    <w:uiPriority w:val="99"/>
    <w:rPr>
      <w:rFonts w:cs="Times New Roman"/>
      <w:sz w:val="24"/>
      <w:szCs w:val="24"/>
    </w:rPr>
  </w:style>
  <w:style w:type="paragraph" w:customStyle="1" w:styleId="235">
    <w:name w:val="UCAlpha 2"/>
    <w:basedOn w:val="1"/>
    <w:qFormat/>
    <w:uiPriority w:val="99"/>
    <w:pPr>
      <w:widowControl/>
      <w:numPr>
        <w:ilvl w:val="0"/>
        <w:numId w:val="1"/>
      </w:numPr>
      <w:spacing w:after="140" w:line="290" w:lineRule="auto"/>
    </w:pPr>
    <w:rPr>
      <w:rFonts w:ascii="Arial" w:hAnsi="Arial"/>
      <w:sz w:val="20"/>
      <w:lang w:val="en-GB" w:eastAsia="en-US"/>
    </w:rPr>
  </w:style>
  <w:style w:type="paragraph" w:customStyle="1" w:styleId="236">
    <w:name w:val="合同正文"/>
    <w:basedOn w:val="1"/>
    <w:link w:val="237"/>
    <w:qFormat/>
    <w:uiPriority w:val="0"/>
    <w:pPr>
      <w:spacing w:line="360" w:lineRule="auto"/>
      <w:ind w:firstLine="200"/>
    </w:pPr>
    <w:rPr>
      <w:bCs/>
      <w:sz w:val="24"/>
      <w:szCs w:val="20"/>
    </w:rPr>
  </w:style>
  <w:style w:type="character" w:customStyle="1" w:styleId="237">
    <w:name w:val="合同正文 Char"/>
    <w:link w:val="236"/>
    <w:qFormat/>
    <w:uiPriority w:val="0"/>
    <w:rPr>
      <w:bCs/>
      <w:sz w:val="24"/>
      <w:szCs w:val="20"/>
    </w:rPr>
  </w:style>
  <w:style w:type="paragraph" w:customStyle="1" w:styleId="238">
    <w:name w:val="修订1"/>
    <w:hidden/>
    <w:semiHidden/>
    <w:qFormat/>
    <w:uiPriority w:val="99"/>
    <w:pPr>
      <w:pBdr>
        <w:top w:val="none" w:color="000000" w:sz="0" w:space="0"/>
        <w:left w:val="none" w:color="000000" w:sz="0" w:space="0"/>
        <w:bottom w:val="none" w:color="000000" w:sz="0" w:space="0"/>
        <w:right w:val="none" w:color="000000" w:sz="0" w:space="0"/>
        <w:between w:val="none" w:color="000000" w:sz="0" w:space="0"/>
      </w:pBdr>
      <w:spacing w:after="200" w:line="276" w:lineRule="auto"/>
    </w:pPr>
    <w:rPr>
      <w:rFonts w:ascii="Times New Roman" w:hAnsi="Times New Roman" w:eastAsia="宋体" w:cs="Times New Roman"/>
      <w:sz w:val="21"/>
      <w:szCs w:val="24"/>
      <w:lang w:val="en-US" w:eastAsia="zh-CN" w:bidi="ar-SA"/>
    </w:rPr>
  </w:style>
  <w:style w:type="paragraph" w:styleId="239">
    <w:name w:val="List Paragraph"/>
    <w:basedOn w:val="1"/>
    <w:qFormat/>
    <w:uiPriority w:val="99"/>
    <w:pPr>
      <w:ind w:firstLine="420"/>
    </w:pPr>
    <w:rPr>
      <w:rFonts w:ascii="Calibri" w:hAnsi="Calibri" w:cs="Calibri"/>
      <w:sz w:val="22"/>
      <w:szCs w:val="22"/>
    </w:rPr>
  </w:style>
  <w:style w:type="paragraph" w:customStyle="1" w:styleId="240">
    <w:name w:val="页眉2"/>
    <w:basedOn w:val="1"/>
    <w:link w:val="241"/>
    <w:unhideWhenUsed/>
    <w:qFormat/>
    <w:uiPriority w:val="99"/>
    <w:pPr>
      <w:pBdr>
        <w:bottom w:val="single" w:color="auto" w:sz="6" w:space="1"/>
      </w:pBdr>
      <w:tabs>
        <w:tab w:val="center" w:pos="4153"/>
        <w:tab w:val="right" w:pos="8306"/>
      </w:tabs>
      <w:jc w:val="center"/>
    </w:pPr>
    <w:rPr>
      <w:sz w:val="18"/>
      <w:szCs w:val="18"/>
    </w:rPr>
  </w:style>
  <w:style w:type="character" w:customStyle="1" w:styleId="241">
    <w:name w:val="页眉 Char1"/>
    <w:basedOn w:val="28"/>
    <w:link w:val="240"/>
    <w:qFormat/>
    <w:uiPriority w:val="99"/>
    <w:rPr>
      <w:sz w:val="18"/>
      <w:szCs w:val="18"/>
    </w:rPr>
  </w:style>
  <w:style w:type="paragraph" w:customStyle="1" w:styleId="242">
    <w:name w:val="页脚2"/>
    <w:basedOn w:val="1"/>
    <w:link w:val="243"/>
    <w:unhideWhenUsed/>
    <w:qFormat/>
    <w:uiPriority w:val="99"/>
    <w:pPr>
      <w:tabs>
        <w:tab w:val="center" w:pos="4153"/>
        <w:tab w:val="right" w:pos="8306"/>
      </w:tabs>
      <w:jc w:val="left"/>
    </w:pPr>
    <w:rPr>
      <w:sz w:val="18"/>
      <w:szCs w:val="18"/>
    </w:rPr>
  </w:style>
  <w:style w:type="character" w:customStyle="1" w:styleId="243">
    <w:name w:val="页脚 Char1"/>
    <w:basedOn w:val="28"/>
    <w:link w:val="242"/>
    <w:qFormat/>
    <w:uiPriority w:val="99"/>
    <w:rPr>
      <w:sz w:val="18"/>
      <w:szCs w:val="18"/>
    </w:rPr>
  </w:style>
  <w:style w:type="character" w:customStyle="1" w:styleId="244">
    <w:name w:val="read"/>
    <w:basedOn w:val="28"/>
    <w:qFormat/>
    <w:uiPriority w:val="0"/>
  </w:style>
  <w:style w:type="paragraph" w:customStyle="1" w:styleId="245">
    <w:name w:val="修订2"/>
    <w:hidden/>
    <w:semiHidden/>
    <w:qFormat/>
    <w:uiPriority w:val="99"/>
    <w:pPr>
      <w:spacing w:after="200" w:line="276" w:lineRule="auto"/>
    </w:pPr>
    <w:rPr>
      <w:rFonts w:ascii="Times New Roman" w:hAnsi="Times New Roman" w:eastAsia="宋体" w:cs="Times New Roman"/>
      <w:sz w:val="21"/>
      <w:szCs w:val="24"/>
      <w:lang w:val="en-US" w:eastAsia="zh-CN" w:bidi="ar-SA"/>
    </w:rPr>
  </w:style>
  <w:style w:type="character" w:customStyle="1" w:styleId="246">
    <w:name w:val="页眉 字符"/>
    <w:basedOn w:val="28"/>
    <w:link w:val="66"/>
    <w:qFormat/>
    <w:uiPriority w:val="99"/>
    <w:rPr>
      <w:sz w:val="18"/>
      <w:szCs w:val="18"/>
    </w:rPr>
  </w:style>
  <w:style w:type="character" w:customStyle="1" w:styleId="247">
    <w:name w:val="页脚 字符"/>
    <w:basedOn w:val="28"/>
    <w:link w:val="65"/>
    <w:qFormat/>
    <w:uiPriority w:val="99"/>
    <w:rPr>
      <w:sz w:val="18"/>
      <w:szCs w:val="18"/>
    </w:rPr>
  </w:style>
  <w:style w:type="character" w:customStyle="1" w:styleId="248">
    <w:name w:val="页眉 字符1"/>
    <w:basedOn w:val="28"/>
    <w:link w:val="14"/>
    <w:qFormat/>
    <w:uiPriority w:val="99"/>
    <w:rPr>
      <w:rFonts w:ascii="Times New Roman" w:hAnsi="Times New Roman" w:cs="Times New Roman"/>
      <w:sz w:val="18"/>
      <w:szCs w:val="18"/>
      <w:lang w:eastAsia="zh-CN"/>
    </w:rPr>
  </w:style>
  <w:style w:type="character" w:customStyle="1" w:styleId="249">
    <w:name w:val="页脚 字符1"/>
    <w:basedOn w:val="28"/>
    <w:link w:val="13"/>
    <w:qFormat/>
    <w:uiPriority w:val="99"/>
    <w:rPr>
      <w:rFonts w:ascii="Times New Roman" w:hAnsi="Times New Roman" w:cs="Times New Roman"/>
      <w:sz w:val="18"/>
      <w:szCs w:val="18"/>
      <w:lang w:eastAsia="zh-CN"/>
    </w:rPr>
  </w:style>
  <w:style w:type="paragraph" w:customStyle="1" w:styleId="250">
    <w:name w:val="Revision"/>
    <w:hidden/>
    <w:semiHidden/>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宋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b:Sources xmlns:b="http://schemas.openxmlformats.org/officeDocument/2006/bibliography" xmlns="http://schemas.openxmlformats.org/officeDocument/2006/bibliography" Version="6" StyleName="APA"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ds:schemaRefs/>
</ds:datastoreItem>
</file>

<file path=customXml/itemProps3.xml><?xml version="1.0" encoding="utf-8"?>
<ds:datastoreItem xmlns:ds="http://schemas.openxmlformats.org/officeDocument/2006/customXml" ds:itemID="{57DC9573-9187-43B8-A06B-32E83799DB04}">
  <ds:schemaRefs/>
</ds:datastoreItem>
</file>

<file path=docProps/app.xml><?xml version="1.0" encoding="utf-8"?>
<Properties xmlns="http://schemas.openxmlformats.org/officeDocument/2006/extended-properties" xmlns:vt="http://schemas.openxmlformats.org/officeDocument/2006/docPropsVTypes">
  <Template>Normal</Template>
  <Company>hsbcjt</Company>
  <Pages>46</Pages>
  <Words>4651</Words>
  <Characters>26516</Characters>
  <Lines>220</Lines>
  <Paragraphs>62</Paragraphs>
  <TotalTime>2</TotalTime>
  <ScaleCrop>false</ScaleCrop>
  <LinksUpToDate>false</LinksUpToDate>
  <CharactersWithSpaces>31105</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2020-11-22T03:17:00Z</dcterms:created>
  <dc:creator>hsbcjt</dc:creator>
  <cp:lastModifiedBy>chenjy814</cp:lastModifiedBy>
  <dcterms:modified xsi:type="dcterms:W3CDTF">2026-09-23T16:38:14Z</dcterms:modified>
  <dc:title>1.4托管协议</dc:title>
  <cp:revision>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D5CC30158BD6DE6D3378B36A8F68667F_43</vt:lpwstr>
  </property>
</Properties>
</file>