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7B26C7">
      <w:pPr>
        <w:spacing w:line="360" w:lineRule="auto"/>
        <w:jc w:val="center"/>
        <w:rPr>
          <w:rFonts w:ascii="宋体" w:hAnsi="宋体"/>
          <w:b/>
          <w:szCs w:val="21"/>
          <w:highlight w:val="yellow"/>
        </w:rPr>
      </w:pPr>
      <w:bookmarkStart w:id="0" w:name="_Toc361324840"/>
    </w:p>
    <w:p w14:paraId="398E550D">
      <w:pPr>
        <w:spacing w:line="360" w:lineRule="auto"/>
        <w:jc w:val="center"/>
        <w:rPr>
          <w:rFonts w:ascii="宋体" w:hAnsi="宋体"/>
          <w:b/>
          <w:szCs w:val="21"/>
          <w:highlight w:val="none"/>
        </w:rPr>
      </w:pPr>
    </w:p>
    <w:bookmarkEnd w:id="0"/>
    <w:p w14:paraId="461A6186">
      <w:pPr>
        <w:spacing w:line="360" w:lineRule="auto"/>
        <w:jc w:val="center"/>
        <w:rPr>
          <w:rFonts w:ascii="宋体" w:hAnsi="宋体"/>
          <w:b/>
          <w:sz w:val="52"/>
          <w:szCs w:val="52"/>
          <w:highlight w:val="none"/>
        </w:rPr>
      </w:pPr>
      <w:bookmarkStart w:id="1" w:name="_Toc361324841"/>
      <w:r>
        <w:rPr>
          <w:rFonts w:hint="eastAsia" w:ascii="宋体" w:hAnsi="宋体"/>
          <w:b/>
          <w:sz w:val="52"/>
          <w:szCs w:val="52"/>
          <w:highlight w:val="none"/>
          <w:lang w:eastAsia="zh-CN"/>
        </w:rPr>
        <w:t>博时集兴配置优选6个月持有期混合型发起式基金中基金（FOF）</w:t>
      </w:r>
      <w:r>
        <w:rPr>
          <w:rFonts w:hint="eastAsia" w:ascii="宋体" w:hAnsi="宋体"/>
          <w:b/>
          <w:sz w:val="52"/>
          <w:szCs w:val="52"/>
          <w:highlight w:val="none"/>
        </w:rPr>
        <w:t>清算报告</w:t>
      </w:r>
      <w:bookmarkEnd w:id="1"/>
    </w:p>
    <w:p w14:paraId="04EA13B8">
      <w:pPr>
        <w:rPr>
          <w:rFonts w:ascii="宋体" w:hAnsi="宋体"/>
          <w:szCs w:val="21"/>
          <w:highlight w:val="none"/>
        </w:rPr>
      </w:pPr>
    </w:p>
    <w:p w14:paraId="18ADF324">
      <w:pPr>
        <w:rPr>
          <w:rFonts w:ascii="宋体" w:hAnsi="宋体"/>
          <w:szCs w:val="21"/>
          <w:highlight w:val="none"/>
        </w:rPr>
      </w:pPr>
    </w:p>
    <w:p w14:paraId="226443BE">
      <w:pPr>
        <w:rPr>
          <w:rFonts w:ascii="宋体" w:hAnsi="宋体"/>
          <w:szCs w:val="21"/>
          <w:highlight w:val="none"/>
        </w:rPr>
      </w:pPr>
    </w:p>
    <w:p w14:paraId="3468BC8E">
      <w:pPr>
        <w:rPr>
          <w:rFonts w:ascii="宋体" w:hAnsi="宋体"/>
          <w:szCs w:val="21"/>
          <w:highlight w:val="none"/>
        </w:rPr>
      </w:pPr>
    </w:p>
    <w:p w14:paraId="30EC2070">
      <w:pPr>
        <w:rPr>
          <w:rFonts w:ascii="宋体" w:hAnsi="宋体"/>
          <w:szCs w:val="21"/>
          <w:highlight w:val="none"/>
        </w:rPr>
      </w:pPr>
    </w:p>
    <w:p w14:paraId="79D942CB">
      <w:pPr>
        <w:rPr>
          <w:rFonts w:ascii="宋体" w:hAnsi="宋体"/>
          <w:szCs w:val="21"/>
          <w:highlight w:val="none"/>
        </w:rPr>
      </w:pPr>
    </w:p>
    <w:p w14:paraId="3655CE01">
      <w:pPr>
        <w:rPr>
          <w:rFonts w:ascii="宋体" w:hAnsi="宋体"/>
          <w:szCs w:val="21"/>
          <w:highlight w:val="none"/>
        </w:rPr>
      </w:pPr>
    </w:p>
    <w:p w14:paraId="3E434EED">
      <w:pPr>
        <w:rPr>
          <w:rFonts w:ascii="宋体" w:hAnsi="宋体"/>
          <w:szCs w:val="21"/>
          <w:highlight w:val="none"/>
        </w:rPr>
      </w:pPr>
    </w:p>
    <w:p w14:paraId="7C57AA84">
      <w:pPr>
        <w:rPr>
          <w:rFonts w:ascii="宋体" w:hAnsi="宋体"/>
          <w:szCs w:val="21"/>
          <w:highlight w:val="none"/>
        </w:rPr>
      </w:pPr>
    </w:p>
    <w:p w14:paraId="509E54DD">
      <w:pPr>
        <w:rPr>
          <w:rFonts w:ascii="宋体" w:hAnsi="宋体"/>
          <w:szCs w:val="21"/>
          <w:highlight w:val="none"/>
        </w:rPr>
      </w:pPr>
    </w:p>
    <w:p w14:paraId="03524CAA">
      <w:pPr>
        <w:rPr>
          <w:rFonts w:ascii="宋体" w:hAnsi="宋体"/>
          <w:szCs w:val="21"/>
          <w:highlight w:val="none"/>
        </w:rPr>
      </w:pPr>
    </w:p>
    <w:p w14:paraId="6421F077">
      <w:pPr>
        <w:spacing w:line="360" w:lineRule="auto"/>
        <w:jc w:val="center"/>
        <w:rPr>
          <w:rFonts w:ascii="宋体" w:hAnsi="宋体"/>
          <w:b/>
          <w:color w:val="000000"/>
          <w:sz w:val="36"/>
          <w:szCs w:val="36"/>
          <w:highlight w:val="none"/>
        </w:rPr>
      </w:pPr>
      <w:r>
        <w:rPr>
          <w:rFonts w:ascii="宋体" w:hAnsi="宋体"/>
          <w:b/>
          <w:color w:val="000000"/>
          <w:sz w:val="36"/>
          <w:szCs w:val="36"/>
          <w:highlight w:val="none"/>
        </w:rPr>
        <w:t>基金管理人：博时基金管理有限公司</w:t>
      </w:r>
    </w:p>
    <w:p w14:paraId="7767C7CF">
      <w:pPr>
        <w:spacing w:line="360" w:lineRule="auto"/>
        <w:jc w:val="center"/>
        <w:rPr>
          <w:rFonts w:ascii="宋体" w:hAnsi="宋体"/>
          <w:b/>
          <w:color w:val="000000"/>
          <w:sz w:val="36"/>
          <w:szCs w:val="36"/>
          <w:highlight w:val="none"/>
        </w:rPr>
      </w:pPr>
      <w:r>
        <w:rPr>
          <w:rFonts w:ascii="宋体" w:hAnsi="宋体"/>
          <w:b/>
          <w:color w:val="000000"/>
          <w:sz w:val="36"/>
          <w:szCs w:val="36"/>
          <w:highlight w:val="none"/>
        </w:rPr>
        <w:t>基金托管人：</w:t>
      </w:r>
      <w:r>
        <w:rPr>
          <w:rFonts w:hint="eastAsia" w:ascii="宋体" w:hAnsi="宋体"/>
          <w:b/>
          <w:color w:val="000000"/>
          <w:sz w:val="36"/>
          <w:szCs w:val="36"/>
          <w:highlight w:val="none"/>
          <w:lang w:val="en-US" w:eastAsia="zh-CN"/>
        </w:rPr>
        <w:t>中信银行股份有限公司</w:t>
      </w:r>
    </w:p>
    <w:p w14:paraId="157723CC">
      <w:pPr>
        <w:spacing w:line="360" w:lineRule="auto"/>
        <w:jc w:val="center"/>
        <w:rPr>
          <w:rFonts w:ascii="宋体" w:hAnsi="宋体"/>
          <w:b/>
          <w:color w:val="000000"/>
          <w:sz w:val="36"/>
          <w:szCs w:val="36"/>
          <w:highlight w:val="none"/>
        </w:rPr>
      </w:pPr>
      <w:r>
        <w:rPr>
          <w:rFonts w:ascii="宋体" w:hAnsi="宋体"/>
          <w:b/>
          <w:color w:val="000000"/>
          <w:sz w:val="36"/>
          <w:szCs w:val="36"/>
          <w:highlight w:val="none"/>
        </w:rPr>
        <w:t>报告</w:t>
      </w:r>
      <w:r>
        <w:rPr>
          <w:rFonts w:hint="eastAsia" w:ascii="宋体" w:hAnsi="宋体"/>
          <w:b/>
          <w:color w:val="000000"/>
          <w:sz w:val="36"/>
          <w:szCs w:val="36"/>
          <w:highlight w:val="none"/>
        </w:rPr>
        <w:t>出具</w:t>
      </w:r>
      <w:r>
        <w:rPr>
          <w:rFonts w:ascii="宋体" w:hAnsi="宋体"/>
          <w:b/>
          <w:color w:val="000000"/>
          <w:sz w:val="36"/>
          <w:szCs w:val="36"/>
          <w:highlight w:val="none"/>
        </w:rPr>
        <w:t>日期：二〇</w:t>
      </w:r>
      <w:r>
        <w:rPr>
          <w:rFonts w:hint="eastAsia" w:ascii="宋体" w:hAnsi="宋体"/>
          <w:b/>
          <w:color w:val="000000"/>
          <w:sz w:val="36"/>
          <w:szCs w:val="36"/>
          <w:highlight w:val="none"/>
        </w:rPr>
        <w:t>二</w:t>
      </w:r>
      <w:r>
        <w:rPr>
          <w:rFonts w:hint="eastAsia" w:ascii="宋体" w:hAnsi="宋体"/>
          <w:b/>
          <w:color w:val="000000"/>
          <w:sz w:val="36"/>
          <w:szCs w:val="36"/>
          <w:highlight w:val="none"/>
          <w:lang w:val="en-US" w:eastAsia="zh-CN"/>
        </w:rPr>
        <w:t>六</w:t>
      </w:r>
      <w:r>
        <w:rPr>
          <w:rFonts w:ascii="宋体" w:hAnsi="宋体"/>
          <w:b/>
          <w:color w:val="000000"/>
          <w:sz w:val="36"/>
          <w:szCs w:val="36"/>
          <w:highlight w:val="none"/>
        </w:rPr>
        <w:t>年</w:t>
      </w:r>
      <w:r>
        <w:rPr>
          <w:rFonts w:hint="eastAsia" w:ascii="宋体" w:hAnsi="宋体"/>
          <w:b/>
          <w:color w:val="000000"/>
          <w:sz w:val="36"/>
          <w:szCs w:val="36"/>
          <w:highlight w:val="none"/>
          <w:lang w:val="en-US" w:eastAsia="zh-CN"/>
        </w:rPr>
        <w:t>九月十五</w:t>
      </w:r>
      <w:r>
        <w:rPr>
          <w:rFonts w:hint="eastAsia" w:ascii="宋体" w:hAnsi="宋体"/>
          <w:b/>
          <w:color w:val="000000"/>
          <w:sz w:val="36"/>
          <w:szCs w:val="36"/>
          <w:highlight w:val="none"/>
        </w:rPr>
        <w:t>日</w:t>
      </w:r>
    </w:p>
    <w:p w14:paraId="489FDE2F">
      <w:pPr>
        <w:spacing w:line="360" w:lineRule="auto"/>
        <w:ind w:firstLine="1446" w:firstLineChars="400"/>
        <w:jc w:val="both"/>
        <w:rPr>
          <w:rFonts w:ascii="宋体" w:hAnsi="宋体"/>
          <w:b/>
          <w:color w:val="000000"/>
          <w:sz w:val="36"/>
          <w:szCs w:val="36"/>
          <w:highlight w:val="none"/>
        </w:rPr>
      </w:pPr>
      <w:r>
        <w:rPr>
          <w:rFonts w:hint="eastAsia" w:ascii="宋体" w:hAnsi="宋体"/>
          <w:b/>
          <w:color w:val="000000"/>
          <w:sz w:val="36"/>
          <w:szCs w:val="36"/>
          <w:highlight w:val="none"/>
        </w:rPr>
        <w:t>报告公告日期：</w:t>
      </w:r>
      <w:r>
        <w:rPr>
          <w:rFonts w:ascii="宋体" w:hAnsi="宋体"/>
          <w:b/>
          <w:color w:val="000000"/>
          <w:sz w:val="36"/>
          <w:szCs w:val="36"/>
          <w:highlight w:val="none"/>
        </w:rPr>
        <w:t>二〇</w:t>
      </w:r>
      <w:r>
        <w:rPr>
          <w:rFonts w:hint="eastAsia" w:ascii="宋体" w:hAnsi="宋体"/>
          <w:b/>
          <w:color w:val="000000"/>
          <w:sz w:val="36"/>
          <w:szCs w:val="36"/>
          <w:highlight w:val="none"/>
        </w:rPr>
        <w:t>二</w:t>
      </w:r>
      <w:r>
        <w:rPr>
          <w:rFonts w:hint="eastAsia" w:ascii="宋体" w:hAnsi="宋体"/>
          <w:b/>
          <w:color w:val="000000"/>
          <w:sz w:val="36"/>
          <w:szCs w:val="36"/>
          <w:highlight w:val="none"/>
          <w:lang w:val="en-US" w:eastAsia="zh-CN"/>
        </w:rPr>
        <w:t>六</w:t>
      </w:r>
      <w:r>
        <w:rPr>
          <w:rFonts w:hint="eastAsia" w:ascii="宋体" w:hAnsi="宋体"/>
          <w:b/>
          <w:color w:val="000000"/>
          <w:sz w:val="36"/>
          <w:szCs w:val="36"/>
          <w:highlight w:val="none"/>
        </w:rPr>
        <w:t>年</w:t>
      </w:r>
      <w:r>
        <w:rPr>
          <w:rFonts w:hint="eastAsia" w:ascii="宋体" w:hAnsi="宋体"/>
          <w:b/>
          <w:color w:val="000000"/>
          <w:sz w:val="36"/>
          <w:szCs w:val="36"/>
          <w:highlight w:val="none"/>
          <w:lang w:val="en-US" w:eastAsia="zh-CN"/>
        </w:rPr>
        <w:t>十</w:t>
      </w:r>
      <w:r>
        <w:rPr>
          <w:rFonts w:hint="eastAsia" w:ascii="宋体" w:hAnsi="宋体"/>
          <w:b/>
          <w:color w:val="000000"/>
          <w:sz w:val="36"/>
          <w:szCs w:val="36"/>
          <w:highlight w:val="none"/>
        </w:rPr>
        <w:t>月</w:t>
      </w:r>
      <w:r>
        <w:rPr>
          <w:rFonts w:hint="eastAsia" w:ascii="宋体" w:hAnsi="宋体"/>
          <w:b/>
          <w:color w:val="000000"/>
          <w:sz w:val="36"/>
          <w:szCs w:val="36"/>
          <w:highlight w:val="none"/>
          <w:lang w:val="en-US" w:eastAsia="zh-CN"/>
        </w:rPr>
        <w:t>二十三</w:t>
      </w:r>
      <w:r>
        <w:rPr>
          <w:rFonts w:hint="eastAsia" w:ascii="宋体" w:hAnsi="宋体"/>
          <w:b/>
          <w:color w:val="000000"/>
          <w:sz w:val="36"/>
          <w:szCs w:val="36"/>
          <w:highlight w:val="none"/>
        </w:rPr>
        <w:t>日</w:t>
      </w:r>
    </w:p>
    <w:p w14:paraId="2A7FB832">
      <w:pPr>
        <w:spacing w:line="360" w:lineRule="auto"/>
        <w:jc w:val="center"/>
        <w:rPr>
          <w:rFonts w:ascii="宋体" w:hAnsi="宋体"/>
          <w:b/>
          <w:color w:val="000000"/>
          <w:sz w:val="36"/>
          <w:szCs w:val="36"/>
          <w:highlight w:val="yellow"/>
        </w:rPr>
      </w:pPr>
    </w:p>
    <w:p w14:paraId="35750471">
      <w:pPr>
        <w:spacing w:line="360" w:lineRule="auto"/>
        <w:ind w:firstLine="1265" w:firstLineChars="350"/>
        <w:rPr>
          <w:rFonts w:ascii="宋体" w:hAnsi="宋体"/>
          <w:b/>
          <w:color w:val="000000"/>
          <w:sz w:val="36"/>
          <w:szCs w:val="36"/>
          <w:highlight w:val="yellow"/>
        </w:rPr>
        <w:sectPr>
          <w:headerReference r:id="rId3" w:type="default"/>
          <w:footerReference r:id="rId4" w:type="default"/>
          <w:pgSz w:w="11926" w:h="15840"/>
          <w:pgMar w:top="1418" w:right="1418" w:bottom="851" w:left="1418" w:header="851" w:footer="992" w:gutter="0"/>
          <w:pgNumType w:start="1"/>
          <w:cols w:space="720" w:num="1"/>
          <w:titlePg/>
          <w:docGrid w:linePitch="286" w:charSpace="0"/>
        </w:sectPr>
      </w:pPr>
    </w:p>
    <w:sdt>
      <w:sdtPr>
        <w:rPr>
          <w:rFonts w:ascii="Times New Roman" w:hAnsi="Times New Roman" w:eastAsia="宋体" w:cs="Times New Roman"/>
          <w:b w:val="0"/>
          <w:bCs w:val="0"/>
          <w:color w:val="auto"/>
          <w:kern w:val="2"/>
          <w:sz w:val="21"/>
          <w:szCs w:val="24"/>
          <w:highlight w:val="yellow"/>
          <w:lang w:val="zh-CN"/>
        </w:rPr>
        <w:id w:val="542722309"/>
        <w:docPartObj>
          <w:docPartGallery w:val="Table of Contents"/>
          <w:docPartUnique/>
        </w:docPartObj>
      </w:sdtPr>
      <w:sdtEndPr>
        <w:rPr>
          <w:rFonts w:ascii="Times New Roman" w:hAnsi="Times New Roman" w:eastAsia="宋体" w:cs="Times New Roman"/>
          <w:b w:val="0"/>
          <w:bCs w:val="0"/>
          <w:color w:val="auto"/>
          <w:kern w:val="2"/>
          <w:sz w:val="21"/>
          <w:szCs w:val="24"/>
          <w:highlight w:val="yellow"/>
          <w:lang w:val="zh-CN"/>
        </w:rPr>
      </w:sdtEndPr>
      <w:sdtContent>
        <w:p w14:paraId="451B7B80">
          <w:pPr>
            <w:pStyle w:val="32"/>
            <w:jc w:val="center"/>
            <w:rPr>
              <w:highlight w:val="none"/>
            </w:rPr>
          </w:pPr>
          <w:bookmarkStart w:id="2" w:name="_Toc484769794"/>
          <w:r>
            <w:rPr>
              <w:highlight w:val="none"/>
              <w:lang w:val="zh-CN"/>
            </w:rPr>
            <w:t>目录</w:t>
          </w:r>
        </w:p>
        <w:p w14:paraId="2C1165A5">
          <w:pPr>
            <w:pStyle w:val="9"/>
            <w:tabs>
              <w:tab w:val="right" w:leader="dot" w:pos="8296"/>
            </w:tabs>
            <w:rPr>
              <w:rFonts w:asciiTheme="minorHAnsi" w:hAnsiTheme="minorHAnsi" w:eastAsiaTheme="minorEastAsia" w:cstheme="minorBidi"/>
              <w:szCs w:val="22"/>
              <w:highlight w:val="none"/>
            </w:rPr>
          </w:pPr>
          <w:r>
            <w:rPr>
              <w:highlight w:val="none"/>
            </w:rPr>
            <w:fldChar w:fldCharType="begin"/>
          </w:r>
          <w:r>
            <w:rPr>
              <w:highlight w:val="none"/>
            </w:rPr>
            <w:instrText xml:space="preserve"> TOC \o "1-3" \h \z \u </w:instrText>
          </w:r>
          <w:r>
            <w:rPr>
              <w:highlight w:val="none"/>
            </w:rPr>
            <w:fldChar w:fldCharType="separate"/>
          </w:r>
          <w:r>
            <w:rPr>
              <w:highlight w:val="none"/>
            </w:rPr>
            <w:fldChar w:fldCharType="begin"/>
          </w:r>
          <w:r>
            <w:rPr>
              <w:highlight w:val="none"/>
            </w:rPr>
            <w:instrText xml:space="preserve"> HYPERLINK \l "_Toc491963077" </w:instrText>
          </w:r>
          <w:r>
            <w:rPr>
              <w:highlight w:val="none"/>
            </w:rPr>
            <w:fldChar w:fldCharType="separate"/>
          </w:r>
          <w:r>
            <w:rPr>
              <w:rStyle w:val="15"/>
              <w:rFonts w:ascii="宋体" w:hAnsi="宋体"/>
              <w:b/>
              <w:highlight w:val="none"/>
            </w:rPr>
            <w:t>1</w:t>
          </w:r>
          <w:r>
            <w:rPr>
              <w:rStyle w:val="15"/>
              <w:rFonts w:hint="eastAsia" w:ascii="宋体" w:hAnsi="宋体"/>
              <w:b/>
              <w:highlight w:val="none"/>
            </w:rPr>
            <w:t>、重要提示</w:t>
          </w:r>
          <w:r>
            <w:rPr>
              <w:highlight w:val="none"/>
            </w:rPr>
            <w:tab/>
          </w:r>
          <w:r>
            <w:rPr>
              <w:highlight w:val="none"/>
            </w:rPr>
            <w:fldChar w:fldCharType="begin"/>
          </w:r>
          <w:r>
            <w:rPr>
              <w:highlight w:val="none"/>
            </w:rPr>
            <w:instrText xml:space="preserve"> PAGEREF _Toc491963077 \h </w:instrText>
          </w:r>
          <w:r>
            <w:rPr>
              <w:highlight w:val="none"/>
            </w:rPr>
            <w:fldChar w:fldCharType="separate"/>
          </w:r>
          <w:r>
            <w:rPr>
              <w:highlight w:val="none"/>
            </w:rPr>
            <w:t>1</w:t>
          </w:r>
          <w:r>
            <w:rPr>
              <w:highlight w:val="none"/>
            </w:rPr>
            <w:fldChar w:fldCharType="end"/>
          </w:r>
          <w:r>
            <w:rPr>
              <w:highlight w:val="none"/>
            </w:rPr>
            <w:fldChar w:fldCharType="end"/>
          </w:r>
        </w:p>
        <w:p w14:paraId="6007304F">
          <w:pPr>
            <w:pStyle w:val="10"/>
            <w:tabs>
              <w:tab w:val="right" w:leader="dot" w:pos="8296"/>
            </w:tabs>
            <w:rPr>
              <w:rFonts w:asciiTheme="minorHAnsi" w:hAnsiTheme="minorHAnsi" w:eastAsiaTheme="minorEastAsia" w:cstheme="minorBidi"/>
              <w:szCs w:val="22"/>
              <w:highlight w:val="none"/>
            </w:rPr>
          </w:pPr>
          <w:r>
            <w:rPr>
              <w:highlight w:val="none"/>
            </w:rPr>
            <w:fldChar w:fldCharType="begin"/>
          </w:r>
          <w:r>
            <w:rPr>
              <w:highlight w:val="none"/>
            </w:rPr>
            <w:instrText xml:space="preserve"> HYPERLINK \l "_Toc491963078" </w:instrText>
          </w:r>
          <w:r>
            <w:rPr>
              <w:highlight w:val="none"/>
            </w:rPr>
            <w:fldChar w:fldCharType="separate"/>
          </w:r>
          <w:r>
            <w:rPr>
              <w:rStyle w:val="15"/>
              <w:rFonts w:ascii="宋体" w:hAnsi="宋体"/>
              <w:kern w:val="0"/>
              <w:highlight w:val="none"/>
            </w:rPr>
            <w:t xml:space="preserve">1.1 </w:t>
          </w:r>
          <w:r>
            <w:rPr>
              <w:rStyle w:val="15"/>
              <w:rFonts w:hint="eastAsia" w:ascii="宋体" w:hAnsi="宋体"/>
              <w:kern w:val="0"/>
              <w:highlight w:val="none"/>
            </w:rPr>
            <w:t>重要提示</w:t>
          </w:r>
          <w:r>
            <w:rPr>
              <w:highlight w:val="none"/>
            </w:rPr>
            <w:tab/>
          </w:r>
          <w:r>
            <w:rPr>
              <w:highlight w:val="none"/>
            </w:rPr>
            <w:fldChar w:fldCharType="begin"/>
          </w:r>
          <w:r>
            <w:rPr>
              <w:highlight w:val="none"/>
            </w:rPr>
            <w:instrText xml:space="preserve"> PAGEREF _Toc491963078 \h </w:instrText>
          </w:r>
          <w:r>
            <w:rPr>
              <w:highlight w:val="none"/>
            </w:rPr>
            <w:fldChar w:fldCharType="separate"/>
          </w:r>
          <w:r>
            <w:rPr>
              <w:highlight w:val="none"/>
            </w:rPr>
            <w:t>1</w:t>
          </w:r>
          <w:r>
            <w:rPr>
              <w:highlight w:val="none"/>
            </w:rPr>
            <w:fldChar w:fldCharType="end"/>
          </w:r>
          <w:r>
            <w:rPr>
              <w:highlight w:val="none"/>
            </w:rPr>
            <w:fldChar w:fldCharType="end"/>
          </w:r>
        </w:p>
        <w:p w14:paraId="047B759C">
          <w:pPr>
            <w:pStyle w:val="9"/>
            <w:tabs>
              <w:tab w:val="right" w:leader="dot" w:pos="8296"/>
            </w:tabs>
            <w:rPr>
              <w:rFonts w:asciiTheme="minorHAnsi" w:hAnsiTheme="minorHAnsi" w:eastAsiaTheme="minorEastAsia" w:cstheme="minorBidi"/>
              <w:szCs w:val="22"/>
              <w:highlight w:val="none"/>
            </w:rPr>
          </w:pPr>
          <w:r>
            <w:rPr>
              <w:highlight w:val="none"/>
            </w:rPr>
            <w:fldChar w:fldCharType="begin"/>
          </w:r>
          <w:r>
            <w:rPr>
              <w:highlight w:val="none"/>
            </w:rPr>
            <w:instrText xml:space="preserve"> HYPERLINK \l "_Toc491963079" </w:instrText>
          </w:r>
          <w:r>
            <w:rPr>
              <w:highlight w:val="none"/>
            </w:rPr>
            <w:fldChar w:fldCharType="separate"/>
          </w:r>
          <w:r>
            <w:rPr>
              <w:rStyle w:val="15"/>
              <w:rFonts w:ascii="宋体" w:hAnsi="宋体"/>
              <w:b/>
              <w:highlight w:val="none"/>
            </w:rPr>
            <w:t>2</w:t>
          </w:r>
          <w:r>
            <w:rPr>
              <w:rStyle w:val="15"/>
              <w:rFonts w:hint="eastAsia" w:ascii="宋体" w:hAnsi="宋体"/>
              <w:b/>
              <w:highlight w:val="none"/>
            </w:rPr>
            <w:t>、基金概况</w:t>
          </w:r>
          <w:r>
            <w:rPr>
              <w:highlight w:val="none"/>
            </w:rPr>
            <w:tab/>
          </w:r>
          <w:r>
            <w:rPr>
              <w:highlight w:val="none"/>
            </w:rPr>
            <w:fldChar w:fldCharType="begin"/>
          </w:r>
          <w:r>
            <w:rPr>
              <w:highlight w:val="none"/>
            </w:rPr>
            <w:instrText xml:space="preserve"> PAGEREF _Toc491963079 \h </w:instrText>
          </w:r>
          <w:r>
            <w:rPr>
              <w:highlight w:val="none"/>
            </w:rPr>
            <w:fldChar w:fldCharType="separate"/>
          </w:r>
          <w:r>
            <w:rPr>
              <w:highlight w:val="none"/>
            </w:rPr>
            <w:t>1</w:t>
          </w:r>
          <w:r>
            <w:rPr>
              <w:highlight w:val="none"/>
            </w:rPr>
            <w:fldChar w:fldCharType="end"/>
          </w:r>
          <w:r>
            <w:rPr>
              <w:highlight w:val="none"/>
            </w:rPr>
            <w:fldChar w:fldCharType="end"/>
          </w:r>
        </w:p>
        <w:p w14:paraId="007B16E2">
          <w:pPr>
            <w:pStyle w:val="10"/>
            <w:tabs>
              <w:tab w:val="right" w:leader="dot" w:pos="8296"/>
            </w:tabs>
            <w:rPr>
              <w:rFonts w:asciiTheme="minorHAnsi" w:hAnsiTheme="minorHAnsi" w:eastAsiaTheme="minorEastAsia" w:cstheme="minorBidi"/>
              <w:szCs w:val="22"/>
              <w:highlight w:val="none"/>
            </w:rPr>
          </w:pPr>
          <w:r>
            <w:rPr>
              <w:highlight w:val="none"/>
            </w:rPr>
            <w:fldChar w:fldCharType="begin"/>
          </w:r>
          <w:r>
            <w:rPr>
              <w:highlight w:val="none"/>
            </w:rPr>
            <w:instrText xml:space="preserve"> HYPERLINK \l "_Toc491963080" </w:instrText>
          </w:r>
          <w:r>
            <w:rPr>
              <w:highlight w:val="none"/>
            </w:rPr>
            <w:fldChar w:fldCharType="separate"/>
          </w:r>
          <w:r>
            <w:rPr>
              <w:rStyle w:val="15"/>
              <w:rFonts w:ascii="宋体" w:hAnsi="宋体"/>
              <w:kern w:val="0"/>
              <w:highlight w:val="none"/>
            </w:rPr>
            <w:t xml:space="preserve">2.1 </w:t>
          </w:r>
          <w:r>
            <w:rPr>
              <w:rStyle w:val="15"/>
              <w:rFonts w:hint="eastAsia" w:ascii="宋体" w:hAnsi="宋体"/>
              <w:kern w:val="0"/>
              <w:highlight w:val="none"/>
            </w:rPr>
            <w:t>基金基本情况</w:t>
          </w:r>
          <w:r>
            <w:rPr>
              <w:highlight w:val="none"/>
            </w:rPr>
            <w:tab/>
          </w:r>
          <w:r>
            <w:rPr>
              <w:highlight w:val="none"/>
            </w:rPr>
            <w:fldChar w:fldCharType="begin"/>
          </w:r>
          <w:r>
            <w:rPr>
              <w:highlight w:val="none"/>
            </w:rPr>
            <w:instrText xml:space="preserve"> PAGEREF _Toc491963080 \h </w:instrText>
          </w:r>
          <w:r>
            <w:rPr>
              <w:highlight w:val="none"/>
            </w:rPr>
            <w:fldChar w:fldCharType="separate"/>
          </w:r>
          <w:r>
            <w:rPr>
              <w:highlight w:val="none"/>
            </w:rPr>
            <w:t>1</w:t>
          </w:r>
          <w:r>
            <w:rPr>
              <w:highlight w:val="none"/>
            </w:rPr>
            <w:fldChar w:fldCharType="end"/>
          </w:r>
          <w:r>
            <w:rPr>
              <w:highlight w:val="none"/>
            </w:rPr>
            <w:fldChar w:fldCharType="end"/>
          </w:r>
        </w:p>
        <w:p w14:paraId="6C3CF388">
          <w:pPr>
            <w:pStyle w:val="10"/>
            <w:tabs>
              <w:tab w:val="right" w:leader="dot" w:pos="8296"/>
            </w:tabs>
            <w:rPr>
              <w:rFonts w:asciiTheme="minorHAnsi" w:hAnsiTheme="minorHAnsi" w:eastAsiaTheme="minorEastAsia" w:cstheme="minorBidi"/>
              <w:szCs w:val="22"/>
              <w:highlight w:val="none"/>
            </w:rPr>
          </w:pPr>
          <w:r>
            <w:rPr>
              <w:highlight w:val="none"/>
            </w:rPr>
            <w:fldChar w:fldCharType="begin"/>
          </w:r>
          <w:r>
            <w:rPr>
              <w:highlight w:val="none"/>
            </w:rPr>
            <w:instrText xml:space="preserve"> HYPERLINK \l "_Toc491963081" </w:instrText>
          </w:r>
          <w:r>
            <w:rPr>
              <w:highlight w:val="none"/>
            </w:rPr>
            <w:fldChar w:fldCharType="separate"/>
          </w:r>
          <w:r>
            <w:rPr>
              <w:rStyle w:val="15"/>
              <w:rFonts w:ascii="宋体" w:hAnsi="宋体"/>
              <w:highlight w:val="none"/>
            </w:rPr>
            <w:t xml:space="preserve">2.2 </w:t>
          </w:r>
          <w:r>
            <w:rPr>
              <w:rStyle w:val="15"/>
              <w:rFonts w:hint="eastAsia" w:ascii="宋体" w:hAnsi="宋体"/>
              <w:highlight w:val="none"/>
            </w:rPr>
            <w:t>基金产品说明</w:t>
          </w:r>
          <w:r>
            <w:rPr>
              <w:highlight w:val="none"/>
            </w:rPr>
            <w:tab/>
          </w:r>
          <w:r>
            <w:rPr>
              <w:highlight w:val="none"/>
            </w:rPr>
            <w:fldChar w:fldCharType="begin"/>
          </w:r>
          <w:r>
            <w:rPr>
              <w:highlight w:val="none"/>
            </w:rPr>
            <w:instrText xml:space="preserve"> PAGEREF _Toc491963081 \h </w:instrText>
          </w:r>
          <w:r>
            <w:rPr>
              <w:highlight w:val="none"/>
            </w:rPr>
            <w:fldChar w:fldCharType="separate"/>
          </w:r>
          <w:r>
            <w:rPr>
              <w:highlight w:val="none"/>
            </w:rPr>
            <w:t>2</w:t>
          </w:r>
          <w:r>
            <w:rPr>
              <w:highlight w:val="none"/>
            </w:rPr>
            <w:fldChar w:fldCharType="end"/>
          </w:r>
          <w:r>
            <w:rPr>
              <w:highlight w:val="none"/>
            </w:rPr>
            <w:fldChar w:fldCharType="end"/>
          </w:r>
        </w:p>
        <w:p w14:paraId="4151F185">
          <w:pPr>
            <w:pStyle w:val="9"/>
            <w:tabs>
              <w:tab w:val="right" w:leader="dot" w:pos="8296"/>
            </w:tabs>
            <w:rPr>
              <w:rFonts w:asciiTheme="minorHAnsi" w:hAnsiTheme="minorHAnsi" w:eastAsiaTheme="minorEastAsia" w:cstheme="minorBidi"/>
              <w:szCs w:val="22"/>
              <w:highlight w:val="none"/>
            </w:rPr>
          </w:pPr>
          <w:r>
            <w:rPr>
              <w:highlight w:val="none"/>
            </w:rPr>
            <w:fldChar w:fldCharType="begin"/>
          </w:r>
          <w:r>
            <w:rPr>
              <w:highlight w:val="none"/>
            </w:rPr>
            <w:instrText xml:space="preserve"> HYPERLINK \l "_Toc491963082" </w:instrText>
          </w:r>
          <w:r>
            <w:rPr>
              <w:highlight w:val="none"/>
            </w:rPr>
            <w:fldChar w:fldCharType="separate"/>
          </w:r>
          <w:r>
            <w:rPr>
              <w:rStyle w:val="15"/>
              <w:rFonts w:ascii="宋体" w:hAnsi="宋体"/>
              <w:b/>
              <w:highlight w:val="none"/>
            </w:rPr>
            <w:t>3</w:t>
          </w:r>
          <w:r>
            <w:rPr>
              <w:rStyle w:val="15"/>
              <w:rFonts w:hint="eastAsia" w:ascii="宋体" w:hAnsi="宋体"/>
              <w:b/>
              <w:highlight w:val="none"/>
            </w:rPr>
            <w:t>、基金运作情况说明</w:t>
          </w:r>
          <w:r>
            <w:rPr>
              <w:highlight w:val="none"/>
            </w:rPr>
            <w:tab/>
          </w:r>
          <w:r>
            <w:rPr>
              <w:highlight w:val="none"/>
            </w:rPr>
            <w:fldChar w:fldCharType="begin"/>
          </w:r>
          <w:r>
            <w:rPr>
              <w:highlight w:val="none"/>
            </w:rPr>
            <w:instrText xml:space="preserve"> PAGEREF _Toc491963082 \h </w:instrText>
          </w:r>
          <w:r>
            <w:rPr>
              <w:highlight w:val="none"/>
            </w:rPr>
            <w:fldChar w:fldCharType="separate"/>
          </w:r>
          <w:r>
            <w:rPr>
              <w:highlight w:val="none"/>
            </w:rPr>
            <w:t>2</w:t>
          </w:r>
          <w:r>
            <w:rPr>
              <w:highlight w:val="none"/>
            </w:rPr>
            <w:fldChar w:fldCharType="end"/>
          </w:r>
          <w:r>
            <w:rPr>
              <w:highlight w:val="none"/>
            </w:rPr>
            <w:fldChar w:fldCharType="end"/>
          </w:r>
        </w:p>
        <w:p w14:paraId="45E25940">
          <w:pPr>
            <w:pStyle w:val="9"/>
            <w:tabs>
              <w:tab w:val="right" w:leader="dot" w:pos="8296"/>
            </w:tabs>
            <w:rPr>
              <w:rFonts w:asciiTheme="minorHAnsi" w:hAnsiTheme="minorHAnsi" w:eastAsiaTheme="minorEastAsia" w:cstheme="minorBidi"/>
              <w:szCs w:val="22"/>
              <w:highlight w:val="none"/>
            </w:rPr>
          </w:pPr>
          <w:r>
            <w:rPr>
              <w:highlight w:val="none"/>
            </w:rPr>
            <w:fldChar w:fldCharType="begin"/>
          </w:r>
          <w:r>
            <w:rPr>
              <w:highlight w:val="none"/>
            </w:rPr>
            <w:instrText xml:space="preserve"> HYPERLINK \l "_Toc491963083" </w:instrText>
          </w:r>
          <w:r>
            <w:rPr>
              <w:highlight w:val="none"/>
            </w:rPr>
            <w:fldChar w:fldCharType="separate"/>
          </w:r>
          <w:r>
            <w:rPr>
              <w:rStyle w:val="15"/>
              <w:rFonts w:ascii="宋体" w:hAnsi="宋体"/>
              <w:b/>
              <w:highlight w:val="none"/>
            </w:rPr>
            <w:t>4</w:t>
          </w:r>
          <w:r>
            <w:rPr>
              <w:rStyle w:val="15"/>
              <w:rFonts w:hint="eastAsia" w:ascii="宋体" w:hAnsi="宋体"/>
              <w:b/>
              <w:highlight w:val="none"/>
            </w:rPr>
            <w:t>、财务报告</w:t>
          </w:r>
          <w:r>
            <w:rPr>
              <w:highlight w:val="none"/>
            </w:rPr>
            <w:tab/>
          </w:r>
          <w:r>
            <w:rPr>
              <w:highlight w:val="none"/>
            </w:rPr>
            <w:fldChar w:fldCharType="begin"/>
          </w:r>
          <w:r>
            <w:rPr>
              <w:highlight w:val="none"/>
            </w:rPr>
            <w:instrText xml:space="preserve"> PAGEREF _Toc491963083 \h </w:instrText>
          </w:r>
          <w:r>
            <w:rPr>
              <w:highlight w:val="none"/>
            </w:rPr>
            <w:fldChar w:fldCharType="separate"/>
          </w:r>
          <w:r>
            <w:rPr>
              <w:highlight w:val="none"/>
            </w:rPr>
            <w:t>2</w:t>
          </w:r>
          <w:r>
            <w:rPr>
              <w:highlight w:val="none"/>
            </w:rPr>
            <w:fldChar w:fldCharType="end"/>
          </w:r>
          <w:r>
            <w:rPr>
              <w:highlight w:val="none"/>
            </w:rPr>
            <w:fldChar w:fldCharType="end"/>
          </w:r>
        </w:p>
        <w:p w14:paraId="5CD16FC8">
          <w:pPr>
            <w:pStyle w:val="10"/>
            <w:tabs>
              <w:tab w:val="right" w:leader="dot" w:pos="8296"/>
            </w:tabs>
            <w:rPr>
              <w:rFonts w:asciiTheme="minorHAnsi" w:hAnsiTheme="minorHAnsi" w:eastAsiaTheme="minorEastAsia" w:cstheme="minorBidi"/>
              <w:szCs w:val="22"/>
              <w:highlight w:val="none"/>
            </w:rPr>
          </w:pPr>
          <w:r>
            <w:rPr>
              <w:highlight w:val="none"/>
            </w:rPr>
            <w:fldChar w:fldCharType="begin"/>
          </w:r>
          <w:r>
            <w:rPr>
              <w:highlight w:val="none"/>
            </w:rPr>
            <w:instrText xml:space="preserve"> HYPERLINK \l "_Toc491963084" </w:instrText>
          </w:r>
          <w:r>
            <w:rPr>
              <w:highlight w:val="none"/>
            </w:rPr>
            <w:fldChar w:fldCharType="separate"/>
          </w:r>
          <w:r>
            <w:rPr>
              <w:rStyle w:val="15"/>
              <w:rFonts w:ascii="宋体" w:hAnsi="宋体"/>
              <w:kern w:val="0"/>
              <w:highlight w:val="none"/>
            </w:rPr>
            <w:t xml:space="preserve">4.1 </w:t>
          </w:r>
          <w:r>
            <w:rPr>
              <w:rStyle w:val="15"/>
              <w:rFonts w:hint="eastAsia" w:ascii="宋体" w:hAnsi="宋体"/>
              <w:kern w:val="0"/>
              <w:highlight w:val="none"/>
            </w:rPr>
            <w:t>资产负债表</w:t>
          </w:r>
          <w:r>
            <w:rPr>
              <w:highlight w:val="none"/>
            </w:rPr>
            <w:tab/>
          </w:r>
          <w:r>
            <w:rPr>
              <w:highlight w:val="none"/>
            </w:rPr>
            <w:fldChar w:fldCharType="begin"/>
          </w:r>
          <w:r>
            <w:rPr>
              <w:highlight w:val="none"/>
            </w:rPr>
            <w:instrText xml:space="preserve"> PAGEREF _Toc491963084 \h </w:instrText>
          </w:r>
          <w:r>
            <w:rPr>
              <w:highlight w:val="none"/>
            </w:rPr>
            <w:fldChar w:fldCharType="separate"/>
          </w:r>
          <w:r>
            <w:rPr>
              <w:highlight w:val="none"/>
            </w:rPr>
            <w:t>3</w:t>
          </w:r>
          <w:r>
            <w:rPr>
              <w:highlight w:val="none"/>
            </w:rPr>
            <w:fldChar w:fldCharType="end"/>
          </w:r>
          <w:r>
            <w:rPr>
              <w:highlight w:val="none"/>
            </w:rPr>
            <w:fldChar w:fldCharType="end"/>
          </w:r>
        </w:p>
        <w:p w14:paraId="3B5B0A7E">
          <w:pPr>
            <w:pStyle w:val="10"/>
            <w:tabs>
              <w:tab w:val="right" w:leader="dot" w:pos="8296"/>
            </w:tabs>
            <w:rPr>
              <w:rFonts w:asciiTheme="minorHAnsi" w:hAnsiTheme="minorHAnsi" w:eastAsiaTheme="minorEastAsia" w:cstheme="minorBidi"/>
              <w:szCs w:val="22"/>
              <w:highlight w:val="none"/>
            </w:rPr>
          </w:pPr>
          <w:r>
            <w:rPr>
              <w:highlight w:val="none"/>
            </w:rPr>
            <w:fldChar w:fldCharType="begin"/>
          </w:r>
          <w:r>
            <w:rPr>
              <w:highlight w:val="none"/>
            </w:rPr>
            <w:instrText xml:space="preserve"> HYPERLINK \l "_Toc491963085" </w:instrText>
          </w:r>
          <w:r>
            <w:rPr>
              <w:highlight w:val="none"/>
            </w:rPr>
            <w:fldChar w:fldCharType="separate"/>
          </w:r>
          <w:r>
            <w:rPr>
              <w:rStyle w:val="15"/>
              <w:rFonts w:ascii="宋体" w:hAnsi="宋体"/>
              <w:kern w:val="0"/>
              <w:highlight w:val="none"/>
            </w:rPr>
            <w:t xml:space="preserve">4.2 </w:t>
          </w:r>
          <w:r>
            <w:rPr>
              <w:rStyle w:val="15"/>
              <w:rFonts w:hint="eastAsia" w:ascii="宋体" w:hAnsi="宋体"/>
              <w:kern w:val="0"/>
              <w:highlight w:val="none"/>
            </w:rPr>
            <w:t>清算损益表</w:t>
          </w:r>
          <w:r>
            <w:rPr>
              <w:highlight w:val="none"/>
            </w:rPr>
            <w:tab/>
          </w:r>
          <w:r>
            <w:rPr>
              <w:highlight w:val="none"/>
            </w:rPr>
            <w:fldChar w:fldCharType="begin"/>
          </w:r>
          <w:r>
            <w:rPr>
              <w:highlight w:val="none"/>
            </w:rPr>
            <w:instrText xml:space="preserve"> PAGEREF _Toc491963085 \h </w:instrText>
          </w:r>
          <w:r>
            <w:rPr>
              <w:highlight w:val="none"/>
            </w:rPr>
            <w:fldChar w:fldCharType="separate"/>
          </w:r>
          <w:r>
            <w:rPr>
              <w:highlight w:val="none"/>
            </w:rPr>
            <w:t>3</w:t>
          </w:r>
          <w:r>
            <w:rPr>
              <w:highlight w:val="none"/>
            </w:rPr>
            <w:fldChar w:fldCharType="end"/>
          </w:r>
          <w:r>
            <w:rPr>
              <w:highlight w:val="none"/>
            </w:rPr>
            <w:fldChar w:fldCharType="end"/>
          </w:r>
        </w:p>
        <w:p w14:paraId="79091104">
          <w:pPr>
            <w:pStyle w:val="10"/>
            <w:tabs>
              <w:tab w:val="right" w:leader="dot" w:pos="8296"/>
            </w:tabs>
            <w:rPr>
              <w:rFonts w:asciiTheme="minorHAnsi" w:hAnsiTheme="minorHAnsi" w:eastAsiaTheme="minorEastAsia" w:cstheme="minorBidi"/>
              <w:szCs w:val="22"/>
              <w:highlight w:val="none"/>
            </w:rPr>
          </w:pPr>
          <w:r>
            <w:rPr>
              <w:highlight w:val="none"/>
            </w:rPr>
            <w:fldChar w:fldCharType="begin"/>
          </w:r>
          <w:r>
            <w:rPr>
              <w:highlight w:val="none"/>
            </w:rPr>
            <w:instrText xml:space="preserve"> HYPERLINK \l "_Toc491963086" </w:instrText>
          </w:r>
          <w:r>
            <w:rPr>
              <w:highlight w:val="none"/>
            </w:rPr>
            <w:fldChar w:fldCharType="separate"/>
          </w:r>
          <w:r>
            <w:rPr>
              <w:rStyle w:val="15"/>
              <w:rFonts w:ascii="宋体" w:hAnsi="宋体"/>
              <w:kern w:val="0"/>
              <w:highlight w:val="none"/>
            </w:rPr>
            <w:t xml:space="preserve">4.3 </w:t>
          </w:r>
          <w:r>
            <w:rPr>
              <w:rStyle w:val="15"/>
              <w:rFonts w:hint="eastAsia" w:ascii="宋体" w:hAnsi="宋体"/>
              <w:kern w:val="0"/>
              <w:highlight w:val="none"/>
            </w:rPr>
            <w:t>报表附注</w:t>
          </w:r>
          <w:r>
            <w:rPr>
              <w:highlight w:val="none"/>
            </w:rPr>
            <w:tab/>
          </w:r>
          <w:r>
            <w:rPr>
              <w:highlight w:val="none"/>
            </w:rPr>
            <w:fldChar w:fldCharType="begin"/>
          </w:r>
          <w:r>
            <w:rPr>
              <w:highlight w:val="none"/>
            </w:rPr>
            <w:instrText xml:space="preserve"> PAGEREF _Toc491963086 \h </w:instrText>
          </w:r>
          <w:r>
            <w:rPr>
              <w:highlight w:val="none"/>
            </w:rPr>
            <w:fldChar w:fldCharType="separate"/>
          </w:r>
          <w:r>
            <w:rPr>
              <w:highlight w:val="none"/>
            </w:rPr>
            <w:t>4</w:t>
          </w:r>
          <w:r>
            <w:rPr>
              <w:highlight w:val="none"/>
            </w:rPr>
            <w:fldChar w:fldCharType="end"/>
          </w:r>
          <w:r>
            <w:rPr>
              <w:highlight w:val="none"/>
            </w:rPr>
            <w:fldChar w:fldCharType="end"/>
          </w:r>
        </w:p>
        <w:p w14:paraId="37920334">
          <w:pPr>
            <w:pStyle w:val="9"/>
            <w:tabs>
              <w:tab w:val="right" w:leader="dot" w:pos="8296"/>
            </w:tabs>
            <w:rPr>
              <w:rFonts w:asciiTheme="minorHAnsi" w:hAnsiTheme="minorHAnsi" w:eastAsiaTheme="minorEastAsia" w:cstheme="minorBidi"/>
              <w:szCs w:val="22"/>
              <w:highlight w:val="none"/>
            </w:rPr>
          </w:pPr>
          <w:r>
            <w:rPr>
              <w:highlight w:val="none"/>
            </w:rPr>
            <w:fldChar w:fldCharType="begin"/>
          </w:r>
          <w:r>
            <w:rPr>
              <w:highlight w:val="none"/>
            </w:rPr>
            <w:instrText xml:space="preserve"> HYPERLINK \l "_Toc491963087" </w:instrText>
          </w:r>
          <w:r>
            <w:rPr>
              <w:highlight w:val="none"/>
            </w:rPr>
            <w:fldChar w:fldCharType="separate"/>
          </w:r>
          <w:r>
            <w:rPr>
              <w:rStyle w:val="15"/>
              <w:rFonts w:ascii="宋体" w:hAnsi="宋体"/>
              <w:b/>
              <w:highlight w:val="none"/>
            </w:rPr>
            <w:t>5</w:t>
          </w:r>
          <w:r>
            <w:rPr>
              <w:rStyle w:val="15"/>
              <w:rFonts w:hint="eastAsia" w:ascii="宋体" w:hAnsi="宋体"/>
              <w:b/>
              <w:highlight w:val="none"/>
            </w:rPr>
            <w:t>、清算情况</w:t>
          </w:r>
          <w:r>
            <w:rPr>
              <w:highlight w:val="none"/>
            </w:rPr>
            <w:tab/>
          </w:r>
          <w:r>
            <w:rPr>
              <w:highlight w:val="none"/>
            </w:rPr>
            <w:fldChar w:fldCharType="begin"/>
          </w:r>
          <w:r>
            <w:rPr>
              <w:highlight w:val="none"/>
            </w:rPr>
            <w:instrText xml:space="preserve"> PAGEREF _Toc491963087 \h </w:instrText>
          </w:r>
          <w:r>
            <w:rPr>
              <w:highlight w:val="none"/>
            </w:rPr>
            <w:fldChar w:fldCharType="separate"/>
          </w:r>
          <w:r>
            <w:rPr>
              <w:highlight w:val="none"/>
            </w:rPr>
            <w:t>7</w:t>
          </w:r>
          <w:r>
            <w:rPr>
              <w:highlight w:val="none"/>
            </w:rPr>
            <w:fldChar w:fldCharType="end"/>
          </w:r>
          <w:r>
            <w:rPr>
              <w:highlight w:val="none"/>
            </w:rPr>
            <w:fldChar w:fldCharType="end"/>
          </w:r>
        </w:p>
        <w:p w14:paraId="45D05677">
          <w:pPr>
            <w:pStyle w:val="10"/>
            <w:tabs>
              <w:tab w:val="right" w:leader="dot" w:pos="8296"/>
            </w:tabs>
            <w:rPr>
              <w:rFonts w:asciiTheme="minorHAnsi" w:hAnsiTheme="minorHAnsi" w:eastAsiaTheme="minorEastAsia" w:cstheme="minorBidi"/>
              <w:szCs w:val="22"/>
              <w:highlight w:val="none"/>
            </w:rPr>
          </w:pPr>
          <w:r>
            <w:rPr>
              <w:highlight w:val="none"/>
            </w:rPr>
            <w:fldChar w:fldCharType="begin"/>
          </w:r>
          <w:r>
            <w:rPr>
              <w:highlight w:val="none"/>
            </w:rPr>
            <w:instrText xml:space="preserve"> HYPERLINK \l "_Toc491963088" </w:instrText>
          </w:r>
          <w:r>
            <w:rPr>
              <w:highlight w:val="none"/>
            </w:rPr>
            <w:fldChar w:fldCharType="separate"/>
          </w:r>
          <w:r>
            <w:rPr>
              <w:rStyle w:val="15"/>
              <w:rFonts w:ascii="宋体" w:hAnsi="宋体"/>
              <w:kern w:val="0"/>
              <w:highlight w:val="none"/>
            </w:rPr>
            <w:t xml:space="preserve">5.1 </w:t>
          </w:r>
          <w:r>
            <w:rPr>
              <w:rStyle w:val="15"/>
              <w:rFonts w:hint="eastAsia" w:ascii="宋体" w:hAnsi="宋体"/>
              <w:kern w:val="0"/>
              <w:highlight w:val="none"/>
            </w:rPr>
            <w:t>资产负债清算情况</w:t>
          </w:r>
          <w:r>
            <w:rPr>
              <w:highlight w:val="none"/>
            </w:rPr>
            <w:tab/>
          </w:r>
          <w:r>
            <w:rPr>
              <w:highlight w:val="none"/>
            </w:rPr>
            <w:fldChar w:fldCharType="begin"/>
          </w:r>
          <w:r>
            <w:rPr>
              <w:highlight w:val="none"/>
            </w:rPr>
            <w:instrText xml:space="preserve"> PAGEREF _Toc491963088 \h </w:instrText>
          </w:r>
          <w:r>
            <w:rPr>
              <w:highlight w:val="none"/>
            </w:rPr>
            <w:fldChar w:fldCharType="separate"/>
          </w:r>
          <w:r>
            <w:rPr>
              <w:highlight w:val="none"/>
            </w:rPr>
            <w:t>8</w:t>
          </w:r>
          <w:r>
            <w:rPr>
              <w:highlight w:val="none"/>
            </w:rPr>
            <w:fldChar w:fldCharType="end"/>
          </w:r>
          <w:r>
            <w:rPr>
              <w:highlight w:val="none"/>
            </w:rPr>
            <w:fldChar w:fldCharType="end"/>
          </w:r>
        </w:p>
        <w:p w14:paraId="441816EF">
          <w:pPr>
            <w:pStyle w:val="10"/>
            <w:tabs>
              <w:tab w:val="right" w:leader="dot" w:pos="8296"/>
            </w:tabs>
            <w:rPr>
              <w:rFonts w:asciiTheme="minorHAnsi" w:hAnsiTheme="minorHAnsi" w:eastAsiaTheme="minorEastAsia" w:cstheme="minorBidi"/>
              <w:szCs w:val="22"/>
              <w:highlight w:val="none"/>
            </w:rPr>
          </w:pPr>
          <w:r>
            <w:rPr>
              <w:highlight w:val="none"/>
            </w:rPr>
            <w:fldChar w:fldCharType="begin"/>
          </w:r>
          <w:r>
            <w:rPr>
              <w:highlight w:val="none"/>
            </w:rPr>
            <w:instrText xml:space="preserve"> HYPERLINK \l "_Toc491963089" </w:instrText>
          </w:r>
          <w:r>
            <w:rPr>
              <w:highlight w:val="none"/>
            </w:rPr>
            <w:fldChar w:fldCharType="separate"/>
          </w:r>
          <w:r>
            <w:rPr>
              <w:rStyle w:val="15"/>
              <w:rFonts w:ascii="宋体" w:hAnsi="宋体"/>
              <w:kern w:val="0"/>
              <w:highlight w:val="none"/>
            </w:rPr>
            <w:t xml:space="preserve">5.2 </w:t>
          </w:r>
          <w:r>
            <w:rPr>
              <w:rStyle w:val="15"/>
              <w:rFonts w:hint="eastAsia" w:ascii="宋体" w:hAnsi="宋体"/>
              <w:kern w:val="0"/>
              <w:highlight w:val="none"/>
            </w:rPr>
            <w:t>截至本次清算期结束日的剩余财产情况及剩余财产分配安排</w:t>
          </w:r>
          <w:r>
            <w:rPr>
              <w:highlight w:val="none"/>
            </w:rPr>
            <w:tab/>
          </w:r>
          <w:r>
            <w:rPr>
              <w:highlight w:val="none"/>
            </w:rPr>
            <w:fldChar w:fldCharType="begin"/>
          </w:r>
          <w:r>
            <w:rPr>
              <w:highlight w:val="none"/>
            </w:rPr>
            <w:instrText xml:space="preserve"> PAGEREF _Toc491963089 \h </w:instrText>
          </w:r>
          <w:r>
            <w:rPr>
              <w:highlight w:val="none"/>
            </w:rPr>
            <w:fldChar w:fldCharType="separate"/>
          </w:r>
          <w:r>
            <w:rPr>
              <w:highlight w:val="none"/>
            </w:rPr>
            <w:t>9</w:t>
          </w:r>
          <w:r>
            <w:rPr>
              <w:highlight w:val="none"/>
            </w:rPr>
            <w:fldChar w:fldCharType="end"/>
          </w:r>
          <w:r>
            <w:rPr>
              <w:highlight w:val="none"/>
            </w:rPr>
            <w:fldChar w:fldCharType="end"/>
          </w:r>
        </w:p>
        <w:p w14:paraId="65B8E052">
          <w:pPr>
            <w:pStyle w:val="9"/>
            <w:tabs>
              <w:tab w:val="right" w:leader="dot" w:pos="8296"/>
            </w:tabs>
            <w:rPr>
              <w:rFonts w:asciiTheme="minorHAnsi" w:hAnsiTheme="minorHAnsi" w:eastAsiaTheme="minorEastAsia" w:cstheme="minorBidi"/>
              <w:szCs w:val="22"/>
              <w:highlight w:val="none"/>
            </w:rPr>
          </w:pPr>
          <w:r>
            <w:rPr>
              <w:highlight w:val="none"/>
            </w:rPr>
            <w:fldChar w:fldCharType="begin"/>
          </w:r>
          <w:r>
            <w:rPr>
              <w:highlight w:val="none"/>
            </w:rPr>
            <w:instrText xml:space="preserve"> HYPERLINK \l "_Toc491963090" </w:instrText>
          </w:r>
          <w:r>
            <w:rPr>
              <w:highlight w:val="none"/>
            </w:rPr>
            <w:fldChar w:fldCharType="separate"/>
          </w:r>
          <w:r>
            <w:rPr>
              <w:rStyle w:val="15"/>
              <w:rFonts w:ascii="宋体" w:hAnsi="宋体"/>
              <w:b/>
              <w:highlight w:val="none"/>
            </w:rPr>
            <w:t>6</w:t>
          </w:r>
          <w:r>
            <w:rPr>
              <w:rStyle w:val="15"/>
              <w:rFonts w:hint="eastAsia" w:ascii="宋体" w:hAnsi="宋体"/>
              <w:b/>
              <w:highlight w:val="none"/>
            </w:rPr>
            <w:t>、备查文件目录</w:t>
          </w:r>
          <w:r>
            <w:rPr>
              <w:highlight w:val="none"/>
            </w:rPr>
            <w:tab/>
          </w:r>
          <w:r>
            <w:rPr>
              <w:highlight w:val="none"/>
            </w:rPr>
            <w:fldChar w:fldCharType="begin"/>
          </w:r>
          <w:r>
            <w:rPr>
              <w:highlight w:val="none"/>
            </w:rPr>
            <w:instrText xml:space="preserve"> PAGEREF _Toc491963090 \h </w:instrText>
          </w:r>
          <w:r>
            <w:rPr>
              <w:highlight w:val="none"/>
            </w:rPr>
            <w:fldChar w:fldCharType="separate"/>
          </w:r>
          <w:r>
            <w:rPr>
              <w:highlight w:val="none"/>
            </w:rPr>
            <w:t>9</w:t>
          </w:r>
          <w:r>
            <w:rPr>
              <w:highlight w:val="none"/>
            </w:rPr>
            <w:fldChar w:fldCharType="end"/>
          </w:r>
          <w:r>
            <w:rPr>
              <w:highlight w:val="none"/>
            </w:rPr>
            <w:fldChar w:fldCharType="end"/>
          </w:r>
        </w:p>
        <w:p w14:paraId="32EC15A7">
          <w:pPr>
            <w:pStyle w:val="10"/>
            <w:tabs>
              <w:tab w:val="right" w:leader="dot" w:pos="8296"/>
            </w:tabs>
            <w:rPr>
              <w:rFonts w:asciiTheme="minorHAnsi" w:hAnsiTheme="minorHAnsi" w:eastAsiaTheme="minorEastAsia" w:cstheme="minorBidi"/>
              <w:szCs w:val="22"/>
              <w:highlight w:val="none"/>
            </w:rPr>
          </w:pPr>
          <w:r>
            <w:rPr>
              <w:highlight w:val="none"/>
            </w:rPr>
            <w:fldChar w:fldCharType="begin"/>
          </w:r>
          <w:r>
            <w:rPr>
              <w:highlight w:val="none"/>
            </w:rPr>
            <w:instrText xml:space="preserve"> HYPERLINK \l "_Toc491963091" </w:instrText>
          </w:r>
          <w:r>
            <w:rPr>
              <w:highlight w:val="none"/>
            </w:rPr>
            <w:fldChar w:fldCharType="separate"/>
          </w:r>
          <w:r>
            <w:rPr>
              <w:rStyle w:val="15"/>
              <w:rFonts w:ascii="宋体" w:hAnsi="宋体"/>
              <w:kern w:val="0"/>
              <w:highlight w:val="none"/>
            </w:rPr>
            <w:t xml:space="preserve">6.1 </w:t>
          </w:r>
          <w:r>
            <w:rPr>
              <w:rStyle w:val="15"/>
              <w:rFonts w:hint="eastAsia" w:ascii="宋体" w:hAnsi="宋体"/>
              <w:kern w:val="0"/>
              <w:highlight w:val="none"/>
            </w:rPr>
            <w:t>备查文件目录</w:t>
          </w:r>
          <w:r>
            <w:rPr>
              <w:highlight w:val="none"/>
            </w:rPr>
            <w:tab/>
          </w:r>
          <w:r>
            <w:rPr>
              <w:highlight w:val="none"/>
            </w:rPr>
            <w:fldChar w:fldCharType="begin"/>
          </w:r>
          <w:r>
            <w:rPr>
              <w:highlight w:val="none"/>
            </w:rPr>
            <w:instrText xml:space="preserve"> PAGEREF _Toc491963091 \h </w:instrText>
          </w:r>
          <w:r>
            <w:rPr>
              <w:highlight w:val="none"/>
            </w:rPr>
            <w:fldChar w:fldCharType="separate"/>
          </w:r>
          <w:r>
            <w:rPr>
              <w:highlight w:val="none"/>
            </w:rPr>
            <w:t>9</w:t>
          </w:r>
          <w:r>
            <w:rPr>
              <w:highlight w:val="none"/>
            </w:rPr>
            <w:fldChar w:fldCharType="end"/>
          </w:r>
          <w:r>
            <w:rPr>
              <w:highlight w:val="none"/>
            </w:rPr>
            <w:fldChar w:fldCharType="end"/>
          </w:r>
        </w:p>
        <w:p w14:paraId="33C28AC7">
          <w:pPr>
            <w:pStyle w:val="10"/>
            <w:tabs>
              <w:tab w:val="right" w:leader="dot" w:pos="8296"/>
            </w:tabs>
            <w:rPr>
              <w:rFonts w:asciiTheme="minorHAnsi" w:hAnsiTheme="minorHAnsi" w:eastAsiaTheme="minorEastAsia" w:cstheme="minorBidi"/>
              <w:szCs w:val="22"/>
              <w:highlight w:val="none"/>
            </w:rPr>
          </w:pPr>
          <w:r>
            <w:rPr>
              <w:highlight w:val="none"/>
            </w:rPr>
            <w:fldChar w:fldCharType="begin"/>
          </w:r>
          <w:r>
            <w:rPr>
              <w:highlight w:val="none"/>
            </w:rPr>
            <w:instrText xml:space="preserve"> HYPERLINK \l "_Toc491963092" </w:instrText>
          </w:r>
          <w:r>
            <w:rPr>
              <w:highlight w:val="none"/>
            </w:rPr>
            <w:fldChar w:fldCharType="separate"/>
          </w:r>
          <w:r>
            <w:rPr>
              <w:rStyle w:val="15"/>
              <w:rFonts w:ascii="宋体" w:hAnsi="宋体"/>
              <w:kern w:val="0"/>
              <w:highlight w:val="none"/>
            </w:rPr>
            <w:t xml:space="preserve">6.2 </w:t>
          </w:r>
          <w:r>
            <w:rPr>
              <w:rStyle w:val="15"/>
              <w:rFonts w:hint="eastAsia" w:ascii="宋体" w:hAnsi="宋体"/>
              <w:kern w:val="0"/>
              <w:highlight w:val="none"/>
            </w:rPr>
            <w:t>存放地点</w:t>
          </w:r>
          <w:r>
            <w:rPr>
              <w:highlight w:val="none"/>
            </w:rPr>
            <w:tab/>
          </w:r>
          <w:r>
            <w:rPr>
              <w:highlight w:val="none"/>
            </w:rPr>
            <w:fldChar w:fldCharType="begin"/>
          </w:r>
          <w:r>
            <w:rPr>
              <w:highlight w:val="none"/>
            </w:rPr>
            <w:instrText xml:space="preserve"> PAGEREF _Toc491963092 \h </w:instrText>
          </w:r>
          <w:r>
            <w:rPr>
              <w:highlight w:val="none"/>
            </w:rPr>
            <w:fldChar w:fldCharType="separate"/>
          </w:r>
          <w:r>
            <w:rPr>
              <w:highlight w:val="none"/>
            </w:rPr>
            <w:t>9</w:t>
          </w:r>
          <w:r>
            <w:rPr>
              <w:highlight w:val="none"/>
            </w:rPr>
            <w:fldChar w:fldCharType="end"/>
          </w:r>
          <w:r>
            <w:rPr>
              <w:highlight w:val="none"/>
            </w:rPr>
            <w:fldChar w:fldCharType="end"/>
          </w:r>
        </w:p>
        <w:p w14:paraId="09E23024">
          <w:pPr>
            <w:pStyle w:val="10"/>
            <w:tabs>
              <w:tab w:val="right" w:leader="dot" w:pos="8296"/>
            </w:tabs>
            <w:rPr>
              <w:rFonts w:asciiTheme="minorHAnsi" w:hAnsiTheme="minorHAnsi" w:eastAsiaTheme="minorEastAsia" w:cstheme="minorBidi"/>
              <w:szCs w:val="22"/>
              <w:highlight w:val="none"/>
            </w:rPr>
          </w:pPr>
          <w:r>
            <w:rPr>
              <w:highlight w:val="none"/>
            </w:rPr>
            <w:fldChar w:fldCharType="begin"/>
          </w:r>
          <w:r>
            <w:rPr>
              <w:highlight w:val="none"/>
            </w:rPr>
            <w:instrText xml:space="preserve"> HYPERLINK \l "_Toc491963093" </w:instrText>
          </w:r>
          <w:r>
            <w:rPr>
              <w:highlight w:val="none"/>
            </w:rPr>
            <w:fldChar w:fldCharType="separate"/>
          </w:r>
          <w:r>
            <w:rPr>
              <w:rStyle w:val="15"/>
              <w:rFonts w:ascii="宋体" w:hAnsi="宋体"/>
              <w:kern w:val="0"/>
              <w:highlight w:val="none"/>
            </w:rPr>
            <w:t xml:space="preserve">6.3 </w:t>
          </w:r>
          <w:r>
            <w:rPr>
              <w:rStyle w:val="15"/>
              <w:rFonts w:hint="eastAsia" w:ascii="宋体" w:hAnsi="宋体"/>
              <w:kern w:val="0"/>
              <w:highlight w:val="none"/>
            </w:rPr>
            <w:t>查阅方式</w:t>
          </w:r>
          <w:r>
            <w:rPr>
              <w:highlight w:val="none"/>
            </w:rPr>
            <w:tab/>
          </w:r>
          <w:r>
            <w:rPr>
              <w:highlight w:val="none"/>
            </w:rPr>
            <w:fldChar w:fldCharType="begin"/>
          </w:r>
          <w:r>
            <w:rPr>
              <w:highlight w:val="none"/>
            </w:rPr>
            <w:instrText xml:space="preserve"> PAGEREF _Toc491963093 \h </w:instrText>
          </w:r>
          <w:r>
            <w:rPr>
              <w:highlight w:val="none"/>
            </w:rPr>
            <w:fldChar w:fldCharType="separate"/>
          </w:r>
          <w:r>
            <w:rPr>
              <w:highlight w:val="none"/>
            </w:rPr>
            <w:t>9</w:t>
          </w:r>
          <w:r>
            <w:rPr>
              <w:highlight w:val="none"/>
            </w:rPr>
            <w:fldChar w:fldCharType="end"/>
          </w:r>
          <w:r>
            <w:rPr>
              <w:highlight w:val="none"/>
            </w:rPr>
            <w:fldChar w:fldCharType="end"/>
          </w:r>
        </w:p>
        <w:p w14:paraId="6FB479EF">
          <w:pPr>
            <w:rPr>
              <w:rStyle w:val="20"/>
              <w:rFonts w:ascii="宋体" w:hAnsi="宋体"/>
              <w:highlight w:val="yellow"/>
            </w:rPr>
          </w:pPr>
          <w:r>
            <w:rPr>
              <w:b/>
              <w:bCs/>
              <w:highlight w:val="none"/>
              <w:lang w:val="zh-CN"/>
            </w:rPr>
            <w:fldChar w:fldCharType="end"/>
          </w:r>
          <w:bookmarkStart w:id="3" w:name="_Toc491963077"/>
        </w:p>
      </w:sdtContent>
    </w:sdt>
    <w:p w14:paraId="2C8351C7">
      <w:pPr>
        <w:widowControl/>
        <w:jc w:val="center"/>
        <w:rPr>
          <w:rStyle w:val="20"/>
          <w:rFonts w:ascii="宋体" w:hAnsi="宋体"/>
          <w:highlight w:val="yellow"/>
        </w:rPr>
        <w:sectPr>
          <w:headerReference r:id="rId5" w:type="default"/>
          <w:pgSz w:w="11906" w:h="16838"/>
          <w:pgMar w:top="1440" w:right="1800" w:bottom="1440" w:left="1800" w:header="851" w:footer="992" w:gutter="0"/>
          <w:pgNumType w:start="1"/>
          <w:cols w:space="425" w:num="1"/>
          <w:docGrid w:type="lines" w:linePitch="312" w:charSpace="0"/>
        </w:sectPr>
      </w:pPr>
    </w:p>
    <w:p w14:paraId="6BBBF9AB">
      <w:pPr>
        <w:widowControl/>
        <w:jc w:val="center"/>
        <w:rPr>
          <w:rStyle w:val="20"/>
          <w:rFonts w:ascii="宋体" w:hAnsi="宋体"/>
          <w:highlight w:val="none"/>
        </w:rPr>
      </w:pPr>
      <w:r>
        <w:rPr>
          <w:rStyle w:val="20"/>
          <w:rFonts w:hint="eastAsia" w:ascii="宋体" w:hAnsi="宋体"/>
          <w:highlight w:val="none"/>
        </w:rPr>
        <w:t>1、重要提示</w:t>
      </w:r>
      <w:bookmarkEnd w:id="2"/>
      <w:bookmarkEnd w:id="3"/>
    </w:p>
    <w:p w14:paraId="25D3A2EE">
      <w:pPr>
        <w:pStyle w:val="3"/>
        <w:spacing w:before="0" w:after="0"/>
        <w:rPr>
          <w:rFonts w:ascii="宋体" w:hAnsi="宋体" w:eastAsia="宋体"/>
          <w:kern w:val="0"/>
          <w:sz w:val="21"/>
          <w:szCs w:val="21"/>
          <w:highlight w:val="none"/>
        </w:rPr>
      </w:pPr>
      <w:bookmarkStart w:id="4" w:name="_Toc484769795"/>
      <w:bookmarkStart w:id="5" w:name="_Toc483396827"/>
      <w:bookmarkStart w:id="6" w:name="_Toc491963078"/>
      <w:bookmarkStart w:id="7" w:name="_Toc484607300"/>
      <w:r>
        <w:rPr>
          <w:rFonts w:hint="eastAsia" w:ascii="宋体" w:hAnsi="宋体" w:eastAsia="宋体"/>
          <w:kern w:val="0"/>
          <w:sz w:val="21"/>
          <w:szCs w:val="21"/>
          <w:highlight w:val="none"/>
        </w:rPr>
        <w:t>1</w:t>
      </w:r>
      <w:r>
        <w:rPr>
          <w:rFonts w:ascii="宋体" w:hAnsi="宋体" w:eastAsia="宋体"/>
          <w:kern w:val="0"/>
          <w:sz w:val="21"/>
          <w:szCs w:val="21"/>
          <w:highlight w:val="none"/>
        </w:rPr>
        <w:t>.1</w:t>
      </w:r>
      <w:r>
        <w:rPr>
          <w:rFonts w:hint="eastAsia" w:ascii="宋体" w:hAnsi="宋体" w:eastAsia="宋体"/>
          <w:kern w:val="0"/>
          <w:sz w:val="21"/>
          <w:szCs w:val="21"/>
          <w:highlight w:val="none"/>
        </w:rPr>
        <w:t xml:space="preserve"> 重要提示</w:t>
      </w:r>
      <w:bookmarkEnd w:id="4"/>
      <w:bookmarkEnd w:id="5"/>
      <w:bookmarkEnd w:id="6"/>
      <w:bookmarkEnd w:id="7"/>
    </w:p>
    <w:p w14:paraId="25111B1E">
      <w:pPr>
        <w:spacing w:line="360" w:lineRule="auto"/>
        <w:ind w:firstLine="420" w:firstLineChars="200"/>
        <w:rPr>
          <w:rFonts w:hint="eastAsia"/>
          <w:lang w:eastAsia="zh-CN"/>
        </w:rPr>
      </w:pPr>
      <w:r>
        <w:rPr>
          <w:rFonts w:hint="eastAsia"/>
          <w:lang w:eastAsia="zh-CN"/>
        </w:rPr>
        <w:t>博时集兴配置优选6个月持有期混合型发起式基金中基金（FOF）（以下简称“本基金”）经中国证券监督管理委员会（以下简称“中国证监会”）证监许可[2023]394号准予注册，由博时基金管理有限公司依照《中华人民共和国证券投资基金法》和《博时集兴配置优选6个月持有期混合型发起式基金中基金（FOF）基金合同》负责公开募集。本基金为契约型开放式，存续期限不定，首次设立募集不包括认购资金利息共募集人民币19,728,190.14元，业经安永华明会计师事务所（特殊普通合伙）安永华明（2023）验字第60669135_A23号验资报告予以验证。经向中国证监会备案，《博时集兴配置优选6个月持有期混合型发起式基金中基金（FOF）基金合同》于2023年8月29日正式生效，基金合同生效日的基金份额总额为19,733,339.17份基金份额，其中认购资金利息折合5,149.03份基金份额。本基金的基金管理人为博时基金管理有限公司，基金托管人为中信银行股份有限公司。</w:t>
      </w:r>
    </w:p>
    <w:p w14:paraId="111E78B1">
      <w:pPr>
        <w:spacing w:line="360" w:lineRule="auto"/>
        <w:ind w:firstLine="420" w:firstLineChars="200"/>
        <w:rPr>
          <w:rFonts w:hint="eastAsia" w:eastAsiaTheme="minorEastAsia"/>
          <w:highlight w:val="none"/>
        </w:rPr>
      </w:pPr>
      <w:r>
        <w:rPr>
          <w:rFonts w:hint="eastAsia" w:eastAsiaTheme="minorEastAsia"/>
          <w:highlight w:val="none"/>
        </w:rPr>
        <w:t>根据《博时基金管理有限公司关于博时集兴配置优选6个月持有期混合型发起式基金中基金（FOF）基金合同终止及基金财产清算的公告》</w:t>
      </w:r>
      <w:r>
        <w:rPr>
          <w:rFonts w:hint="eastAsia" w:eastAsiaTheme="minorEastAsia"/>
          <w:highlight w:val="none"/>
          <w:lang w:eastAsia="zh-CN"/>
        </w:rPr>
        <w:t>：</w:t>
      </w:r>
      <w:r>
        <w:rPr>
          <w:rFonts w:hint="eastAsia" w:eastAsiaTheme="minorEastAsia"/>
          <w:highlight w:val="none"/>
        </w:rPr>
        <w:t xml:space="preserve">“本基金的最后运作日为2026年8月29日，自2026年8月30日起，本基金进入清算程序。本基金进入清算程序后，不再开放办理申购、赎回、定投、基金转换业务等业务，并停止收取基金管理费、基金托管费及C类基金份额的销售服务费。” </w:t>
      </w:r>
    </w:p>
    <w:p w14:paraId="7557D243">
      <w:pPr>
        <w:spacing w:line="360" w:lineRule="auto"/>
        <w:ind w:firstLine="420" w:firstLineChars="200"/>
        <w:rPr>
          <w:rFonts w:ascii="宋体" w:hAnsi="宋体" w:cs="Arial"/>
          <w:color w:val="000000"/>
          <w:szCs w:val="21"/>
          <w:highlight w:val="none"/>
        </w:rPr>
      </w:pPr>
      <w:r>
        <w:rPr>
          <w:rFonts w:hint="eastAsia" w:eastAsiaTheme="minorEastAsia"/>
          <w:highlight w:val="none"/>
        </w:rPr>
        <w:t xml:space="preserve"> 本基金最后运作日为2026年</w:t>
      </w:r>
      <w:r>
        <w:rPr>
          <w:rFonts w:hint="eastAsia" w:eastAsiaTheme="minorEastAsia"/>
          <w:highlight w:val="none"/>
          <w:lang w:val="en-US" w:eastAsia="zh-CN"/>
        </w:rPr>
        <w:t>8</w:t>
      </w:r>
      <w:r>
        <w:rPr>
          <w:rFonts w:hint="eastAsia" w:eastAsiaTheme="minorEastAsia"/>
          <w:highlight w:val="none"/>
        </w:rPr>
        <w:t>月</w:t>
      </w:r>
      <w:r>
        <w:rPr>
          <w:rFonts w:hint="eastAsia" w:eastAsiaTheme="minorEastAsia"/>
          <w:highlight w:val="none"/>
          <w:lang w:val="en-US" w:eastAsia="zh-CN"/>
        </w:rPr>
        <w:t>29</w:t>
      </w:r>
      <w:r>
        <w:rPr>
          <w:rFonts w:hint="eastAsia" w:eastAsiaTheme="minorEastAsia"/>
          <w:highlight w:val="none"/>
        </w:rPr>
        <w:t>日，自2026年</w:t>
      </w:r>
      <w:r>
        <w:rPr>
          <w:rFonts w:hint="eastAsia" w:eastAsiaTheme="minorEastAsia"/>
          <w:highlight w:val="none"/>
          <w:lang w:val="en-US" w:eastAsia="zh-CN"/>
        </w:rPr>
        <w:t>8</w:t>
      </w:r>
      <w:r>
        <w:rPr>
          <w:rFonts w:hint="eastAsia" w:eastAsiaTheme="minorEastAsia"/>
          <w:highlight w:val="none"/>
        </w:rPr>
        <w:t>月</w:t>
      </w:r>
      <w:r>
        <w:rPr>
          <w:rFonts w:hint="eastAsia" w:eastAsiaTheme="minorEastAsia"/>
          <w:highlight w:val="none"/>
          <w:lang w:val="en-US" w:eastAsia="zh-CN"/>
        </w:rPr>
        <w:t>30</w:t>
      </w:r>
      <w:r>
        <w:rPr>
          <w:rFonts w:hint="eastAsia" w:eastAsiaTheme="minorEastAsia"/>
          <w:highlight w:val="none"/>
        </w:rPr>
        <w:t>日起进入清算程序，由本基金管理人博时基金管理有限公司、基金托管人</w:t>
      </w:r>
      <w:r>
        <w:rPr>
          <w:rFonts w:hint="eastAsia"/>
          <w:lang w:eastAsia="zh-CN"/>
        </w:rPr>
        <w:t>中信银行股份有限公司</w:t>
      </w:r>
      <w:r>
        <w:rPr>
          <w:rFonts w:hint="eastAsia" w:eastAsiaTheme="minorEastAsia"/>
          <w:highlight w:val="none"/>
        </w:rPr>
        <w:t>、</w:t>
      </w:r>
      <w:r>
        <w:rPr>
          <w:rFonts w:hint="eastAsia" w:eastAsiaTheme="minorEastAsia"/>
          <w:highlight w:val="none"/>
          <w:lang w:val="en-US" w:eastAsia="zh-CN"/>
        </w:rPr>
        <w:t>容诚</w:t>
      </w:r>
      <w:r>
        <w:rPr>
          <w:rFonts w:hint="eastAsia" w:eastAsiaTheme="minorEastAsia"/>
          <w:highlight w:val="none"/>
        </w:rPr>
        <w:t>会计师事务所</w:t>
      </w:r>
      <w:r>
        <w:rPr>
          <w:rFonts w:hint="eastAsia" w:eastAsiaTheme="minorEastAsia"/>
        </w:rPr>
        <w:t>（特殊普通合伙）</w:t>
      </w:r>
      <w:r>
        <w:rPr>
          <w:rFonts w:hint="eastAsia" w:eastAsiaTheme="minorEastAsia"/>
          <w:highlight w:val="none"/>
        </w:rPr>
        <w:t>和</w:t>
      </w:r>
      <w:r>
        <w:rPr>
          <w:rFonts w:hint="eastAsia" w:eastAsiaTheme="minorEastAsia"/>
          <w:highlight w:val="none"/>
          <w:lang w:eastAsia="zh-CN"/>
        </w:rPr>
        <w:t>上海源泰律师事务所</w:t>
      </w:r>
      <w:r>
        <w:rPr>
          <w:rFonts w:hint="eastAsia" w:eastAsiaTheme="minorEastAsia"/>
          <w:highlight w:val="none"/>
        </w:rPr>
        <w:t>组成基金财产清算小组履行基金财产清算程序，并由</w:t>
      </w:r>
      <w:r>
        <w:rPr>
          <w:rFonts w:hint="eastAsia" w:eastAsiaTheme="minorEastAsia"/>
          <w:highlight w:val="none"/>
          <w:lang w:val="en-US" w:eastAsia="zh-CN"/>
        </w:rPr>
        <w:t>容诚</w:t>
      </w:r>
      <w:r>
        <w:rPr>
          <w:rFonts w:hint="eastAsia" w:eastAsiaTheme="minorEastAsia"/>
          <w:highlight w:val="none"/>
        </w:rPr>
        <w:t>会计师事务所</w:t>
      </w:r>
      <w:r>
        <w:rPr>
          <w:rFonts w:hint="eastAsia" w:eastAsiaTheme="minorEastAsia"/>
        </w:rPr>
        <w:t>（特殊普通合伙）</w:t>
      </w:r>
      <w:r>
        <w:rPr>
          <w:rFonts w:hint="eastAsia" w:eastAsiaTheme="minorEastAsia"/>
          <w:highlight w:val="none"/>
        </w:rPr>
        <w:t>对本基金进行清算审计，</w:t>
      </w:r>
      <w:r>
        <w:rPr>
          <w:rFonts w:hint="eastAsia" w:eastAsiaTheme="minorEastAsia"/>
          <w:highlight w:val="none"/>
          <w:lang w:eastAsia="zh-CN"/>
        </w:rPr>
        <w:t>上海源泰律师事务所</w:t>
      </w:r>
      <w:r>
        <w:rPr>
          <w:rFonts w:hint="eastAsia" w:eastAsiaTheme="minorEastAsia"/>
          <w:highlight w:val="none"/>
        </w:rPr>
        <w:t>对清算报告出具法律意见。</w:t>
      </w:r>
    </w:p>
    <w:p w14:paraId="2339A0C9">
      <w:pPr>
        <w:pStyle w:val="2"/>
        <w:keepNext/>
        <w:keepLines/>
        <w:widowControl w:val="0"/>
        <w:spacing w:before="312" w:beforeLines="100" w:after="312" w:afterLines="100" w:line="360" w:lineRule="auto"/>
        <w:jc w:val="center"/>
        <w:rPr>
          <w:rStyle w:val="20"/>
          <w:rFonts w:ascii="宋体" w:hAnsi="宋体"/>
          <w:highlight w:val="none"/>
        </w:rPr>
      </w:pPr>
      <w:bookmarkStart w:id="8" w:name="_Toc484769796"/>
      <w:bookmarkStart w:id="9" w:name="_Toc491963079"/>
      <w:r>
        <w:rPr>
          <w:rStyle w:val="20"/>
          <w:rFonts w:ascii="宋体" w:hAnsi="宋体"/>
          <w:highlight w:val="none"/>
        </w:rPr>
        <w:t>2</w:t>
      </w:r>
      <w:r>
        <w:rPr>
          <w:rStyle w:val="20"/>
          <w:rFonts w:hint="eastAsia" w:ascii="宋体" w:hAnsi="宋体"/>
          <w:highlight w:val="none"/>
        </w:rPr>
        <w:t>、</w:t>
      </w:r>
      <w:r>
        <w:rPr>
          <w:rStyle w:val="20"/>
          <w:rFonts w:ascii="宋体" w:hAnsi="宋体"/>
          <w:highlight w:val="none"/>
        </w:rPr>
        <w:t>基金</w:t>
      </w:r>
      <w:r>
        <w:rPr>
          <w:rStyle w:val="20"/>
          <w:rFonts w:hint="eastAsia" w:ascii="宋体" w:hAnsi="宋体"/>
          <w:highlight w:val="none"/>
        </w:rPr>
        <w:t>概况</w:t>
      </w:r>
      <w:bookmarkEnd w:id="8"/>
      <w:bookmarkEnd w:id="9"/>
    </w:p>
    <w:p w14:paraId="56EBC5DF">
      <w:pPr>
        <w:pStyle w:val="3"/>
        <w:spacing w:before="0" w:after="0"/>
        <w:rPr>
          <w:rFonts w:ascii="宋体" w:hAnsi="宋体" w:eastAsia="宋体"/>
          <w:kern w:val="0"/>
          <w:sz w:val="21"/>
          <w:szCs w:val="21"/>
          <w:highlight w:val="none"/>
        </w:rPr>
      </w:pPr>
      <w:bookmarkStart w:id="10" w:name="_Toc476577246"/>
      <w:bookmarkStart w:id="11" w:name="_Toc491963080"/>
      <w:bookmarkStart w:id="12" w:name="_Toc483396829"/>
      <w:bookmarkStart w:id="13" w:name="_Toc484769797"/>
      <w:bookmarkStart w:id="14" w:name="_Toc409100407"/>
      <w:bookmarkStart w:id="15" w:name="_Toc361324845"/>
      <w:bookmarkStart w:id="16" w:name="_Toc409100044"/>
      <w:bookmarkStart w:id="17" w:name="_Toc484607302"/>
      <w:r>
        <w:rPr>
          <w:rFonts w:ascii="宋体" w:hAnsi="宋体" w:eastAsia="宋体"/>
          <w:kern w:val="0"/>
          <w:sz w:val="21"/>
          <w:szCs w:val="21"/>
          <w:highlight w:val="none"/>
        </w:rPr>
        <w:t>2.1</w:t>
      </w:r>
      <w:r>
        <w:rPr>
          <w:rFonts w:hint="eastAsia" w:ascii="宋体" w:hAnsi="宋体" w:eastAsia="宋体"/>
          <w:kern w:val="0"/>
          <w:sz w:val="21"/>
          <w:szCs w:val="21"/>
          <w:highlight w:val="none"/>
        </w:rPr>
        <w:t xml:space="preserve"> </w:t>
      </w:r>
      <w:r>
        <w:rPr>
          <w:rFonts w:ascii="宋体" w:hAnsi="宋体" w:eastAsia="宋体"/>
          <w:kern w:val="0"/>
          <w:sz w:val="21"/>
          <w:szCs w:val="21"/>
          <w:highlight w:val="none"/>
        </w:rPr>
        <w:t>基金基本情况</w:t>
      </w:r>
      <w:bookmarkEnd w:id="10"/>
      <w:bookmarkEnd w:id="11"/>
      <w:bookmarkEnd w:id="12"/>
      <w:bookmarkEnd w:id="13"/>
      <w:bookmarkEnd w:id="14"/>
      <w:bookmarkEnd w:id="15"/>
      <w:bookmarkEnd w:id="16"/>
      <w:bookmarkEnd w:id="17"/>
    </w:p>
    <w:tbl>
      <w:tblPr>
        <w:tblStyle w:val="13"/>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520"/>
        <w:gridCol w:w="5999"/>
      </w:tblGrid>
      <w:tr w14:paraId="4FC6BB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79" w:type="pct"/>
          </w:tcPr>
          <w:p w14:paraId="5701646E">
            <w:pPr>
              <w:pStyle w:val="36"/>
              <w:rPr>
                <w:rFonts w:hint="eastAsia" w:ascii="宋体" w:hAnsi="宋体" w:eastAsia="宋体"/>
                <w:color w:val="000000"/>
                <w:kern w:val="0"/>
              </w:rPr>
            </w:pPr>
            <w:r>
              <w:rPr>
                <w:rFonts w:ascii="宋体" w:hAnsi="宋体" w:eastAsia="宋体"/>
              </w:rPr>
              <w:t>基金名称</w:t>
            </w:r>
          </w:p>
        </w:tc>
        <w:tc>
          <w:tcPr>
            <w:tcW w:w="3520" w:type="pct"/>
            <w:vAlign w:val="center"/>
          </w:tcPr>
          <w:p w14:paraId="0BB2E5AE">
            <w:pPr>
              <w:pStyle w:val="36"/>
              <w:rPr>
                <w:rFonts w:hint="eastAsia" w:ascii="宋体" w:hAnsi="宋体" w:eastAsia="宋体"/>
                <w:lang w:eastAsia="zh-CN"/>
              </w:rPr>
            </w:pPr>
            <w:r>
              <w:rPr>
                <w:rFonts w:hint="eastAsia"/>
                <w:lang w:val="en-US" w:eastAsia="zh-CN"/>
              </w:rPr>
              <w:t>博时集兴配置优选6个月持有期混合型发起式基金中基金（FOF）</w:t>
            </w:r>
          </w:p>
        </w:tc>
      </w:tr>
      <w:tr w14:paraId="4BD867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79" w:type="pct"/>
          </w:tcPr>
          <w:p w14:paraId="74D7D571">
            <w:pPr>
              <w:pStyle w:val="36"/>
              <w:rPr>
                <w:rFonts w:hint="eastAsia" w:ascii="宋体" w:hAnsi="宋体" w:eastAsia="宋体"/>
                <w:color w:val="000000"/>
                <w:kern w:val="0"/>
              </w:rPr>
            </w:pPr>
            <w:r>
              <w:rPr>
                <w:rFonts w:ascii="宋体" w:hAnsi="宋体" w:eastAsia="宋体"/>
              </w:rPr>
              <w:t>基金简称</w:t>
            </w:r>
          </w:p>
        </w:tc>
        <w:tc>
          <w:tcPr>
            <w:tcW w:w="3520" w:type="pct"/>
            <w:vAlign w:val="center"/>
          </w:tcPr>
          <w:p w14:paraId="2CF46A50">
            <w:pPr>
              <w:pStyle w:val="36"/>
              <w:rPr>
                <w:rFonts w:hint="eastAsia" w:ascii="宋体" w:hAnsi="宋体" w:eastAsia="宋体"/>
              </w:rPr>
            </w:pPr>
            <w:r>
              <w:rPr>
                <w:rFonts w:hint="eastAsia"/>
                <w:lang w:val="en-US" w:eastAsia="zh-CN"/>
              </w:rPr>
              <w:t>博时集兴配置优选6个月持有混合发起式（FOF）</w:t>
            </w:r>
          </w:p>
        </w:tc>
      </w:tr>
      <w:tr w14:paraId="6F026F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79" w:type="pct"/>
            <w:vAlign w:val="center"/>
          </w:tcPr>
          <w:p w14:paraId="5C3DBBE5">
            <w:pPr>
              <w:pStyle w:val="36"/>
              <w:rPr>
                <w:rFonts w:hint="eastAsia" w:ascii="宋体" w:hAnsi="宋体" w:eastAsia="宋体"/>
                <w:color w:val="000000"/>
                <w:kern w:val="0"/>
              </w:rPr>
            </w:pPr>
            <w:r>
              <w:rPr>
                <w:rFonts w:ascii="宋体" w:hAnsi="宋体" w:eastAsia="宋体"/>
              </w:rPr>
              <w:t>基金主代码</w:t>
            </w:r>
          </w:p>
        </w:tc>
        <w:tc>
          <w:tcPr>
            <w:tcW w:w="3520" w:type="pct"/>
            <w:vAlign w:val="center"/>
          </w:tcPr>
          <w:p w14:paraId="1E6CD190">
            <w:pPr>
              <w:pStyle w:val="36"/>
              <w:rPr>
                <w:rFonts w:hint="default" w:ascii="宋体" w:hAnsi="宋体" w:eastAsia="宋体"/>
                <w:lang w:val="en-US" w:eastAsia="zh-CN"/>
              </w:rPr>
            </w:pPr>
            <w:r>
              <w:rPr>
                <w:rFonts w:hint="eastAsia"/>
              </w:rPr>
              <w:t>018285</w:t>
            </w:r>
          </w:p>
        </w:tc>
      </w:tr>
      <w:tr w14:paraId="7C236D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79" w:type="pct"/>
          </w:tcPr>
          <w:p w14:paraId="19DA6A88">
            <w:pPr>
              <w:pStyle w:val="36"/>
              <w:rPr>
                <w:rFonts w:hint="eastAsia" w:ascii="宋体" w:hAnsi="宋体" w:eastAsia="宋体"/>
                <w:color w:val="000000"/>
                <w:kern w:val="0"/>
              </w:rPr>
            </w:pPr>
            <w:r>
              <w:rPr>
                <w:rFonts w:ascii="宋体" w:hAnsi="宋体" w:eastAsia="宋体"/>
              </w:rPr>
              <w:t>基金运作方式</w:t>
            </w:r>
          </w:p>
        </w:tc>
        <w:tc>
          <w:tcPr>
            <w:tcW w:w="3520" w:type="pct"/>
            <w:vAlign w:val="center"/>
          </w:tcPr>
          <w:p w14:paraId="03CC8ABB">
            <w:pPr>
              <w:pStyle w:val="36"/>
              <w:rPr>
                <w:rFonts w:hint="eastAsia" w:ascii="宋体" w:hAnsi="宋体" w:eastAsia="宋体"/>
              </w:rPr>
            </w:pPr>
            <w:r>
              <w:rPr>
                <w:rFonts w:hint="eastAsia" w:ascii="宋体" w:hAnsi="宋体" w:eastAsia="宋体"/>
              </w:rPr>
              <w:t>契约型开放式</w:t>
            </w:r>
          </w:p>
        </w:tc>
      </w:tr>
      <w:tr w14:paraId="21512E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79" w:type="pct"/>
          </w:tcPr>
          <w:p w14:paraId="205EB574">
            <w:pPr>
              <w:pStyle w:val="36"/>
              <w:rPr>
                <w:rFonts w:hint="eastAsia" w:ascii="宋体" w:hAnsi="宋体" w:eastAsia="宋体"/>
                <w:color w:val="000000"/>
                <w:kern w:val="0"/>
              </w:rPr>
            </w:pPr>
            <w:r>
              <w:rPr>
                <w:rFonts w:ascii="宋体" w:hAnsi="宋体" w:eastAsia="宋体"/>
              </w:rPr>
              <w:t>基金合同生效日</w:t>
            </w:r>
          </w:p>
        </w:tc>
        <w:tc>
          <w:tcPr>
            <w:tcW w:w="3520" w:type="pct"/>
            <w:vAlign w:val="center"/>
          </w:tcPr>
          <w:p w14:paraId="00A90F11">
            <w:pPr>
              <w:pStyle w:val="36"/>
              <w:rPr>
                <w:rFonts w:hint="eastAsia" w:ascii="宋体" w:hAnsi="宋体" w:eastAsia="宋体"/>
              </w:rPr>
            </w:pPr>
            <w:r>
              <w:rPr>
                <w:rFonts w:hint="eastAsia"/>
              </w:rPr>
              <w:t>2023/8/29</w:t>
            </w:r>
          </w:p>
        </w:tc>
      </w:tr>
      <w:tr w14:paraId="0D0FD7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79" w:type="pct"/>
          </w:tcPr>
          <w:p w14:paraId="1D8A4FDE">
            <w:pPr>
              <w:pStyle w:val="36"/>
              <w:rPr>
                <w:rFonts w:hint="eastAsia" w:ascii="宋体" w:hAnsi="宋体" w:eastAsia="宋体"/>
                <w:color w:val="000000"/>
                <w:kern w:val="0"/>
              </w:rPr>
            </w:pPr>
            <w:r>
              <w:rPr>
                <w:rFonts w:ascii="宋体" w:hAnsi="宋体" w:eastAsia="宋体"/>
              </w:rPr>
              <w:t>基金管理人</w:t>
            </w:r>
          </w:p>
        </w:tc>
        <w:tc>
          <w:tcPr>
            <w:tcW w:w="3520" w:type="pct"/>
            <w:vAlign w:val="center"/>
          </w:tcPr>
          <w:p w14:paraId="47B5C144">
            <w:pPr>
              <w:pStyle w:val="36"/>
              <w:rPr>
                <w:rFonts w:hint="eastAsia" w:ascii="宋体" w:hAnsi="宋体" w:eastAsia="宋体"/>
              </w:rPr>
            </w:pPr>
            <w:r>
              <w:rPr>
                <w:rFonts w:ascii="宋体" w:hAnsi="宋体" w:eastAsia="宋体"/>
              </w:rPr>
              <w:t>博时基金管理有限公司</w:t>
            </w:r>
          </w:p>
        </w:tc>
      </w:tr>
      <w:tr w14:paraId="093454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79" w:type="pct"/>
          </w:tcPr>
          <w:p w14:paraId="0FEB546B">
            <w:pPr>
              <w:pStyle w:val="36"/>
              <w:rPr>
                <w:rFonts w:hint="eastAsia" w:ascii="宋体" w:hAnsi="宋体" w:eastAsia="宋体"/>
                <w:color w:val="000000"/>
                <w:kern w:val="0"/>
              </w:rPr>
            </w:pPr>
            <w:r>
              <w:rPr>
                <w:rFonts w:ascii="宋体" w:hAnsi="宋体" w:eastAsia="宋体"/>
              </w:rPr>
              <w:t>基金托管人</w:t>
            </w:r>
          </w:p>
        </w:tc>
        <w:tc>
          <w:tcPr>
            <w:tcW w:w="3520" w:type="pct"/>
            <w:vAlign w:val="center"/>
          </w:tcPr>
          <w:p w14:paraId="5FE16BCB">
            <w:pPr>
              <w:pStyle w:val="36"/>
              <w:rPr>
                <w:rFonts w:hint="eastAsia" w:ascii="宋体" w:hAnsi="宋体" w:eastAsia="宋体"/>
              </w:rPr>
            </w:pPr>
            <w:r>
              <w:rPr>
                <w:rFonts w:hint="eastAsia"/>
              </w:rPr>
              <w:t>中信银行股份有限公司</w:t>
            </w:r>
          </w:p>
        </w:tc>
      </w:tr>
      <w:tr w14:paraId="6F61DA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79" w:type="pct"/>
          </w:tcPr>
          <w:p w14:paraId="76222745">
            <w:pPr>
              <w:pStyle w:val="4"/>
              <w:rPr>
                <w:rFonts w:hint="eastAsia" w:ascii="宋体" w:hAnsi="宋体" w:eastAsia="宋体"/>
                <w:color w:val="000000"/>
                <w:kern w:val="0"/>
              </w:rPr>
            </w:pPr>
            <w:r>
              <w:rPr>
                <w:rFonts w:hint="eastAsia"/>
              </w:rPr>
              <w:t>最后运作日（</w:t>
            </w:r>
            <w:r>
              <w:rPr>
                <w:rFonts w:hint="eastAsia" w:eastAsiaTheme="minorEastAsia"/>
                <w:highlight w:val="none"/>
              </w:rPr>
              <w:t>2026年</w:t>
            </w:r>
            <w:r>
              <w:rPr>
                <w:rFonts w:hint="eastAsia" w:eastAsiaTheme="minorEastAsia"/>
                <w:highlight w:val="none"/>
                <w:lang w:val="en-US" w:eastAsia="zh-CN"/>
              </w:rPr>
              <w:t>8</w:t>
            </w:r>
            <w:r>
              <w:rPr>
                <w:rFonts w:hint="eastAsia" w:eastAsiaTheme="minorEastAsia"/>
                <w:highlight w:val="none"/>
              </w:rPr>
              <w:t>月</w:t>
            </w:r>
            <w:r>
              <w:rPr>
                <w:rFonts w:hint="eastAsia" w:eastAsiaTheme="minorEastAsia"/>
                <w:highlight w:val="none"/>
                <w:lang w:val="en-US" w:eastAsia="zh-CN"/>
              </w:rPr>
              <w:t>29</w:t>
            </w:r>
            <w:r>
              <w:rPr>
                <w:rFonts w:hint="eastAsia" w:eastAsiaTheme="minorEastAsia"/>
                <w:highlight w:val="none"/>
              </w:rPr>
              <w:t>日</w:t>
            </w:r>
            <w:r>
              <w:rPr>
                <w:rFonts w:hint="eastAsia"/>
              </w:rPr>
              <w:t>）基金份额总额</w:t>
            </w:r>
          </w:p>
        </w:tc>
        <w:tc>
          <w:tcPr>
            <w:tcW w:w="3520" w:type="pct"/>
            <w:vAlign w:val="center"/>
          </w:tcPr>
          <w:p w14:paraId="4CAE236D">
            <w:pPr>
              <w:pStyle w:val="36"/>
              <w:rPr>
                <w:rFonts w:hint="eastAsia" w:ascii="宋体" w:hAnsi="宋体" w:eastAsia="宋体"/>
              </w:rPr>
            </w:pPr>
            <w:r>
              <w:rPr>
                <w:rFonts w:hint="eastAsia" w:ascii="宋体" w:hAnsi="宋体" w:eastAsia="宋体"/>
              </w:rPr>
              <w:t>12,365,647.13</w:t>
            </w:r>
            <w:r>
              <w:rPr>
                <w:rFonts w:ascii="宋体" w:hAnsi="宋体" w:eastAsia="宋体"/>
              </w:rPr>
              <w:t>份</w:t>
            </w:r>
          </w:p>
        </w:tc>
      </w:tr>
      <w:tr w14:paraId="171AE6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79" w:type="pct"/>
          </w:tcPr>
          <w:p w14:paraId="3DA58B1A">
            <w:pPr>
              <w:pStyle w:val="36"/>
              <w:rPr>
                <w:rFonts w:hint="eastAsia" w:ascii="宋体" w:hAnsi="宋体" w:eastAsia="宋体"/>
                <w:color w:val="000000"/>
                <w:kern w:val="0"/>
              </w:rPr>
            </w:pPr>
            <w:r>
              <w:rPr>
                <w:rFonts w:ascii="宋体" w:hAnsi="宋体" w:eastAsia="宋体"/>
              </w:rPr>
              <w:t>基金合同存续期</w:t>
            </w:r>
          </w:p>
        </w:tc>
        <w:tc>
          <w:tcPr>
            <w:tcW w:w="3520" w:type="pct"/>
            <w:vAlign w:val="center"/>
          </w:tcPr>
          <w:p w14:paraId="690F2638">
            <w:pPr>
              <w:pStyle w:val="36"/>
              <w:rPr>
                <w:rFonts w:hint="eastAsia" w:ascii="宋体" w:hAnsi="宋体" w:eastAsia="宋体"/>
              </w:rPr>
            </w:pPr>
            <w:r>
              <w:rPr>
                <w:rFonts w:ascii="宋体" w:hAnsi="宋体" w:eastAsia="宋体"/>
              </w:rPr>
              <w:t>不定期</w:t>
            </w:r>
          </w:p>
        </w:tc>
      </w:tr>
    </w:tbl>
    <w:p w14:paraId="45031E79"/>
    <w:p w14:paraId="72A1E3B3">
      <w:pPr>
        <w:pStyle w:val="22"/>
        <w:rPr>
          <w:rFonts w:ascii="宋体" w:hAnsi="宋体"/>
          <w:sz w:val="21"/>
          <w:szCs w:val="21"/>
          <w:highlight w:val="none"/>
        </w:rPr>
      </w:pPr>
      <w:bookmarkStart w:id="18" w:name="_Toc491184118"/>
      <w:bookmarkStart w:id="19" w:name="_Toc491963081"/>
      <w:bookmarkStart w:id="20" w:name="_Toc390421230"/>
      <w:bookmarkStart w:id="21" w:name="_Toc482092221"/>
      <w:r>
        <w:rPr>
          <w:rFonts w:ascii="宋体" w:hAnsi="宋体"/>
          <w:sz w:val="21"/>
          <w:szCs w:val="21"/>
          <w:highlight w:val="none"/>
        </w:rPr>
        <w:t>2.2 基金产品说明</w:t>
      </w:r>
      <w:bookmarkEnd w:id="18"/>
      <w:bookmarkEnd w:id="19"/>
      <w:bookmarkEnd w:id="20"/>
      <w:bookmarkEnd w:id="21"/>
    </w:p>
    <w:tbl>
      <w:tblPr>
        <w:tblStyle w:val="13"/>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31"/>
        <w:gridCol w:w="6991"/>
      </w:tblGrid>
      <w:tr w14:paraId="7075A2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tcBorders>
              <w:top w:val="single" w:color="000000" w:sz="4" w:space="0"/>
              <w:left w:val="single" w:color="000000" w:sz="4" w:space="0"/>
              <w:bottom w:val="single" w:color="000000" w:sz="4" w:space="0"/>
              <w:right w:val="single" w:color="000000" w:sz="4" w:space="0"/>
            </w:tcBorders>
            <w:vAlign w:val="center"/>
          </w:tcPr>
          <w:p w14:paraId="4E0C6C14">
            <w:pPr>
              <w:pStyle w:val="36"/>
              <w:rPr>
                <w:rFonts w:ascii="Times New Roman" w:hAnsi="Times New Roman" w:eastAsiaTheme="minorEastAsia"/>
                <w:highlight w:val="none"/>
              </w:rPr>
            </w:pPr>
            <w:r>
              <w:rPr>
                <w:rFonts w:ascii="Times New Roman" w:hAnsi="Times New Roman" w:eastAsiaTheme="minorEastAsia"/>
                <w:highlight w:val="none"/>
              </w:rPr>
              <w:t>投资目标</w:t>
            </w:r>
          </w:p>
        </w:tc>
        <w:tc>
          <w:tcPr>
            <w:tcW w:w="6996" w:type="dxa"/>
            <w:tcBorders>
              <w:top w:val="single" w:color="000000" w:sz="4" w:space="0"/>
              <w:left w:val="single" w:color="000000" w:sz="4" w:space="0"/>
              <w:bottom w:val="single" w:color="000000" w:sz="4" w:space="0"/>
              <w:right w:val="single" w:color="000000" w:sz="4" w:space="0"/>
            </w:tcBorders>
            <w:vAlign w:val="bottom"/>
          </w:tcPr>
          <w:p w14:paraId="1C0E120E">
            <w:pPr>
              <w:pStyle w:val="36"/>
              <w:rPr>
                <w:rFonts w:ascii="Times New Roman" w:hAnsi="Times New Roman" w:eastAsiaTheme="minorEastAsia"/>
                <w:highlight w:val="none"/>
              </w:rPr>
            </w:pPr>
            <w:r>
              <w:rPr>
                <w:rFonts w:hint="eastAsia" w:ascii="宋体" w:hAnsi="宋体" w:eastAsia="宋体"/>
              </w:rPr>
              <w:t>本基金在严格控制风险的前提下，通过有效的动态资产配置策略，发掘不同时期不同资产类别、行业的投资机会，力争获取超越业绩基准的投资收益。</w:t>
            </w:r>
          </w:p>
        </w:tc>
      </w:tr>
      <w:tr w14:paraId="66DD6C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tcBorders>
              <w:top w:val="single" w:color="000000" w:sz="4" w:space="0"/>
              <w:left w:val="single" w:color="000000" w:sz="4" w:space="0"/>
              <w:bottom w:val="single" w:color="000000" w:sz="4" w:space="0"/>
              <w:right w:val="single" w:color="000000" w:sz="4" w:space="0"/>
            </w:tcBorders>
            <w:vAlign w:val="center"/>
          </w:tcPr>
          <w:p w14:paraId="4B902C0D">
            <w:pPr>
              <w:pStyle w:val="36"/>
              <w:rPr>
                <w:rFonts w:ascii="Times New Roman" w:hAnsi="Times New Roman" w:eastAsiaTheme="minorEastAsia"/>
                <w:highlight w:val="none"/>
              </w:rPr>
            </w:pPr>
            <w:r>
              <w:rPr>
                <w:rFonts w:ascii="Times New Roman" w:hAnsi="Times New Roman" w:eastAsiaTheme="minorEastAsia"/>
                <w:highlight w:val="none"/>
              </w:rPr>
              <w:t>投资策略</w:t>
            </w:r>
          </w:p>
        </w:tc>
        <w:tc>
          <w:tcPr>
            <w:tcW w:w="6996" w:type="dxa"/>
            <w:tcBorders>
              <w:top w:val="single" w:color="000000" w:sz="4" w:space="0"/>
              <w:left w:val="single" w:color="000000" w:sz="4" w:space="0"/>
              <w:bottom w:val="single" w:color="000000" w:sz="4" w:space="0"/>
              <w:right w:val="single" w:color="000000" w:sz="4" w:space="0"/>
            </w:tcBorders>
            <w:vAlign w:val="bottom"/>
          </w:tcPr>
          <w:p w14:paraId="37B85674">
            <w:pPr>
              <w:pStyle w:val="36"/>
              <w:rPr>
                <w:rFonts w:ascii="Times New Roman" w:hAnsi="Times New Roman" w:eastAsiaTheme="minorEastAsia"/>
                <w:highlight w:val="none"/>
              </w:rPr>
            </w:pPr>
            <w:r>
              <w:rPr>
                <w:rFonts w:hint="eastAsia" w:ascii="宋体" w:hAnsi="宋体" w:eastAsia="宋体"/>
              </w:rPr>
              <w:t>本基金采用现代资产配置技术和目标风险管理方法，按照大类资产配置模型，基于风险性、收益性、流动性等标准，在风险优化模型下构造多元化的投资组合。基于对宏观经济环境、微观企业盈利状况、金融市场环境的理解和判断，形成不同资产类别在不同时期的投资价值研判，利用现代大类资产配置模型，做出战略配置和战术配置意见，追求资产的稳健增长。本基金主要采取的投资策略有大类资产配置策略、基金投资策略、股票投资策略、债券投资策略、资产支持证券投资策略。</w:t>
            </w:r>
          </w:p>
        </w:tc>
      </w:tr>
      <w:tr w14:paraId="354DAD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tcBorders>
              <w:top w:val="single" w:color="000000" w:sz="4" w:space="0"/>
              <w:left w:val="single" w:color="000000" w:sz="4" w:space="0"/>
              <w:bottom w:val="single" w:color="000000" w:sz="4" w:space="0"/>
              <w:right w:val="single" w:color="000000" w:sz="4" w:space="0"/>
            </w:tcBorders>
            <w:vAlign w:val="center"/>
          </w:tcPr>
          <w:p w14:paraId="001CB0F9">
            <w:pPr>
              <w:pStyle w:val="36"/>
              <w:rPr>
                <w:rFonts w:ascii="Times New Roman" w:hAnsi="Times New Roman" w:eastAsiaTheme="minorEastAsia"/>
                <w:highlight w:val="none"/>
              </w:rPr>
            </w:pPr>
            <w:r>
              <w:rPr>
                <w:rFonts w:ascii="Times New Roman" w:hAnsi="Times New Roman" w:eastAsiaTheme="minorEastAsia"/>
                <w:highlight w:val="none"/>
              </w:rPr>
              <w:t>业绩比较基准</w:t>
            </w:r>
          </w:p>
        </w:tc>
        <w:tc>
          <w:tcPr>
            <w:tcW w:w="6996" w:type="dxa"/>
            <w:tcBorders>
              <w:top w:val="single" w:color="000000" w:sz="4" w:space="0"/>
              <w:left w:val="single" w:color="000000" w:sz="4" w:space="0"/>
              <w:bottom w:val="single" w:color="000000" w:sz="4" w:space="0"/>
              <w:right w:val="single" w:color="000000" w:sz="4" w:space="0"/>
            </w:tcBorders>
            <w:vAlign w:val="bottom"/>
          </w:tcPr>
          <w:p w14:paraId="313FD01C">
            <w:pPr>
              <w:pStyle w:val="36"/>
              <w:rPr>
                <w:rFonts w:ascii="Times New Roman" w:hAnsi="Times New Roman" w:eastAsiaTheme="minorEastAsia"/>
                <w:highlight w:val="none"/>
              </w:rPr>
            </w:pPr>
            <w:r>
              <w:rPr>
                <w:rFonts w:hint="eastAsia"/>
              </w:rPr>
              <w:t>中证混合型基金指数收益率*75%+中债综合财富（总值）指数收益率*20%+银行活期存款利率（税后）*5%。</w:t>
            </w:r>
          </w:p>
        </w:tc>
      </w:tr>
      <w:tr w14:paraId="202B75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tcBorders>
              <w:top w:val="single" w:color="000000" w:sz="4" w:space="0"/>
              <w:left w:val="single" w:color="000000" w:sz="4" w:space="0"/>
              <w:bottom w:val="single" w:color="000000" w:sz="4" w:space="0"/>
              <w:right w:val="single" w:color="000000" w:sz="4" w:space="0"/>
            </w:tcBorders>
            <w:vAlign w:val="center"/>
          </w:tcPr>
          <w:p w14:paraId="6BBD308A">
            <w:pPr>
              <w:pStyle w:val="36"/>
              <w:rPr>
                <w:rFonts w:ascii="Times New Roman" w:hAnsi="Times New Roman" w:eastAsiaTheme="minorEastAsia"/>
                <w:highlight w:val="none"/>
              </w:rPr>
            </w:pPr>
            <w:r>
              <w:rPr>
                <w:rFonts w:ascii="Times New Roman" w:hAnsi="Times New Roman" w:eastAsiaTheme="minorEastAsia"/>
                <w:highlight w:val="none"/>
              </w:rPr>
              <w:t>风险收益特征</w:t>
            </w:r>
          </w:p>
        </w:tc>
        <w:tc>
          <w:tcPr>
            <w:tcW w:w="6996" w:type="dxa"/>
            <w:tcBorders>
              <w:top w:val="single" w:color="000000" w:sz="4" w:space="0"/>
              <w:left w:val="single" w:color="000000" w:sz="4" w:space="0"/>
              <w:bottom w:val="single" w:color="000000" w:sz="4" w:space="0"/>
              <w:right w:val="single" w:color="000000" w:sz="4" w:space="0"/>
            </w:tcBorders>
            <w:vAlign w:val="bottom"/>
          </w:tcPr>
          <w:p w14:paraId="277C0DEF">
            <w:pPr>
              <w:pStyle w:val="36"/>
              <w:rPr>
                <w:rFonts w:ascii="Times New Roman" w:hAnsi="Times New Roman" w:eastAsiaTheme="minorEastAsia"/>
                <w:highlight w:val="none"/>
              </w:rPr>
            </w:pPr>
            <w:r>
              <w:rPr>
                <w:rFonts w:hint="eastAsia" w:ascii="宋体" w:hAnsi="宋体" w:eastAsia="宋体"/>
              </w:rPr>
              <w:t>本基金为混合型基金中基金，其预期收益和预期风险高于货币市场基金、货币型基金中基金、债券型基金和债券型基金中基金，低于股票型基金、股票型基金中基金。本基金可通过港股通机制投资港股通标的股票，需承担港股通机制下因交易规则等差异带来的特有风险。</w:t>
            </w:r>
          </w:p>
        </w:tc>
      </w:tr>
    </w:tbl>
    <w:p w14:paraId="2B1FCAAB">
      <w:pPr>
        <w:pStyle w:val="2"/>
        <w:keepNext/>
        <w:keepLines/>
        <w:widowControl w:val="0"/>
        <w:spacing w:before="312" w:beforeLines="100" w:after="312" w:afterLines="100" w:line="360" w:lineRule="auto"/>
        <w:jc w:val="center"/>
        <w:rPr>
          <w:rStyle w:val="20"/>
          <w:rFonts w:ascii="宋体" w:hAnsi="宋体"/>
          <w:b w:val="0"/>
          <w:highlight w:val="none"/>
        </w:rPr>
      </w:pPr>
      <w:bookmarkStart w:id="22" w:name="_Toc409100049"/>
      <w:bookmarkStart w:id="23" w:name="_Toc409100412"/>
      <w:bookmarkStart w:id="24" w:name="_Toc225498250"/>
      <w:bookmarkStart w:id="25" w:name="_Toc361324850"/>
      <w:bookmarkStart w:id="26" w:name="_Toc484769799"/>
      <w:bookmarkStart w:id="27" w:name="_Toc491963082"/>
      <w:r>
        <w:rPr>
          <w:rStyle w:val="20"/>
          <w:rFonts w:ascii="宋体" w:hAnsi="宋体"/>
          <w:highlight w:val="none"/>
        </w:rPr>
        <w:t>3</w:t>
      </w:r>
      <w:bookmarkEnd w:id="22"/>
      <w:bookmarkEnd w:id="23"/>
      <w:bookmarkEnd w:id="24"/>
      <w:bookmarkEnd w:id="25"/>
      <w:r>
        <w:rPr>
          <w:rStyle w:val="20"/>
          <w:rFonts w:hint="eastAsia" w:ascii="宋体" w:hAnsi="宋体"/>
          <w:highlight w:val="none"/>
        </w:rPr>
        <w:t>、基金运作情况说明</w:t>
      </w:r>
      <w:bookmarkEnd w:id="26"/>
      <w:bookmarkEnd w:id="27"/>
    </w:p>
    <w:p w14:paraId="6C250839">
      <w:pPr>
        <w:spacing w:line="360" w:lineRule="auto"/>
        <w:ind w:firstLine="420" w:firstLineChars="200"/>
        <w:rPr>
          <w:rFonts w:hint="eastAsia" w:eastAsiaTheme="minorEastAsia"/>
          <w:highlight w:val="none"/>
        </w:rPr>
      </w:pPr>
      <w:bookmarkStart w:id="28" w:name="_Toc491963083"/>
      <w:bookmarkStart w:id="29" w:name="_Toc484769805"/>
      <w:r>
        <w:rPr>
          <w:rFonts w:hint="eastAsia" w:eastAsiaTheme="minorEastAsia"/>
          <w:highlight w:val="none"/>
        </w:rPr>
        <w:t>自</w:t>
      </w:r>
      <w:r>
        <w:rPr>
          <w:rFonts w:hint="eastAsia" w:ascii="宋体" w:hAnsi="宋体" w:eastAsia="宋体" w:cs="宋体"/>
          <w:sz w:val="21"/>
          <w:szCs w:val="21"/>
        </w:rPr>
        <w:t>202</w:t>
      </w:r>
      <w:r>
        <w:rPr>
          <w:rFonts w:hint="eastAsia" w:ascii="宋体" w:hAnsi="宋体" w:eastAsia="宋体" w:cs="宋体"/>
          <w:sz w:val="21"/>
          <w:szCs w:val="21"/>
          <w:lang w:val="en-US" w:eastAsia="zh-CN"/>
        </w:rPr>
        <w:t>3</w:t>
      </w:r>
      <w:r>
        <w:rPr>
          <w:rFonts w:hint="eastAsia" w:ascii="宋体" w:hAnsi="宋体" w:eastAsia="宋体" w:cs="宋体"/>
          <w:sz w:val="21"/>
          <w:szCs w:val="21"/>
        </w:rPr>
        <w:t>年</w:t>
      </w:r>
      <w:r>
        <w:rPr>
          <w:rFonts w:hint="eastAsia" w:ascii="宋体" w:hAnsi="宋体" w:eastAsia="宋体" w:cs="宋体"/>
          <w:sz w:val="21"/>
          <w:szCs w:val="21"/>
          <w:lang w:val="en-US" w:eastAsia="zh-CN"/>
        </w:rPr>
        <w:t>8</w:t>
      </w:r>
      <w:r>
        <w:rPr>
          <w:rFonts w:hint="eastAsia" w:ascii="宋体" w:hAnsi="宋体" w:eastAsia="宋体" w:cs="宋体"/>
          <w:sz w:val="21"/>
          <w:szCs w:val="21"/>
        </w:rPr>
        <w:t>月2</w:t>
      </w:r>
      <w:r>
        <w:rPr>
          <w:rFonts w:hint="eastAsia" w:ascii="宋体" w:hAnsi="宋体" w:eastAsia="宋体" w:cs="宋体"/>
          <w:sz w:val="21"/>
          <w:szCs w:val="21"/>
          <w:lang w:val="en-US" w:eastAsia="zh-CN"/>
        </w:rPr>
        <w:t>9</w:t>
      </w:r>
      <w:r>
        <w:rPr>
          <w:rFonts w:hint="eastAsia" w:ascii="宋体" w:hAnsi="宋体" w:eastAsia="宋体" w:cs="宋体"/>
          <w:sz w:val="21"/>
          <w:szCs w:val="21"/>
        </w:rPr>
        <w:t>日</w:t>
      </w:r>
      <w:r>
        <w:rPr>
          <w:rFonts w:hint="eastAsia" w:eastAsiaTheme="minorEastAsia"/>
          <w:highlight w:val="none"/>
        </w:rPr>
        <w:t>至</w:t>
      </w:r>
      <w:r>
        <w:rPr>
          <w:rFonts w:hint="eastAsia" w:ascii="宋体" w:hAnsi="宋体" w:eastAsia="宋体" w:cs="宋体"/>
          <w:sz w:val="21"/>
          <w:szCs w:val="21"/>
        </w:rPr>
        <w:t>202</w:t>
      </w:r>
      <w:r>
        <w:rPr>
          <w:rFonts w:hint="eastAsia" w:ascii="宋体" w:hAnsi="宋体" w:eastAsia="宋体" w:cs="宋体"/>
          <w:sz w:val="21"/>
          <w:szCs w:val="21"/>
          <w:lang w:val="en-US" w:eastAsia="zh-CN"/>
        </w:rPr>
        <w:t>6</w:t>
      </w:r>
      <w:r>
        <w:rPr>
          <w:rFonts w:hint="eastAsia" w:ascii="宋体" w:hAnsi="宋体" w:eastAsia="宋体" w:cs="宋体"/>
          <w:sz w:val="21"/>
          <w:szCs w:val="21"/>
        </w:rPr>
        <w:t>年</w:t>
      </w:r>
      <w:r>
        <w:rPr>
          <w:rFonts w:hint="eastAsia" w:ascii="宋体" w:hAnsi="宋体" w:eastAsia="宋体" w:cs="宋体"/>
          <w:sz w:val="21"/>
          <w:szCs w:val="21"/>
          <w:lang w:val="en-US" w:eastAsia="zh-CN"/>
        </w:rPr>
        <w:t>8</w:t>
      </w:r>
      <w:r>
        <w:rPr>
          <w:rFonts w:hint="eastAsia" w:ascii="宋体" w:hAnsi="宋体" w:eastAsia="宋体" w:cs="宋体"/>
          <w:sz w:val="21"/>
          <w:szCs w:val="21"/>
        </w:rPr>
        <w:t>月2</w:t>
      </w:r>
      <w:r>
        <w:rPr>
          <w:rFonts w:hint="eastAsia" w:ascii="宋体" w:hAnsi="宋体" w:eastAsia="宋体" w:cs="宋体"/>
          <w:sz w:val="21"/>
          <w:szCs w:val="21"/>
          <w:lang w:val="en-US" w:eastAsia="zh-CN"/>
        </w:rPr>
        <w:t>9</w:t>
      </w:r>
      <w:r>
        <w:rPr>
          <w:rFonts w:hint="eastAsia" w:ascii="宋体" w:hAnsi="宋体" w:eastAsia="宋体" w:cs="宋体"/>
          <w:sz w:val="21"/>
          <w:szCs w:val="21"/>
        </w:rPr>
        <w:t>日</w:t>
      </w:r>
      <w:r>
        <w:rPr>
          <w:rFonts w:hint="eastAsia" w:eastAsiaTheme="minorEastAsia"/>
          <w:highlight w:val="none"/>
        </w:rPr>
        <w:t>期间，本基金按《基金合同》正常运作。</w:t>
      </w:r>
    </w:p>
    <w:p w14:paraId="442A0859">
      <w:pPr>
        <w:spacing w:line="360" w:lineRule="auto"/>
        <w:ind w:firstLine="420" w:firstLineChars="200"/>
        <w:rPr>
          <w:rFonts w:hint="eastAsia" w:eastAsiaTheme="minorEastAsia"/>
          <w:highlight w:val="none"/>
        </w:rPr>
      </w:pPr>
      <w:r>
        <w:rPr>
          <w:rFonts w:hint="eastAsia" w:eastAsiaTheme="minorEastAsia"/>
          <w:highlight w:val="none"/>
        </w:rPr>
        <w:t xml:space="preserve">根据《博时基金管理有限公司关于博时集兴配置优选6个月持有期混合型发起式基金中基金（FOF）基金合同终止及基金财产清算的公告》： </w:t>
      </w:r>
    </w:p>
    <w:p w14:paraId="0CF274D1">
      <w:pPr>
        <w:spacing w:line="360" w:lineRule="auto"/>
        <w:ind w:firstLine="420" w:firstLineChars="200"/>
        <w:rPr>
          <w:rFonts w:hint="eastAsia" w:eastAsiaTheme="minorEastAsia"/>
          <w:highlight w:val="none"/>
        </w:rPr>
      </w:pPr>
      <w:r>
        <w:rPr>
          <w:rFonts w:hint="eastAsia" w:eastAsiaTheme="minorEastAsia"/>
          <w:highlight w:val="none"/>
        </w:rPr>
        <w:t xml:space="preserve">“本基金的最后运作日为2026年8月29日，自2026年8月30日起，本基金进入清算程序。本基金进入清算程序后，不再开放办理申购、赎回、定投、基金转换业务等业务，并停止收取基金管理费、基金托管费及C类基金份额的销售服务费。” </w:t>
      </w:r>
    </w:p>
    <w:p w14:paraId="69366A1C">
      <w:pPr>
        <w:spacing w:line="360" w:lineRule="auto"/>
        <w:ind w:firstLine="420" w:firstLineChars="200"/>
        <w:rPr>
          <w:rFonts w:ascii="宋体" w:hAnsi="宋体" w:cs="Arial"/>
          <w:color w:val="000000"/>
          <w:szCs w:val="21"/>
          <w:highlight w:val="none"/>
        </w:rPr>
      </w:pPr>
      <w:r>
        <w:rPr>
          <w:rFonts w:hint="eastAsia" w:eastAsiaTheme="minorEastAsia"/>
          <w:highlight w:val="none"/>
        </w:rPr>
        <w:t xml:space="preserve">  本基金最后运作日为2026年</w:t>
      </w:r>
      <w:r>
        <w:rPr>
          <w:rFonts w:hint="eastAsia" w:eastAsiaTheme="minorEastAsia"/>
          <w:highlight w:val="none"/>
          <w:lang w:val="en-US" w:eastAsia="zh-CN"/>
        </w:rPr>
        <w:t>8</w:t>
      </w:r>
      <w:r>
        <w:rPr>
          <w:rFonts w:hint="eastAsia" w:eastAsiaTheme="minorEastAsia"/>
          <w:highlight w:val="none"/>
        </w:rPr>
        <w:t>月</w:t>
      </w:r>
      <w:r>
        <w:rPr>
          <w:rFonts w:hint="eastAsia" w:eastAsiaTheme="minorEastAsia"/>
          <w:highlight w:val="none"/>
          <w:lang w:val="en-US" w:eastAsia="zh-CN"/>
        </w:rPr>
        <w:t>29</w:t>
      </w:r>
      <w:r>
        <w:rPr>
          <w:rFonts w:hint="eastAsia" w:eastAsiaTheme="minorEastAsia"/>
          <w:highlight w:val="none"/>
        </w:rPr>
        <w:t>日，自2026年</w:t>
      </w:r>
      <w:r>
        <w:rPr>
          <w:rFonts w:hint="eastAsia" w:eastAsiaTheme="minorEastAsia"/>
          <w:highlight w:val="none"/>
          <w:lang w:val="en-US" w:eastAsia="zh-CN"/>
        </w:rPr>
        <w:t>8</w:t>
      </w:r>
      <w:r>
        <w:rPr>
          <w:rFonts w:hint="eastAsia" w:eastAsiaTheme="minorEastAsia"/>
          <w:highlight w:val="none"/>
        </w:rPr>
        <w:t>月</w:t>
      </w:r>
      <w:r>
        <w:rPr>
          <w:rFonts w:hint="eastAsia" w:eastAsiaTheme="minorEastAsia"/>
          <w:highlight w:val="none"/>
          <w:lang w:val="en-US" w:eastAsia="zh-CN"/>
        </w:rPr>
        <w:t>30</w:t>
      </w:r>
      <w:r>
        <w:rPr>
          <w:rFonts w:hint="eastAsia" w:eastAsiaTheme="minorEastAsia"/>
          <w:highlight w:val="none"/>
        </w:rPr>
        <w:t>日起进入清算程序，由本基金管理人博时基金管理有限公司、基金托管人</w:t>
      </w:r>
      <w:r>
        <w:rPr>
          <w:rFonts w:hint="eastAsia"/>
          <w:lang w:eastAsia="zh-CN"/>
        </w:rPr>
        <w:t>中信银行股份有限公司</w:t>
      </w:r>
      <w:r>
        <w:rPr>
          <w:rFonts w:hint="eastAsia" w:eastAsiaTheme="minorEastAsia"/>
          <w:highlight w:val="none"/>
        </w:rPr>
        <w:t>、</w:t>
      </w:r>
      <w:r>
        <w:rPr>
          <w:rFonts w:hint="eastAsia" w:eastAsiaTheme="minorEastAsia"/>
          <w:highlight w:val="none"/>
          <w:lang w:val="en-US" w:eastAsia="zh-CN"/>
        </w:rPr>
        <w:t>容诚</w:t>
      </w:r>
      <w:r>
        <w:rPr>
          <w:rFonts w:hint="eastAsia" w:eastAsiaTheme="minorEastAsia"/>
          <w:highlight w:val="none"/>
        </w:rPr>
        <w:t>会计师事务所</w:t>
      </w:r>
      <w:r>
        <w:rPr>
          <w:rFonts w:hint="eastAsia" w:eastAsiaTheme="minorEastAsia"/>
        </w:rPr>
        <w:t>（特殊普通合伙）</w:t>
      </w:r>
      <w:r>
        <w:rPr>
          <w:rFonts w:hint="eastAsia" w:eastAsiaTheme="minorEastAsia"/>
          <w:highlight w:val="none"/>
        </w:rPr>
        <w:t>和</w:t>
      </w:r>
      <w:r>
        <w:rPr>
          <w:rFonts w:hint="eastAsia" w:eastAsiaTheme="minorEastAsia"/>
          <w:highlight w:val="none"/>
          <w:lang w:eastAsia="zh-CN"/>
        </w:rPr>
        <w:t>上海源泰律师事务所</w:t>
      </w:r>
      <w:r>
        <w:rPr>
          <w:rFonts w:hint="eastAsia" w:eastAsiaTheme="minorEastAsia"/>
          <w:highlight w:val="none"/>
        </w:rPr>
        <w:t>组成基金财产清算小组履行基金财产清算程序，并由</w:t>
      </w:r>
      <w:r>
        <w:rPr>
          <w:rFonts w:hint="eastAsia" w:eastAsiaTheme="minorEastAsia"/>
          <w:highlight w:val="none"/>
          <w:lang w:val="en-US" w:eastAsia="zh-CN"/>
        </w:rPr>
        <w:t>容诚</w:t>
      </w:r>
      <w:r>
        <w:rPr>
          <w:rFonts w:hint="eastAsia" w:eastAsiaTheme="minorEastAsia"/>
          <w:highlight w:val="none"/>
        </w:rPr>
        <w:t>会计师事务所</w:t>
      </w:r>
      <w:r>
        <w:rPr>
          <w:rFonts w:hint="eastAsia" w:eastAsiaTheme="minorEastAsia"/>
        </w:rPr>
        <w:t>（特殊普通合伙）</w:t>
      </w:r>
      <w:r>
        <w:rPr>
          <w:rFonts w:hint="eastAsia" w:eastAsiaTheme="minorEastAsia"/>
          <w:highlight w:val="none"/>
        </w:rPr>
        <w:t>对本基金进行清算审计，</w:t>
      </w:r>
      <w:r>
        <w:rPr>
          <w:rFonts w:hint="eastAsia" w:eastAsiaTheme="minorEastAsia"/>
          <w:highlight w:val="none"/>
          <w:lang w:eastAsia="zh-CN"/>
        </w:rPr>
        <w:t>上海源泰律师事务所</w:t>
      </w:r>
      <w:r>
        <w:rPr>
          <w:rFonts w:hint="eastAsia" w:eastAsiaTheme="minorEastAsia"/>
          <w:highlight w:val="none"/>
        </w:rPr>
        <w:t>对清算报告出具法律意见。</w:t>
      </w:r>
    </w:p>
    <w:p w14:paraId="4C01B703">
      <w:pPr>
        <w:spacing w:line="360" w:lineRule="auto"/>
        <w:ind w:firstLine="420" w:firstLineChars="200"/>
        <w:rPr>
          <w:rFonts w:ascii="宋体" w:hAnsi="宋体" w:cs="Arial"/>
          <w:color w:val="000000"/>
          <w:szCs w:val="21"/>
          <w:highlight w:val="none"/>
        </w:rPr>
      </w:pPr>
    </w:p>
    <w:p w14:paraId="1048D126">
      <w:pPr>
        <w:pStyle w:val="2"/>
        <w:keepNext/>
        <w:keepLines/>
        <w:widowControl w:val="0"/>
        <w:spacing w:before="312" w:beforeLines="100" w:after="312" w:afterLines="100" w:line="360" w:lineRule="auto"/>
        <w:jc w:val="center"/>
        <w:rPr>
          <w:rStyle w:val="20"/>
          <w:rFonts w:ascii="宋体" w:hAnsi="宋体"/>
          <w:highlight w:val="none"/>
        </w:rPr>
      </w:pPr>
      <w:r>
        <w:rPr>
          <w:rStyle w:val="20"/>
          <w:rFonts w:hint="eastAsia" w:ascii="宋体" w:hAnsi="宋体"/>
          <w:highlight w:val="none"/>
        </w:rPr>
        <w:t>4、财务报告</w:t>
      </w:r>
      <w:bookmarkEnd w:id="28"/>
      <w:bookmarkEnd w:id="29"/>
    </w:p>
    <w:p w14:paraId="2ADFCAE8">
      <w:pPr>
        <w:pStyle w:val="3"/>
        <w:spacing w:before="0" w:after="0"/>
        <w:rPr>
          <w:rFonts w:ascii="宋体" w:hAnsi="宋体" w:eastAsia="宋体"/>
          <w:kern w:val="0"/>
          <w:sz w:val="21"/>
          <w:szCs w:val="21"/>
          <w:highlight w:val="none"/>
        </w:rPr>
      </w:pPr>
      <w:bookmarkStart w:id="30" w:name="_Toc476577275"/>
      <w:bookmarkStart w:id="31" w:name="_Toc225498268"/>
      <w:bookmarkStart w:id="32" w:name="_Toc483396838"/>
      <w:bookmarkStart w:id="33" w:name="_Toc361324873"/>
      <w:bookmarkStart w:id="34" w:name="_Toc409100437"/>
      <w:bookmarkStart w:id="35" w:name="_Toc484769806"/>
      <w:bookmarkStart w:id="36" w:name="_Toc409100074"/>
      <w:bookmarkStart w:id="37" w:name="_Toc484607311"/>
      <w:bookmarkStart w:id="38" w:name="_Toc491963084"/>
      <w:r>
        <w:rPr>
          <w:rFonts w:hint="eastAsia" w:ascii="宋体" w:hAnsi="宋体" w:eastAsia="宋体"/>
          <w:kern w:val="0"/>
          <w:sz w:val="21"/>
          <w:szCs w:val="21"/>
          <w:highlight w:val="none"/>
        </w:rPr>
        <w:t>4</w:t>
      </w:r>
      <w:r>
        <w:rPr>
          <w:rFonts w:ascii="宋体" w:hAnsi="宋体" w:eastAsia="宋体"/>
          <w:kern w:val="0"/>
          <w:sz w:val="21"/>
          <w:szCs w:val="21"/>
          <w:highlight w:val="none"/>
        </w:rPr>
        <w:t>.1 资产负债表</w:t>
      </w:r>
      <w:bookmarkEnd w:id="30"/>
      <w:bookmarkEnd w:id="31"/>
      <w:bookmarkEnd w:id="32"/>
      <w:bookmarkEnd w:id="33"/>
      <w:bookmarkEnd w:id="34"/>
      <w:bookmarkEnd w:id="35"/>
      <w:bookmarkEnd w:id="36"/>
      <w:bookmarkEnd w:id="37"/>
      <w:bookmarkEnd w:id="38"/>
      <w:r>
        <w:rPr>
          <w:rFonts w:hint="eastAsia" w:ascii="宋体" w:hAnsi="宋体" w:eastAsia="宋体"/>
          <w:kern w:val="0"/>
          <w:sz w:val="21"/>
          <w:szCs w:val="21"/>
          <w:highlight w:val="none"/>
        </w:rPr>
        <w:t>(已经审计)</w:t>
      </w:r>
    </w:p>
    <w:p w14:paraId="230BA497">
      <w:pPr>
        <w:autoSpaceDE w:val="0"/>
        <w:autoSpaceDN w:val="0"/>
        <w:adjustRightInd w:val="0"/>
        <w:spacing w:before="29" w:line="360" w:lineRule="auto"/>
        <w:ind w:left="15"/>
        <w:jc w:val="right"/>
        <w:rPr>
          <w:rFonts w:ascii="宋体" w:hAnsi="宋体"/>
          <w:color w:val="000000"/>
          <w:kern w:val="0"/>
          <w:szCs w:val="21"/>
          <w:highlight w:val="none"/>
        </w:rPr>
      </w:pPr>
      <w:r>
        <w:rPr>
          <w:rFonts w:ascii="宋体" w:hAnsi="宋体"/>
          <w:color w:val="000000"/>
          <w:kern w:val="0"/>
          <w:szCs w:val="21"/>
          <w:highlight w:val="none"/>
        </w:rPr>
        <w:t>单位：人民币元</w:t>
      </w:r>
    </w:p>
    <w:tbl>
      <w:tblPr>
        <w:tblStyle w:val="13"/>
        <w:tblW w:w="7951" w:type="dxa"/>
        <w:tblInd w:w="1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490"/>
        <w:gridCol w:w="4461"/>
      </w:tblGrid>
      <w:tr w14:paraId="0B08FD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490" w:type="dxa"/>
            <w:shd w:val="clear" w:color="auto" w:fill="auto"/>
            <w:vAlign w:val="center"/>
          </w:tcPr>
          <w:p w14:paraId="6F67614D">
            <w:pPr>
              <w:pStyle w:val="11"/>
              <w:spacing w:before="0" w:beforeAutospacing="0" w:after="0" w:afterAutospacing="0"/>
              <w:jc w:val="center"/>
              <w:rPr>
                <w:rFonts w:ascii="Arial" w:hAnsi="Arial" w:eastAsia="宋体" w:cs="Arial"/>
                <w:b/>
                <w:highlight w:val="none"/>
              </w:rPr>
            </w:pPr>
            <w:r>
              <w:rPr>
                <w:rFonts w:ascii="Arial" w:hAnsi="Arial" w:eastAsia="宋体" w:cs="Arial"/>
                <w:b/>
                <w:highlight w:val="none"/>
              </w:rPr>
              <w:t>资产</w:t>
            </w:r>
          </w:p>
        </w:tc>
        <w:tc>
          <w:tcPr>
            <w:tcW w:w="4461" w:type="dxa"/>
            <w:shd w:val="clear" w:color="auto" w:fill="auto"/>
            <w:vAlign w:val="center"/>
          </w:tcPr>
          <w:p w14:paraId="5C83FF70">
            <w:pPr>
              <w:pStyle w:val="11"/>
              <w:spacing w:before="0" w:beforeAutospacing="0" w:after="0" w:afterAutospacing="0"/>
              <w:jc w:val="center"/>
              <w:rPr>
                <w:rFonts w:ascii="Arial" w:hAnsi="Arial" w:eastAsia="宋体" w:cs="Arial"/>
                <w:b/>
                <w:highlight w:val="none"/>
                <w:lang w:eastAsia="zh-CN"/>
              </w:rPr>
            </w:pPr>
            <w:r>
              <w:rPr>
                <w:rFonts w:hint="eastAsia" w:ascii="Arial" w:hAnsi="Arial" w:eastAsia="宋体" w:cs="Arial"/>
                <w:b/>
                <w:highlight w:val="none"/>
                <w:lang w:eastAsia="zh-CN"/>
              </w:rPr>
              <w:t>2026年</w:t>
            </w:r>
            <w:r>
              <w:rPr>
                <w:rFonts w:hint="eastAsia" w:ascii="Arial" w:hAnsi="Arial" w:eastAsia="宋体" w:cs="Arial"/>
                <w:b/>
                <w:highlight w:val="none"/>
                <w:lang w:val="en-US" w:eastAsia="zh-CN"/>
              </w:rPr>
              <w:t>8</w:t>
            </w:r>
            <w:r>
              <w:rPr>
                <w:rFonts w:hint="eastAsia" w:ascii="Arial" w:hAnsi="Arial" w:eastAsia="宋体" w:cs="Arial"/>
                <w:b/>
                <w:highlight w:val="none"/>
                <w:lang w:eastAsia="zh-CN"/>
              </w:rPr>
              <w:t>月</w:t>
            </w:r>
            <w:r>
              <w:rPr>
                <w:rFonts w:hint="eastAsia" w:ascii="Arial" w:hAnsi="Arial" w:eastAsia="宋体" w:cs="Arial"/>
                <w:b/>
                <w:highlight w:val="none"/>
                <w:lang w:val="en-US" w:eastAsia="zh-CN"/>
              </w:rPr>
              <w:t>29</w:t>
            </w:r>
            <w:r>
              <w:rPr>
                <w:rFonts w:hint="eastAsia" w:ascii="Arial" w:hAnsi="Arial" w:eastAsia="宋体" w:cs="Arial"/>
                <w:b/>
                <w:highlight w:val="none"/>
                <w:lang w:eastAsia="zh-CN"/>
              </w:rPr>
              <w:t>日</w:t>
            </w:r>
          </w:p>
          <w:p w14:paraId="667FCAA7">
            <w:pPr>
              <w:pStyle w:val="11"/>
              <w:spacing w:before="0" w:beforeAutospacing="0" w:after="0" w:afterAutospacing="0"/>
              <w:jc w:val="center"/>
              <w:rPr>
                <w:rFonts w:ascii="Arial" w:hAnsi="Arial" w:eastAsia="宋体" w:cs="Arial"/>
                <w:b/>
                <w:highlight w:val="none"/>
                <w:lang w:eastAsia="zh-CN"/>
              </w:rPr>
            </w:pPr>
            <w:r>
              <w:rPr>
                <w:rFonts w:ascii="Arial" w:hAnsi="Arial" w:eastAsia="宋体" w:cs="Arial"/>
                <w:b/>
                <w:highlight w:val="none"/>
                <w:lang w:eastAsia="zh-CN"/>
              </w:rPr>
              <w:t>(基金</w:t>
            </w:r>
            <w:r>
              <w:rPr>
                <w:rFonts w:hint="eastAsia" w:ascii="Arial" w:hAnsi="Arial" w:eastAsia="宋体" w:cs="Arial"/>
                <w:b/>
                <w:highlight w:val="none"/>
                <w:lang w:eastAsia="zh-CN"/>
              </w:rPr>
              <w:t>最后运作</w:t>
            </w:r>
            <w:r>
              <w:rPr>
                <w:rFonts w:ascii="Arial" w:hAnsi="Arial" w:eastAsia="宋体" w:cs="Arial"/>
                <w:b/>
                <w:highlight w:val="none"/>
                <w:lang w:eastAsia="zh-CN"/>
              </w:rPr>
              <w:t>日)</w:t>
            </w:r>
          </w:p>
        </w:tc>
      </w:tr>
      <w:tr w14:paraId="6531F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9" w:hRule="atLeast"/>
        </w:trPr>
        <w:tc>
          <w:tcPr>
            <w:tcW w:w="3490" w:type="dxa"/>
            <w:shd w:val="clear" w:color="auto" w:fill="auto"/>
            <w:vAlign w:val="bottom"/>
          </w:tcPr>
          <w:p w14:paraId="49052C38">
            <w:pPr>
              <w:spacing w:before="100" w:beforeAutospacing="1" w:after="100" w:afterAutospacing="1"/>
              <w:rPr>
                <w:rFonts w:ascii="Arial" w:hAnsi="Arial" w:cs="Arial"/>
                <w:b/>
                <w:bCs/>
                <w:sz w:val="24"/>
                <w:highlight w:val="yellow"/>
              </w:rPr>
            </w:pPr>
            <w:r>
              <w:rPr>
                <w:rFonts w:ascii="Arial" w:hAnsi="Arial" w:cs="Arial"/>
                <w:b/>
                <w:bCs/>
                <w:sz w:val="24"/>
                <w:highlight w:val="none"/>
              </w:rPr>
              <w:t>资产：</w:t>
            </w:r>
          </w:p>
        </w:tc>
        <w:tc>
          <w:tcPr>
            <w:tcW w:w="4461" w:type="dxa"/>
            <w:shd w:val="clear" w:color="auto" w:fill="auto"/>
            <w:vAlign w:val="bottom"/>
          </w:tcPr>
          <w:p w14:paraId="42AE1E71">
            <w:pPr>
              <w:spacing w:before="100" w:beforeAutospacing="1" w:after="100" w:afterAutospacing="1"/>
              <w:ind w:left="-72"/>
              <w:jc w:val="right"/>
              <w:rPr>
                <w:rFonts w:ascii="Arial" w:hAnsi="Arial" w:cs="Arial"/>
                <w:sz w:val="24"/>
                <w:highlight w:val="yellow"/>
              </w:rPr>
            </w:pPr>
          </w:p>
        </w:tc>
      </w:tr>
      <w:tr w14:paraId="60F21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490" w:type="dxa"/>
            <w:shd w:val="clear" w:color="auto" w:fill="auto"/>
            <w:vAlign w:val="bottom"/>
          </w:tcPr>
          <w:p w14:paraId="14BA7FD0">
            <w:pPr>
              <w:spacing w:before="100" w:beforeAutospacing="1" w:after="100" w:afterAutospacing="1"/>
              <w:rPr>
                <w:rFonts w:hint="eastAsia"/>
              </w:rPr>
            </w:pPr>
            <w:r>
              <w:rPr>
                <w:rFonts w:hint="eastAsia"/>
              </w:rPr>
              <w:t>货币资金</w:t>
            </w:r>
          </w:p>
        </w:tc>
        <w:tc>
          <w:tcPr>
            <w:tcW w:w="4461" w:type="dxa"/>
            <w:shd w:val="clear" w:color="auto" w:fill="auto"/>
            <w:vAlign w:val="center"/>
          </w:tcPr>
          <w:p w14:paraId="3EAC48D6">
            <w:pPr>
              <w:keepNext w:val="0"/>
              <w:keepLines w:val="0"/>
              <w:widowControl/>
              <w:suppressLineNumbers w:val="0"/>
              <w:jc w:val="righ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1,727,185.67</w:t>
            </w:r>
          </w:p>
        </w:tc>
      </w:tr>
      <w:tr w14:paraId="12BCCE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490" w:type="dxa"/>
            <w:shd w:val="clear" w:color="auto" w:fill="auto"/>
            <w:vAlign w:val="bottom"/>
          </w:tcPr>
          <w:p w14:paraId="6240C0FA">
            <w:pPr>
              <w:spacing w:before="100" w:beforeAutospacing="1" w:after="100" w:afterAutospacing="1"/>
              <w:rPr>
                <w:rFonts w:hint="eastAsia"/>
              </w:rPr>
            </w:pPr>
            <w:r>
              <w:rPr>
                <w:rFonts w:hint="eastAsia"/>
              </w:rPr>
              <w:t>结算备付金</w:t>
            </w:r>
          </w:p>
        </w:tc>
        <w:tc>
          <w:tcPr>
            <w:tcW w:w="4461" w:type="dxa"/>
            <w:shd w:val="clear" w:color="auto" w:fill="auto"/>
            <w:vAlign w:val="center"/>
          </w:tcPr>
          <w:p w14:paraId="38518301">
            <w:pPr>
              <w:keepNext w:val="0"/>
              <w:keepLines w:val="0"/>
              <w:widowControl/>
              <w:suppressLineNumbers w:val="0"/>
              <w:jc w:val="righ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7,754.01</w:t>
            </w:r>
          </w:p>
        </w:tc>
      </w:tr>
      <w:tr w14:paraId="403F7E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490" w:type="dxa"/>
            <w:shd w:val="clear" w:color="auto" w:fill="auto"/>
            <w:vAlign w:val="bottom"/>
          </w:tcPr>
          <w:p w14:paraId="4D71578C">
            <w:pPr>
              <w:spacing w:before="100" w:beforeAutospacing="1" w:after="100" w:afterAutospacing="1"/>
              <w:rPr>
                <w:rFonts w:hint="eastAsia"/>
              </w:rPr>
            </w:pPr>
            <w:r>
              <w:rPr>
                <w:rFonts w:hint="eastAsia"/>
              </w:rPr>
              <w:t>存出保证金</w:t>
            </w:r>
          </w:p>
        </w:tc>
        <w:tc>
          <w:tcPr>
            <w:tcW w:w="4461" w:type="dxa"/>
            <w:shd w:val="clear" w:color="auto" w:fill="auto"/>
            <w:vAlign w:val="center"/>
          </w:tcPr>
          <w:p w14:paraId="5B988C92">
            <w:pPr>
              <w:keepNext w:val="0"/>
              <w:keepLines w:val="0"/>
              <w:widowControl/>
              <w:suppressLineNumbers w:val="0"/>
              <w:jc w:val="righ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2,217.07</w:t>
            </w:r>
          </w:p>
        </w:tc>
      </w:tr>
      <w:tr w14:paraId="7B36B4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0" w:hRule="atLeast"/>
        </w:trPr>
        <w:tc>
          <w:tcPr>
            <w:tcW w:w="3490" w:type="dxa"/>
            <w:shd w:val="clear" w:color="auto" w:fill="auto"/>
          </w:tcPr>
          <w:p w14:paraId="5A475759">
            <w:pPr>
              <w:spacing w:before="100" w:beforeAutospacing="1" w:after="100" w:afterAutospacing="1"/>
              <w:rPr>
                <w:rFonts w:hint="eastAsia"/>
              </w:rPr>
            </w:pPr>
            <w:r>
              <w:rPr>
                <w:rFonts w:hint="eastAsia"/>
              </w:rPr>
              <w:t>交易性金融资产</w:t>
            </w:r>
          </w:p>
        </w:tc>
        <w:tc>
          <w:tcPr>
            <w:tcW w:w="4461" w:type="dxa"/>
            <w:shd w:val="clear" w:color="auto" w:fill="auto"/>
            <w:vAlign w:val="center"/>
          </w:tcPr>
          <w:p w14:paraId="23EBB830">
            <w:pPr>
              <w:keepNext w:val="0"/>
              <w:keepLines w:val="0"/>
              <w:widowControl/>
              <w:suppressLineNumbers w:val="0"/>
              <w:jc w:val="righ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16,086,681.37</w:t>
            </w:r>
          </w:p>
        </w:tc>
      </w:tr>
      <w:tr w14:paraId="326B2C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490" w:type="dxa"/>
            <w:shd w:val="clear" w:color="auto" w:fill="auto"/>
          </w:tcPr>
          <w:p w14:paraId="492F562F">
            <w:pPr>
              <w:spacing w:before="100" w:beforeAutospacing="1" w:after="100" w:afterAutospacing="1"/>
              <w:rPr>
                <w:rFonts w:hint="eastAsia"/>
              </w:rPr>
            </w:pPr>
            <w:r>
              <w:rPr>
                <w:rFonts w:hint="eastAsia"/>
              </w:rPr>
              <w:t>买入返售金融资产</w:t>
            </w:r>
          </w:p>
        </w:tc>
        <w:tc>
          <w:tcPr>
            <w:tcW w:w="4461" w:type="dxa"/>
            <w:shd w:val="clear" w:color="auto" w:fill="auto"/>
          </w:tcPr>
          <w:p w14:paraId="29F17C91">
            <w:pPr>
              <w:ind w:left="-80"/>
              <w:jc w:val="right"/>
              <w:rPr>
                <w:rFonts w:hint="eastAsia" w:eastAsia="宋体"/>
                <w:lang w:eastAsia="zh-CN"/>
              </w:rPr>
            </w:pPr>
            <w:r>
              <w:rPr>
                <w:rFonts w:hint="eastAsia"/>
                <w:lang w:val="en-US" w:eastAsia="zh-CN"/>
              </w:rPr>
              <w:t>-</w:t>
            </w:r>
          </w:p>
        </w:tc>
      </w:tr>
      <w:tr w14:paraId="37597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490" w:type="dxa"/>
            <w:shd w:val="clear" w:color="auto" w:fill="auto"/>
          </w:tcPr>
          <w:p w14:paraId="0994E91D">
            <w:pPr>
              <w:spacing w:before="100" w:beforeAutospacing="1" w:after="100" w:afterAutospacing="1"/>
              <w:rPr>
                <w:rFonts w:hint="default"/>
                <w:lang w:val="en-US" w:eastAsia="zh-CN"/>
              </w:rPr>
            </w:pPr>
            <w:r>
              <w:rPr>
                <w:rFonts w:hint="eastAsia"/>
                <w:lang w:val="en-US" w:eastAsia="zh-CN"/>
              </w:rPr>
              <w:t>应收清算款</w:t>
            </w:r>
          </w:p>
        </w:tc>
        <w:tc>
          <w:tcPr>
            <w:tcW w:w="4461" w:type="dxa"/>
            <w:shd w:val="clear" w:color="auto" w:fill="auto"/>
            <w:vAlign w:val="center"/>
          </w:tcPr>
          <w:p w14:paraId="72B29D42">
            <w:pPr>
              <w:keepNext w:val="0"/>
              <w:keepLines w:val="0"/>
              <w:widowControl/>
              <w:suppressLineNumbers w:val="0"/>
              <w:jc w:val="right"/>
              <w:textAlignment w:val="center"/>
              <w:rPr>
                <w:rFonts w:hint="default"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375,098.90</w:t>
            </w:r>
          </w:p>
        </w:tc>
      </w:tr>
      <w:tr w14:paraId="21D8C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1" w:hRule="atLeast"/>
        </w:trPr>
        <w:tc>
          <w:tcPr>
            <w:tcW w:w="3490" w:type="dxa"/>
            <w:shd w:val="clear" w:color="auto" w:fill="auto"/>
            <w:vAlign w:val="center"/>
          </w:tcPr>
          <w:p w14:paraId="6465F63D">
            <w:pPr>
              <w:keepNext w:val="0"/>
              <w:keepLines w:val="0"/>
              <w:widowControl/>
              <w:suppressLineNumbers w:val="0"/>
              <w:jc w:val="left"/>
              <w:textAlignment w:val="center"/>
              <w:rPr>
                <w:rFonts w:hint="eastAsia"/>
                <w:highlight w:val="yellow"/>
                <w:lang w:val="en-US" w:eastAsia="zh-CN"/>
              </w:rPr>
            </w:pPr>
            <w:r>
              <w:rPr>
                <w:rFonts w:hint="eastAsia" w:ascii="宋体" w:hAnsi="宋体" w:eastAsia="宋体" w:cs="宋体"/>
                <w:i w:val="0"/>
                <w:iCs w:val="0"/>
                <w:color w:val="000000"/>
                <w:kern w:val="0"/>
                <w:sz w:val="18"/>
                <w:szCs w:val="18"/>
                <w:u w:val="none"/>
                <w:lang w:val="en-US" w:eastAsia="zh-CN" w:bidi="ar"/>
              </w:rPr>
              <w:t>应收股利</w:t>
            </w:r>
          </w:p>
        </w:tc>
        <w:tc>
          <w:tcPr>
            <w:tcW w:w="4461" w:type="dxa"/>
            <w:shd w:val="clear" w:color="auto" w:fill="auto"/>
            <w:vAlign w:val="center"/>
          </w:tcPr>
          <w:p w14:paraId="28A63743">
            <w:pPr>
              <w:keepNext w:val="0"/>
              <w:keepLines w:val="0"/>
              <w:widowControl/>
              <w:suppressLineNumbers w:val="0"/>
              <w:jc w:val="right"/>
              <w:textAlignment w:val="center"/>
              <w:rPr>
                <w:rFonts w:hint="eastAsia" w:eastAsia="宋体"/>
                <w:lang w:val="en-US" w:eastAsia="zh-CN"/>
              </w:rPr>
            </w:pPr>
            <w:r>
              <w:rPr>
                <w:rFonts w:hint="eastAsia" w:ascii="宋体" w:hAnsi="宋体" w:eastAsia="宋体" w:cs="宋体"/>
                <w:i w:val="0"/>
                <w:iCs w:val="0"/>
                <w:color w:val="000000"/>
                <w:kern w:val="0"/>
                <w:sz w:val="20"/>
                <w:szCs w:val="20"/>
                <w:u w:val="none"/>
                <w:lang w:val="en-US" w:eastAsia="zh-CN" w:bidi="ar"/>
              </w:rPr>
              <w:t>93.96</w:t>
            </w:r>
          </w:p>
        </w:tc>
      </w:tr>
      <w:tr w14:paraId="13C97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1" w:hRule="atLeast"/>
        </w:trPr>
        <w:tc>
          <w:tcPr>
            <w:tcW w:w="3490" w:type="dxa"/>
            <w:shd w:val="clear" w:color="auto" w:fill="auto"/>
            <w:vAlign w:val="center"/>
          </w:tcPr>
          <w:p w14:paraId="7A834D04">
            <w:pPr>
              <w:keepNext w:val="0"/>
              <w:keepLines w:val="0"/>
              <w:widowControl/>
              <w:suppressLineNumbers w:val="0"/>
              <w:jc w:val="left"/>
              <w:textAlignment w:val="center"/>
              <w:rPr>
                <w:rFonts w:hint="eastAsia"/>
              </w:rPr>
            </w:pPr>
            <w:r>
              <w:rPr>
                <w:rFonts w:hint="eastAsia" w:ascii="宋体" w:hAnsi="宋体" w:eastAsia="宋体" w:cs="宋体"/>
                <w:i w:val="0"/>
                <w:iCs w:val="0"/>
                <w:color w:val="000000"/>
                <w:kern w:val="0"/>
                <w:sz w:val="20"/>
                <w:szCs w:val="20"/>
                <w:u w:val="none"/>
                <w:lang w:val="en-US" w:eastAsia="zh-CN" w:bidi="ar"/>
              </w:rPr>
              <w:t>应收申购款</w:t>
            </w:r>
          </w:p>
        </w:tc>
        <w:tc>
          <w:tcPr>
            <w:tcW w:w="4461" w:type="dxa"/>
            <w:shd w:val="clear" w:color="auto" w:fill="auto"/>
            <w:vAlign w:val="center"/>
          </w:tcPr>
          <w:p w14:paraId="624E628A">
            <w:pPr>
              <w:keepNext w:val="0"/>
              <w:keepLines w:val="0"/>
              <w:widowControl/>
              <w:suppressLineNumbers w:val="0"/>
              <w:jc w:val="right"/>
              <w:textAlignment w:val="center"/>
              <w:rPr>
                <w:rFonts w:hint="eastAsia"/>
                <w:lang w:val="en-US" w:eastAsia="zh-CN"/>
              </w:rPr>
            </w:pPr>
            <w:r>
              <w:rPr>
                <w:rFonts w:hint="eastAsia" w:ascii="宋体" w:hAnsi="宋体" w:eastAsia="宋体" w:cs="宋体"/>
                <w:i w:val="0"/>
                <w:iCs w:val="0"/>
                <w:color w:val="000000"/>
                <w:kern w:val="0"/>
                <w:sz w:val="20"/>
                <w:szCs w:val="20"/>
                <w:u w:val="none"/>
                <w:lang w:val="en-US" w:eastAsia="zh-CN" w:bidi="ar"/>
              </w:rPr>
              <w:t>7,204.52</w:t>
            </w:r>
          </w:p>
        </w:tc>
      </w:tr>
      <w:tr w14:paraId="64719F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490" w:type="dxa"/>
            <w:shd w:val="clear" w:color="auto" w:fill="auto"/>
            <w:vAlign w:val="bottom"/>
          </w:tcPr>
          <w:p w14:paraId="791608A4">
            <w:pPr>
              <w:spacing w:before="100" w:beforeAutospacing="1" w:after="100" w:afterAutospacing="1"/>
              <w:rPr>
                <w:rFonts w:ascii="Arial" w:hAnsi="Arial" w:cs="Arial"/>
                <w:b/>
                <w:bCs/>
                <w:sz w:val="24"/>
                <w:highlight w:val="none"/>
              </w:rPr>
            </w:pPr>
            <w:r>
              <w:rPr>
                <w:rFonts w:ascii="Arial" w:hAnsi="Arial" w:cs="Arial"/>
                <w:b/>
                <w:bCs/>
                <w:sz w:val="24"/>
                <w:highlight w:val="none"/>
              </w:rPr>
              <w:t>资产总计</w:t>
            </w:r>
          </w:p>
        </w:tc>
        <w:tc>
          <w:tcPr>
            <w:tcW w:w="4461" w:type="dxa"/>
            <w:shd w:val="clear" w:color="auto" w:fill="auto"/>
            <w:vAlign w:val="center"/>
          </w:tcPr>
          <w:p w14:paraId="7AD6F467">
            <w:pPr>
              <w:keepNext w:val="0"/>
              <w:keepLines w:val="0"/>
              <w:widowControl/>
              <w:suppressLineNumbers w:val="0"/>
              <w:jc w:val="right"/>
              <w:textAlignment w:val="center"/>
              <w:rPr>
                <w:rFonts w:hint="eastAsia" w:ascii="宋体" w:hAnsi="宋体" w:eastAsia="宋体" w:cs="宋体"/>
                <w:b/>
                <w:bCs/>
                <w:i w:val="0"/>
                <w:iCs w:val="0"/>
                <w:color w:val="000000"/>
                <w:kern w:val="2"/>
                <w:sz w:val="20"/>
                <w:szCs w:val="20"/>
                <w:u w:val="none"/>
                <w:lang w:val="en-US" w:eastAsia="zh-CN" w:bidi="ar-SA"/>
              </w:rPr>
            </w:pPr>
            <w:r>
              <w:rPr>
                <w:rFonts w:hint="eastAsia" w:ascii="宋体" w:hAnsi="宋体" w:eastAsia="宋体" w:cs="宋体"/>
                <w:b/>
                <w:bCs/>
                <w:i w:val="0"/>
                <w:iCs w:val="0"/>
                <w:color w:val="000000"/>
                <w:kern w:val="0"/>
                <w:sz w:val="20"/>
                <w:szCs w:val="20"/>
                <w:u w:val="none"/>
                <w:lang w:val="en-US" w:eastAsia="zh-CN" w:bidi="ar"/>
              </w:rPr>
              <w:t>18,206,235.50</w:t>
            </w:r>
          </w:p>
        </w:tc>
      </w:tr>
      <w:tr w14:paraId="0EFED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490" w:type="dxa"/>
            <w:shd w:val="clear" w:color="auto" w:fill="auto"/>
            <w:vAlign w:val="bottom"/>
          </w:tcPr>
          <w:p w14:paraId="048C53F9">
            <w:pPr>
              <w:spacing w:before="100" w:beforeAutospacing="1" w:after="100" w:afterAutospacing="1"/>
              <w:rPr>
                <w:rFonts w:ascii="Arial" w:hAnsi="Arial" w:cs="Arial"/>
                <w:b/>
                <w:bCs/>
                <w:sz w:val="24"/>
                <w:highlight w:val="none"/>
              </w:rPr>
            </w:pPr>
            <w:r>
              <w:rPr>
                <w:rFonts w:ascii="Arial" w:hAnsi="Arial" w:cs="Arial"/>
                <w:b/>
                <w:bCs/>
                <w:sz w:val="24"/>
                <w:highlight w:val="none"/>
              </w:rPr>
              <w:t>负债：</w:t>
            </w:r>
          </w:p>
        </w:tc>
        <w:tc>
          <w:tcPr>
            <w:tcW w:w="4461" w:type="dxa"/>
            <w:shd w:val="clear" w:color="auto" w:fill="auto"/>
            <w:vAlign w:val="bottom"/>
          </w:tcPr>
          <w:p w14:paraId="122498DC">
            <w:pPr>
              <w:ind w:left="-80"/>
              <w:jc w:val="right"/>
              <w:rPr>
                <w:rFonts w:hint="eastAsia"/>
                <w:lang w:val="en-US" w:eastAsia="zh-CN"/>
              </w:rPr>
            </w:pPr>
          </w:p>
        </w:tc>
      </w:tr>
      <w:tr w14:paraId="28743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490" w:type="dxa"/>
            <w:shd w:val="clear" w:color="auto" w:fill="auto"/>
          </w:tcPr>
          <w:p w14:paraId="02EA6908">
            <w:pPr>
              <w:spacing w:before="100" w:beforeAutospacing="1" w:after="100" w:afterAutospacing="1"/>
              <w:rPr>
                <w:rFonts w:ascii="Arial" w:hAnsi="Arial" w:cs="Arial"/>
                <w:sz w:val="24"/>
                <w:highlight w:val="none"/>
              </w:rPr>
            </w:pPr>
            <w:r>
              <w:rPr>
                <w:rFonts w:hint="eastAsia"/>
              </w:rPr>
              <w:t>应付清算款</w:t>
            </w:r>
          </w:p>
        </w:tc>
        <w:tc>
          <w:tcPr>
            <w:tcW w:w="4461" w:type="dxa"/>
            <w:shd w:val="clear" w:color="auto" w:fill="auto"/>
          </w:tcPr>
          <w:p w14:paraId="04B5274A">
            <w:pPr>
              <w:ind w:left="-80"/>
              <w:jc w:val="right"/>
              <w:rPr>
                <w:rFonts w:hint="eastAsia" w:eastAsia="宋体"/>
                <w:lang w:val="en-US" w:eastAsia="zh-CN"/>
              </w:rPr>
            </w:pPr>
            <w:r>
              <w:rPr>
                <w:rFonts w:hint="eastAsia"/>
                <w:lang w:val="en-US" w:eastAsia="zh-CN"/>
              </w:rPr>
              <w:t>-</w:t>
            </w:r>
          </w:p>
        </w:tc>
      </w:tr>
      <w:tr w14:paraId="6E32B6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490" w:type="dxa"/>
            <w:shd w:val="clear" w:color="auto" w:fill="auto"/>
          </w:tcPr>
          <w:p w14:paraId="4BE5C325">
            <w:pPr>
              <w:spacing w:before="100" w:beforeAutospacing="1" w:after="100" w:afterAutospacing="1"/>
              <w:rPr>
                <w:rFonts w:ascii="Arial" w:hAnsi="Arial" w:cs="Arial"/>
                <w:sz w:val="24"/>
                <w:highlight w:val="none"/>
              </w:rPr>
            </w:pPr>
            <w:r>
              <w:rPr>
                <w:rFonts w:hint="eastAsia"/>
              </w:rPr>
              <w:t>应付赎回款</w:t>
            </w:r>
          </w:p>
        </w:tc>
        <w:tc>
          <w:tcPr>
            <w:tcW w:w="4461" w:type="dxa"/>
            <w:shd w:val="clear" w:color="auto" w:fill="auto"/>
            <w:vAlign w:val="center"/>
          </w:tcPr>
          <w:p w14:paraId="72572F06">
            <w:pPr>
              <w:keepNext w:val="0"/>
              <w:keepLines w:val="0"/>
              <w:widowControl/>
              <w:suppressLineNumbers w:val="0"/>
              <w:jc w:val="righ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122,222.94</w:t>
            </w:r>
          </w:p>
        </w:tc>
      </w:tr>
      <w:tr w14:paraId="2261F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490" w:type="dxa"/>
            <w:shd w:val="clear" w:color="auto" w:fill="auto"/>
          </w:tcPr>
          <w:p w14:paraId="2BAC1D4D">
            <w:pPr>
              <w:spacing w:before="100" w:beforeAutospacing="1" w:after="100" w:afterAutospacing="1"/>
              <w:rPr>
                <w:rFonts w:ascii="Arial" w:hAnsi="Arial" w:cs="Arial"/>
                <w:sz w:val="24"/>
                <w:highlight w:val="none"/>
              </w:rPr>
            </w:pPr>
            <w:r>
              <w:rPr>
                <w:rFonts w:hint="eastAsia"/>
              </w:rPr>
              <w:t>应付管理人报酬</w:t>
            </w:r>
          </w:p>
        </w:tc>
        <w:tc>
          <w:tcPr>
            <w:tcW w:w="4461" w:type="dxa"/>
            <w:shd w:val="clear" w:color="auto" w:fill="auto"/>
            <w:vAlign w:val="center"/>
          </w:tcPr>
          <w:p w14:paraId="483B36EF">
            <w:pPr>
              <w:keepNext w:val="0"/>
              <w:keepLines w:val="0"/>
              <w:widowControl/>
              <w:suppressLineNumbers w:val="0"/>
              <w:jc w:val="righ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11,247.97</w:t>
            </w:r>
          </w:p>
        </w:tc>
      </w:tr>
      <w:tr w14:paraId="3154E6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490" w:type="dxa"/>
            <w:shd w:val="clear" w:color="auto" w:fill="auto"/>
          </w:tcPr>
          <w:p w14:paraId="6C378994">
            <w:pPr>
              <w:spacing w:before="100" w:beforeAutospacing="1" w:after="100" w:afterAutospacing="1"/>
              <w:rPr>
                <w:rFonts w:ascii="Arial" w:hAnsi="Arial" w:cs="Arial"/>
                <w:sz w:val="24"/>
                <w:highlight w:val="none"/>
              </w:rPr>
            </w:pPr>
            <w:r>
              <w:rPr>
                <w:rFonts w:hint="eastAsia"/>
              </w:rPr>
              <w:t>应付托管费</w:t>
            </w:r>
          </w:p>
        </w:tc>
        <w:tc>
          <w:tcPr>
            <w:tcW w:w="4461" w:type="dxa"/>
            <w:shd w:val="clear" w:color="auto" w:fill="auto"/>
            <w:vAlign w:val="center"/>
          </w:tcPr>
          <w:p w14:paraId="4A26F6E7">
            <w:pPr>
              <w:keepNext w:val="0"/>
              <w:keepLines w:val="0"/>
              <w:widowControl/>
              <w:suppressLineNumbers w:val="0"/>
              <w:jc w:val="right"/>
              <w:textAlignment w:val="center"/>
              <w:rPr>
                <w:rFonts w:hint="eastAsia"/>
                <w:lang w:val="en-US" w:eastAsia="zh-CN"/>
              </w:rPr>
            </w:pPr>
            <w:r>
              <w:rPr>
                <w:rFonts w:hint="eastAsia" w:ascii="宋体" w:hAnsi="宋体" w:eastAsia="宋体" w:cs="宋体"/>
                <w:i w:val="0"/>
                <w:iCs w:val="0"/>
                <w:color w:val="000000"/>
                <w:kern w:val="0"/>
                <w:sz w:val="20"/>
                <w:szCs w:val="20"/>
                <w:u w:val="none"/>
                <w:lang w:val="en-US" w:eastAsia="zh-CN" w:bidi="ar"/>
              </w:rPr>
              <w:t>2,839.89</w:t>
            </w:r>
          </w:p>
        </w:tc>
      </w:tr>
      <w:tr w14:paraId="555A9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490" w:type="dxa"/>
            <w:shd w:val="clear" w:color="auto" w:fill="auto"/>
          </w:tcPr>
          <w:p w14:paraId="61A990B9">
            <w:pPr>
              <w:spacing w:before="100" w:beforeAutospacing="1" w:after="100" w:afterAutospacing="1"/>
              <w:rPr>
                <w:rFonts w:hint="eastAsia"/>
                <w:highlight w:val="none"/>
              </w:rPr>
            </w:pPr>
            <w:r>
              <w:rPr>
                <w:rFonts w:hint="eastAsia"/>
              </w:rPr>
              <w:t>应付销售服务费</w:t>
            </w:r>
          </w:p>
        </w:tc>
        <w:tc>
          <w:tcPr>
            <w:tcW w:w="4461" w:type="dxa"/>
            <w:shd w:val="clear" w:color="auto" w:fill="auto"/>
            <w:vAlign w:val="center"/>
          </w:tcPr>
          <w:p w14:paraId="192F9D52">
            <w:pPr>
              <w:keepNext w:val="0"/>
              <w:keepLines w:val="0"/>
              <w:widowControl/>
              <w:suppressLineNumbers w:val="0"/>
              <w:jc w:val="right"/>
              <w:textAlignment w:val="center"/>
              <w:rPr>
                <w:rFonts w:hint="eastAsia"/>
                <w:lang w:val="en-US" w:eastAsia="zh-CN"/>
              </w:rPr>
            </w:pPr>
            <w:r>
              <w:rPr>
                <w:rFonts w:hint="eastAsia" w:ascii="宋体" w:hAnsi="宋体" w:eastAsia="宋体" w:cs="宋体"/>
                <w:i w:val="0"/>
                <w:iCs w:val="0"/>
                <w:color w:val="000000"/>
                <w:kern w:val="0"/>
                <w:sz w:val="20"/>
                <w:szCs w:val="20"/>
                <w:u w:val="none"/>
                <w:lang w:val="en-US" w:eastAsia="zh-CN" w:bidi="ar"/>
              </w:rPr>
              <w:t>386.31</w:t>
            </w:r>
          </w:p>
        </w:tc>
      </w:tr>
      <w:tr w14:paraId="69DEB0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490" w:type="dxa"/>
            <w:shd w:val="clear" w:color="auto" w:fill="auto"/>
          </w:tcPr>
          <w:p w14:paraId="3F6DB766">
            <w:pPr>
              <w:spacing w:before="100" w:beforeAutospacing="1" w:after="100" w:afterAutospacing="1"/>
              <w:rPr>
                <w:rFonts w:hint="eastAsia"/>
                <w:highlight w:val="none"/>
              </w:rPr>
            </w:pPr>
            <w:r>
              <w:rPr>
                <w:rFonts w:hint="eastAsia"/>
                <w:highlight w:val="none"/>
              </w:rPr>
              <w:t>应交税费</w:t>
            </w:r>
          </w:p>
        </w:tc>
        <w:tc>
          <w:tcPr>
            <w:tcW w:w="4461" w:type="dxa"/>
            <w:shd w:val="clear" w:color="auto" w:fill="auto"/>
            <w:vAlign w:val="center"/>
          </w:tcPr>
          <w:p w14:paraId="70F270FE">
            <w:pPr>
              <w:keepNext w:val="0"/>
              <w:keepLines w:val="0"/>
              <w:widowControl/>
              <w:suppressLineNumbers w:val="0"/>
              <w:jc w:val="right"/>
              <w:textAlignment w:val="center"/>
              <w:rPr>
                <w:rFonts w:hint="default"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21.43</w:t>
            </w:r>
          </w:p>
        </w:tc>
      </w:tr>
      <w:tr w14:paraId="416C4D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2" w:hRule="atLeast"/>
        </w:trPr>
        <w:tc>
          <w:tcPr>
            <w:tcW w:w="3490" w:type="dxa"/>
            <w:shd w:val="clear" w:color="auto" w:fill="auto"/>
            <w:vAlign w:val="bottom"/>
          </w:tcPr>
          <w:p w14:paraId="286FEAE8">
            <w:pPr>
              <w:spacing w:before="100" w:beforeAutospacing="1" w:after="100" w:afterAutospacing="1"/>
              <w:rPr>
                <w:rFonts w:ascii="Arial" w:hAnsi="Arial" w:cs="Arial"/>
                <w:sz w:val="24"/>
                <w:highlight w:val="none"/>
              </w:rPr>
            </w:pPr>
            <w:r>
              <w:rPr>
                <w:rFonts w:ascii="Arial" w:hAnsi="Arial" w:cs="Arial"/>
                <w:sz w:val="24"/>
                <w:highlight w:val="none"/>
              </w:rPr>
              <w:t>其他负债</w:t>
            </w:r>
          </w:p>
        </w:tc>
        <w:tc>
          <w:tcPr>
            <w:tcW w:w="4461" w:type="dxa"/>
            <w:shd w:val="clear" w:color="auto" w:fill="auto"/>
            <w:vAlign w:val="center"/>
          </w:tcPr>
          <w:p w14:paraId="4F0E25D7">
            <w:pPr>
              <w:keepNext w:val="0"/>
              <w:keepLines w:val="0"/>
              <w:widowControl/>
              <w:suppressLineNumbers w:val="0"/>
              <w:jc w:val="right"/>
              <w:textAlignment w:val="center"/>
              <w:rPr>
                <w:rFonts w:hint="default"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16,597.51</w:t>
            </w:r>
          </w:p>
        </w:tc>
      </w:tr>
      <w:tr w14:paraId="26DFF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490" w:type="dxa"/>
            <w:shd w:val="clear" w:color="auto" w:fill="auto"/>
            <w:vAlign w:val="bottom"/>
          </w:tcPr>
          <w:p w14:paraId="0C2A187D">
            <w:pPr>
              <w:spacing w:before="100" w:beforeAutospacing="1" w:after="100" w:afterAutospacing="1"/>
              <w:rPr>
                <w:rFonts w:ascii="Arial" w:hAnsi="Arial" w:cs="Arial"/>
                <w:b/>
                <w:bCs/>
                <w:sz w:val="24"/>
                <w:highlight w:val="yellow"/>
              </w:rPr>
            </w:pPr>
            <w:r>
              <w:rPr>
                <w:rFonts w:ascii="Arial" w:hAnsi="Arial" w:cs="Arial"/>
                <w:b/>
                <w:bCs/>
                <w:sz w:val="24"/>
                <w:highlight w:val="none"/>
              </w:rPr>
              <w:t>负债合计</w:t>
            </w:r>
          </w:p>
        </w:tc>
        <w:tc>
          <w:tcPr>
            <w:tcW w:w="4461" w:type="dxa"/>
            <w:shd w:val="clear" w:color="auto" w:fill="auto"/>
            <w:vAlign w:val="center"/>
          </w:tcPr>
          <w:p w14:paraId="3DF1742D">
            <w:pPr>
              <w:keepNext w:val="0"/>
              <w:keepLines w:val="0"/>
              <w:widowControl/>
              <w:suppressLineNumbers w:val="0"/>
              <w:jc w:val="righ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b/>
                <w:bCs/>
                <w:i w:val="0"/>
                <w:iCs w:val="0"/>
                <w:color w:val="000000"/>
                <w:kern w:val="0"/>
                <w:sz w:val="20"/>
                <w:szCs w:val="20"/>
                <w:u w:val="none"/>
                <w:lang w:val="en-US" w:eastAsia="zh-CN" w:bidi="ar"/>
              </w:rPr>
              <w:t>153</w:t>
            </w:r>
            <w:r>
              <w:rPr>
                <w:rFonts w:hint="eastAsia" w:ascii="宋体" w:hAnsi="宋体" w:cs="宋体"/>
                <w:b/>
                <w:bCs/>
                <w:i w:val="0"/>
                <w:iCs w:val="0"/>
                <w:color w:val="000000"/>
                <w:kern w:val="0"/>
                <w:sz w:val="20"/>
                <w:szCs w:val="20"/>
                <w:u w:val="none"/>
                <w:lang w:val="en-US" w:eastAsia="zh-CN" w:bidi="ar"/>
              </w:rPr>
              <w:t>,</w:t>
            </w:r>
            <w:r>
              <w:rPr>
                <w:rFonts w:hint="eastAsia" w:ascii="宋体" w:hAnsi="宋体" w:eastAsia="宋体" w:cs="宋体"/>
                <w:b/>
                <w:bCs/>
                <w:i w:val="0"/>
                <w:iCs w:val="0"/>
                <w:color w:val="000000"/>
                <w:kern w:val="0"/>
                <w:sz w:val="20"/>
                <w:szCs w:val="20"/>
                <w:u w:val="none"/>
                <w:lang w:val="en-US" w:eastAsia="zh-CN" w:bidi="ar"/>
              </w:rPr>
              <w:t>316.05</w:t>
            </w:r>
          </w:p>
        </w:tc>
      </w:tr>
      <w:tr w14:paraId="3FE74F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490" w:type="dxa"/>
            <w:shd w:val="clear" w:color="auto" w:fill="auto"/>
            <w:vAlign w:val="bottom"/>
          </w:tcPr>
          <w:p w14:paraId="4FFDC843">
            <w:pPr>
              <w:spacing w:before="100" w:beforeAutospacing="1" w:after="100" w:afterAutospacing="1"/>
              <w:rPr>
                <w:rFonts w:ascii="Arial" w:hAnsi="Arial" w:cs="Arial"/>
                <w:b/>
                <w:bCs/>
                <w:sz w:val="24"/>
                <w:highlight w:val="none"/>
              </w:rPr>
            </w:pPr>
            <w:r>
              <w:rPr>
                <w:rFonts w:hint="eastAsia" w:ascii="Arial" w:hAnsi="Arial" w:cs="Arial"/>
                <w:b/>
                <w:bCs/>
                <w:sz w:val="24"/>
                <w:highlight w:val="none"/>
              </w:rPr>
              <w:t>净资产</w:t>
            </w:r>
            <w:r>
              <w:rPr>
                <w:rFonts w:ascii="Arial" w:hAnsi="Arial" w:cs="Arial"/>
                <w:b/>
                <w:bCs/>
                <w:sz w:val="24"/>
                <w:highlight w:val="none"/>
              </w:rPr>
              <w:t>：</w:t>
            </w:r>
          </w:p>
        </w:tc>
        <w:tc>
          <w:tcPr>
            <w:tcW w:w="4461" w:type="dxa"/>
            <w:shd w:val="clear" w:color="auto" w:fill="auto"/>
            <w:vAlign w:val="bottom"/>
          </w:tcPr>
          <w:p w14:paraId="2E728ADF">
            <w:pPr>
              <w:ind w:left="-80"/>
              <w:jc w:val="right"/>
              <w:rPr>
                <w:rFonts w:ascii="Arial" w:hAnsi="Arial" w:cs="Arial"/>
                <w:b/>
                <w:bCs/>
                <w:sz w:val="24"/>
                <w:highlight w:val="none"/>
              </w:rPr>
            </w:pPr>
          </w:p>
        </w:tc>
      </w:tr>
      <w:tr w14:paraId="6D3327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490" w:type="dxa"/>
            <w:shd w:val="clear" w:color="auto" w:fill="auto"/>
            <w:vAlign w:val="bottom"/>
          </w:tcPr>
          <w:p w14:paraId="3BFE2CD5">
            <w:pPr>
              <w:spacing w:before="100" w:beforeAutospacing="1" w:after="100" w:afterAutospacing="1"/>
              <w:rPr>
                <w:rFonts w:hint="eastAsia"/>
                <w:highlight w:val="none"/>
              </w:rPr>
            </w:pPr>
            <w:r>
              <w:rPr>
                <w:rFonts w:hint="eastAsia"/>
                <w:highlight w:val="none"/>
              </w:rPr>
              <w:t>实收基金</w:t>
            </w:r>
          </w:p>
        </w:tc>
        <w:tc>
          <w:tcPr>
            <w:tcW w:w="4461" w:type="dxa"/>
            <w:shd w:val="clear" w:color="auto" w:fill="auto"/>
            <w:vAlign w:val="center"/>
          </w:tcPr>
          <w:p w14:paraId="54AB4DD5">
            <w:pPr>
              <w:keepNext w:val="0"/>
              <w:keepLines w:val="0"/>
              <w:widowControl/>
              <w:suppressLineNumbers w:val="0"/>
              <w:jc w:val="righ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12,365,647.13</w:t>
            </w:r>
          </w:p>
        </w:tc>
      </w:tr>
      <w:tr w14:paraId="3620E9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490" w:type="dxa"/>
            <w:shd w:val="clear" w:color="auto" w:fill="auto"/>
            <w:vAlign w:val="bottom"/>
          </w:tcPr>
          <w:p w14:paraId="60DE18B1">
            <w:pPr>
              <w:spacing w:before="100" w:beforeAutospacing="1" w:after="100" w:afterAutospacing="1"/>
              <w:rPr>
                <w:rFonts w:hint="eastAsia"/>
                <w:highlight w:val="none"/>
              </w:rPr>
            </w:pPr>
            <w:r>
              <w:rPr>
                <w:rFonts w:hint="eastAsia"/>
                <w:highlight w:val="none"/>
              </w:rPr>
              <w:t>未分配利润</w:t>
            </w:r>
          </w:p>
        </w:tc>
        <w:tc>
          <w:tcPr>
            <w:tcW w:w="4461" w:type="dxa"/>
            <w:shd w:val="clear" w:color="auto" w:fill="auto"/>
            <w:vAlign w:val="center"/>
          </w:tcPr>
          <w:p w14:paraId="4A506C3A">
            <w:pPr>
              <w:keepNext w:val="0"/>
              <w:keepLines w:val="0"/>
              <w:widowControl/>
              <w:suppressLineNumbers w:val="0"/>
              <w:jc w:val="right"/>
              <w:textAlignment w:val="center"/>
              <w:rPr>
                <w:rFonts w:hint="default"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5,687,272.32</w:t>
            </w:r>
          </w:p>
        </w:tc>
      </w:tr>
      <w:tr w14:paraId="5C684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490" w:type="dxa"/>
            <w:shd w:val="clear" w:color="auto" w:fill="auto"/>
            <w:vAlign w:val="bottom"/>
          </w:tcPr>
          <w:p w14:paraId="0EC1E8BF">
            <w:pPr>
              <w:spacing w:before="100" w:beforeAutospacing="1" w:after="100" w:afterAutospacing="1"/>
              <w:rPr>
                <w:rFonts w:ascii="Arial" w:hAnsi="Arial" w:cs="Arial"/>
                <w:b/>
                <w:bCs/>
                <w:sz w:val="24"/>
                <w:highlight w:val="none"/>
              </w:rPr>
            </w:pPr>
            <w:r>
              <w:rPr>
                <w:rFonts w:hint="eastAsia" w:ascii="Arial" w:hAnsi="Arial" w:cs="Arial"/>
                <w:b/>
                <w:bCs/>
                <w:sz w:val="24"/>
                <w:highlight w:val="none"/>
              </w:rPr>
              <w:t>净资产</w:t>
            </w:r>
            <w:r>
              <w:rPr>
                <w:rFonts w:ascii="Arial" w:hAnsi="Arial" w:cs="Arial"/>
                <w:b/>
                <w:bCs/>
                <w:sz w:val="24"/>
                <w:highlight w:val="none"/>
              </w:rPr>
              <w:t>合计</w:t>
            </w:r>
          </w:p>
        </w:tc>
        <w:tc>
          <w:tcPr>
            <w:tcW w:w="4461" w:type="dxa"/>
            <w:shd w:val="clear" w:color="auto" w:fill="auto"/>
            <w:vAlign w:val="center"/>
          </w:tcPr>
          <w:p w14:paraId="2859ADC7">
            <w:pPr>
              <w:keepNext w:val="0"/>
              <w:keepLines w:val="0"/>
              <w:widowControl/>
              <w:suppressLineNumbers w:val="0"/>
              <w:jc w:val="right"/>
              <w:textAlignment w:val="center"/>
              <w:rPr>
                <w:rFonts w:hint="eastAsia" w:ascii="宋体" w:hAnsi="宋体" w:eastAsia="宋体" w:cs="宋体"/>
                <w:b/>
                <w:bCs/>
                <w:i w:val="0"/>
                <w:iCs w:val="0"/>
                <w:color w:val="000000"/>
                <w:kern w:val="2"/>
                <w:sz w:val="20"/>
                <w:szCs w:val="20"/>
                <w:u w:val="none"/>
                <w:lang w:val="en-US" w:eastAsia="zh-CN" w:bidi="ar-SA"/>
              </w:rPr>
            </w:pPr>
            <w:r>
              <w:rPr>
                <w:rFonts w:hint="eastAsia" w:ascii="宋体" w:hAnsi="宋体" w:eastAsia="宋体" w:cs="宋体"/>
                <w:b/>
                <w:bCs/>
                <w:i w:val="0"/>
                <w:iCs w:val="0"/>
                <w:color w:val="000000"/>
                <w:kern w:val="0"/>
                <w:sz w:val="20"/>
                <w:szCs w:val="20"/>
                <w:u w:val="none"/>
                <w:lang w:val="en-US" w:eastAsia="zh-CN" w:bidi="ar"/>
              </w:rPr>
              <w:t>18,052,919.45</w:t>
            </w:r>
          </w:p>
        </w:tc>
      </w:tr>
      <w:tr w14:paraId="1050E3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490" w:type="dxa"/>
            <w:shd w:val="clear" w:color="auto" w:fill="auto"/>
            <w:vAlign w:val="bottom"/>
          </w:tcPr>
          <w:p w14:paraId="4B66E973">
            <w:pPr>
              <w:spacing w:before="100" w:beforeAutospacing="1" w:after="100" w:afterAutospacing="1"/>
              <w:rPr>
                <w:rFonts w:ascii="Arial" w:hAnsi="Arial" w:cs="Arial"/>
                <w:b/>
                <w:bCs/>
                <w:sz w:val="24"/>
                <w:highlight w:val="none"/>
              </w:rPr>
            </w:pPr>
            <w:r>
              <w:rPr>
                <w:rFonts w:ascii="Arial" w:hAnsi="Arial" w:cs="Arial"/>
                <w:b/>
                <w:bCs/>
                <w:sz w:val="24"/>
                <w:highlight w:val="none"/>
              </w:rPr>
              <w:t>负债和</w:t>
            </w:r>
            <w:r>
              <w:rPr>
                <w:rFonts w:hint="eastAsia" w:ascii="Arial" w:hAnsi="Arial" w:cs="Arial"/>
                <w:b/>
                <w:bCs/>
                <w:sz w:val="24"/>
                <w:highlight w:val="none"/>
              </w:rPr>
              <w:t>净资产</w:t>
            </w:r>
            <w:r>
              <w:rPr>
                <w:rFonts w:ascii="Arial" w:hAnsi="Arial" w:cs="Arial"/>
                <w:b/>
                <w:bCs/>
                <w:sz w:val="24"/>
                <w:highlight w:val="none"/>
              </w:rPr>
              <w:t>总计</w:t>
            </w:r>
          </w:p>
        </w:tc>
        <w:tc>
          <w:tcPr>
            <w:tcW w:w="4461" w:type="dxa"/>
            <w:shd w:val="clear" w:color="auto" w:fill="auto"/>
            <w:vAlign w:val="center"/>
          </w:tcPr>
          <w:p w14:paraId="6E204DC8">
            <w:pPr>
              <w:keepNext w:val="0"/>
              <w:keepLines w:val="0"/>
              <w:widowControl/>
              <w:suppressLineNumbers w:val="0"/>
              <w:jc w:val="right"/>
              <w:textAlignment w:val="center"/>
              <w:rPr>
                <w:rFonts w:hint="eastAsia" w:ascii="宋体" w:hAnsi="宋体" w:eastAsia="宋体" w:cs="宋体"/>
                <w:b/>
                <w:bCs/>
                <w:i w:val="0"/>
                <w:iCs w:val="0"/>
                <w:color w:val="000000"/>
                <w:kern w:val="2"/>
                <w:sz w:val="20"/>
                <w:szCs w:val="20"/>
                <w:u w:val="none"/>
                <w:lang w:val="en-US" w:eastAsia="zh-CN" w:bidi="ar-SA"/>
              </w:rPr>
            </w:pPr>
            <w:r>
              <w:rPr>
                <w:rFonts w:hint="eastAsia" w:ascii="宋体" w:hAnsi="宋体" w:eastAsia="宋体" w:cs="宋体"/>
                <w:b/>
                <w:bCs/>
                <w:i w:val="0"/>
                <w:iCs w:val="0"/>
                <w:color w:val="000000"/>
                <w:kern w:val="0"/>
                <w:sz w:val="20"/>
                <w:szCs w:val="20"/>
                <w:u w:val="none"/>
                <w:lang w:val="en-US" w:eastAsia="zh-CN" w:bidi="ar"/>
              </w:rPr>
              <w:t>18,206,235.50</w:t>
            </w:r>
          </w:p>
        </w:tc>
      </w:tr>
    </w:tbl>
    <w:p w14:paraId="2CE8F92B">
      <w:pPr>
        <w:spacing w:line="0" w:lineRule="atLeast"/>
        <w:rPr>
          <w:rFonts w:hint="eastAsia" w:ascii="宋体" w:hAnsi="宋体" w:eastAsia="宋体" w:cs="Arial"/>
          <w:szCs w:val="21"/>
          <w:highlight w:val="none"/>
          <w:lang w:eastAsia="zh-CN"/>
        </w:rPr>
      </w:pPr>
      <w:r>
        <w:rPr>
          <w:rFonts w:hint="eastAsia" w:ascii="宋体" w:hAnsi="宋体" w:cs="Arial"/>
          <w:szCs w:val="21"/>
          <w:highlight w:val="none"/>
        </w:rPr>
        <w:t>注：报告截止日202</w:t>
      </w:r>
      <w:r>
        <w:rPr>
          <w:rFonts w:hint="eastAsia" w:ascii="宋体" w:hAnsi="宋体" w:cs="Arial"/>
          <w:szCs w:val="21"/>
          <w:highlight w:val="none"/>
          <w:lang w:val="en-US" w:eastAsia="zh-CN"/>
        </w:rPr>
        <w:t>6</w:t>
      </w:r>
      <w:r>
        <w:rPr>
          <w:rFonts w:hint="eastAsia" w:ascii="宋体" w:hAnsi="宋体" w:cs="Arial"/>
          <w:szCs w:val="21"/>
          <w:highlight w:val="none"/>
        </w:rPr>
        <w:t>年</w:t>
      </w:r>
      <w:r>
        <w:rPr>
          <w:rFonts w:hint="eastAsia" w:ascii="宋体" w:hAnsi="宋体" w:cs="Arial"/>
          <w:szCs w:val="21"/>
          <w:highlight w:val="none"/>
          <w:lang w:val="en-US" w:eastAsia="zh-CN"/>
        </w:rPr>
        <w:t>8</w:t>
      </w:r>
      <w:r>
        <w:rPr>
          <w:rFonts w:hint="eastAsia" w:ascii="宋体" w:hAnsi="宋体" w:cs="Arial"/>
          <w:szCs w:val="21"/>
          <w:highlight w:val="none"/>
        </w:rPr>
        <w:t>月2</w:t>
      </w:r>
      <w:r>
        <w:rPr>
          <w:rFonts w:hint="eastAsia" w:ascii="宋体" w:hAnsi="宋体" w:cs="Arial"/>
          <w:szCs w:val="21"/>
          <w:highlight w:val="none"/>
          <w:lang w:val="en-US" w:eastAsia="zh-CN"/>
        </w:rPr>
        <w:t>9</w:t>
      </w:r>
      <w:r>
        <w:rPr>
          <w:rFonts w:hint="eastAsia" w:ascii="宋体" w:hAnsi="宋体" w:cs="Arial"/>
          <w:szCs w:val="21"/>
          <w:highlight w:val="none"/>
        </w:rPr>
        <w:t>日(基金最后运作日)，基金份额总额12,365,647.13份。其中A类基金份额净值1.4611元，基金份额总额11,263,047.89份；C类基金份额净值1.4480元，基金份额总额1,102,599.24份。</w:t>
      </w:r>
      <w:r>
        <w:rPr>
          <w:rFonts w:hint="eastAsia" w:ascii="宋体" w:hAnsi="宋体" w:cs="Arial"/>
          <w:szCs w:val="21"/>
          <w:highlight w:val="none"/>
          <w:lang w:eastAsia="zh-CN"/>
        </w:rPr>
        <w:t>；</w:t>
      </w:r>
    </w:p>
    <w:p w14:paraId="30A3C911">
      <w:pPr>
        <w:pStyle w:val="3"/>
        <w:spacing w:before="0" w:after="0"/>
        <w:rPr>
          <w:rFonts w:ascii="宋体" w:hAnsi="宋体" w:eastAsia="宋体"/>
          <w:kern w:val="0"/>
          <w:sz w:val="21"/>
          <w:szCs w:val="21"/>
          <w:highlight w:val="none"/>
        </w:rPr>
      </w:pPr>
      <w:bookmarkStart w:id="39" w:name="_Toc484769807"/>
      <w:bookmarkStart w:id="40" w:name="_Toc491963085"/>
      <w:r>
        <w:rPr>
          <w:rFonts w:hint="eastAsia" w:ascii="宋体" w:hAnsi="宋体" w:eastAsia="宋体"/>
          <w:kern w:val="0"/>
          <w:sz w:val="21"/>
          <w:szCs w:val="21"/>
          <w:highlight w:val="none"/>
        </w:rPr>
        <w:t>4</w:t>
      </w:r>
      <w:r>
        <w:rPr>
          <w:rFonts w:ascii="宋体" w:hAnsi="宋体" w:eastAsia="宋体"/>
          <w:kern w:val="0"/>
          <w:sz w:val="21"/>
          <w:szCs w:val="21"/>
          <w:highlight w:val="none"/>
        </w:rPr>
        <w:t xml:space="preserve">.2 </w:t>
      </w:r>
      <w:r>
        <w:rPr>
          <w:rFonts w:hint="eastAsia" w:ascii="宋体" w:hAnsi="宋体" w:eastAsia="宋体"/>
          <w:kern w:val="0"/>
          <w:sz w:val="21"/>
          <w:szCs w:val="21"/>
          <w:highlight w:val="none"/>
        </w:rPr>
        <w:t>清算损益表</w:t>
      </w:r>
      <w:bookmarkEnd w:id="39"/>
      <w:bookmarkEnd w:id="40"/>
    </w:p>
    <w:tbl>
      <w:tblPr>
        <w:tblStyle w:val="13"/>
        <w:tblW w:w="79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495"/>
        <w:gridCol w:w="4408"/>
      </w:tblGrid>
      <w:tr w14:paraId="1D41BE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495" w:type="dxa"/>
            <w:vAlign w:val="center"/>
          </w:tcPr>
          <w:p w14:paraId="4D4B16AD">
            <w:pPr>
              <w:pStyle w:val="11"/>
              <w:jc w:val="center"/>
              <w:rPr>
                <w:rFonts w:hint="eastAsia" w:ascii="宋体" w:hAnsi="宋体" w:eastAsia="宋体"/>
                <w:b/>
                <w:color w:val="000000" w:themeColor="text1"/>
                <w:sz w:val="21"/>
                <w:szCs w:val="21"/>
                <w:highlight w:val="none"/>
                <w14:textFill>
                  <w14:solidFill>
                    <w14:schemeClr w14:val="tx1"/>
                  </w14:solidFill>
                </w14:textFill>
              </w:rPr>
            </w:pPr>
            <w:r>
              <w:rPr>
                <w:rFonts w:ascii="宋体" w:hAnsi="宋体" w:eastAsia="宋体"/>
                <w:b/>
                <w:color w:val="000000" w:themeColor="text1"/>
                <w:sz w:val="21"/>
                <w:szCs w:val="21"/>
                <w:highlight w:val="none"/>
                <w14:textFill>
                  <w14:solidFill>
                    <w14:schemeClr w14:val="tx1"/>
                  </w14:solidFill>
                </w14:textFill>
              </w:rPr>
              <w:t>项目</w:t>
            </w:r>
          </w:p>
        </w:tc>
        <w:tc>
          <w:tcPr>
            <w:tcW w:w="4408" w:type="dxa"/>
            <w:vAlign w:val="center"/>
          </w:tcPr>
          <w:p w14:paraId="6F4BA68E">
            <w:pPr>
              <w:pStyle w:val="11"/>
              <w:spacing w:before="0" w:beforeAutospacing="0" w:after="0" w:afterAutospacing="0"/>
              <w:jc w:val="center"/>
              <w:rPr>
                <w:rFonts w:hint="eastAsia" w:ascii="宋体" w:hAnsi="宋体" w:eastAsia="宋体"/>
                <w:b/>
                <w:color w:val="000000" w:themeColor="text1"/>
                <w:sz w:val="21"/>
                <w:szCs w:val="21"/>
                <w:highlight w:val="none"/>
                <w:lang w:eastAsia="zh-CN"/>
                <w14:textFill>
                  <w14:solidFill>
                    <w14:schemeClr w14:val="tx1"/>
                  </w14:solidFill>
                </w14:textFill>
              </w:rPr>
            </w:pPr>
            <w:r>
              <w:rPr>
                <w:rFonts w:hint="eastAsia" w:ascii="宋体" w:hAnsi="宋体" w:eastAsia="宋体"/>
                <w:b/>
                <w:color w:val="000000" w:themeColor="text1"/>
                <w:sz w:val="21"/>
                <w:szCs w:val="21"/>
                <w:highlight w:val="none"/>
                <w:lang w:eastAsia="zh-CN"/>
                <w14:textFill>
                  <w14:solidFill>
                    <w14:schemeClr w14:val="tx1"/>
                  </w14:solidFill>
                </w14:textFill>
              </w:rPr>
              <w:t>2026年</w:t>
            </w:r>
            <w:r>
              <w:rPr>
                <w:rFonts w:hint="eastAsia" w:ascii="宋体" w:hAnsi="宋体" w:eastAsia="宋体"/>
                <w:b/>
                <w:color w:val="000000" w:themeColor="text1"/>
                <w:sz w:val="21"/>
                <w:szCs w:val="21"/>
                <w:highlight w:val="none"/>
                <w:lang w:val="en-US" w:eastAsia="zh-CN"/>
                <w14:textFill>
                  <w14:solidFill>
                    <w14:schemeClr w14:val="tx1"/>
                  </w14:solidFill>
                </w14:textFill>
              </w:rPr>
              <w:t>8</w:t>
            </w:r>
            <w:r>
              <w:rPr>
                <w:rFonts w:hint="eastAsia" w:ascii="宋体" w:hAnsi="宋体" w:eastAsia="宋体"/>
                <w:b/>
                <w:color w:val="000000" w:themeColor="text1"/>
                <w:sz w:val="21"/>
                <w:szCs w:val="21"/>
                <w:highlight w:val="none"/>
                <w:lang w:eastAsia="zh-CN"/>
                <w14:textFill>
                  <w14:solidFill>
                    <w14:schemeClr w14:val="tx1"/>
                  </w14:solidFill>
                </w14:textFill>
              </w:rPr>
              <w:t>月</w:t>
            </w:r>
            <w:r>
              <w:rPr>
                <w:rFonts w:hint="eastAsia" w:ascii="宋体" w:hAnsi="宋体" w:eastAsia="宋体"/>
                <w:b/>
                <w:color w:val="000000" w:themeColor="text1"/>
                <w:sz w:val="21"/>
                <w:szCs w:val="21"/>
                <w:highlight w:val="none"/>
                <w:lang w:val="en-US" w:eastAsia="zh-CN"/>
                <w14:textFill>
                  <w14:solidFill>
                    <w14:schemeClr w14:val="tx1"/>
                  </w14:solidFill>
                </w14:textFill>
              </w:rPr>
              <w:t>30</w:t>
            </w:r>
            <w:r>
              <w:rPr>
                <w:rFonts w:hint="eastAsia" w:ascii="宋体" w:hAnsi="宋体" w:eastAsia="宋体"/>
                <w:b/>
                <w:color w:val="000000" w:themeColor="text1"/>
                <w:sz w:val="21"/>
                <w:szCs w:val="21"/>
                <w:highlight w:val="none"/>
                <w:lang w:eastAsia="zh-CN"/>
                <w14:textFill>
                  <w14:solidFill>
                    <w14:schemeClr w14:val="tx1"/>
                  </w14:solidFill>
                </w14:textFill>
              </w:rPr>
              <w:t>日至2026年</w:t>
            </w:r>
            <w:r>
              <w:rPr>
                <w:rFonts w:hint="eastAsia" w:ascii="宋体" w:hAnsi="宋体" w:eastAsia="宋体"/>
                <w:b/>
                <w:color w:val="000000" w:themeColor="text1"/>
                <w:sz w:val="21"/>
                <w:szCs w:val="21"/>
                <w:highlight w:val="none"/>
                <w:lang w:val="en-US" w:eastAsia="zh-CN"/>
                <w14:textFill>
                  <w14:solidFill>
                    <w14:schemeClr w14:val="tx1"/>
                  </w14:solidFill>
                </w14:textFill>
              </w:rPr>
              <w:t>9</w:t>
            </w:r>
            <w:r>
              <w:rPr>
                <w:rFonts w:hint="eastAsia" w:ascii="宋体" w:hAnsi="宋体" w:eastAsia="宋体"/>
                <w:b/>
                <w:color w:val="000000" w:themeColor="text1"/>
                <w:sz w:val="21"/>
                <w:szCs w:val="21"/>
                <w:highlight w:val="none"/>
                <w:lang w:eastAsia="zh-CN"/>
                <w14:textFill>
                  <w14:solidFill>
                    <w14:schemeClr w14:val="tx1"/>
                  </w14:solidFill>
                </w14:textFill>
              </w:rPr>
              <w:t>月</w:t>
            </w:r>
            <w:r>
              <w:rPr>
                <w:rFonts w:hint="eastAsia" w:ascii="宋体" w:hAnsi="宋体" w:eastAsia="宋体"/>
                <w:b/>
                <w:color w:val="000000" w:themeColor="text1"/>
                <w:sz w:val="21"/>
                <w:szCs w:val="21"/>
                <w:highlight w:val="none"/>
                <w:lang w:val="en-US" w:eastAsia="zh-CN"/>
                <w14:textFill>
                  <w14:solidFill>
                    <w14:schemeClr w14:val="tx1"/>
                  </w14:solidFill>
                </w14:textFill>
              </w:rPr>
              <w:t>15</w:t>
            </w:r>
            <w:r>
              <w:rPr>
                <w:rFonts w:hint="eastAsia" w:ascii="宋体" w:hAnsi="宋体" w:eastAsia="宋体"/>
                <w:b/>
                <w:color w:val="000000" w:themeColor="text1"/>
                <w:sz w:val="21"/>
                <w:szCs w:val="21"/>
                <w:highlight w:val="none"/>
                <w:lang w:eastAsia="zh-CN"/>
                <w14:textFill>
                  <w14:solidFill>
                    <w14:schemeClr w14:val="tx1"/>
                  </w14:solidFill>
                </w14:textFill>
              </w:rPr>
              <w:t>日</w:t>
            </w:r>
          </w:p>
          <w:p w14:paraId="4A4385F8">
            <w:pPr>
              <w:pStyle w:val="11"/>
              <w:spacing w:before="0" w:beforeAutospacing="0" w:after="0" w:afterAutospacing="0"/>
              <w:jc w:val="center"/>
              <w:rPr>
                <w:rFonts w:hint="eastAsia" w:ascii="宋体" w:hAnsi="宋体" w:eastAsia="宋体"/>
                <w:b/>
                <w:color w:val="000000" w:themeColor="text1"/>
                <w:sz w:val="21"/>
                <w:szCs w:val="21"/>
                <w:highlight w:val="none"/>
                <w:lang w:eastAsia="zh-CN"/>
                <w14:textFill>
                  <w14:solidFill>
                    <w14:schemeClr w14:val="tx1"/>
                  </w14:solidFill>
                </w14:textFill>
              </w:rPr>
            </w:pPr>
            <w:r>
              <w:rPr>
                <w:rFonts w:hint="eastAsia" w:ascii="宋体" w:hAnsi="宋体" w:eastAsia="宋体"/>
                <w:b/>
                <w:color w:val="000000" w:themeColor="text1"/>
                <w:sz w:val="21"/>
                <w:szCs w:val="21"/>
                <w:highlight w:val="none"/>
                <w:lang w:eastAsia="zh-CN"/>
                <w14:textFill>
                  <w14:solidFill>
                    <w14:schemeClr w14:val="tx1"/>
                  </w14:solidFill>
                </w14:textFill>
              </w:rPr>
              <w:t>（清算期间）</w:t>
            </w:r>
          </w:p>
        </w:tc>
      </w:tr>
      <w:tr w14:paraId="0B3242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3495" w:type="dxa"/>
            <w:vAlign w:val="center"/>
          </w:tcPr>
          <w:p w14:paraId="32A0658D">
            <w:pPr>
              <w:rPr>
                <w:rFonts w:hint="eastAsia" w:ascii="宋体" w:hAnsi="宋体"/>
                <w:b/>
                <w:color w:val="000000" w:themeColor="text1"/>
                <w:szCs w:val="21"/>
                <w:highlight w:val="none"/>
                <w14:textFill>
                  <w14:solidFill>
                    <w14:schemeClr w14:val="tx1"/>
                  </w14:solidFill>
                </w14:textFill>
              </w:rPr>
            </w:pPr>
            <w:r>
              <w:rPr>
                <w:rFonts w:hint="eastAsia"/>
                <w:b/>
                <w:bCs/>
                <w:color w:val="000000"/>
                <w:szCs w:val="21"/>
                <w:highlight w:val="none"/>
              </w:rPr>
              <w:t>一、清算收益</w:t>
            </w:r>
          </w:p>
        </w:tc>
        <w:tc>
          <w:tcPr>
            <w:tcW w:w="4408" w:type="dxa"/>
          </w:tcPr>
          <w:p w14:paraId="30DAD6C0">
            <w:pPr>
              <w:ind w:left="-80"/>
              <w:jc w:val="right"/>
              <w:rPr>
                <w:rFonts w:ascii="Arial" w:hAnsi="Arial" w:cs="Arial"/>
                <w:b/>
                <w:bCs/>
                <w:color w:val="000000"/>
                <w:sz w:val="24"/>
                <w:highlight w:val="none"/>
              </w:rPr>
            </w:pPr>
            <w:r>
              <w:rPr>
                <w:rFonts w:hint="eastAsia"/>
              </w:rPr>
              <w:t>-42,380.41</w:t>
            </w:r>
          </w:p>
        </w:tc>
      </w:tr>
      <w:tr w14:paraId="7000BD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495" w:type="dxa"/>
            <w:vAlign w:val="center"/>
          </w:tcPr>
          <w:p w14:paraId="46F14E82">
            <w:pPr>
              <w:rPr>
                <w:rFonts w:hint="eastAsia" w:ascii="宋体" w:hAnsi="宋体"/>
                <w:color w:val="000000" w:themeColor="text1"/>
                <w:szCs w:val="21"/>
                <w:highlight w:val="none"/>
                <w14:textFill>
                  <w14:solidFill>
                    <w14:schemeClr w14:val="tx1"/>
                  </w14:solidFill>
                </w14:textFill>
              </w:rPr>
            </w:pPr>
            <w:r>
              <w:rPr>
                <w:color w:val="000000"/>
                <w:szCs w:val="21"/>
                <w:highlight w:val="none"/>
              </w:rPr>
              <w:t>1.</w:t>
            </w:r>
            <w:r>
              <w:rPr>
                <w:color w:val="000000"/>
                <w:sz w:val="14"/>
                <w:szCs w:val="14"/>
                <w:highlight w:val="none"/>
              </w:rPr>
              <w:t xml:space="preserve">  </w:t>
            </w:r>
            <w:r>
              <w:rPr>
                <w:rFonts w:hint="eastAsia"/>
                <w:color w:val="000000"/>
                <w:szCs w:val="21"/>
                <w:highlight w:val="none"/>
              </w:rPr>
              <w:t>利息收入</w:t>
            </w:r>
          </w:p>
        </w:tc>
        <w:tc>
          <w:tcPr>
            <w:tcW w:w="4408" w:type="dxa"/>
          </w:tcPr>
          <w:p w14:paraId="7E451FAF">
            <w:pPr>
              <w:ind w:left="-80"/>
              <w:jc w:val="right"/>
              <w:rPr>
                <w:rFonts w:ascii="Arial" w:hAnsi="Arial" w:cs="Arial"/>
                <w:color w:val="000000"/>
                <w:sz w:val="24"/>
                <w:highlight w:val="none"/>
              </w:rPr>
            </w:pPr>
            <w:r>
              <w:rPr>
                <w:rFonts w:hint="eastAsia"/>
              </w:rPr>
              <w:t>362.32</w:t>
            </w:r>
          </w:p>
        </w:tc>
      </w:tr>
      <w:tr w14:paraId="090780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495" w:type="dxa"/>
            <w:vAlign w:val="center"/>
          </w:tcPr>
          <w:p w14:paraId="2D588E81">
            <w:pPr>
              <w:rPr>
                <w:rFonts w:hint="eastAsia" w:ascii="宋体" w:hAnsi="宋体"/>
                <w:color w:val="000000" w:themeColor="text1"/>
                <w:szCs w:val="21"/>
                <w:highlight w:val="none"/>
                <w14:textFill>
                  <w14:solidFill>
                    <w14:schemeClr w14:val="tx1"/>
                  </w14:solidFill>
                </w14:textFill>
              </w:rPr>
            </w:pPr>
            <w:r>
              <w:rPr>
                <w:color w:val="000000"/>
                <w:szCs w:val="21"/>
                <w:highlight w:val="none"/>
              </w:rPr>
              <w:t>2.</w:t>
            </w:r>
            <w:r>
              <w:rPr>
                <w:color w:val="000000"/>
                <w:sz w:val="14"/>
                <w:szCs w:val="14"/>
                <w:highlight w:val="none"/>
              </w:rPr>
              <w:t xml:space="preserve">  </w:t>
            </w:r>
            <w:r>
              <w:rPr>
                <w:rFonts w:hint="eastAsia"/>
                <w:color w:val="000000"/>
                <w:szCs w:val="21"/>
                <w:highlight w:val="none"/>
              </w:rPr>
              <w:t>其他收入</w:t>
            </w:r>
          </w:p>
        </w:tc>
        <w:tc>
          <w:tcPr>
            <w:tcW w:w="4408" w:type="dxa"/>
          </w:tcPr>
          <w:p w14:paraId="08E836C4">
            <w:pPr>
              <w:ind w:left="-80"/>
              <w:jc w:val="right"/>
              <w:rPr>
                <w:rFonts w:hint="default" w:ascii="Arial" w:hAnsi="Arial" w:eastAsia="宋体" w:cs="Arial"/>
                <w:color w:val="000000"/>
                <w:sz w:val="24"/>
                <w:highlight w:val="none"/>
                <w:lang w:val="en-US" w:eastAsia="zh-CN"/>
              </w:rPr>
            </w:pPr>
            <w:r>
              <w:rPr>
                <w:rFonts w:hint="eastAsia"/>
                <w:highlight w:val="none"/>
                <w:lang w:val="en-US" w:eastAsia="zh-CN"/>
              </w:rPr>
              <w:t>1,324.13</w:t>
            </w:r>
          </w:p>
        </w:tc>
      </w:tr>
      <w:tr w14:paraId="275189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7" w:hRule="atLeast"/>
          <w:jc w:val="center"/>
        </w:trPr>
        <w:tc>
          <w:tcPr>
            <w:tcW w:w="3495" w:type="dxa"/>
            <w:vAlign w:val="center"/>
          </w:tcPr>
          <w:p w14:paraId="2FE653CE">
            <w:pPr>
              <w:rPr>
                <w:color w:val="000000"/>
                <w:szCs w:val="21"/>
                <w:highlight w:val="none"/>
              </w:rPr>
            </w:pPr>
            <w:r>
              <w:rPr>
                <w:color w:val="000000"/>
                <w:szCs w:val="21"/>
                <w:highlight w:val="none"/>
              </w:rPr>
              <w:t xml:space="preserve">3. </w:t>
            </w:r>
            <w:r>
              <w:rPr>
                <w:rFonts w:hint="eastAsia"/>
                <w:color w:val="000000"/>
                <w:szCs w:val="21"/>
                <w:highlight w:val="none"/>
              </w:rPr>
              <w:t>公允价值变动损益</w:t>
            </w:r>
          </w:p>
        </w:tc>
        <w:tc>
          <w:tcPr>
            <w:tcW w:w="4408" w:type="dxa"/>
          </w:tcPr>
          <w:p w14:paraId="2A905D55">
            <w:pPr>
              <w:ind w:left="-80"/>
              <w:jc w:val="right"/>
              <w:rPr>
                <w:rFonts w:hint="eastAsia" w:ascii="Arial" w:hAnsi="Arial" w:eastAsia="宋体" w:cs="Arial"/>
                <w:color w:val="000000"/>
                <w:sz w:val="24"/>
                <w:highlight w:val="none"/>
                <w:lang w:eastAsia="zh-CN"/>
              </w:rPr>
            </w:pPr>
            <w:r>
              <w:rPr>
                <w:rFonts w:hint="eastAsia"/>
                <w:highlight w:val="none"/>
                <w:lang w:val="en-US" w:eastAsia="zh-CN"/>
              </w:rPr>
              <w:t>-2,942,669.12</w:t>
            </w:r>
          </w:p>
        </w:tc>
      </w:tr>
      <w:tr w14:paraId="58DB2C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7" w:hRule="atLeast"/>
          <w:jc w:val="center"/>
        </w:trPr>
        <w:tc>
          <w:tcPr>
            <w:tcW w:w="3495" w:type="dxa"/>
            <w:vAlign w:val="center"/>
          </w:tcPr>
          <w:p w14:paraId="1D1CA88C">
            <w:pPr>
              <w:rPr>
                <w:color w:val="000000"/>
                <w:szCs w:val="21"/>
                <w:highlight w:val="none"/>
              </w:rPr>
            </w:pPr>
            <w:r>
              <w:rPr>
                <w:color w:val="000000"/>
                <w:szCs w:val="21"/>
                <w:highlight w:val="none"/>
              </w:rPr>
              <w:t>4</w:t>
            </w:r>
            <w:r>
              <w:rPr>
                <w:rFonts w:hint="eastAsia"/>
                <w:color w:val="000000"/>
                <w:szCs w:val="21"/>
                <w:highlight w:val="none"/>
              </w:rPr>
              <w:t>．投资收益</w:t>
            </w:r>
          </w:p>
        </w:tc>
        <w:tc>
          <w:tcPr>
            <w:tcW w:w="4408" w:type="dxa"/>
          </w:tcPr>
          <w:p w14:paraId="3E1F3D8E">
            <w:pPr>
              <w:ind w:left="-80"/>
              <w:jc w:val="right"/>
              <w:rPr>
                <w:rFonts w:hint="eastAsia" w:ascii="Arial" w:hAnsi="Arial" w:eastAsia="宋体" w:cs="Arial"/>
                <w:color w:val="000000"/>
                <w:sz w:val="24"/>
                <w:highlight w:val="none"/>
                <w:lang w:eastAsia="zh-CN"/>
              </w:rPr>
            </w:pPr>
            <w:r>
              <w:rPr>
                <w:rFonts w:hint="eastAsia"/>
                <w:highlight w:val="none"/>
                <w:lang w:val="en-US" w:eastAsia="zh-CN"/>
              </w:rPr>
              <w:t>2,898,602.26</w:t>
            </w:r>
          </w:p>
        </w:tc>
      </w:tr>
      <w:tr w14:paraId="465C5B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495" w:type="dxa"/>
            <w:vAlign w:val="center"/>
          </w:tcPr>
          <w:p w14:paraId="136C3A26">
            <w:pPr>
              <w:rPr>
                <w:rFonts w:hint="eastAsia" w:ascii="宋体" w:hAnsi="宋体"/>
                <w:color w:val="000000" w:themeColor="text1"/>
                <w:szCs w:val="21"/>
                <w:highlight w:val="none"/>
                <w14:textFill>
                  <w14:solidFill>
                    <w14:schemeClr w14:val="tx1"/>
                  </w14:solidFill>
                </w14:textFill>
              </w:rPr>
            </w:pPr>
            <w:r>
              <w:rPr>
                <w:rFonts w:hint="eastAsia"/>
                <w:b/>
                <w:bCs/>
                <w:color w:val="000000"/>
                <w:szCs w:val="21"/>
                <w:highlight w:val="none"/>
              </w:rPr>
              <w:t>二、清算费用</w:t>
            </w:r>
          </w:p>
        </w:tc>
        <w:tc>
          <w:tcPr>
            <w:tcW w:w="4408" w:type="dxa"/>
          </w:tcPr>
          <w:p w14:paraId="75B2E3D1">
            <w:pPr>
              <w:ind w:left="-80"/>
              <w:jc w:val="right"/>
              <w:rPr>
                <w:rFonts w:hint="eastAsia"/>
                <w:highlight w:val="none"/>
                <w:lang w:val="en-US" w:eastAsia="zh-CN"/>
              </w:rPr>
            </w:pPr>
            <w:r>
              <w:rPr>
                <w:rFonts w:hint="eastAsia"/>
                <w:highlight w:val="none"/>
                <w:lang w:val="en-US" w:eastAsia="zh-CN"/>
              </w:rPr>
              <w:t>0.16</w:t>
            </w:r>
          </w:p>
        </w:tc>
      </w:tr>
      <w:tr w14:paraId="58A37E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495" w:type="dxa"/>
            <w:vAlign w:val="center"/>
          </w:tcPr>
          <w:p w14:paraId="6820036D">
            <w:pPr>
              <w:rPr>
                <w:rFonts w:hint="eastAsia" w:ascii="宋体" w:hAnsi="宋体"/>
                <w:b/>
                <w:color w:val="000000" w:themeColor="text1"/>
                <w:szCs w:val="21"/>
                <w:highlight w:val="none"/>
                <w14:textFill>
                  <w14:solidFill>
                    <w14:schemeClr w14:val="tx1"/>
                  </w14:solidFill>
                </w14:textFill>
              </w:rPr>
            </w:pPr>
            <w:r>
              <w:rPr>
                <w:rFonts w:hint="eastAsia"/>
                <w:color w:val="000000"/>
                <w:szCs w:val="21"/>
                <w:highlight w:val="none"/>
              </w:rPr>
              <w:t>汇划费</w:t>
            </w:r>
          </w:p>
        </w:tc>
        <w:tc>
          <w:tcPr>
            <w:tcW w:w="4408" w:type="dxa"/>
          </w:tcPr>
          <w:p w14:paraId="577E1078">
            <w:pPr>
              <w:ind w:left="-80"/>
              <w:jc w:val="right"/>
              <w:rPr>
                <w:rFonts w:hint="eastAsia"/>
                <w:highlight w:val="none"/>
                <w:lang w:val="en-US" w:eastAsia="zh-CN"/>
              </w:rPr>
            </w:pPr>
            <w:r>
              <w:rPr>
                <w:rFonts w:hint="eastAsia"/>
                <w:highlight w:val="none"/>
                <w:lang w:val="en-US" w:eastAsia="zh-CN"/>
              </w:rPr>
              <w:t>-</w:t>
            </w:r>
          </w:p>
        </w:tc>
      </w:tr>
      <w:tr w14:paraId="4BA9D7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495" w:type="dxa"/>
            <w:vAlign w:val="center"/>
          </w:tcPr>
          <w:p w14:paraId="092726F6">
            <w:pPr>
              <w:rPr>
                <w:color w:val="000000"/>
                <w:szCs w:val="21"/>
                <w:highlight w:val="none"/>
              </w:rPr>
            </w:pPr>
            <w:r>
              <w:rPr>
                <w:rFonts w:hint="eastAsia"/>
                <w:highlight w:val="none"/>
              </w:rPr>
              <w:t>税金及附加</w:t>
            </w:r>
          </w:p>
        </w:tc>
        <w:tc>
          <w:tcPr>
            <w:tcW w:w="4408" w:type="dxa"/>
          </w:tcPr>
          <w:p w14:paraId="3D82EF3A">
            <w:pPr>
              <w:ind w:left="-80"/>
              <w:jc w:val="right"/>
              <w:rPr>
                <w:rFonts w:hint="eastAsia"/>
                <w:highlight w:val="none"/>
                <w:lang w:val="en-US" w:eastAsia="zh-CN"/>
              </w:rPr>
            </w:pPr>
            <w:r>
              <w:rPr>
                <w:rFonts w:hint="eastAsia"/>
                <w:highlight w:val="none"/>
                <w:lang w:val="en-US" w:eastAsia="zh-CN"/>
              </w:rPr>
              <w:t>0.16</w:t>
            </w:r>
          </w:p>
        </w:tc>
      </w:tr>
      <w:tr w14:paraId="620420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495" w:type="dxa"/>
            <w:vAlign w:val="center"/>
          </w:tcPr>
          <w:p w14:paraId="5BA6560F">
            <w:pPr>
              <w:rPr>
                <w:color w:val="000000"/>
                <w:szCs w:val="21"/>
                <w:highlight w:val="none"/>
              </w:rPr>
            </w:pPr>
            <w:r>
              <w:rPr>
                <w:rFonts w:hint="eastAsia"/>
                <w:color w:val="000000"/>
                <w:szCs w:val="21"/>
                <w:highlight w:val="none"/>
              </w:rPr>
              <w:t>其他费用</w:t>
            </w:r>
          </w:p>
        </w:tc>
        <w:tc>
          <w:tcPr>
            <w:tcW w:w="4408" w:type="dxa"/>
          </w:tcPr>
          <w:p w14:paraId="611B4CC8">
            <w:pPr>
              <w:ind w:left="-80"/>
              <w:jc w:val="right"/>
              <w:rPr>
                <w:rFonts w:hint="default"/>
                <w:highlight w:val="none"/>
                <w:lang w:val="en-US" w:eastAsia="zh-CN"/>
              </w:rPr>
            </w:pPr>
            <w:r>
              <w:rPr>
                <w:rFonts w:hint="eastAsia"/>
                <w:highlight w:val="none"/>
                <w:lang w:val="en-US" w:eastAsia="zh-CN"/>
              </w:rPr>
              <w:t>-</w:t>
            </w:r>
          </w:p>
        </w:tc>
      </w:tr>
      <w:tr w14:paraId="216050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1" w:hRule="atLeast"/>
          <w:jc w:val="center"/>
        </w:trPr>
        <w:tc>
          <w:tcPr>
            <w:tcW w:w="3495" w:type="dxa"/>
            <w:vAlign w:val="center"/>
          </w:tcPr>
          <w:p w14:paraId="115FFA6C">
            <w:pPr>
              <w:rPr>
                <w:rFonts w:hint="eastAsia" w:ascii="宋体" w:hAnsi="宋体"/>
                <w:color w:val="000000" w:themeColor="text1"/>
                <w:szCs w:val="21"/>
                <w:highlight w:val="none"/>
                <w14:textFill>
                  <w14:solidFill>
                    <w14:schemeClr w14:val="tx1"/>
                  </w14:solidFill>
                </w14:textFill>
              </w:rPr>
            </w:pPr>
            <w:r>
              <w:rPr>
                <w:rFonts w:hint="eastAsia"/>
                <w:b/>
                <w:bCs/>
                <w:color w:val="000000"/>
                <w:szCs w:val="21"/>
                <w:highlight w:val="none"/>
              </w:rPr>
              <w:t>三、清算收益（损失）总额</w:t>
            </w:r>
          </w:p>
        </w:tc>
        <w:tc>
          <w:tcPr>
            <w:tcW w:w="4408" w:type="dxa"/>
            <w:vAlign w:val="center"/>
          </w:tcPr>
          <w:p w14:paraId="09A706E6">
            <w:pPr>
              <w:ind w:left="-80"/>
              <w:jc w:val="right"/>
              <w:rPr>
                <w:rFonts w:hint="eastAsia" w:ascii="Arial" w:hAnsi="Arial" w:cs="Arial"/>
                <w:b/>
                <w:bCs/>
                <w:color w:val="000000"/>
                <w:sz w:val="24"/>
                <w:highlight w:val="none"/>
              </w:rPr>
            </w:pPr>
            <w:r>
              <w:rPr>
                <w:rFonts w:hint="eastAsia"/>
              </w:rPr>
              <w:t>-42,380.57</w:t>
            </w:r>
          </w:p>
        </w:tc>
      </w:tr>
      <w:tr w14:paraId="4D8779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495" w:type="dxa"/>
            <w:shd w:val="clear" w:color="auto" w:fill="auto"/>
            <w:vAlign w:val="center"/>
          </w:tcPr>
          <w:p w14:paraId="145418B2">
            <w:pPr>
              <w:rPr>
                <w:rFonts w:hint="eastAsia" w:ascii="宋体" w:hAnsi="宋体"/>
                <w:color w:val="000000" w:themeColor="text1"/>
                <w:szCs w:val="21"/>
                <w:highlight w:val="none"/>
                <w14:textFill>
                  <w14:solidFill>
                    <w14:schemeClr w14:val="tx1"/>
                  </w14:solidFill>
                </w14:textFill>
              </w:rPr>
            </w:pPr>
            <w:r>
              <w:rPr>
                <w:rFonts w:hint="eastAsia"/>
                <w:color w:val="000000"/>
                <w:szCs w:val="21"/>
                <w:highlight w:val="none"/>
              </w:rPr>
              <w:t>减：所得税费用</w:t>
            </w:r>
          </w:p>
        </w:tc>
        <w:tc>
          <w:tcPr>
            <w:tcW w:w="4408" w:type="dxa"/>
            <w:shd w:val="clear" w:color="auto" w:fill="auto"/>
            <w:vAlign w:val="center"/>
          </w:tcPr>
          <w:p w14:paraId="2D344FFB">
            <w:pPr>
              <w:jc w:val="right"/>
              <w:rPr>
                <w:rFonts w:hint="eastAsia"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w:t>
            </w:r>
          </w:p>
        </w:tc>
      </w:tr>
      <w:tr w14:paraId="69F889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495" w:type="dxa"/>
            <w:shd w:val="clear" w:color="auto" w:fill="auto"/>
            <w:vAlign w:val="center"/>
          </w:tcPr>
          <w:p w14:paraId="1AF8D2DB">
            <w:pPr>
              <w:rPr>
                <w:rFonts w:hint="eastAsia" w:ascii="宋体" w:hAnsi="宋体"/>
                <w:b/>
                <w:color w:val="000000" w:themeColor="text1"/>
                <w:szCs w:val="21"/>
                <w:highlight w:val="none"/>
                <w14:textFill>
                  <w14:solidFill>
                    <w14:schemeClr w14:val="tx1"/>
                  </w14:solidFill>
                </w14:textFill>
              </w:rPr>
            </w:pPr>
            <w:r>
              <w:rPr>
                <w:rFonts w:hint="eastAsia"/>
                <w:b/>
                <w:bCs/>
                <w:color w:val="000000"/>
                <w:szCs w:val="21"/>
                <w:highlight w:val="none"/>
              </w:rPr>
              <w:t>四、清算净收益（损失）</w:t>
            </w:r>
          </w:p>
        </w:tc>
        <w:tc>
          <w:tcPr>
            <w:tcW w:w="4408" w:type="dxa"/>
            <w:shd w:val="clear" w:color="auto" w:fill="auto"/>
            <w:vAlign w:val="center"/>
          </w:tcPr>
          <w:p w14:paraId="46B866EB">
            <w:pPr>
              <w:ind w:left="-80" w:leftChars="0"/>
              <w:jc w:val="right"/>
              <w:rPr>
                <w:rFonts w:ascii="Arial" w:hAnsi="Arial" w:cs="Arial"/>
                <w:b/>
                <w:bCs/>
                <w:color w:val="000000"/>
                <w:sz w:val="24"/>
                <w:highlight w:val="none"/>
              </w:rPr>
            </w:pPr>
            <w:r>
              <w:rPr>
                <w:rFonts w:hint="eastAsia"/>
              </w:rPr>
              <w:t>-42,380.57</w:t>
            </w:r>
          </w:p>
        </w:tc>
      </w:tr>
    </w:tbl>
    <w:p w14:paraId="2181C176">
      <w:pPr>
        <w:pStyle w:val="24"/>
        <w:rPr>
          <w:b/>
          <w:highlight w:val="none"/>
        </w:rPr>
      </w:pPr>
      <w:bookmarkStart w:id="41" w:name="_Toc484769808"/>
      <w:bookmarkStart w:id="42" w:name="_Toc483396840"/>
      <w:bookmarkStart w:id="43" w:name="_Toc484607313"/>
      <w:r>
        <w:rPr>
          <w:rFonts w:hint="eastAsia"/>
          <w:highlight w:val="none"/>
        </w:rPr>
        <w:t>注：利息收入系以当前适用的利率预估计提的自2026年</w:t>
      </w:r>
      <w:r>
        <w:rPr>
          <w:rFonts w:hint="eastAsia"/>
          <w:highlight w:val="none"/>
          <w:lang w:val="en-US" w:eastAsia="zh-CN"/>
        </w:rPr>
        <w:t>8</w:t>
      </w:r>
      <w:r>
        <w:rPr>
          <w:rFonts w:hint="eastAsia"/>
          <w:highlight w:val="none"/>
        </w:rPr>
        <w:t>月</w:t>
      </w:r>
      <w:r>
        <w:rPr>
          <w:rFonts w:hint="eastAsia"/>
          <w:highlight w:val="none"/>
          <w:lang w:val="en-US" w:eastAsia="zh-CN"/>
        </w:rPr>
        <w:t>30</w:t>
      </w:r>
      <w:r>
        <w:rPr>
          <w:rFonts w:hint="eastAsia"/>
          <w:highlight w:val="none"/>
        </w:rPr>
        <w:t>日至2026年</w:t>
      </w:r>
      <w:r>
        <w:rPr>
          <w:rFonts w:hint="eastAsia"/>
          <w:highlight w:val="none"/>
          <w:lang w:val="en-US" w:eastAsia="zh-CN"/>
        </w:rPr>
        <w:t>9</w:t>
      </w:r>
      <w:r>
        <w:rPr>
          <w:rFonts w:hint="eastAsia"/>
          <w:highlight w:val="none"/>
        </w:rPr>
        <w:t>月</w:t>
      </w:r>
      <w:r>
        <w:rPr>
          <w:rFonts w:hint="eastAsia"/>
          <w:highlight w:val="none"/>
          <w:lang w:val="en-US" w:eastAsia="zh-CN"/>
        </w:rPr>
        <w:t>15</w:t>
      </w:r>
      <w:r>
        <w:rPr>
          <w:rFonts w:hint="eastAsia"/>
          <w:highlight w:val="none"/>
        </w:rPr>
        <w:t>日止清算期间的活期存款</w:t>
      </w:r>
      <w:r>
        <w:rPr>
          <w:rFonts w:hint="eastAsia"/>
          <w:highlight w:val="none"/>
          <w:lang w:eastAsia="zh-CN"/>
        </w:rPr>
        <w:t>、</w:t>
      </w:r>
      <w:r>
        <w:rPr>
          <w:rFonts w:hint="eastAsia"/>
          <w:highlight w:val="none"/>
          <w:lang w:val="en-US" w:eastAsia="zh-CN"/>
        </w:rPr>
        <w:t>存出保证金利息</w:t>
      </w:r>
      <w:r>
        <w:rPr>
          <w:rFonts w:hint="eastAsia"/>
          <w:highlight w:val="none"/>
        </w:rPr>
        <w:t>；</w:t>
      </w:r>
    </w:p>
    <w:p w14:paraId="5F8E534D">
      <w:pPr>
        <w:pStyle w:val="3"/>
        <w:spacing w:before="0" w:after="0"/>
        <w:rPr>
          <w:rFonts w:ascii="宋体" w:hAnsi="宋体" w:eastAsia="宋体"/>
          <w:kern w:val="0"/>
          <w:sz w:val="21"/>
          <w:szCs w:val="21"/>
          <w:highlight w:val="none"/>
        </w:rPr>
      </w:pPr>
      <w:bookmarkStart w:id="44" w:name="_Toc491963086"/>
      <w:r>
        <w:rPr>
          <w:rFonts w:hint="eastAsia" w:ascii="宋体" w:hAnsi="宋体" w:eastAsia="宋体"/>
          <w:kern w:val="0"/>
          <w:sz w:val="21"/>
          <w:szCs w:val="21"/>
          <w:highlight w:val="none"/>
        </w:rPr>
        <w:t>4.3</w:t>
      </w:r>
      <w:r>
        <w:rPr>
          <w:rFonts w:ascii="宋体" w:hAnsi="宋体" w:eastAsia="宋体"/>
          <w:kern w:val="0"/>
          <w:sz w:val="21"/>
          <w:szCs w:val="21"/>
          <w:highlight w:val="none"/>
        </w:rPr>
        <w:t xml:space="preserve"> </w:t>
      </w:r>
      <w:r>
        <w:rPr>
          <w:rFonts w:hint="eastAsia" w:ascii="宋体" w:hAnsi="宋体" w:eastAsia="宋体"/>
          <w:kern w:val="0"/>
          <w:sz w:val="21"/>
          <w:szCs w:val="21"/>
          <w:highlight w:val="none"/>
        </w:rPr>
        <w:t>报表附注</w:t>
      </w:r>
      <w:bookmarkEnd w:id="41"/>
      <w:bookmarkEnd w:id="42"/>
      <w:bookmarkEnd w:id="43"/>
      <w:bookmarkEnd w:id="44"/>
    </w:p>
    <w:p w14:paraId="3B358097">
      <w:pPr>
        <w:spacing w:line="360" w:lineRule="auto"/>
        <w:rPr>
          <w:rFonts w:ascii="宋体" w:hAnsi="宋体"/>
          <w:b/>
          <w:szCs w:val="21"/>
          <w:highlight w:val="none"/>
        </w:rPr>
      </w:pPr>
      <w:r>
        <w:rPr>
          <w:rFonts w:ascii="宋体" w:hAnsi="宋体"/>
          <w:b/>
          <w:szCs w:val="21"/>
          <w:highlight w:val="none"/>
        </w:rPr>
        <w:t>4.3.</w:t>
      </w:r>
      <w:r>
        <w:rPr>
          <w:rFonts w:hint="eastAsia" w:ascii="宋体" w:hAnsi="宋体"/>
          <w:b/>
          <w:szCs w:val="21"/>
          <w:highlight w:val="none"/>
        </w:rPr>
        <w:t>1基金基本情况</w:t>
      </w:r>
    </w:p>
    <w:p w14:paraId="61ED175E">
      <w:pPr>
        <w:pStyle w:val="24"/>
        <w:spacing w:line="360" w:lineRule="auto"/>
        <w:ind w:left="0" w:leftChars="0" w:firstLine="420" w:firstLineChars="200"/>
        <w:rPr>
          <w:rFonts w:hint="eastAsia"/>
        </w:rPr>
      </w:pPr>
      <w:r>
        <w:rPr>
          <w:rFonts w:hint="eastAsia"/>
        </w:rPr>
        <w:t>本基金经中国证监会证监许可[2023]394号准予注册，由博时基金管理有限公司依照《中华人民共和国证券投资基金法》和《博时集兴配置优选6个月持有期混合型发起式基金中基金（FOF）基金合同》负责公开募集。本基金为契约型开放式，存续期限不定，首次设立募集不包括认购资金利息共募集人民币19,728,190.14元，业经安永华明会计师事务所（特殊普通合伙）安永华明（2023）验字第60669135_A23号验资报告予以验证。经向中国证监会备案，《博时集兴配置优选6个月持有期混合型发起式基金中基金（FOF）基金合同》于2023年8月29日正式生效，基金合同生效日的基金份额总额为19,733,339.17份基金份额，其中认购资金利息折合5,149.03份基金份额。本基金的基金管理人为博时基金管理有限公司，基金托管人为中信银行股份有限公司。</w:t>
      </w:r>
    </w:p>
    <w:p w14:paraId="50E10017">
      <w:pPr>
        <w:pStyle w:val="24"/>
        <w:spacing w:line="360" w:lineRule="auto"/>
        <w:ind w:left="0" w:leftChars="0" w:firstLine="420" w:firstLineChars="200"/>
        <w:rPr>
          <w:rFonts w:hint="eastAsia"/>
        </w:rPr>
      </w:pPr>
      <w:r>
        <w:rPr>
          <w:rFonts w:hint="eastAsia"/>
        </w:rPr>
        <w:t>本基金对每份基金份额设置六个月的最短持有期。在最短持有期限内，基金份额不能赎回。</w:t>
      </w:r>
    </w:p>
    <w:p w14:paraId="041521E4">
      <w:pPr>
        <w:pStyle w:val="24"/>
        <w:spacing w:line="360" w:lineRule="auto"/>
        <w:ind w:left="0" w:leftChars="0" w:firstLine="420" w:firstLineChars="200"/>
        <w:rPr>
          <w:rFonts w:hint="eastAsia"/>
        </w:rPr>
      </w:pPr>
      <w:r>
        <w:rPr>
          <w:rFonts w:hint="eastAsia"/>
        </w:rPr>
        <w:t>本基金为发起式基金，发起资金认购部分为10,001,344.49份基金份额，发起资金认购方承诺使用发起资金认购的基金份额持有期限不少于3年。</w:t>
      </w:r>
    </w:p>
    <w:p w14:paraId="09213F4C">
      <w:pPr>
        <w:pStyle w:val="24"/>
        <w:spacing w:line="360" w:lineRule="auto"/>
        <w:ind w:left="0" w:leftChars="0" w:firstLine="420" w:firstLineChars="200"/>
        <w:rPr>
          <w:rFonts w:hint="eastAsia"/>
        </w:rPr>
      </w:pPr>
      <w:r>
        <w:rPr>
          <w:rFonts w:hint="eastAsia"/>
        </w:rPr>
        <w:t>本基金根据认购/申购费用与销售服务费收取方式等不同，将基金份额分为A类基金份额和C类基金份额。在投资者认/申购时收取认/申购费用，不从本类别基金资产中计提销售服务费的基金份额，称为A类基金份额；在投资者认/申购时不收取认/申购费用，而是从本类别基金资产中计提销售服务费的基金份额，称为C类基金份额。</w:t>
      </w:r>
    </w:p>
    <w:p w14:paraId="35BB7303">
      <w:pPr>
        <w:pStyle w:val="24"/>
        <w:spacing w:line="360" w:lineRule="auto"/>
        <w:ind w:left="0" w:leftChars="0" w:firstLine="420" w:firstLineChars="200"/>
        <w:rPr>
          <w:rFonts w:hint="eastAsia"/>
        </w:rPr>
      </w:pPr>
      <w:r>
        <w:rPr>
          <w:rFonts w:hint="eastAsia"/>
        </w:rPr>
        <w:t>根据《中华人民共和国证券投资基金法》和《博时集兴配置优选6个月持有期混合型发起式基金中基金（FOF）基金合同》的有关规定，本基金的投资范围主要包括经中国证监会依法核准或注册的公开募集证券投资基金（包含香港互认基金、QDII基金、公开募集基础设施证券投资基金（以下简称“公募REITs”）、商品基金，但具有复杂、衍生品性质的基金份额除外）、国内依法发行或上市的股票（包含主板、创业板及其他经中国证监会核准上市的股票、存托凭证）、内地与香港股票市场交易互联互通机制下允许投资的香港联合交易所上市的股票（以下简称“港股通标的股票”）、债券（包括国债、政府支持债券、政府支持机构债券、金融债、企业债、公司债、地方政府债、央行票据、中期票据、短期融资券、超级短期融资券、公开发行的次级债、可转换债券（含可分离交易可转债）、可交换债券）、债券回购、资产支持证券、银行存款（协议存款、通知存款以及定期存款等）、同业存单、现金以及法律法规或中国证监会允许基金投资的其他金融工具（但须符合中国证监会相关规定）。本基金投资于中国证监会依法核准或注册的公开募集证券投资基金占基金资产的比例不低于80%。本基金投资于货币市场基金占基金资产的比例为0-15%。本基金投资于香港互认基金、QDII基金合计占基金资产的比例为0-20%。本基金投资于股票（含存托凭证）、股票型基金、混合型基金和商品基金（含商品期货基金和黄金ETF）合计占基金资产的比例为60%-95%，其中港股通标的股票投资占股票资产的比例不超过50%。本基金持有的现金或者到期日在一年以内的政府债券不低于基金资产净值的5%，其中现金不包括结算备付金、存出保证金、应收申购款等。本基金的业绩比较基准为：中证混合型基金指数收益率*75%+中债综合财富（总值）指数收益率*20%+银行活期存款利率（税后）*5%</w:t>
      </w:r>
    </w:p>
    <w:p w14:paraId="321B14F1">
      <w:pPr>
        <w:pStyle w:val="24"/>
        <w:spacing w:line="360" w:lineRule="auto"/>
        <w:ind w:left="0" w:leftChars="0" w:firstLine="422" w:firstLineChars="200"/>
        <w:rPr>
          <w:b/>
          <w:highlight w:val="none"/>
        </w:rPr>
      </w:pPr>
      <w:r>
        <w:rPr>
          <w:b/>
          <w:highlight w:val="none"/>
        </w:rPr>
        <w:t>4.3.</w:t>
      </w:r>
      <w:r>
        <w:rPr>
          <w:rFonts w:hint="eastAsia"/>
          <w:b/>
          <w:highlight w:val="none"/>
        </w:rPr>
        <w:t>2清算原因</w:t>
      </w:r>
    </w:p>
    <w:p w14:paraId="00134D7A">
      <w:pPr>
        <w:spacing w:line="360" w:lineRule="auto"/>
        <w:ind w:firstLine="420" w:firstLineChars="200"/>
        <w:rPr>
          <w:rFonts w:hint="eastAsia" w:eastAsiaTheme="minorEastAsia"/>
          <w:highlight w:val="none"/>
        </w:rPr>
      </w:pPr>
      <w:r>
        <w:rPr>
          <w:rFonts w:hint="eastAsia" w:eastAsiaTheme="minorEastAsia"/>
          <w:highlight w:val="none"/>
        </w:rPr>
        <w:t>根据《基金合同》“第五部分 基金备案”之“三、基金存续期内的基金份额持有人数量和资产规模”约定：</w:t>
      </w:r>
    </w:p>
    <w:p w14:paraId="6841A472">
      <w:pPr>
        <w:spacing w:line="360" w:lineRule="auto"/>
        <w:ind w:firstLine="420" w:firstLineChars="200"/>
        <w:rPr>
          <w:rFonts w:hint="eastAsia" w:eastAsiaTheme="minorEastAsia"/>
          <w:highlight w:val="none"/>
        </w:rPr>
      </w:pPr>
      <w:r>
        <w:rPr>
          <w:rFonts w:hint="eastAsia" w:eastAsiaTheme="minorEastAsia"/>
          <w:highlight w:val="none"/>
        </w:rPr>
        <w:t>“本基金的基金合同生效之日起三年后的对应日，若基金资产净值低于两亿元的，本基金将根据基金合同的约定进行基金财产清算并终止，无需召开基金份额持有人大会审议，且不得通过召开基金份额持有人大会的方式延续基金合同。若届时的法律法规或中国证监会规定发生变化，上述终止规定被取消、更改或补充时，则本基金可以参照届时有效的法律法规或中国证监会规定执行。</w:t>
      </w:r>
    </w:p>
    <w:p w14:paraId="040BA714">
      <w:pPr>
        <w:spacing w:line="360" w:lineRule="auto"/>
        <w:ind w:firstLine="420" w:firstLineChars="200"/>
        <w:rPr>
          <w:rFonts w:hint="eastAsia" w:eastAsiaTheme="minorEastAsia"/>
          <w:highlight w:val="none"/>
        </w:rPr>
      </w:pPr>
      <w:r>
        <w:rPr>
          <w:rFonts w:hint="eastAsia" w:eastAsiaTheme="minorEastAsia"/>
          <w:highlight w:val="none"/>
        </w:rPr>
        <w:t>本基金在基金合同生效三年后继续存续的，基金存续期内，连续20个工作日出现基金份额持有人数量不满200人或者基金资产净值低于5000万元情形的，基金管理人应当在定期报告中予以披露；连续50个工作日出现前述情形的，本基金将根据基金合同的约定进行基金财产清算并终止，且无需召开基金份额持有人大会，同时基金管理人应履行相关的监管报告和信息披露程序。</w:t>
      </w:r>
    </w:p>
    <w:p w14:paraId="0588FD91">
      <w:pPr>
        <w:spacing w:line="360" w:lineRule="auto"/>
        <w:ind w:firstLine="420" w:firstLineChars="200"/>
        <w:rPr>
          <w:rFonts w:hint="eastAsia" w:eastAsiaTheme="minorEastAsia"/>
          <w:highlight w:val="none"/>
        </w:rPr>
      </w:pPr>
      <w:r>
        <w:rPr>
          <w:rFonts w:hint="eastAsia" w:eastAsiaTheme="minorEastAsia"/>
          <w:highlight w:val="none"/>
        </w:rPr>
        <w:t>法律法规或中国证监会另有规定时，从其规定。”</w:t>
      </w:r>
    </w:p>
    <w:p w14:paraId="52542B3D">
      <w:pPr>
        <w:spacing w:line="360" w:lineRule="auto"/>
        <w:ind w:firstLine="420" w:firstLineChars="200"/>
        <w:rPr>
          <w:rFonts w:hint="eastAsia" w:eastAsiaTheme="minorEastAsia"/>
          <w:highlight w:val="none"/>
          <w:lang w:val="en-US" w:eastAsia="zh-CN"/>
        </w:rPr>
      </w:pPr>
      <w:r>
        <w:rPr>
          <w:rFonts w:hint="eastAsia" w:eastAsiaTheme="minorEastAsia"/>
          <w:highlight w:val="none"/>
        </w:rPr>
        <w:t xml:space="preserve">本基金基金合同生效日为2023年8月29日，基金合同生效之日起三年后的对应日为2026年8月29日。截至2026年8月29日日终，本基金资产净值低于两亿元，已触发基金合同中约定的基金终止条款。根据《基金合同》有关约定，博时基金管理有限公司应依据基金财产清算程序对本基金进行财产清算并终止基金合同，且无需召开基金份额持有人大会。 </w:t>
      </w:r>
      <w:r>
        <w:rPr>
          <w:rFonts w:hint="eastAsia" w:eastAsiaTheme="minorEastAsia"/>
          <w:highlight w:val="none"/>
          <w:lang w:val="en-US" w:eastAsia="zh-CN"/>
        </w:rPr>
        <w:t xml:space="preserve">  </w:t>
      </w:r>
    </w:p>
    <w:p w14:paraId="36BF0102">
      <w:pPr>
        <w:spacing w:line="360" w:lineRule="auto"/>
        <w:ind w:firstLine="210" w:firstLineChars="100"/>
        <w:rPr>
          <w:rFonts w:hint="eastAsia" w:eastAsiaTheme="minorEastAsia"/>
          <w:highlight w:val="none"/>
        </w:rPr>
      </w:pPr>
      <w:r>
        <w:rPr>
          <w:rFonts w:hint="eastAsia" w:eastAsiaTheme="minorEastAsia"/>
          <w:highlight w:val="none"/>
        </w:rPr>
        <w:t xml:space="preserve"> 本基金最后运作日为2026年</w:t>
      </w:r>
      <w:r>
        <w:rPr>
          <w:rFonts w:hint="eastAsia" w:eastAsiaTheme="minorEastAsia"/>
          <w:highlight w:val="none"/>
          <w:lang w:val="en-US" w:eastAsia="zh-CN"/>
        </w:rPr>
        <w:t>8</w:t>
      </w:r>
      <w:r>
        <w:rPr>
          <w:rFonts w:hint="eastAsia" w:eastAsiaTheme="minorEastAsia"/>
          <w:highlight w:val="none"/>
        </w:rPr>
        <w:t>月</w:t>
      </w:r>
      <w:r>
        <w:rPr>
          <w:rFonts w:hint="eastAsia" w:eastAsiaTheme="minorEastAsia"/>
          <w:highlight w:val="none"/>
          <w:lang w:val="en-US" w:eastAsia="zh-CN"/>
        </w:rPr>
        <w:t>29</w:t>
      </w:r>
      <w:r>
        <w:rPr>
          <w:rFonts w:hint="eastAsia" w:eastAsiaTheme="minorEastAsia"/>
          <w:highlight w:val="none"/>
        </w:rPr>
        <w:t>日，自2026年</w:t>
      </w:r>
      <w:r>
        <w:rPr>
          <w:rFonts w:hint="eastAsia" w:eastAsiaTheme="minorEastAsia"/>
          <w:highlight w:val="none"/>
          <w:lang w:val="en-US" w:eastAsia="zh-CN"/>
        </w:rPr>
        <w:t>8</w:t>
      </w:r>
      <w:r>
        <w:rPr>
          <w:rFonts w:hint="eastAsia" w:eastAsiaTheme="minorEastAsia"/>
          <w:highlight w:val="none"/>
        </w:rPr>
        <w:t>月</w:t>
      </w:r>
      <w:r>
        <w:rPr>
          <w:rFonts w:hint="eastAsia" w:eastAsiaTheme="minorEastAsia"/>
          <w:highlight w:val="none"/>
          <w:lang w:val="en-US" w:eastAsia="zh-CN"/>
        </w:rPr>
        <w:t>30</w:t>
      </w:r>
      <w:r>
        <w:rPr>
          <w:rFonts w:hint="eastAsia" w:eastAsiaTheme="minorEastAsia"/>
          <w:highlight w:val="none"/>
        </w:rPr>
        <w:t>日起进入清算程序，由本基金管理人博时基金管理有限公司、基金托管人</w:t>
      </w:r>
      <w:r>
        <w:rPr>
          <w:rFonts w:hint="eastAsia"/>
          <w:lang w:eastAsia="zh-CN"/>
        </w:rPr>
        <w:t>中信银行股份有限公司</w:t>
      </w:r>
      <w:r>
        <w:rPr>
          <w:rFonts w:hint="eastAsia" w:eastAsiaTheme="minorEastAsia"/>
          <w:highlight w:val="none"/>
        </w:rPr>
        <w:t>、</w:t>
      </w:r>
      <w:r>
        <w:rPr>
          <w:rFonts w:hint="eastAsia" w:eastAsiaTheme="minorEastAsia"/>
          <w:highlight w:val="none"/>
          <w:lang w:val="en-US" w:eastAsia="zh-CN"/>
        </w:rPr>
        <w:t>容诚</w:t>
      </w:r>
      <w:r>
        <w:rPr>
          <w:rFonts w:hint="eastAsia" w:eastAsiaTheme="minorEastAsia"/>
          <w:highlight w:val="none"/>
        </w:rPr>
        <w:t>会计师事务所</w:t>
      </w:r>
      <w:r>
        <w:rPr>
          <w:rFonts w:hint="eastAsia" w:eastAsiaTheme="minorEastAsia"/>
        </w:rPr>
        <w:t>（特殊普通合伙）</w:t>
      </w:r>
      <w:r>
        <w:rPr>
          <w:rFonts w:hint="eastAsia" w:eastAsiaTheme="minorEastAsia"/>
          <w:highlight w:val="none"/>
        </w:rPr>
        <w:t>和</w:t>
      </w:r>
      <w:r>
        <w:rPr>
          <w:rFonts w:hint="eastAsia" w:eastAsiaTheme="minorEastAsia"/>
          <w:highlight w:val="none"/>
          <w:lang w:eastAsia="zh-CN"/>
        </w:rPr>
        <w:t>上海源泰律师事务所</w:t>
      </w:r>
      <w:r>
        <w:rPr>
          <w:rFonts w:hint="eastAsia" w:eastAsiaTheme="minorEastAsia"/>
          <w:highlight w:val="none"/>
        </w:rPr>
        <w:t>组成基金财产清算小组履行基金财产清算程序，并由</w:t>
      </w:r>
      <w:r>
        <w:rPr>
          <w:rFonts w:hint="eastAsia" w:eastAsiaTheme="minorEastAsia"/>
          <w:highlight w:val="none"/>
          <w:lang w:val="en-US" w:eastAsia="zh-CN"/>
        </w:rPr>
        <w:t>容诚</w:t>
      </w:r>
      <w:r>
        <w:rPr>
          <w:rFonts w:hint="eastAsia" w:eastAsiaTheme="minorEastAsia"/>
          <w:highlight w:val="none"/>
        </w:rPr>
        <w:t>会计师事务所</w:t>
      </w:r>
      <w:r>
        <w:rPr>
          <w:rFonts w:hint="eastAsia" w:eastAsiaTheme="minorEastAsia"/>
        </w:rPr>
        <w:t>（特殊普通合伙）</w:t>
      </w:r>
      <w:r>
        <w:rPr>
          <w:rFonts w:hint="eastAsia" w:eastAsiaTheme="minorEastAsia"/>
          <w:highlight w:val="none"/>
        </w:rPr>
        <w:t>对本基金进行清算审计，</w:t>
      </w:r>
      <w:r>
        <w:rPr>
          <w:rFonts w:hint="eastAsia" w:eastAsiaTheme="minorEastAsia"/>
          <w:highlight w:val="none"/>
          <w:lang w:eastAsia="zh-CN"/>
        </w:rPr>
        <w:t>上海源泰律师事务所</w:t>
      </w:r>
      <w:r>
        <w:rPr>
          <w:rFonts w:hint="eastAsia" w:eastAsiaTheme="minorEastAsia"/>
          <w:highlight w:val="none"/>
        </w:rPr>
        <w:t>对清算报告出具法律意见。</w:t>
      </w:r>
    </w:p>
    <w:p w14:paraId="0F5E27E4">
      <w:pPr>
        <w:spacing w:line="360" w:lineRule="auto"/>
        <w:ind w:firstLine="211" w:firstLineChars="100"/>
        <w:rPr>
          <w:rFonts w:hint="eastAsia" w:ascii="宋体" w:hAnsi="宋体"/>
          <w:b/>
          <w:szCs w:val="21"/>
          <w:highlight w:val="none"/>
        </w:rPr>
      </w:pPr>
      <w:r>
        <w:rPr>
          <w:rFonts w:ascii="宋体" w:hAnsi="宋体"/>
          <w:b/>
          <w:szCs w:val="21"/>
          <w:highlight w:val="none"/>
        </w:rPr>
        <w:t>4.3.</w:t>
      </w:r>
      <w:r>
        <w:rPr>
          <w:rFonts w:hint="eastAsia" w:ascii="宋体" w:hAnsi="宋体"/>
          <w:b/>
          <w:szCs w:val="21"/>
          <w:highlight w:val="none"/>
        </w:rPr>
        <w:t>3清算起始日</w:t>
      </w:r>
    </w:p>
    <w:p w14:paraId="49189D11">
      <w:pPr>
        <w:pStyle w:val="24"/>
        <w:rPr>
          <w:highlight w:val="none"/>
        </w:rPr>
      </w:pPr>
      <w:r>
        <w:rPr>
          <w:rFonts w:hint="eastAsia"/>
          <w:highlight w:val="none"/>
        </w:rPr>
        <w:t>本基金的清算起始日为</w:t>
      </w:r>
      <w:r>
        <w:rPr>
          <w:rFonts w:hint="eastAsia" w:eastAsiaTheme="minorEastAsia"/>
          <w:highlight w:val="none"/>
        </w:rPr>
        <w:t>2026年</w:t>
      </w:r>
      <w:r>
        <w:rPr>
          <w:rFonts w:hint="eastAsia" w:eastAsiaTheme="minorEastAsia"/>
          <w:highlight w:val="none"/>
          <w:lang w:val="en-US" w:eastAsia="zh-CN"/>
        </w:rPr>
        <w:t>8</w:t>
      </w:r>
      <w:r>
        <w:rPr>
          <w:rFonts w:hint="eastAsia" w:eastAsiaTheme="minorEastAsia"/>
          <w:highlight w:val="none"/>
        </w:rPr>
        <w:t>月</w:t>
      </w:r>
      <w:r>
        <w:rPr>
          <w:rFonts w:hint="eastAsia" w:eastAsiaTheme="minorEastAsia"/>
          <w:highlight w:val="none"/>
          <w:lang w:val="en-US" w:eastAsia="zh-CN"/>
        </w:rPr>
        <w:t>30</w:t>
      </w:r>
      <w:r>
        <w:rPr>
          <w:rFonts w:hint="eastAsia" w:eastAsiaTheme="minorEastAsia"/>
          <w:highlight w:val="none"/>
        </w:rPr>
        <w:t>日</w:t>
      </w:r>
      <w:r>
        <w:rPr>
          <w:rFonts w:hint="eastAsia"/>
          <w:highlight w:val="none"/>
        </w:rPr>
        <w:t>。</w:t>
      </w:r>
    </w:p>
    <w:p w14:paraId="2A213A60">
      <w:pPr>
        <w:spacing w:line="360" w:lineRule="auto"/>
        <w:ind w:firstLine="211" w:firstLineChars="100"/>
        <w:rPr>
          <w:rFonts w:ascii="宋体" w:hAnsi="宋体"/>
          <w:b/>
          <w:szCs w:val="21"/>
          <w:highlight w:val="none"/>
        </w:rPr>
      </w:pPr>
      <w:r>
        <w:rPr>
          <w:rFonts w:ascii="宋体" w:hAnsi="宋体"/>
          <w:b/>
          <w:szCs w:val="21"/>
          <w:highlight w:val="none"/>
        </w:rPr>
        <w:t>4.3.</w:t>
      </w:r>
      <w:r>
        <w:rPr>
          <w:rFonts w:hint="eastAsia" w:ascii="宋体" w:hAnsi="宋体"/>
          <w:b/>
          <w:szCs w:val="21"/>
          <w:highlight w:val="none"/>
        </w:rPr>
        <w:t>4清算财务报表的编制基础</w:t>
      </w:r>
    </w:p>
    <w:p w14:paraId="68297902">
      <w:pPr>
        <w:spacing w:line="360" w:lineRule="auto"/>
        <w:ind w:firstLine="420" w:firstLineChars="200"/>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如财务报表附注</w:t>
      </w:r>
      <w:r>
        <w:rPr>
          <w:rFonts w:asciiTheme="minorEastAsia" w:hAnsiTheme="minorEastAsia" w:eastAsiaTheme="minorEastAsia"/>
          <w:color w:val="000000"/>
          <w:szCs w:val="21"/>
          <w:highlight w:val="none"/>
        </w:rPr>
        <w:t>4.3.3</w:t>
      </w:r>
      <w:r>
        <w:rPr>
          <w:rFonts w:hint="eastAsia" w:asciiTheme="minorEastAsia" w:hAnsiTheme="minorEastAsia" w:eastAsiaTheme="minorEastAsia"/>
          <w:color w:val="000000"/>
          <w:szCs w:val="21"/>
          <w:highlight w:val="none"/>
        </w:rPr>
        <w:t>所述，自</w:t>
      </w:r>
      <w:r>
        <w:rPr>
          <w:rFonts w:hint="eastAsia" w:eastAsiaTheme="minorEastAsia"/>
          <w:highlight w:val="none"/>
        </w:rPr>
        <w:t>2026年</w:t>
      </w:r>
      <w:r>
        <w:rPr>
          <w:rFonts w:hint="eastAsia" w:eastAsiaTheme="minorEastAsia"/>
          <w:highlight w:val="none"/>
          <w:lang w:val="en-US" w:eastAsia="zh-CN"/>
        </w:rPr>
        <w:t>8</w:t>
      </w:r>
      <w:r>
        <w:rPr>
          <w:rFonts w:hint="eastAsia" w:eastAsiaTheme="minorEastAsia"/>
          <w:highlight w:val="none"/>
        </w:rPr>
        <w:t>月</w:t>
      </w:r>
      <w:r>
        <w:rPr>
          <w:rFonts w:hint="eastAsia" w:eastAsiaTheme="minorEastAsia"/>
          <w:highlight w:val="none"/>
          <w:lang w:val="en-US" w:eastAsia="zh-CN"/>
        </w:rPr>
        <w:t>30</w:t>
      </w:r>
      <w:r>
        <w:rPr>
          <w:rFonts w:hint="eastAsia" w:eastAsiaTheme="minorEastAsia"/>
          <w:highlight w:val="none"/>
        </w:rPr>
        <w:t>日</w:t>
      </w:r>
      <w:r>
        <w:rPr>
          <w:rFonts w:hint="eastAsia" w:asciiTheme="minorEastAsia" w:hAnsiTheme="minorEastAsia" w:eastAsiaTheme="minorEastAsia"/>
          <w:color w:val="000000"/>
          <w:szCs w:val="21"/>
          <w:highlight w:val="none"/>
        </w:rPr>
        <w:t>起，本基金进入清算程序，因此本财务报表以清算基础编制。</w:t>
      </w:r>
    </w:p>
    <w:p w14:paraId="52A30215">
      <w:pPr>
        <w:spacing w:line="360" w:lineRule="auto"/>
        <w:ind w:firstLine="420" w:firstLineChars="200"/>
        <w:rPr>
          <w:rFonts w:asciiTheme="minorEastAsia" w:hAnsiTheme="minorEastAsia" w:eastAsiaTheme="minorEastAsia"/>
          <w:color w:val="000000"/>
          <w:szCs w:val="21"/>
          <w:highlight w:val="none"/>
        </w:rPr>
      </w:pPr>
      <w:r>
        <w:rPr>
          <w:rFonts w:asciiTheme="minorEastAsia" w:hAnsiTheme="minorEastAsia" w:eastAsiaTheme="minorEastAsia"/>
          <w:color w:val="000000"/>
          <w:szCs w:val="21"/>
          <w:highlight w:val="none"/>
        </w:rPr>
        <w:t>本基金财务报表按附注</w:t>
      </w:r>
      <w:r>
        <w:rPr>
          <w:rFonts w:hint="eastAsia" w:asciiTheme="minorEastAsia" w:hAnsiTheme="minorEastAsia" w:eastAsiaTheme="minorEastAsia"/>
          <w:color w:val="000000"/>
          <w:szCs w:val="21"/>
          <w:highlight w:val="none"/>
        </w:rPr>
        <w:t>4.3.5</w:t>
      </w:r>
      <w:r>
        <w:rPr>
          <w:rFonts w:asciiTheme="minorEastAsia" w:hAnsiTheme="minorEastAsia" w:eastAsiaTheme="minorEastAsia"/>
          <w:color w:val="000000"/>
          <w:szCs w:val="21"/>
          <w:highlight w:val="none"/>
        </w:rPr>
        <w:t>中所述的</w:t>
      </w:r>
      <w:r>
        <w:rPr>
          <w:rFonts w:hint="eastAsia" w:asciiTheme="minorEastAsia" w:hAnsiTheme="minorEastAsia" w:eastAsiaTheme="minorEastAsia"/>
          <w:color w:val="000000"/>
          <w:szCs w:val="21"/>
          <w:highlight w:val="none"/>
        </w:rPr>
        <w:t>重要</w:t>
      </w:r>
      <w:r>
        <w:rPr>
          <w:rFonts w:asciiTheme="minorEastAsia" w:hAnsiTheme="minorEastAsia" w:eastAsiaTheme="minorEastAsia"/>
          <w:color w:val="000000"/>
          <w:szCs w:val="21"/>
          <w:highlight w:val="none"/>
        </w:rPr>
        <w:t>会计政策和会计估计以清算基础编制。于</w:t>
      </w:r>
      <w:r>
        <w:rPr>
          <w:rFonts w:hint="eastAsia" w:eastAsiaTheme="minorEastAsia"/>
          <w:highlight w:val="none"/>
        </w:rPr>
        <w:t>2026年</w:t>
      </w:r>
      <w:r>
        <w:rPr>
          <w:rFonts w:hint="eastAsia" w:eastAsiaTheme="minorEastAsia"/>
          <w:highlight w:val="none"/>
          <w:lang w:val="en-US" w:eastAsia="zh-CN"/>
        </w:rPr>
        <w:t>8</w:t>
      </w:r>
      <w:r>
        <w:rPr>
          <w:rFonts w:hint="eastAsia" w:eastAsiaTheme="minorEastAsia"/>
          <w:highlight w:val="none"/>
        </w:rPr>
        <w:t>月</w:t>
      </w:r>
      <w:r>
        <w:rPr>
          <w:rFonts w:hint="eastAsia" w:eastAsiaTheme="minorEastAsia"/>
          <w:highlight w:val="none"/>
          <w:lang w:val="en-US" w:eastAsia="zh-CN"/>
        </w:rPr>
        <w:t>29</w:t>
      </w:r>
      <w:r>
        <w:rPr>
          <w:rFonts w:hint="eastAsia" w:eastAsiaTheme="minorEastAsia"/>
          <w:highlight w:val="none"/>
        </w:rPr>
        <w:t>日</w:t>
      </w:r>
      <w:r>
        <w:rPr>
          <w:rFonts w:asciiTheme="minorEastAsia" w:hAnsiTheme="minorEastAsia" w:eastAsiaTheme="minorEastAsia"/>
          <w:color w:val="000000"/>
          <w:szCs w:val="21"/>
          <w:highlight w:val="none"/>
        </w:rPr>
        <w:t>(</w:t>
      </w:r>
      <w:r>
        <w:rPr>
          <w:rFonts w:hint="eastAsia" w:asciiTheme="minorEastAsia" w:hAnsiTheme="minorEastAsia" w:eastAsiaTheme="minorEastAsia"/>
          <w:color w:val="000000"/>
          <w:szCs w:val="21"/>
          <w:highlight w:val="none"/>
        </w:rPr>
        <w:t>基金最后运作日</w:t>
      </w:r>
      <w:r>
        <w:rPr>
          <w:rFonts w:asciiTheme="minorEastAsia" w:hAnsiTheme="minorEastAsia" w:eastAsiaTheme="minorEastAsia"/>
          <w:color w:val="000000"/>
          <w:szCs w:val="21"/>
          <w:highlight w:val="none"/>
        </w:rPr>
        <w:t>)，所有资产以可收回金额与原账面价值孰低计量，负债以预计需要清偿的金额计量。</w:t>
      </w:r>
    </w:p>
    <w:p w14:paraId="403720CD">
      <w:pPr>
        <w:spacing w:line="360" w:lineRule="auto"/>
        <w:ind w:firstLine="420" w:firstLineChars="200"/>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此外，本基金财务报表按照中国证券投资基金业协会(以下简称“中国基金业协会”)颁布的《证券投资基金会计核算业务指引》、《基金合同》约定的资产估值和会计核算方法及在财务报表附注</w:t>
      </w:r>
      <w:r>
        <w:rPr>
          <w:rFonts w:hint="eastAsia" w:asciiTheme="minorEastAsia" w:hAnsiTheme="minorEastAsia" w:eastAsiaTheme="minorEastAsia"/>
          <w:color w:val="000000"/>
          <w:szCs w:val="21"/>
          <w:highlight w:val="none"/>
          <w:lang w:val="en-US" w:eastAsia="zh-CN"/>
        </w:rPr>
        <w:t>4.</w:t>
      </w:r>
      <w:r>
        <w:rPr>
          <w:rFonts w:hint="eastAsia" w:asciiTheme="minorEastAsia" w:hAnsiTheme="minorEastAsia" w:eastAsiaTheme="minorEastAsia"/>
          <w:color w:val="000000"/>
          <w:szCs w:val="21"/>
          <w:highlight w:val="none"/>
        </w:rPr>
        <w:t>3所列示的中国证监会、中国基金业协会发布的有关规定及允许的基金行业实务操作编制。</w:t>
      </w:r>
    </w:p>
    <w:p w14:paraId="448624BF">
      <w:pPr>
        <w:spacing w:line="360" w:lineRule="auto"/>
        <w:rPr>
          <w:rFonts w:ascii="宋体" w:hAnsi="宋体"/>
          <w:b/>
          <w:szCs w:val="21"/>
          <w:highlight w:val="none"/>
        </w:rPr>
      </w:pPr>
      <w:r>
        <w:rPr>
          <w:rFonts w:ascii="宋体" w:hAnsi="宋体"/>
          <w:b/>
          <w:szCs w:val="21"/>
          <w:highlight w:val="none"/>
        </w:rPr>
        <w:t>4.3.</w:t>
      </w:r>
      <w:r>
        <w:rPr>
          <w:rFonts w:hint="eastAsia" w:ascii="宋体" w:hAnsi="宋体"/>
          <w:b/>
          <w:szCs w:val="21"/>
          <w:highlight w:val="none"/>
        </w:rPr>
        <w:t>5 重要会计政策和会计估计</w:t>
      </w:r>
    </w:p>
    <w:p w14:paraId="09BFD979">
      <w:pPr>
        <w:spacing w:line="360" w:lineRule="auto"/>
        <w:rPr>
          <w:rFonts w:ascii="宋体" w:hAnsi="宋体"/>
          <w:b/>
          <w:szCs w:val="21"/>
          <w:highlight w:val="none"/>
        </w:rPr>
      </w:pPr>
      <w:r>
        <w:rPr>
          <w:rFonts w:ascii="宋体" w:hAnsi="宋体"/>
          <w:b/>
          <w:szCs w:val="21"/>
          <w:highlight w:val="none"/>
        </w:rPr>
        <w:t>4.3.</w:t>
      </w:r>
      <w:r>
        <w:rPr>
          <w:rFonts w:hint="eastAsia" w:ascii="宋体" w:hAnsi="宋体"/>
          <w:b/>
          <w:szCs w:val="21"/>
          <w:highlight w:val="none"/>
        </w:rPr>
        <w:t>5</w:t>
      </w:r>
      <w:r>
        <w:rPr>
          <w:rFonts w:ascii="宋体" w:hAnsi="宋体"/>
          <w:b/>
          <w:szCs w:val="21"/>
          <w:highlight w:val="none"/>
        </w:rPr>
        <w:t>.</w:t>
      </w:r>
      <w:r>
        <w:rPr>
          <w:rFonts w:hint="eastAsia" w:ascii="宋体" w:hAnsi="宋体"/>
          <w:b/>
          <w:szCs w:val="21"/>
          <w:highlight w:val="none"/>
        </w:rPr>
        <w:t>1清算期间</w:t>
      </w:r>
    </w:p>
    <w:p w14:paraId="3E6A4C52">
      <w:pPr>
        <w:spacing w:line="360" w:lineRule="auto"/>
        <w:ind w:firstLine="420" w:firstLineChars="200"/>
        <w:rPr>
          <w:rFonts w:hint="eastAsia" w:ascii="宋体" w:hAnsi="宋体" w:eastAsia="宋体"/>
          <w:color w:val="000000"/>
          <w:szCs w:val="21"/>
          <w:highlight w:val="none"/>
          <w:lang w:val="en-US" w:eastAsia="zh-CN"/>
        </w:rPr>
      </w:pPr>
      <w:r>
        <w:rPr>
          <w:rFonts w:hint="eastAsia" w:ascii="宋体" w:hAnsi="宋体"/>
          <w:color w:val="000000"/>
          <w:szCs w:val="21"/>
          <w:highlight w:val="none"/>
        </w:rPr>
        <w:t>本清算期间为</w:t>
      </w:r>
      <w:r>
        <w:rPr>
          <w:rFonts w:hint="eastAsia" w:eastAsiaTheme="minorEastAsia"/>
          <w:highlight w:val="none"/>
        </w:rPr>
        <w:t>2026年</w:t>
      </w:r>
      <w:r>
        <w:rPr>
          <w:rFonts w:hint="eastAsia" w:eastAsiaTheme="minorEastAsia"/>
          <w:highlight w:val="none"/>
          <w:lang w:val="en-US" w:eastAsia="zh-CN"/>
        </w:rPr>
        <w:t>8</w:t>
      </w:r>
      <w:r>
        <w:rPr>
          <w:rFonts w:hint="eastAsia" w:eastAsiaTheme="minorEastAsia"/>
          <w:highlight w:val="none"/>
        </w:rPr>
        <w:t>月</w:t>
      </w:r>
      <w:r>
        <w:rPr>
          <w:rFonts w:hint="eastAsia" w:eastAsiaTheme="minorEastAsia"/>
          <w:highlight w:val="none"/>
          <w:lang w:val="en-US" w:eastAsia="zh-CN"/>
        </w:rPr>
        <w:t>30</w:t>
      </w:r>
      <w:r>
        <w:rPr>
          <w:rFonts w:hint="eastAsia" w:eastAsiaTheme="minorEastAsia"/>
          <w:highlight w:val="none"/>
        </w:rPr>
        <w:t>日</w:t>
      </w:r>
      <w:r>
        <w:rPr>
          <w:rFonts w:hint="eastAsia" w:ascii="宋体" w:hAnsi="宋体"/>
          <w:color w:val="000000"/>
          <w:szCs w:val="21"/>
          <w:highlight w:val="none"/>
        </w:rPr>
        <w:t>至</w:t>
      </w:r>
      <w:r>
        <w:rPr>
          <w:rFonts w:hint="eastAsia" w:eastAsiaTheme="minorEastAsia"/>
          <w:highlight w:val="none"/>
        </w:rPr>
        <w:t>2026年</w:t>
      </w:r>
      <w:r>
        <w:rPr>
          <w:rFonts w:hint="eastAsia" w:eastAsiaTheme="minorEastAsia"/>
          <w:highlight w:val="none"/>
          <w:lang w:val="en-US" w:eastAsia="zh-CN"/>
        </w:rPr>
        <w:t>9</w:t>
      </w:r>
      <w:r>
        <w:rPr>
          <w:rFonts w:hint="eastAsia" w:eastAsiaTheme="minorEastAsia"/>
          <w:highlight w:val="none"/>
        </w:rPr>
        <w:t>月</w:t>
      </w:r>
      <w:r>
        <w:rPr>
          <w:rFonts w:hint="eastAsia" w:eastAsiaTheme="minorEastAsia"/>
          <w:highlight w:val="none"/>
          <w:lang w:val="en-US" w:eastAsia="zh-CN"/>
        </w:rPr>
        <w:t>15</w:t>
      </w:r>
      <w:r>
        <w:rPr>
          <w:rFonts w:hint="eastAsia" w:eastAsiaTheme="minorEastAsia"/>
          <w:highlight w:val="none"/>
        </w:rPr>
        <w:t>日</w:t>
      </w:r>
      <w:r>
        <w:rPr>
          <w:rFonts w:hint="eastAsia" w:ascii="宋体" w:hAnsi="宋体"/>
          <w:color w:val="000000"/>
          <w:szCs w:val="21"/>
          <w:highlight w:val="none"/>
          <w:lang w:eastAsia="zh-CN"/>
        </w:rPr>
        <w:t>。</w:t>
      </w:r>
    </w:p>
    <w:p w14:paraId="2F699E3E">
      <w:pPr>
        <w:spacing w:line="360" w:lineRule="auto"/>
        <w:rPr>
          <w:rFonts w:ascii="宋体" w:hAnsi="宋体"/>
          <w:b/>
          <w:szCs w:val="21"/>
          <w:highlight w:val="none"/>
        </w:rPr>
      </w:pPr>
      <w:r>
        <w:rPr>
          <w:rFonts w:ascii="宋体" w:hAnsi="宋体"/>
          <w:b/>
          <w:szCs w:val="21"/>
          <w:highlight w:val="none"/>
        </w:rPr>
        <w:t>4.3.</w:t>
      </w:r>
      <w:r>
        <w:rPr>
          <w:rFonts w:hint="eastAsia" w:ascii="宋体" w:hAnsi="宋体"/>
          <w:b/>
          <w:szCs w:val="21"/>
          <w:highlight w:val="none"/>
        </w:rPr>
        <w:t>5</w:t>
      </w:r>
      <w:r>
        <w:rPr>
          <w:rFonts w:ascii="宋体" w:hAnsi="宋体"/>
          <w:b/>
          <w:szCs w:val="21"/>
          <w:highlight w:val="none"/>
        </w:rPr>
        <w:t>.2 记账本位币</w:t>
      </w:r>
    </w:p>
    <w:p w14:paraId="5B6A3AA2">
      <w:pPr>
        <w:spacing w:line="360" w:lineRule="auto"/>
        <w:ind w:firstLine="420" w:firstLineChars="200"/>
        <w:rPr>
          <w:rFonts w:ascii="宋体" w:hAnsi="宋体"/>
          <w:color w:val="000000"/>
          <w:szCs w:val="21"/>
          <w:highlight w:val="none"/>
        </w:rPr>
      </w:pPr>
      <w:r>
        <w:rPr>
          <w:rFonts w:hint="eastAsia" w:ascii="宋体" w:hAnsi="宋体"/>
          <w:color w:val="000000"/>
          <w:szCs w:val="21"/>
          <w:highlight w:val="none"/>
        </w:rPr>
        <w:t>本清算财务报表以人民币为</w:t>
      </w:r>
      <w:r>
        <w:rPr>
          <w:rFonts w:hint="eastAsia"/>
          <w:highlight w:val="none"/>
        </w:rPr>
        <w:t>记账本位币</w:t>
      </w:r>
      <w:r>
        <w:rPr>
          <w:rFonts w:hint="eastAsia" w:ascii="宋体" w:hAnsi="宋体"/>
          <w:color w:val="000000"/>
          <w:szCs w:val="21"/>
          <w:highlight w:val="none"/>
        </w:rPr>
        <w:t>。</w:t>
      </w:r>
    </w:p>
    <w:p w14:paraId="63687924">
      <w:pPr>
        <w:spacing w:line="360" w:lineRule="auto"/>
        <w:rPr>
          <w:rFonts w:ascii="宋体" w:hAnsi="宋体"/>
          <w:b/>
          <w:szCs w:val="21"/>
          <w:highlight w:val="none"/>
        </w:rPr>
      </w:pPr>
      <w:r>
        <w:rPr>
          <w:rFonts w:ascii="宋体" w:hAnsi="宋体"/>
          <w:b/>
          <w:szCs w:val="21"/>
          <w:highlight w:val="none"/>
        </w:rPr>
        <w:t>4.3.</w:t>
      </w:r>
      <w:r>
        <w:rPr>
          <w:rFonts w:hint="eastAsia" w:ascii="宋体" w:hAnsi="宋体"/>
          <w:b/>
          <w:szCs w:val="21"/>
          <w:highlight w:val="none"/>
        </w:rPr>
        <w:t>5</w:t>
      </w:r>
      <w:r>
        <w:rPr>
          <w:rFonts w:ascii="宋体" w:hAnsi="宋体"/>
          <w:b/>
          <w:szCs w:val="21"/>
          <w:highlight w:val="none"/>
        </w:rPr>
        <w:t>.</w:t>
      </w:r>
      <w:r>
        <w:rPr>
          <w:rFonts w:hint="eastAsia" w:ascii="宋体" w:hAnsi="宋体"/>
          <w:b/>
          <w:szCs w:val="21"/>
          <w:highlight w:val="none"/>
        </w:rPr>
        <w:t>3</w:t>
      </w:r>
      <w:r>
        <w:rPr>
          <w:rFonts w:ascii="宋体" w:hAnsi="宋体"/>
          <w:b/>
          <w:szCs w:val="21"/>
          <w:highlight w:val="none"/>
        </w:rPr>
        <w:t xml:space="preserve"> </w:t>
      </w:r>
      <w:r>
        <w:rPr>
          <w:rFonts w:hint="eastAsia" w:ascii="宋体" w:hAnsi="宋体"/>
          <w:b/>
          <w:szCs w:val="21"/>
          <w:highlight w:val="none"/>
        </w:rPr>
        <w:t>应收</w:t>
      </w:r>
      <w:r>
        <w:rPr>
          <w:rFonts w:ascii="宋体" w:hAnsi="宋体"/>
          <w:b/>
          <w:bCs/>
          <w:color w:val="000000"/>
          <w:szCs w:val="21"/>
          <w:highlight w:val="none"/>
        </w:rPr>
        <w:t>款项</w:t>
      </w:r>
      <w:r>
        <w:rPr>
          <w:rFonts w:hint="eastAsia" w:ascii="宋体" w:hAnsi="宋体"/>
          <w:b/>
          <w:szCs w:val="21"/>
          <w:highlight w:val="none"/>
        </w:rPr>
        <w:t xml:space="preserve">的确认和计量 </w:t>
      </w:r>
    </w:p>
    <w:p w14:paraId="324935A3">
      <w:pPr>
        <w:spacing w:line="360" w:lineRule="auto"/>
        <w:ind w:firstLine="420" w:firstLineChars="200"/>
        <w:rPr>
          <w:rFonts w:ascii="宋体" w:hAnsi="宋体"/>
          <w:color w:val="000000"/>
          <w:szCs w:val="21"/>
          <w:highlight w:val="none"/>
        </w:rPr>
      </w:pPr>
      <w:r>
        <w:rPr>
          <w:rFonts w:ascii="宋体" w:hAnsi="宋体"/>
          <w:color w:val="000000"/>
          <w:szCs w:val="21"/>
          <w:highlight w:val="none"/>
        </w:rPr>
        <w:t>应收款项按照未来应收取的款项金额计量。</w:t>
      </w:r>
    </w:p>
    <w:p w14:paraId="5E05CAD9">
      <w:pPr>
        <w:spacing w:line="360" w:lineRule="auto"/>
        <w:rPr>
          <w:rFonts w:ascii="宋体" w:hAnsi="宋体"/>
          <w:b/>
          <w:szCs w:val="21"/>
          <w:highlight w:val="none"/>
        </w:rPr>
      </w:pPr>
      <w:r>
        <w:rPr>
          <w:rFonts w:ascii="宋体" w:hAnsi="宋体"/>
          <w:b/>
          <w:szCs w:val="21"/>
          <w:highlight w:val="none"/>
        </w:rPr>
        <w:t>4.3.</w:t>
      </w:r>
      <w:r>
        <w:rPr>
          <w:rFonts w:hint="eastAsia" w:ascii="宋体" w:hAnsi="宋体"/>
          <w:b/>
          <w:szCs w:val="21"/>
          <w:highlight w:val="none"/>
        </w:rPr>
        <w:t>5</w:t>
      </w:r>
      <w:r>
        <w:rPr>
          <w:rFonts w:ascii="宋体" w:hAnsi="宋体"/>
          <w:b/>
          <w:szCs w:val="21"/>
          <w:highlight w:val="none"/>
        </w:rPr>
        <w:t>.</w:t>
      </w:r>
      <w:r>
        <w:rPr>
          <w:rFonts w:hint="eastAsia" w:ascii="宋体" w:hAnsi="宋体"/>
          <w:b/>
          <w:szCs w:val="21"/>
          <w:highlight w:val="none"/>
        </w:rPr>
        <w:t>4</w:t>
      </w:r>
      <w:r>
        <w:rPr>
          <w:rFonts w:ascii="宋体" w:hAnsi="宋体"/>
          <w:b/>
          <w:szCs w:val="21"/>
          <w:highlight w:val="none"/>
        </w:rPr>
        <w:t xml:space="preserve"> </w:t>
      </w:r>
      <w:r>
        <w:rPr>
          <w:rFonts w:hint="eastAsia" w:ascii="宋体" w:hAnsi="宋体"/>
          <w:b/>
          <w:szCs w:val="21"/>
          <w:highlight w:val="none"/>
        </w:rPr>
        <w:t xml:space="preserve">应付款项的确认和计量 </w:t>
      </w:r>
    </w:p>
    <w:p w14:paraId="40517E15">
      <w:pPr>
        <w:spacing w:line="360" w:lineRule="auto"/>
        <w:ind w:firstLine="420" w:firstLineChars="200"/>
        <w:rPr>
          <w:rFonts w:ascii="宋体" w:hAnsi="宋体"/>
          <w:color w:val="000000"/>
          <w:szCs w:val="21"/>
          <w:highlight w:val="none"/>
        </w:rPr>
      </w:pPr>
      <w:r>
        <w:rPr>
          <w:rFonts w:ascii="宋体" w:hAnsi="宋体"/>
          <w:color w:val="000000"/>
          <w:szCs w:val="21"/>
          <w:highlight w:val="none"/>
        </w:rPr>
        <w:t>应付款项按照未来应支付的款项金额计量。</w:t>
      </w:r>
    </w:p>
    <w:p w14:paraId="1B778CA2">
      <w:pPr>
        <w:spacing w:line="360" w:lineRule="auto"/>
        <w:rPr>
          <w:rFonts w:ascii="宋体" w:hAnsi="宋体"/>
          <w:b/>
          <w:szCs w:val="21"/>
          <w:highlight w:val="none"/>
        </w:rPr>
      </w:pPr>
      <w:r>
        <w:rPr>
          <w:rFonts w:ascii="宋体" w:hAnsi="宋体"/>
          <w:b/>
          <w:szCs w:val="21"/>
          <w:highlight w:val="none"/>
        </w:rPr>
        <w:t>4.3.</w:t>
      </w:r>
      <w:r>
        <w:rPr>
          <w:rFonts w:hint="eastAsia" w:ascii="宋体" w:hAnsi="宋体"/>
          <w:b/>
          <w:szCs w:val="21"/>
          <w:highlight w:val="none"/>
        </w:rPr>
        <w:t>5</w:t>
      </w:r>
      <w:r>
        <w:rPr>
          <w:rFonts w:ascii="宋体" w:hAnsi="宋体"/>
          <w:b/>
          <w:szCs w:val="21"/>
          <w:highlight w:val="none"/>
        </w:rPr>
        <w:t>.</w:t>
      </w:r>
      <w:r>
        <w:rPr>
          <w:rFonts w:hint="eastAsia" w:ascii="宋体" w:hAnsi="宋体"/>
          <w:b/>
          <w:szCs w:val="21"/>
          <w:highlight w:val="none"/>
        </w:rPr>
        <w:t>5</w:t>
      </w:r>
      <w:r>
        <w:rPr>
          <w:rFonts w:ascii="宋体" w:hAnsi="宋体"/>
          <w:b/>
          <w:szCs w:val="21"/>
          <w:highlight w:val="none"/>
        </w:rPr>
        <w:t xml:space="preserve"> </w:t>
      </w:r>
      <w:r>
        <w:rPr>
          <w:rFonts w:hint="eastAsia" w:ascii="宋体" w:hAnsi="宋体"/>
          <w:b/>
          <w:szCs w:val="21"/>
          <w:highlight w:val="none"/>
        </w:rPr>
        <w:t xml:space="preserve">清算收益的确认和计量 </w:t>
      </w:r>
    </w:p>
    <w:p w14:paraId="403A6B24">
      <w:pPr>
        <w:spacing w:line="360" w:lineRule="auto"/>
        <w:ind w:firstLine="420" w:firstLineChars="200"/>
        <w:rPr>
          <w:rFonts w:ascii="宋体" w:hAnsi="宋体"/>
          <w:color w:val="000000"/>
          <w:szCs w:val="21"/>
          <w:highlight w:val="none"/>
        </w:rPr>
      </w:pPr>
      <w:r>
        <w:rPr>
          <w:rFonts w:ascii="宋体" w:hAnsi="宋体"/>
          <w:color w:val="000000"/>
          <w:szCs w:val="21"/>
          <w:highlight w:val="none"/>
        </w:rPr>
        <w:t>清算收益按照实际发生的收益金额或未来应收取的款项金额计量。</w:t>
      </w:r>
    </w:p>
    <w:p w14:paraId="13007942">
      <w:pPr>
        <w:spacing w:line="360" w:lineRule="auto"/>
        <w:rPr>
          <w:rFonts w:ascii="宋体" w:hAnsi="宋体"/>
          <w:b/>
          <w:szCs w:val="21"/>
          <w:highlight w:val="none"/>
        </w:rPr>
      </w:pPr>
      <w:r>
        <w:rPr>
          <w:rFonts w:ascii="宋体" w:hAnsi="宋体"/>
          <w:b/>
          <w:szCs w:val="21"/>
          <w:highlight w:val="none"/>
        </w:rPr>
        <w:t>4.3.</w:t>
      </w:r>
      <w:r>
        <w:rPr>
          <w:rFonts w:hint="eastAsia" w:ascii="宋体" w:hAnsi="宋体"/>
          <w:b/>
          <w:szCs w:val="21"/>
          <w:highlight w:val="none"/>
        </w:rPr>
        <w:t>5</w:t>
      </w:r>
      <w:r>
        <w:rPr>
          <w:rFonts w:ascii="宋体" w:hAnsi="宋体"/>
          <w:b/>
          <w:szCs w:val="21"/>
          <w:highlight w:val="none"/>
        </w:rPr>
        <w:t>.6</w:t>
      </w:r>
      <w:r>
        <w:rPr>
          <w:rFonts w:hint="eastAsia" w:ascii="宋体" w:hAnsi="宋体"/>
          <w:b/>
          <w:szCs w:val="21"/>
          <w:highlight w:val="none"/>
        </w:rPr>
        <w:t xml:space="preserve">清算费用的确认和计量 </w:t>
      </w:r>
    </w:p>
    <w:p w14:paraId="1F8A21E2">
      <w:pPr>
        <w:spacing w:line="360" w:lineRule="auto"/>
        <w:ind w:firstLine="420" w:firstLineChars="200"/>
        <w:rPr>
          <w:rFonts w:ascii="宋体" w:hAnsi="宋体"/>
          <w:color w:val="000000"/>
          <w:szCs w:val="21"/>
          <w:highlight w:val="none"/>
        </w:rPr>
      </w:pPr>
      <w:r>
        <w:rPr>
          <w:rFonts w:ascii="宋体" w:hAnsi="宋体"/>
          <w:color w:val="000000"/>
          <w:szCs w:val="21"/>
          <w:highlight w:val="none"/>
        </w:rPr>
        <w:t>清算费用按照实际发生的费用金额或未来应支付的款项金额计量。</w:t>
      </w:r>
    </w:p>
    <w:p w14:paraId="458E3CCA">
      <w:pPr>
        <w:pStyle w:val="24"/>
        <w:numPr>
          <w:ilvl w:val="-1"/>
          <w:numId w:val="0"/>
        </w:numPr>
        <w:rPr>
          <w:rFonts w:hint="eastAsia" w:ascii="宋体" w:hAnsi="宋体"/>
          <w:b/>
          <w:szCs w:val="21"/>
          <w:highlight w:val="none"/>
        </w:rPr>
      </w:pPr>
      <w:r>
        <w:rPr>
          <w:rFonts w:ascii="宋体" w:hAnsi="宋体"/>
          <w:b/>
          <w:szCs w:val="21"/>
          <w:highlight w:val="none"/>
        </w:rPr>
        <w:t>4.3.</w:t>
      </w:r>
      <w:r>
        <w:rPr>
          <w:rFonts w:hint="eastAsia" w:ascii="宋体" w:hAnsi="宋体"/>
          <w:b/>
          <w:szCs w:val="21"/>
          <w:highlight w:val="none"/>
        </w:rPr>
        <w:t>6 税项</w:t>
      </w:r>
      <w:bookmarkStart w:id="45" w:name="_Toc491963087"/>
      <w:bookmarkStart w:id="46" w:name="_Toc484769809"/>
    </w:p>
    <w:p w14:paraId="61A208B0">
      <w:pPr>
        <w:pStyle w:val="24"/>
        <w:rPr>
          <w:rFonts w:hint="eastAsia"/>
        </w:rPr>
      </w:pPr>
      <w:r>
        <w:rPr>
          <w:rFonts w:hint="eastAsia"/>
        </w:rPr>
        <w:t>根据财政部、国家税务总局财税[2002]128号《关于开放式证券投资基金有关税收问题的通知》、财税[2008]1号《关于企业所得税若干优惠政策的通知》、财税[2017]56号《关于资管产品增值税有关问题的通知》、财税[2017]90号《关于租入固定资产进项税额抵扣等增值税政策的通知》、财政部、国家税务总局公告2025年第4号《关于国债等债券利息收入增值税政策的公告》、国务院令第826号《中华人民共和国增值税法实施条例》、财政部、税务总局公告2026年第10号《财政部 税务总局关于增值税法施行后增值税优惠政策衔接事项的公告》及其他相关财税法规和实务操作，主要税项列示如下：</w:t>
      </w:r>
    </w:p>
    <w:p w14:paraId="20342620">
      <w:pPr>
        <w:pStyle w:val="24"/>
        <w:rPr>
          <w:rFonts w:hint="eastAsia"/>
        </w:rPr>
      </w:pPr>
      <w:r>
        <w:rPr>
          <w:rFonts w:hint="eastAsia"/>
        </w:rPr>
        <w:t>（1）资管产品运营过程中发生的增值税应税行为，以资管产品管理人为增值税纳税人。2027年12月31日前，资管产品管理人运营契约制资管产品过程中发生的增值税应税行为，可以选择适用简易计税方法，按照3%的征收率缴纳增值税。对资管产品在2018年1月1日前运营过程中发生的增值税应税行为，未缴纳增值税的，不再缴纳；已缴纳增值税的，已纳税额从资管产品管理人以后月份的增值税应纳税额中抵减。</w:t>
      </w:r>
    </w:p>
    <w:p w14:paraId="0BA75978">
      <w:pPr>
        <w:pStyle w:val="24"/>
        <w:rPr>
          <w:rFonts w:hint="eastAsia"/>
        </w:rPr>
      </w:pPr>
      <w:r>
        <w:rPr>
          <w:rFonts w:hint="eastAsia"/>
        </w:rPr>
        <w:t>2027年12月31日前，对证券投资基金管理人运用基金买卖股票、债券的转让收入免征增值税，对除持有金融债券外的金融同业往来利息收入亦免征增值税。自2025年8月8日起，对在该日期之后（含当日）新发行的国债、地方政府债券、金融债券的利息收入，恢复征收增值税。对在该日期之前已发行的国债、地方政府债券、金融债券（包含在2025年8月8日之后续发行的部分）的利息收入，免征增值税直至债券到期。资管产品管理人运营资管产品提供的贷款服务，以2018年1月1日起产生的利息及利息性质的收入为销售额。资管产品管理人运营资管产品转让2017年12月31日前取得的基金、非货物期货，可以选择按照实际买入价计算销售额，或者以2017年最后一个交易日的基金份额净值、非货物期货结算价格作为买入价计算销售额。</w:t>
      </w:r>
    </w:p>
    <w:p w14:paraId="2E1FFAC8">
      <w:pPr>
        <w:pStyle w:val="24"/>
        <w:rPr>
          <w:rFonts w:hint="eastAsia"/>
        </w:rPr>
      </w:pPr>
      <w:r>
        <w:rPr>
          <w:rFonts w:hint="eastAsia"/>
        </w:rPr>
        <w:t>（2）对基金从证券市场中取得的收入，包括买卖股票、债券的差价收入，股票的股息、红利收入，债券的利息收入及其他收入，暂不征收企业所得税。</w:t>
      </w:r>
    </w:p>
    <w:p w14:paraId="1BE48840">
      <w:pPr>
        <w:pStyle w:val="24"/>
        <w:rPr>
          <w:rFonts w:hint="eastAsia"/>
        </w:rPr>
      </w:pPr>
      <w:r>
        <w:rPr>
          <w:rFonts w:hint="eastAsia"/>
        </w:rPr>
        <w:t>（3）对基金取得的企业债券利息收入，应由发行债券的企业在向基金支付利息时代扣代缴20%的个人所得税。</w:t>
      </w:r>
    </w:p>
    <w:p w14:paraId="328A76B7">
      <w:pPr>
        <w:pStyle w:val="24"/>
        <w:rPr>
          <w:rFonts w:hint="eastAsia"/>
        </w:rPr>
      </w:pPr>
      <w:r>
        <w:rPr>
          <w:rFonts w:hint="eastAsia"/>
        </w:rPr>
        <w:t>（4）本基金的城市维护建设税、教育费附加和地方教育附加等税费按照实际缴纳增值税额的适用比例计算缴纳。</w:t>
      </w:r>
    </w:p>
    <w:p w14:paraId="2BFF7D13">
      <w:pPr>
        <w:pStyle w:val="2"/>
        <w:keepNext/>
        <w:keepLines/>
        <w:widowControl w:val="0"/>
        <w:spacing w:before="312" w:beforeLines="100" w:after="312" w:afterLines="100" w:line="360" w:lineRule="auto"/>
        <w:jc w:val="left"/>
        <w:rPr>
          <w:rStyle w:val="20"/>
          <w:rFonts w:ascii="宋体" w:hAnsi="宋体"/>
          <w:highlight w:val="none"/>
        </w:rPr>
      </w:pPr>
      <w:r>
        <w:rPr>
          <w:rStyle w:val="20"/>
          <w:rFonts w:hint="eastAsia" w:ascii="宋体" w:hAnsi="宋体"/>
          <w:highlight w:val="none"/>
        </w:rPr>
        <w:t>5、清算情况</w:t>
      </w:r>
      <w:bookmarkEnd w:id="45"/>
    </w:p>
    <w:p w14:paraId="5E5EBCCA">
      <w:pPr>
        <w:pStyle w:val="3"/>
        <w:spacing w:before="0" w:after="0"/>
        <w:rPr>
          <w:rFonts w:ascii="宋体" w:hAnsi="宋体" w:eastAsia="宋体"/>
          <w:kern w:val="0"/>
          <w:sz w:val="21"/>
          <w:szCs w:val="21"/>
          <w:highlight w:val="none"/>
        </w:rPr>
      </w:pPr>
      <w:bookmarkStart w:id="47" w:name="_Toc491963088"/>
      <w:r>
        <w:rPr>
          <w:rFonts w:hint="eastAsia" w:ascii="宋体" w:hAnsi="宋体" w:eastAsia="宋体"/>
          <w:kern w:val="0"/>
          <w:sz w:val="21"/>
          <w:szCs w:val="21"/>
          <w:highlight w:val="none"/>
        </w:rPr>
        <w:t>5.1 资产负债清算情况</w:t>
      </w:r>
      <w:bookmarkEnd w:id="47"/>
    </w:p>
    <w:p w14:paraId="4431D24E">
      <w:pPr>
        <w:pStyle w:val="24"/>
        <w:rPr>
          <w:highlight w:val="none"/>
        </w:rPr>
      </w:pPr>
      <w:r>
        <w:rPr>
          <w:rFonts w:hint="eastAsia"/>
          <w:highlight w:val="none"/>
        </w:rPr>
        <w:t>自</w:t>
      </w:r>
      <w:r>
        <w:rPr>
          <w:rFonts w:hint="eastAsia" w:eastAsiaTheme="minorEastAsia"/>
          <w:highlight w:val="none"/>
        </w:rPr>
        <w:t>2026年</w:t>
      </w:r>
      <w:r>
        <w:rPr>
          <w:rFonts w:hint="eastAsia" w:eastAsiaTheme="minorEastAsia"/>
          <w:highlight w:val="none"/>
          <w:lang w:val="en-US" w:eastAsia="zh-CN"/>
        </w:rPr>
        <w:t>8</w:t>
      </w:r>
      <w:r>
        <w:rPr>
          <w:rFonts w:hint="eastAsia" w:eastAsiaTheme="minorEastAsia"/>
          <w:highlight w:val="none"/>
        </w:rPr>
        <w:t>月</w:t>
      </w:r>
      <w:r>
        <w:rPr>
          <w:rFonts w:hint="eastAsia" w:eastAsiaTheme="minorEastAsia"/>
          <w:highlight w:val="none"/>
          <w:lang w:val="en-US" w:eastAsia="zh-CN"/>
        </w:rPr>
        <w:t>30</w:t>
      </w:r>
      <w:r>
        <w:rPr>
          <w:rFonts w:hint="eastAsia" w:eastAsiaTheme="minorEastAsia"/>
          <w:highlight w:val="none"/>
        </w:rPr>
        <w:t>日</w:t>
      </w:r>
      <w:r>
        <w:rPr>
          <w:rFonts w:hint="eastAsia" w:ascii="宋体" w:hAnsi="宋体"/>
          <w:color w:val="000000"/>
          <w:szCs w:val="21"/>
          <w:highlight w:val="none"/>
        </w:rPr>
        <w:t>至</w:t>
      </w:r>
      <w:r>
        <w:rPr>
          <w:rFonts w:hint="eastAsia" w:eastAsiaTheme="minorEastAsia"/>
          <w:highlight w:val="none"/>
        </w:rPr>
        <w:t>2026年</w:t>
      </w:r>
      <w:r>
        <w:rPr>
          <w:rFonts w:hint="eastAsia" w:eastAsiaTheme="minorEastAsia"/>
          <w:highlight w:val="none"/>
          <w:lang w:val="en-US" w:eastAsia="zh-CN"/>
        </w:rPr>
        <w:t>9</w:t>
      </w:r>
      <w:r>
        <w:rPr>
          <w:rFonts w:hint="eastAsia" w:eastAsiaTheme="minorEastAsia"/>
          <w:highlight w:val="none"/>
        </w:rPr>
        <w:t>月</w:t>
      </w:r>
      <w:r>
        <w:rPr>
          <w:rFonts w:hint="eastAsia" w:eastAsiaTheme="minorEastAsia"/>
          <w:highlight w:val="none"/>
          <w:lang w:val="en-US" w:eastAsia="zh-CN"/>
        </w:rPr>
        <w:t>15</w:t>
      </w:r>
      <w:r>
        <w:rPr>
          <w:rFonts w:hint="eastAsia" w:eastAsiaTheme="minorEastAsia"/>
          <w:highlight w:val="none"/>
        </w:rPr>
        <w:t>日</w:t>
      </w:r>
      <w:r>
        <w:rPr>
          <w:rFonts w:hint="eastAsia"/>
          <w:highlight w:val="none"/>
        </w:rPr>
        <w:t>止为本次清算期间，基金财产清算小组对本基金的基金财产进行清算，全部清算工作按清算原则和清算手续进行。具体清算情况如下：</w:t>
      </w:r>
    </w:p>
    <w:p w14:paraId="2491491C">
      <w:pPr>
        <w:pStyle w:val="24"/>
        <w:rPr>
          <w:rFonts w:hint="eastAsia" w:eastAsia="宋体"/>
          <w:highlight w:val="none"/>
          <w:lang w:val="en-US" w:eastAsia="zh-CN"/>
        </w:rPr>
      </w:pPr>
      <w:r>
        <w:rPr>
          <w:rFonts w:hint="eastAsia"/>
          <w:highlight w:val="none"/>
        </w:rPr>
        <w:t>截至本次清算期结束日（</w:t>
      </w:r>
      <w:r>
        <w:rPr>
          <w:rFonts w:hint="eastAsia" w:eastAsiaTheme="minorEastAsia"/>
          <w:highlight w:val="none"/>
        </w:rPr>
        <w:t>2026年</w:t>
      </w:r>
      <w:r>
        <w:rPr>
          <w:rFonts w:hint="eastAsia" w:eastAsiaTheme="minorEastAsia"/>
          <w:highlight w:val="none"/>
          <w:lang w:val="en-US" w:eastAsia="zh-CN"/>
        </w:rPr>
        <w:t>9</w:t>
      </w:r>
      <w:r>
        <w:rPr>
          <w:rFonts w:hint="eastAsia" w:eastAsiaTheme="minorEastAsia"/>
          <w:highlight w:val="none"/>
        </w:rPr>
        <w:t>月</w:t>
      </w:r>
      <w:r>
        <w:rPr>
          <w:rFonts w:hint="eastAsia" w:eastAsiaTheme="minorEastAsia"/>
          <w:highlight w:val="none"/>
          <w:lang w:val="en-US" w:eastAsia="zh-CN"/>
        </w:rPr>
        <w:t>15</w:t>
      </w:r>
      <w:r>
        <w:rPr>
          <w:rFonts w:hint="eastAsia" w:eastAsiaTheme="minorEastAsia"/>
          <w:highlight w:val="none"/>
        </w:rPr>
        <w:t>日</w:t>
      </w:r>
      <w:r>
        <w:rPr>
          <w:rFonts w:hint="eastAsia"/>
          <w:highlight w:val="none"/>
        </w:rPr>
        <w:t>），各项资产负债清算情况如下：</w:t>
      </w:r>
    </w:p>
    <w:p w14:paraId="290A42A9">
      <w:pPr>
        <w:pStyle w:val="24"/>
        <w:numPr>
          <w:ilvl w:val="0"/>
          <w:numId w:val="1"/>
        </w:numPr>
        <w:rPr>
          <w:rFonts w:hint="eastAsia"/>
          <w:highlight w:val="none"/>
          <w:lang w:eastAsia="zh-CN"/>
        </w:rPr>
      </w:pPr>
      <w:r>
        <w:rPr>
          <w:rFonts w:hint="eastAsia"/>
          <w:highlight w:val="none"/>
        </w:rPr>
        <w:t>本基金最后运作日银行存款余额为1</w:t>
      </w:r>
      <w:r>
        <w:rPr>
          <w:rFonts w:hint="eastAsia"/>
          <w:highlight w:val="none"/>
          <w:lang w:val="en-US" w:eastAsia="zh-CN"/>
        </w:rPr>
        <w:t>,</w:t>
      </w:r>
      <w:r>
        <w:rPr>
          <w:rFonts w:hint="eastAsia"/>
          <w:highlight w:val="none"/>
        </w:rPr>
        <w:t>727</w:t>
      </w:r>
      <w:r>
        <w:rPr>
          <w:rFonts w:hint="eastAsia"/>
          <w:highlight w:val="none"/>
          <w:lang w:val="en-US" w:eastAsia="zh-CN"/>
        </w:rPr>
        <w:t>,</w:t>
      </w:r>
      <w:r>
        <w:rPr>
          <w:rFonts w:hint="eastAsia"/>
          <w:highlight w:val="none"/>
        </w:rPr>
        <w:t>115.97元；存款利息为69.70元，</w:t>
      </w:r>
      <w:r>
        <w:rPr>
          <w:rFonts w:hint="eastAsia"/>
          <w:highlight w:val="none"/>
          <w:lang w:val="en-US" w:eastAsia="zh-CN"/>
        </w:rPr>
        <w:t>尚未全部</w:t>
      </w:r>
      <w:r>
        <w:rPr>
          <w:rFonts w:hint="eastAsia"/>
          <w:highlight w:val="none"/>
        </w:rPr>
        <w:t>收回</w:t>
      </w:r>
      <w:r>
        <w:rPr>
          <w:rFonts w:hint="eastAsia"/>
          <w:highlight w:val="none"/>
          <w:lang w:eastAsia="zh-CN"/>
        </w:rPr>
        <w:t>。</w:t>
      </w:r>
    </w:p>
    <w:p w14:paraId="2F883916">
      <w:pPr>
        <w:pStyle w:val="24"/>
        <w:numPr>
          <w:ilvl w:val="0"/>
          <w:numId w:val="1"/>
        </w:numPr>
        <w:rPr>
          <w:rFonts w:hint="eastAsia"/>
          <w:highlight w:val="none"/>
          <w:lang w:eastAsia="zh-CN"/>
        </w:rPr>
      </w:pPr>
      <w:r>
        <w:rPr>
          <w:rFonts w:hint="eastAsia"/>
          <w:highlight w:val="none"/>
        </w:rPr>
        <w:t>本基金最后运作日</w:t>
      </w:r>
      <w:r>
        <w:rPr>
          <w:rFonts w:hint="eastAsia"/>
          <w:highlight w:val="none"/>
          <w:lang w:val="en-US" w:eastAsia="zh-CN"/>
        </w:rPr>
        <w:t>交易所</w:t>
      </w:r>
      <w:r>
        <w:rPr>
          <w:rFonts w:hint="eastAsia"/>
          <w:highlight w:val="none"/>
        </w:rPr>
        <w:t>存出保证金</w:t>
      </w:r>
      <w:r>
        <w:rPr>
          <w:rFonts w:hint="eastAsia"/>
          <w:highlight w:val="none"/>
          <w:lang w:val="en-US" w:eastAsia="zh-CN"/>
        </w:rPr>
        <w:t>2,215.67</w:t>
      </w:r>
      <w:r>
        <w:rPr>
          <w:rFonts w:hint="eastAsia"/>
          <w:highlight w:val="none"/>
        </w:rPr>
        <w:t>元</w:t>
      </w:r>
      <w:r>
        <w:rPr>
          <w:rFonts w:hint="eastAsia"/>
          <w:highlight w:val="none"/>
          <w:lang w:eastAsia="zh-CN"/>
        </w:rPr>
        <w:t>，</w:t>
      </w:r>
      <w:r>
        <w:rPr>
          <w:rFonts w:hint="eastAsia"/>
          <w:highlight w:val="none"/>
          <w:lang w:val="en-US" w:eastAsia="zh-CN"/>
        </w:rPr>
        <w:t>应计</w:t>
      </w:r>
      <w:r>
        <w:rPr>
          <w:rFonts w:hint="eastAsia"/>
          <w:highlight w:val="none"/>
        </w:rPr>
        <w:t>利息为</w:t>
      </w:r>
      <w:r>
        <w:rPr>
          <w:rFonts w:hint="eastAsia"/>
          <w:highlight w:val="none"/>
          <w:lang w:val="en-US" w:eastAsia="zh-CN"/>
        </w:rPr>
        <w:t>1.4</w:t>
      </w:r>
      <w:r>
        <w:rPr>
          <w:rFonts w:hint="eastAsia"/>
          <w:highlight w:val="none"/>
        </w:rPr>
        <w:t>元</w:t>
      </w:r>
      <w:r>
        <w:rPr>
          <w:rFonts w:hint="eastAsia"/>
          <w:highlight w:val="none"/>
          <w:lang w:val="en-US" w:eastAsia="zh-CN"/>
        </w:rPr>
        <w:t>,尚未全部</w:t>
      </w:r>
      <w:r>
        <w:rPr>
          <w:rFonts w:hint="eastAsia"/>
          <w:highlight w:val="none"/>
        </w:rPr>
        <w:t>收回</w:t>
      </w:r>
      <w:r>
        <w:rPr>
          <w:rFonts w:hint="eastAsia"/>
          <w:highlight w:val="none"/>
          <w:lang w:eastAsia="zh-CN"/>
        </w:rPr>
        <w:t>。</w:t>
      </w:r>
    </w:p>
    <w:p w14:paraId="0A4642BC">
      <w:pPr>
        <w:pStyle w:val="24"/>
        <w:numPr>
          <w:ilvl w:val="0"/>
          <w:numId w:val="1"/>
        </w:numPr>
        <w:rPr>
          <w:rFonts w:hint="eastAsia"/>
          <w:highlight w:val="none"/>
          <w:lang w:eastAsia="zh-CN"/>
        </w:rPr>
      </w:pPr>
      <w:r>
        <w:rPr>
          <w:rFonts w:hint="eastAsia"/>
          <w:highlight w:val="none"/>
        </w:rPr>
        <w:t>本基金最后运作日</w:t>
      </w:r>
      <w:r>
        <w:rPr>
          <w:rFonts w:hint="eastAsia"/>
          <w:highlight w:val="none"/>
          <w:lang w:val="en-US" w:eastAsia="zh-CN"/>
        </w:rPr>
        <w:t>交易所最低结算备付金7,746.45</w:t>
      </w:r>
      <w:r>
        <w:rPr>
          <w:rFonts w:hint="eastAsia"/>
          <w:highlight w:val="none"/>
        </w:rPr>
        <w:t>元</w:t>
      </w:r>
      <w:r>
        <w:rPr>
          <w:rFonts w:hint="eastAsia"/>
          <w:highlight w:val="none"/>
          <w:lang w:eastAsia="zh-CN"/>
        </w:rPr>
        <w:t>，</w:t>
      </w:r>
      <w:r>
        <w:rPr>
          <w:rFonts w:hint="eastAsia"/>
          <w:highlight w:val="none"/>
          <w:lang w:val="en-US" w:eastAsia="zh-CN"/>
        </w:rPr>
        <w:t>应计</w:t>
      </w:r>
      <w:r>
        <w:rPr>
          <w:rFonts w:hint="eastAsia"/>
          <w:highlight w:val="none"/>
        </w:rPr>
        <w:t>利息为</w:t>
      </w:r>
      <w:r>
        <w:rPr>
          <w:rFonts w:hint="eastAsia"/>
          <w:highlight w:val="none"/>
          <w:lang w:val="en-US" w:eastAsia="zh-CN"/>
        </w:rPr>
        <w:t>7.56</w:t>
      </w:r>
      <w:r>
        <w:rPr>
          <w:rFonts w:hint="eastAsia"/>
          <w:highlight w:val="none"/>
        </w:rPr>
        <w:t>元</w:t>
      </w:r>
      <w:r>
        <w:rPr>
          <w:rFonts w:hint="eastAsia"/>
          <w:highlight w:val="none"/>
          <w:lang w:val="en-US" w:eastAsia="zh-CN"/>
        </w:rPr>
        <w:t>,尚未全部</w:t>
      </w:r>
      <w:r>
        <w:rPr>
          <w:rFonts w:hint="eastAsia"/>
          <w:highlight w:val="none"/>
        </w:rPr>
        <w:t>收回</w:t>
      </w:r>
      <w:r>
        <w:rPr>
          <w:rFonts w:hint="eastAsia"/>
          <w:highlight w:val="none"/>
          <w:lang w:eastAsia="zh-CN"/>
        </w:rPr>
        <w:t>。</w:t>
      </w:r>
    </w:p>
    <w:p w14:paraId="0DDA3AC6">
      <w:pPr>
        <w:pStyle w:val="24"/>
        <w:numPr>
          <w:ilvl w:val="0"/>
          <w:numId w:val="1"/>
        </w:numPr>
        <w:rPr>
          <w:rFonts w:hint="eastAsia"/>
          <w:highlight w:val="none"/>
          <w:lang w:eastAsia="zh-CN"/>
        </w:rPr>
      </w:pPr>
      <w:r>
        <w:rPr>
          <w:rFonts w:hint="eastAsia"/>
          <w:highlight w:val="none"/>
        </w:rPr>
        <w:t>本基金最后运作日交易性</w:t>
      </w:r>
      <w:r>
        <w:rPr>
          <w:rFonts w:hint="eastAsia"/>
          <w:highlight w:val="none"/>
          <w:lang w:val="en-US" w:eastAsia="zh-CN"/>
        </w:rPr>
        <w:t>股票</w:t>
      </w:r>
      <w:r>
        <w:rPr>
          <w:rFonts w:hint="eastAsia"/>
          <w:highlight w:val="none"/>
        </w:rPr>
        <w:t>投资</w:t>
      </w:r>
      <w:r>
        <w:rPr>
          <w:rFonts w:hint="eastAsia"/>
          <w:highlight w:val="none"/>
          <w:lang w:val="en-US" w:eastAsia="zh-CN"/>
        </w:rPr>
        <w:t>金额为280,390.00元，清算期内已完成变现。</w:t>
      </w:r>
    </w:p>
    <w:p w14:paraId="45B51EC6">
      <w:pPr>
        <w:pStyle w:val="24"/>
        <w:numPr>
          <w:ilvl w:val="0"/>
          <w:numId w:val="1"/>
        </w:numPr>
        <w:rPr>
          <w:rFonts w:hint="eastAsia"/>
          <w:highlight w:val="none"/>
          <w:lang w:eastAsia="zh-CN"/>
        </w:rPr>
      </w:pPr>
      <w:r>
        <w:rPr>
          <w:rFonts w:hint="eastAsia"/>
          <w:highlight w:val="none"/>
        </w:rPr>
        <w:t>本基金最后运作日交易性</w:t>
      </w:r>
      <w:r>
        <w:rPr>
          <w:rFonts w:hint="eastAsia"/>
          <w:highlight w:val="none"/>
          <w:lang w:val="en-US" w:eastAsia="zh-CN"/>
        </w:rPr>
        <w:t>债券</w:t>
      </w:r>
      <w:r>
        <w:rPr>
          <w:rFonts w:hint="eastAsia"/>
          <w:highlight w:val="none"/>
        </w:rPr>
        <w:t>投资</w:t>
      </w:r>
      <w:r>
        <w:rPr>
          <w:rFonts w:hint="eastAsia"/>
          <w:highlight w:val="none"/>
          <w:lang w:val="en-US" w:eastAsia="zh-CN"/>
        </w:rPr>
        <w:t>金额为607,356.49元，清算期内已完成变现。</w:t>
      </w:r>
    </w:p>
    <w:p w14:paraId="0EAC4F60">
      <w:pPr>
        <w:pStyle w:val="24"/>
        <w:numPr>
          <w:ilvl w:val="0"/>
          <w:numId w:val="1"/>
        </w:numPr>
        <w:rPr>
          <w:rFonts w:hint="eastAsia"/>
          <w:highlight w:val="none"/>
          <w:lang w:eastAsia="zh-CN"/>
        </w:rPr>
      </w:pPr>
      <w:r>
        <w:rPr>
          <w:rFonts w:hint="eastAsia"/>
          <w:highlight w:val="none"/>
        </w:rPr>
        <w:t>本基金最后运作日交易性</w:t>
      </w:r>
      <w:r>
        <w:rPr>
          <w:rFonts w:hint="eastAsia"/>
          <w:highlight w:val="none"/>
          <w:lang w:val="en-US" w:eastAsia="zh-CN"/>
        </w:rPr>
        <w:t>基金</w:t>
      </w:r>
      <w:r>
        <w:rPr>
          <w:rFonts w:hint="eastAsia"/>
          <w:highlight w:val="none"/>
        </w:rPr>
        <w:t>投资</w:t>
      </w:r>
      <w:r>
        <w:rPr>
          <w:rFonts w:hint="eastAsia"/>
          <w:highlight w:val="none"/>
          <w:lang w:val="en-US" w:eastAsia="zh-CN"/>
        </w:rPr>
        <w:t>金额为15,198,934.88元，清算期内已完成变现。</w:t>
      </w:r>
    </w:p>
    <w:p w14:paraId="714B04BD">
      <w:pPr>
        <w:pStyle w:val="24"/>
        <w:numPr>
          <w:ilvl w:val="0"/>
          <w:numId w:val="1"/>
        </w:numPr>
        <w:rPr>
          <w:rFonts w:hint="eastAsia"/>
          <w:highlight w:val="none"/>
          <w:lang w:eastAsia="zh-CN"/>
        </w:rPr>
      </w:pPr>
      <w:r>
        <w:rPr>
          <w:rFonts w:hint="eastAsia"/>
          <w:highlight w:val="none"/>
        </w:rPr>
        <w:t>本基金最后运作日</w:t>
      </w:r>
      <w:r>
        <w:rPr>
          <w:rFonts w:hint="eastAsia"/>
          <w:highlight w:val="none"/>
          <w:lang w:val="en-US" w:eastAsia="zh-CN"/>
        </w:rPr>
        <w:t>应收股利金额为93.96元，清算期内已收回。</w:t>
      </w:r>
    </w:p>
    <w:p w14:paraId="449AB836">
      <w:pPr>
        <w:pStyle w:val="24"/>
        <w:numPr>
          <w:ilvl w:val="0"/>
          <w:numId w:val="1"/>
        </w:numPr>
        <w:rPr>
          <w:rFonts w:hint="eastAsia"/>
          <w:highlight w:val="none"/>
          <w:lang w:eastAsia="zh-CN"/>
        </w:rPr>
      </w:pPr>
      <w:r>
        <w:rPr>
          <w:rFonts w:hint="eastAsia"/>
          <w:highlight w:val="none"/>
        </w:rPr>
        <w:t>本基金最后运作日应收申购款</w:t>
      </w:r>
      <w:r>
        <w:rPr>
          <w:rFonts w:hint="eastAsia"/>
          <w:highlight w:val="none"/>
          <w:lang w:val="en-US" w:eastAsia="zh-CN"/>
        </w:rPr>
        <w:t>为7,204.52元，清算期内已收回。</w:t>
      </w:r>
    </w:p>
    <w:p w14:paraId="1122B23D">
      <w:pPr>
        <w:pStyle w:val="24"/>
        <w:numPr>
          <w:ilvl w:val="0"/>
          <w:numId w:val="1"/>
        </w:numPr>
        <w:rPr>
          <w:rFonts w:hint="eastAsia"/>
          <w:highlight w:val="none"/>
          <w:lang w:eastAsia="zh-CN"/>
        </w:rPr>
      </w:pPr>
      <w:r>
        <w:rPr>
          <w:rFonts w:hint="eastAsia"/>
          <w:highlight w:val="none"/>
        </w:rPr>
        <w:t>本基金最后运作日应收证券清算款</w:t>
      </w:r>
      <w:r>
        <w:rPr>
          <w:rFonts w:hint="eastAsia"/>
          <w:highlight w:val="none"/>
          <w:lang w:val="en-US" w:eastAsia="zh-CN"/>
        </w:rPr>
        <w:t>为</w:t>
      </w:r>
      <w:r>
        <w:rPr>
          <w:rFonts w:hint="eastAsia"/>
          <w:highlight w:val="none"/>
        </w:rPr>
        <w:t>375</w:t>
      </w:r>
      <w:r>
        <w:rPr>
          <w:rFonts w:hint="eastAsia"/>
          <w:highlight w:val="none"/>
          <w:lang w:val="en-US" w:eastAsia="zh-CN"/>
        </w:rPr>
        <w:t>,</w:t>
      </w:r>
      <w:r>
        <w:rPr>
          <w:rFonts w:hint="eastAsia"/>
          <w:highlight w:val="none"/>
        </w:rPr>
        <w:t>098.90</w:t>
      </w:r>
      <w:r>
        <w:rPr>
          <w:rFonts w:hint="eastAsia"/>
          <w:highlight w:val="none"/>
          <w:lang w:val="en-US" w:eastAsia="zh-CN"/>
        </w:rPr>
        <w:t>元，清算期内已收回。</w:t>
      </w:r>
    </w:p>
    <w:p w14:paraId="4BCAAA35">
      <w:pPr>
        <w:pStyle w:val="24"/>
        <w:numPr>
          <w:ilvl w:val="0"/>
          <w:numId w:val="1"/>
        </w:numPr>
        <w:ind w:left="0" w:leftChars="0" w:firstLine="420" w:firstLineChars="200"/>
        <w:rPr>
          <w:rFonts w:hint="eastAsia"/>
          <w:highlight w:val="none"/>
        </w:rPr>
      </w:pPr>
      <w:r>
        <w:rPr>
          <w:rFonts w:hint="eastAsia"/>
          <w:highlight w:val="none"/>
        </w:rPr>
        <w:t>本基金最后运作日的应付赎回款为122</w:t>
      </w:r>
      <w:r>
        <w:rPr>
          <w:rFonts w:hint="eastAsia"/>
          <w:highlight w:val="none"/>
          <w:lang w:val="en-US" w:eastAsia="zh-CN"/>
        </w:rPr>
        <w:t>,</w:t>
      </w:r>
      <w:r>
        <w:rPr>
          <w:rFonts w:hint="eastAsia"/>
          <w:highlight w:val="none"/>
        </w:rPr>
        <w:t>222.94元，</w:t>
      </w:r>
      <w:r>
        <w:rPr>
          <w:rFonts w:hint="eastAsia"/>
          <w:highlight w:val="none"/>
          <w:lang w:val="en-US" w:eastAsia="zh-CN"/>
        </w:rPr>
        <w:t>款项已支付。</w:t>
      </w:r>
    </w:p>
    <w:p w14:paraId="5F796055">
      <w:pPr>
        <w:pStyle w:val="24"/>
        <w:numPr>
          <w:ilvl w:val="0"/>
          <w:numId w:val="1"/>
        </w:numPr>
        <w:ind w:left="0" w:leftChars="0" w:firstLine="420" w:firstLineChars="200"/>
        <w:rPr>
          <w:rFonts w:hint="eastAsia"/>
          <w:highlight w:val="none"/>
        </w:rPr>
      </w:pPr>
      <w:r>
        <w:rPr>
          <w:rFonts w:hint="eastAsia"/>
          <w:highlight w:val="none"/>
        </w:rPr>
        <w:t>本基金最后运作日应付管理人报酬为11</w:t>
      </w:r>
      <w:r>
        <w:rPr>
          <w:rFonts w:hint="eastAsia"/>
          <w:highlight w:val="none"/>
          <w:lang w:val="en-US" w:eastAsia="zh-CN"/>
        </w:rPr>
        <w:t>,</w:t>
      </w:r>
      <w:r>
        <w:rPr>
          <w:rFonts w:hint="eastAsia"/>
          <w:highlight w:val="none"/>
        </w:rPr>
        <w:t>247.97元，</w:t>
      </w:r>
      <w:r>
        <w:rPr>
          <w:rFonts w:hint="eastAsia"/>
          <w:highlight w:val="none"/>
          <w:lang w:val="en-US" w:eastAsia="zh-CN"/>
        </w:rPr>
        <w:t>款项已支付。</w:t>
      </w:r>
    </w:p>
    <w:p w14:paraId="44C3A781">
      <w:pPr>
        <w:pStyle w:val="24"/>
        <w:numPr>
          <w:ilvl w:val="0"/>
          <w:numId w:val="1"/>
        </w:numPr>
        <w:ind w:left="0" w:leftChars="0" w:firstLine="420" w:firstLineChars="200"/>
        <w:rPr>
          <w:rFonts w:hint="eastAsia"/>
          <w:highlight w:val="none"/>
        </w:rPr>
      </w:pPr>
      <w:r>
        <w:rPr>
          <w:rFonts w:hint="eastAsia"/>
          <w:highlight w:val="none"/>
        </w:rPr>
        <w:t>本基金最后运作日应付托管费为2</w:t>
      </w:r>
      <w:r>
        <w:rPr>
          <w:rFonts w:hint="eastAsia"/>
          <w:highlight w:val="none"/>
          <w:lang w:val="en-US" w:eastAsia="zh-CN"/>
        </w:rPr>
        <w:t>,</w:t>
      </w:r>
      <w:r>
        <w:rPr>
          <w:rFonts w:hint="eastAsia"/>
          <w:highlight w:val="none"/>
        </w:rPr>
        <w:t>839.89元，</w:t>
      </w:r>
      <w:r>
        <w:rPr>
          <w:rFonts w:hint="eastAsia"/>
          <w:highlight w:val="none"/>
          <w:lang w:val="en-US" w:eastAsia="zh-CN"/>
        </w:rPr>
        <w:t>款项已支付。</w:t>
      </w:r>
    </w:p>
    <w:p w14:paraId="0CFF18A3">
      <w:pPr>
        <w:pStyle w:val="24"/>
        <w:numPr>
          <w:ilvl w:val="0"/>
          <w:numId w:val="1"/>
        </w:numPr>
        <w:ind w:left="0" w:leftChars="0" w:firstLine="420" w:firstLineChars="200"/>
        <w:rPr>
          <w:rFonts w:hint="eastAsia"/>
          <w:highlight w:val="none"/>
        </w:rPr>
      </w:pPr>
      <w:r>
        <w:rPr>
          <w:rFonts w:hint="eastAsia"/>
          <w:highlight w:val="none"/>
        </w:rPr>
        <w:t>本基金最后运作日应付</w:t>
      </w:r>
      <w:r>
        <w:rPr>
          <w:rFonts w:hint="eastAsia"/>
          <w:highlight w:val="none"/>
          <w:lang w:val="en-US" w:eastAsia="zh-CN"/>
        </w:rPr>
        <w:t>销售服务费</w:t>
      </w:r>
      <w:r>
        <w:rPr>
          <w:rFonts w:hint="eastAsia"/>
          <w:highlight w:val="none"/>
        </w:rPr>
        <w:t>为386.31</w:t>
      </w:r>
      <w:r>
        <w:rPr>
          <w:rFonts w:hint="eastAsia"/>
          <w:highlight w:val="none"/>
          <w:lang w:val="en-US" w:eastAsia="zh-CN"/>
        </w:rPr>
        <w:t>元</w:t>
      </w:r>
      <w:r>
        <w:rPr>
          <w:rFonts w:hint="eastAsia"/>
          <w:highlight w:val="none"/>
        </w:rPr>
        <w:t>，</w:t>
      </w:r>
      <w:r>
        <w:rPr>
          <w:rFonts w:hint="eastAsia"/>
          <w:highlight w:val="none"/>
          <w:lang w:val="en-US" w:eastAsia="zh-CN"/>
        </w:rPr>
        <w:t>款项已支付。</w:t>
      </w:r>
    </w:p>
    <w:p w14:paraId="2FC7BEA1">
      <w:pPr>
        <w:pStyle w:val="24"/>
        <w:numPr>
          <w:ilvl w:val="0"/>
          <w:numId w:val="1"/>
        </w:numPr>
        <w:ind w:left="0" w:leftChars="0" w:firstLine="420" w:firstLineChars="200"/>
        <w:rPr>
          <w:rFonts w:hint="eastAsia"/>
          <w:highlight w:val="none"/>
        </w:rPr>
      </w:pPr>
      <w:r>
        <w:rPr>
          <w:rFonts w:hint="eastAsia"/>
          <w:highlight w:val="none"/>
        </w:rPr>
        <w:t>本基金最后运作日应</w:t>
      </w:r>
      <w:r>
        <w:rPr>
          <w:rFonts w:hint="eastAsia"/>
          <w:highlight w:val="none"/>
          <w:lang w:val="en-US" w:eastAsia="zh-CN"/>
        </w:rPr>
        <w:t>交税费为</w:t>
      </w:r>
      <w:r>
        <w:rPr>
          <w:rFonts w:hint="eastAsia"/>
          <w:highlight w:val="none"/>
        </w:rPr>
        <w:t>21.43</w:t>
      </w:r>
      <w:r>
        <w:rPr>
          <w:rFonts w:hint="eastAsia"/>
          <w:highlight w:val="none"/>
          <w:lang w:val="en-US" w:eastAsia="zh-CN"/>
        </w:rPr>
        <w:t>元，款项已支付。</w:t>
      </w:r>
    </w:p>
    <w:p w14:paraId="781F5F03">
      <w:pPr>
        <w:pStyle w:val="24"/>
        <w:numPr>
          <w:ilvl w:val="0"/>
          <w:numId w:val="1"/>
        </w:numPr>
        <w:ind w:left="0" w:leftChars="0" w:firstLine="420" w:firstLineChars="200"/>
        <w:rPr>
          <w:rFonts w:hint="eastAsia"/>
          <w:highlight w:val="none"/>
        </w:rPr>
      </w:pPr>
      <w:r>
        <w:rPr>
          <w:rFonts w:hint="eastAsia"/>
          <w:highlight w:val="none"/>
        </w:rPr>
        <w:t>本基金最后运作日应付交易费用</w:t>
      </w:r>
      <w:r>
        <w:rPr>
          <w:rFonts w:hint="eastAsia"/>
          <w:highlight w:val="none"/>
          <w:lang w:val="en-US" w:eastAsia="zh-CN"/>
        </w:rPr>
        <w:t>为1,597.51元，款项未支付。</w:t>
      </w:r>
    </w:p>
    <w:p w14:paraId="694AB0AD">
      <w:pPr>
        <w:pStyle w:val="24"/>
        <w:numPr>
          <w:ilvl w:val="0"/>
          <w:numId w:val="1"/>
        </w:numPr>
        <w:ind w:left="0" w:leftChars="0" w:firstLine="420" w:firstLineChars="200"/>
        <w:rPr>
          <w:rFonts w:hint="eastAsia"/>
          <w:highlight w:val="none"/>
        </w:rPr>
      </w:pPr>
      <w:r>
        <w:rPr>
          <w:rFonts w:hint="eastAsia"/>
          <w:highlight w:val="none"/>
        </w:rPr>
        <w:t>本基金最后运作日</w:t>
      </w:r>
      <w:r>
        <w:rPr>
          <w:rFonts w:hint="eastAsia"/>
          <w:highlight w:val="none"/>
          <w:lang w:val="en-US" w:eastAsia="zh-CN"/>
        </w:rPr>
        <w:t>预提费用为15,000.00元，款项未支付。</w:t>
      </w:r>
    </w:p>
    <w:bookmarkEnd w:id="46"/>
    <w:p w14:paraId="2263DDDE">
      <w:pPr>
        <w:pStyle w:val="3"/>
        <w:spacing w:before="0" w:after="0"/>
        <w:rPr>
          <w:rFonts w:ascii="宋体" w:hAnsi="宋体" w:eastAsia="宋体"/>
          <w:kern w:val="0"/>
          <w:sz w:val="21"/>
          <w:szCs w:val="21"/>
          <w:highlight w:val="none"/>
        </w:rPr>
      </w:pPr>
      <w:bookmarkStart w:id="48" w:name="_Toc491963089"/>
      <w:r>
        <w:rPr>
          <w:rFonts w:hint="eastAsia" w:ascii="宋体" w:hAnsi="宋体" w:eastAsia="宋体"/>
          <w:kern w:val="0"/>
          <w:sz w:val="21"/>
          <w:szCs w:val="21"/>
          <w:highlight w:val="none"/>
        </w:rPr>
        <w:t>5.2 截至本次清算期结束日的剩余财产情况及剩余财产分配安排</w:t>
      </w:r>
      <w:bookmarkEnd w:id="48"/>
    </w:p>
    <w:tbl>
      <w:tblPr>
        <w:tblStyle w:val="13"/>
        <w:tblW w:w="90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397"/>
        <w:gridCol w:w="5675"/>
      </w:tblGrid>
      <w:tr w14:paraId="5586D6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397" w:type="dxa"/>
            <w:vAlign w:val="center"/>
          </w:tcPr>
          <w:p w14:paraId="3821C75A">
            <w:pPr>
              <w:pStyle w:val="11"/>
              <w:jc w:val="center"/>
              <w:rPr>
                <w:rFonts w:ascii="宋体" w:hAnsi="宋体" w:eastAsia="宋体"/>
                <w:b/>
                <w:color w:val="000000" w:themeColor="text1"/>
                <w:sz w:val="21"/>
                <w:szCs w:val="21"/>
                <w:highlight w:val="none"/>
                <w14:textFill>
                  <w14:solidFill>
                    <w14:schemeClr w14:val="tx1"/>
                  </w14:solidFill>
                </w14:textFill>
              </w:rPr>
            </w:pPr>
            <w:r>
              <w:rPr>
                <w:rFonts w:ascii="宋体" w:hAnsi="宋体" w:eastAsia="宋体"/>
                <w:b/>
                <w:color w:val="000000" w:themeColor="text1"/>
                <w:sz w:val="21"/>
                <w:szCs w:val="21"/>
                <w:highlight w:val="none"/>
                <w14:textFill>
                  <w14:solidFill>
                    <w14:schemeClr w14:val="tx1"/>
                  </w14:solidFill>
                </w14:textFill>
              </w:rPr>
              <w:t>项目</w:t>
            </w:r>
          </w:p>
        </w:tc>
        <w:tc>
          <w:tcPr>
            <w:tcW w:w="5675" w:type="dxa"/>
            <w:vAlign w:val="center"/>
          </w:tcPr>
          <w:p w14:paraId="44B3F929">
            <w:pPr>
              <w:pStyle w:val="11"/>
              <w:spacing w:before="0" w:beforeAutospacing="0" w:after="0" w:afterAutospacing="0"/>
              <w:jc w:val="center"/>
              <w:rPr>
                <w:rFonts w:ascii="宋体" w:hAnsi="宋体" w:eastAsia="宋体"/>
                <w:b/>
                <w:color w:val="000000" w:themeColor="text1"/>
                <w:sz w:val="21"/>
                <w:szCs w:val="21"/>
                <w:highlight w:val="none"/>
                <w:lang w:eastAsia="zh-CN"/>
                <w14:textFill>
                  <w14:solidFill>
                    <w14:schemeClr w14:val="tx1"/>
                  </w14:solidFill>
                </w14:textFill>
              </w:rPr>
            </w:pPr>
            <w:r>
              <w:rPr>
                <w:rFonts w:hint="eastAsia" w:ascii="宋体" w:hAnsi="宋体" w:eastAsia="宋体"/>
                <w:b/>
                <w:color w:val="000000" w:themeColor="text1"/>
                <w:sz w:val="21"/>
                <w:szCs w:val="21"/>
                <w:highlight w:val="none"/>
                <w:lang w:eastAsia="zh-CN"/>
                <w14:textFill>
                  <w14:solidFill>
                    <w14:schemeClr w14:val="tx1"/>
                  </w14:solidFill>
                </w14:textFill>
              </w:rPr>
              <w:t>金额</w:t>
            </w:r>
          </w:p>
        </w:tc>
      </w:tr>
      <w:tr w14:paraId="7C8EFD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397" w:type="dxa"/>
            <w:vAlign w:val="center"/>
          </w:tcPr>
          <w:p w14:paraId="733DDBF7">
            <w:pPr>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一、最后运作日2026年</w:t>
            </w:r>
            <w:r>
              <w:rPr>
                <w:rFonts w:hint="eastAsia" w:ascii="宋体" w:hAnsi="宋体"/>
                <w:b/>
                <w:color w:val="000000" w:themeColor="text1"/>
                <w:szCs w:val="21"/>
                <w:highlight w:val="none"/>
                <w:lang w:val="en-US" w:eastAsia="zh-CN"/>
                <w14:textFill>
                  <w14:solidFill>
                    <w14:schemeClr w14:val="tx1"/>
                  </w14:solidFill>
                </w14:textFill>
              </w:rPr>
              <w:t>8</w:t>
            </w:r>
            <w:r>
              <w:rPr>
                <w:rFonts w:hint="eastAsia" w:ascii="宋体" w:hAnsi="宋体"/>
                <w:b/>
                <w:color w:val="000000" w:themeColor="text1"/>
                <w:szCs w:val="21"/>
                <w:highlight w:val="none"/>
                <w14:textFill>
                  <w14:solidFill>
                    <w14:schemeClr w14:val="tx1"/>
                  </w14:solidFill>
                </w14:textFill>
              </w:rPr>
              <w:t>月</w:t>
            </w:r>
            <w:r>
              <w:rPr>
                <w:rFonts w:hint="eastAsia" w:ascii="宋体" w:hAnsi="宋体"/>
                <w:b/>
                <w:color w:val="000000" w:themeColor="text1"/>
                <w:szCs w:val="21"/>
                <w:highlight w:val="none"/>
                <w:lang w:val="en-US" w:eastAsia="zh-CN"/>
                <w14:textFill>
                  <w14:solidFill>
                    <w14:schemeClr w14:val="tx1"/>
                  </w14:solidFill>
                </w14:textFill>
              </w:rPr>
              <w:t>29</w:t>
            </w:r>
            <w:r>
              <w:rPr>
                <w:rFonts w:hint="eastAsia" w:ascii="宋体" w:hAnsi="宋体"/>
                <w:b/>
                <w:color w:val="000000" w:themeColor="text1"/>
                <w:szCs w:val="21"/>
                <w:highlight w:val="none"/>
                <w14:textFill>
                  <w14:solidFill>
                    <w14:schemeClr w14:val="tx1"/>
                  </w14:solidFill>
                </w14:textFill>
              </w:rPr>
              <w:t>日基金净资产</w:t>
            </w:r>
          </w:p>
        </w:tc>
        <w:tc>
          <w:tcPr>
            <w:tcW w:w="5675" w:type="dxa"/>
            <w:vAlign w:val="center"/>
          </w:tcPr>
          <w:p w14:paraId="34A50D7C">
            <w:pPr>
              <w:ind w:left="-80"/>
              <w:jc w:val="right"/>
              <w:rPr>
                <w:rFonts w:hint="eastAsia"/>
                <w:b/>
                <w:bCs/>
              </w:rPr>
            </w:pPr>
            <w:r>
              <w:rPr>
                <w:rFonts w:hint="eastAsia"/>
                <w:b/>
                <w:bCs/>
              </w:rPr>
              <w:t>18,052,919.45</w:t>
            </w:r>
          </w:p>
        </w:tc>
      </w:tr>
      <w:tr w14:paraId="20E861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397" w:type="dxa"/>
            <w:vAlign w:val="center"/>
          </w:tcPr>
          <w:p w14:paraId="3050E7A9">
            <w:pP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减：2026年</w:t>
            </w:r>
            <w:r>
              <w:rPr>
                <w:rFonts w:hint="eastAsia" w:ascii="宋体" w:hAnsi="宋体"/>
                <w:color w:val="000000" w:themeColor="text1"/>
                <w:szCs w:val="21"/>
                <w:highlight w:val="none"/>
                <w:lang w:val="en-US" w:eastAsia="zh-CN"/>
                <w14:textFill>
                  <w14:solidFill>
                    <w14:schemeClr w14:val="tx1"/>
                  </w14:solidFill>
                </w14:textFill>
              </w:rPr>
              <w:t>8</w:t>
            </w:r>
            <w:r>
              <w:rPr>
                <w:rFonts w:hint="eastAsia" w:ascii="宋体" w:hAnsi="宋体"/>
                <w:color w:val="000000" w:themeColor="text1"/>
                <w:szCs w:val="21"/>
                <w:highlight w:val="none"/>
                <w14:textFill>
                  <w14:solidFill>
                    <w14:schemeClr w14:val="tx1"/>
                  </w14:solidFill>
                </w14:textFill>
              </w:rPr>
              <w:t>月</w:t>
            </w:r>
            <w:r>
              <w:rPr>
                <w:rFonts w:hint="eastAsia" w:ascii="宋体" w:hAnsi="宋体"/>
                <w:color w:val="000000" w:themeColor="text1"/>
                <w:szCs w:val="21"/>
                <w:highlight w:val="none"/>
                <w:lang w:val="en-US" w:eastAsia="zh-CN"/>
                <w14:textFill>
                  <w14:solidFill>
                    <w14:schemeClr w14:val="tx1"/>
                  </w14:solidFill>
                </w14:textFill>
              </w:rPr>
              <w:t>31</w:t>
            </w:r>
            <w:r>
              <w:rPr>
                <w:rFonts w:hint="eastAsia" w:ascii="宋体" w:hAnsi="宋体"/>
                <w:color w:val="000000" w:themeColor="text1"/>
                <w:szCs w:val="21"/>
                <w:highlight w:val="none"/>
                <w14:textFill>
                  <w14:solidFill>
                    <w14:schemeClr w14:val="tx1"/>
                  </w14:solidFill>
                </w14:textFill>
              </w:rPr>
              <w:t>日确认</w:t>
            </w:r>
            <w:r>
              <w:rPr>
                <w:rFonts w:hint="eastAsia" w:ascii="宋体" w:hAnsi="宋体"/>
                <w:color w:val="000000" w:themeColor="text1"/>
                <w:szCs w:val="21"/>
                <w:highlight w:val="none"/>
                <w:lang w:val="en-US" w:eastAsia="zh-CN"/>
                <w14:textFill>
                  <w14:solidFill>
                    <w14:schemeClr w14:val="tx1"/>
                  </w14:solidFill>
                </w14:textFill>
              </w:rPr>
              <w:t>净</w:t>
            </w:r>
            <w:r>
              <w:rPr>
                <w:rFonts w:hint="eastAsia" w:ascii="宋体" w:hAnsi="宋体"/>
                <w:color w:val="000000" w:themeColor="text1"/>
                <w:szCs w:val="21"/>
                <w:highlight w:val="none"/>
                <w14:textFill>
                  <w14:solidFill>
                    <w14:schemeClr w14:val="tx1"/>
                  </w14:solidFill>
                </w14:textFill>
              </w:rPr>
              <w:t>赎回对价</w:t>
            </w:r>
          </w:p>
        </w:tc>
        <w:tc>
          <w:tcPr>
            <w:tcW w:w="5675" w:type="dxa"/>
            <w:vAlign w:val="center"/>
          </w:tcPr>
          <w:p w14:paraId="6CDB7A3D">
            <w:pPr>
              <w:ind w:left="-80"/>
              <w:jc w:val="right"/>
              <w:rPr>
                <w:rFonts w:hint="default" w:ascii="Arial" w:hAnsi="Arial" w:eastAsia="宋体" w:cs="Arial"/>
                <w:color w:val="000000"/>
                <w:sz w:val="24"/>
                <w:highlight w:val="none"/>
                <w:lang w:val="en-US" w:eastAsia="zh-CN"/>
              </w:rPr>
            </w:pPr>
            <w:r>
              <w:rPr>
                <w:rFonts w:hint="eastAsia"/>
                <w:b/>
                <w:bCs/>
                <w:lang w:val="en-US" w:eastAsia="zh-CN"/>
              </w:rPr>
              <w:t>567.34</w:t>
            </w:r>
          </w:p>
        </w:tc>
      </w:tr>
      <w:tr w14:paraId="7FAD53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397" w:type="dxa"/>
            <w:vAlign w:val="center"/>
          </w:tcPr>
          <w:p w14:paraId="608B9DDA">
            <w:pP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加：清算期间净收益</w:t>
            </w:r>
          </w:p>
        </w:tc>
        <w:tc>
          <w:tcPr>
            <w:tcW w:w="5675" w:type="dxa"/>
            <w:vAlign w:val="center"/>
          </w:tcPr>
          <w:p w14:paraId="54F73AB1">
            <w:pPr>
              <w:ind w:left="-80" w:leftChars="0"/>
              <w:jc w:val="right"/>
              <w:rPr>
                <w:rFonts w:ascii="Arial" w:hAnsi="Arial" w:cs="Arial"/>
                <w:color w:val="000000"/>
                <w:sz w:val="24"/>
                <w:highlight w:val="none"/>
              </w:rPr>
            </w:pPr>
            <w:r>
              <w:rPr>
                <w:rFonts w:hint="eastAsia"/>
              </w:rPr>
              <w:t>-42,380.57</w:t>
            </w:r>
          </w:p>
        </w:tc>
      </w:tr>
      <w:tr w14:paraId="691A08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397" w:type="dxa"/>
            <w:vAlign w:val="center"/>
          </w:tcPr>
          <w:p w14:paraId="2EC85362">
            <w:pPr>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二、2026年</w:t>
            </w:r>
            <w:r>
              <w:rPr>
                <w:rFonts w:hint="eastAsia" w:ascii="宋体" w:hAnsi="宋体"/>
                <w:b/>
                <w:color w:val="000000" w:themeColor="text1"/>
                <w:szCs w:val="21"/>
                <w:highlight w:val="none"/>
                <w:lang w:val="en-US" w:eastAsia="zh-CN"/>
                <w14:textFill>
                  <w14:solidFill>
                    <w14:schemeClr w14:val="tx1"/>
                  </w14:solidFill>
                </w14:textFill>
              </w:rPr>
              <w:t>9</w:t>
            </w:r>
            <w:r>
              <w:rPr>
                <w:rFonts w:hint="eastAsia" w:ascii="宋体" w:hAnsi="宋体"/>
                <w:b/>
                <w:color w:val="000000" w:themeColor="text1"/>
                <w:szCs w:val="21"/>
                <w:highlight w:val="none"/>
                <w14:textFill>
                  <w14:solidFill>
                    <w14:schemeClr w14:val="tx1"/>
                  </w14:solidFill>
                </w14:textFill>
              </w:rPr>
              <w:t>月</w:t>
            </w:r>
            <w:r>
              <w:rPr>
                <w:rFonts w:hint="eastAsia" w:ascii="宋体" w:hAnsi="宋体"/>
                <w:b/>
                <w:color w:val="000000" w:themeColor="text1"/>
                <w:szCs w:val="21"/>
                <w:highlight w:val="none"/>
                <w:lang w:val="en-US" w:eastAsia="zh-CN"/>
                <w14:textFill>
                  <w14:solidFill>
                    <w14:schemeClr w14:val="tx1"/>
                  </w14:solidFill>
                </w14:textFill>
              </w:rPr>
              <w:t>15</w:t>
            </w:r>
            <w:r>
              <w:rPr>
                <w:rFonts w:hint="eastAsia" w:ascii="宋体" w:hAnsi="宋体"/>
                <w:b/>
                <w:color w:val="000000" w:themeColor="text1"/>
                <w:szCs w:val="21"/>
                <w:highlight w:val="none"/>
                <w14:textFill>
                  <w14:solidFill>
                    <w14:schemeClr w14:val="tx1"/>
                  </w14:solidFill>
                </w14:textFill>
              </w:rPr>
              <w:t>日基金净资产</w:t>
            </w:r>
          </w:p>
        </w:tc>
        <w:tc>
          <w:tcPr>
            <w:tcW w:w="5675" w:type="dxa"/>
            <w:vAlign w:val="center"/>
          </w:tcPr>
          <w:p w14:paraId="059C670B">
            <w:pPr>
              <w:ind w:left="-80"/>
              <w:jc w:val="right"/>
              <w:rPr>
                <w:rFonts w:ascii="Arial" w:hAnsi="Arial" w:cs="Arial"/>
                <w:b/>
                <w:bCs/>
                <w:color w:val="000000"/>
                <w:sz w:val="24"/>
                <w:highlight w:val="none"/>
              </w:rPr>
            </w:pPr>
            <w:r>
              <w:rPr>
                <w:rFonts w:hint="eastAsia"/>
                <w:b/>
                <w:bCs/>
              </w:rPr>
              <w:t>18,009,971.54</w:t>
            </w:r>
          </w:p>
        </w:tc>
      </w:tr>
    </w:tbl>
    <w:p w14:paraId="5F45FF94">
      <w:pPr>
        <w:pStyle w:val="24"/>
        <w:rPr>
          <w:highlight w:val="none"/>
        </w:rPr>
      </w:pPr>
      <w:r>
        <w:rPr>
          <w:rFonts w:hint="eastAsia"/>
          <w:highlight w:val="none"/>
        </w:rPr>
        <w:t>截至本次清算期结束日2026年</w:t>
      </w:r>
      <w:r>
        <w:rPr>
          <w:rFonts w:hint="eastAsia"/>
          <w:highlight w:val="none"/>
          <w:lang w:val="en-US" w:eastAsia="zh-CN"/>
        </w:rPr>
        <w:t>9</w:t>
      </w:r>
      <w:r>
        <w:rPr>
          <w:rFonts w:hint="eastAsia"/>
          <w:highlight w:val="none"/>
        </w:rPr>
        <w:t>月</w:t>
      </w:r>
      <w:r>
        <w:rPr>
          <w:rFonts w:hint="eastAsia"/>
          <w:highlight w:val="none"/>
          <w:lang w:val="en-US" w:eastAsia="zh-CN"/>
        </w:rPr>
        <w:t>1</w:t>
      </w:r>
      <w:r>
        <w:rPr>
          <w:rFonts w:hint="eastAsia"/>
          <w:highlight w:val="none"/>
        </w:rPr>
        <w:t>5日，本基金剩余财产为人民币18,009,971.54</w:t>
      </w:r>
      <w:r>
        <w:rPr>
          <w:rFonts w:hint="eastAsia"/>
          <w:highlight w:val="none"/>
          <w:lang w:eastAsia="zh-CN"/>
        </w:rPr>
        <w:t>元，基金净资产为</w:t>
      </w:r>
      <w:r>
        <w:rPr>
          <w:rFonts w:hint="eastAsia"/>
          <w:highlight w:val="none"/>
        </w:rPr>
        <w:t>18,009,971.54元。自本次清算期结束日次日2026年</w:t>
      </w:r>
      <w:r>
        <w:rPr>
          <w:rFonts w:hint="eastAsia"/>
          <w:highlight w:val="none"/>
          <w:lang w:val="en-US" w:eastAsia="zh-CN"/>
        </w:rPr>
        <w:t>9</w:t>
      </w:r>
      <w:r>
        <w:rPr>
          <w:rFonts w:hint="eastAsia"/>
          <w:highlight w:val="none"/>
        </w:rPr>
        <w:t>月</w:t>
      </w:r>
      <w:r>
        <w:rPr>
          <w:rFonts w:hint="eastAsia"/>
          <w:highlight w:val="none"/>
          <w:lang w:val="en-US" w:eastAsia="zh-CN"/>
        </w:rPr>
        <w:t>16</w:t>
      </w:r>
      <w:r>
        <w:rPr>
          <w:rFonts w:hint="eastAsia"/>
          <w:highlight w:val="none"/>
        </w:rPr>
        <w:t>日至清算款划出前一日的收益和费用由基金份额持有人享有和承担。</w:t>
      </w:r>
    </w:p>
    <w:p w14:paraId="4DB70ECE">
      <w:pPr>
        <w:spacing w:line="360" w:lineRule="auto"/>
        <w:ind w:firstLine="420" w:firstLineChars="200"/>
        <w:rPr>
          <w:rFonts w:ascii="宋体" w:hAnsi="宋体"/>
          <w:szCs w:val="21"/>
          <w:highlight w:val="none"/>
        </w:rPr>
      </w:pPr>
      <w:r>
        <w:rPr>
          <w:rFonts w:hint="eastAsia" w:ascii="宋体" w:hAnsi="宋体"/>
          <w:szCs w:val="21"/>
          <w:highlight w:val="none"/>
        </w:rPr>
        <w:t>本清算报告已经基金托管人复核，将与会计师事务所出具的清算审计报告、律师事务所出具的法律意见书一并报中国证监会备案后向基金份额持有人公告。清算报告公告后，基金管理人将遵照法律法规、基金合同等规定及时进行分配。</w:t>
      </w:r>
    </w:p>
    <w:p w14:paraId="35097750">
      <w:pPr>
        <w:pStyle w:val="2"/>
        <w:keepNext/>
        <w:keepLines/>
        <w:widowControl w:val="0"/>
        <w:spacing w:before="312" w:beforeLines="100" w:after="312" w:afterLines="100" w:line="360" w:lineRule="auto"/>
        <w:jc w:val="center"/>
        <w:rPr>
          <w:rStyle w:val="20"/>
          <w:rFonts w:ascii="宋体" w:hAnsi="宋体"/>
          <w:highlight w:val="none"/>
        </w:rPr>
      </w:pPr>
      <w:bookmarkStart w:id="49" w:name="_Toc484769810"/>
      <w:bookmarkStart w:id="50" w:name="_Toc409100108"/>
      <w:bookmarkStart w:id="51" w:name="_Toc409100471"/>
      <w:bookmarkStart w:id="52" w:name="_Toc225500055"/>
      <w:bookmarkStart w:id="53" w:name="_Toc491963090"/>
      <w:bookmarkStart w:id="54" w:name="_Toc361324903"/>
      <w:bookmarkStart w:id="55" w:name="_Toc476577307"/>
      <w:r>
        <w:rPr>
          <w:rStyle w:val="20"/>
          <w:rFonts w:hint="eastAsia" w:ascii="宋体" w:hAnsi="宋体"/>
          <w:highlight w:val="none"/>
        </w:rPr>
        <w:t>6、</w:t>
      </w:r>
      <w:r>
        <w:rPr>
          <w:rStyle w:val="20"/>
          <w:rFonts w:ascii="宋体" w:hAnsi="宋体"/>
          <w:highlight w:val="none"/>
        </w:rPr>
        <w:t>备查文件目录</w:t>
      </w:r>
      <w:bookmarkEnd w:id="49"/>
      <w:bookmarkEnd w:id="50"/>
      <w:bookmarkEnd w:id="51"/>
      <w:bookmarkEnd w:id="52"/>
      <w:bookmarkEnd w:id="53"/>
      <w:bookmarkEnd w:id="54"/>
      <w:bookmarkEnd w:id="55"/>
    </w:p>
    <w:p w14:paraId="1DA96476">
      <w:pPr>
        <w:pStyle w:val="3"/>
        <w:spacing w:before="0" w:after="0"/>
        <w:rPr>
          <w:rFonts w:ascii="宋体" w:hAnsi="宋体" w:eastAsia="宋体"/>
          <w:kern w:val="0"/>
          <w:sz w:val="21"/>
          <w:szCs w:val="21"/>
          <w:highlight w:val="none"/>
        </w:rPr>
      </w:pPr>
      <w:bookmarkStart w:id="56" w:name="_Toc491963091"/>
      <w:bookmarkStart w:id="57" w:name="_Toc409100109"/>
      <w:bookmarkStart w:id="58" w:name="_Toc409100472"/>
      <w:bookmarkStart w:id="59" w:name="_Toc361324904"/>
      <w:bookmarkStart w:id="60" w:name="_Toc484607315"/>
      <w:bookmarkStart w:id="61" w:name="_Toc476577308"/>
      <w:bookmarkStart w:id="62" w:name="_Toc483396843"/>
      <w:bookmarkStart w:id="63" w:name="_Toc484769811"/>
      <w:r>
        <w:rPr>
          <w:rFonts w:hint="eastAsia" w:ascii="宋体" w:hAnsi="宋体" w:eastAsia="宋体"/>
          <w:kern w:val="0"/>
          <w:sz w:val="21"/>
          <w:szCs w:val="21"/>
          <w:highlight w:val="none"/>
        </w:rPr>
        <w:t>6</w:t>
      </w:r>
      <w:r>
        <w:rPr>
          <w:rFonts w:ascii="宋体" w:hAnsi="宋体" w:eastAsia="宋体"/>
          <w:kern w:val="0"/>
          <w:sz w:val="21"/>
          <w:szCs w:val="21"/>
          <w:highlight w:val="none"/>
        </w:rPr>
        <w:t>.1 备查文件目录</w:t>
      </w:r>
      <w:bookmarkEnd w:id="56"/>
      <w:bookmarkEnd w:id="57"/>
      <w:bookmarkEnd w:id="58"/>
      <w:bookmarkEnd w:id="59"/>
      <w:bookmarkEnd w:id="60"/>
      <w:bookmarkEnd w:id="61"/>
      <w:bookmarkEnd w:id="62"/>
      <w:bookmarkEnd w:id="63"/>
    </w:p>
    <w:p w14:paraId="1CF8548D">
      <w:pPr>
        <w:spacing w:line="360" w:lineRule="auto"/>
        <w:ind w:firstLine="420" w:firstLineChars="200"/>
        <w:rPr>
          <w:rFonts w:ascii="宋体" w:hAnsi="宋体"/>
          <w:szCs w:val="21"/>
          <w:highlight w:val="none"/>
        </w:rPr>
      </w:pPr>
      <w:r>
        <w:rPr>
          <w:rFonts w:hint="eastAsia" w:ascii="宋体" w:hAnsi="宋体"/>
          <w:color w:val="000000"/>
          <w:szCs w:val="21"/>
          <w:highlight w:val="none"/>
        </w:rPr>
        <w:t>6.</w:t>
      </w:r>
      <w:r>
        <w:rPr>
          <w:rFonts w:ascii="宋体" w:hAnsi="宋体"/>
          <w:color w:val="000000"/>
          <w:szCs w:val="21"/>
          <w:highlight w:val="none"/>
        </w:rPr>
        <w:t>1.1</w:t>
      </w:r>
      <w:r>
        <w:rPr>
          <w:rFonts w:hint="eastAsia" w:eastAsiaTheme="minorEastAsia"/>
          <w:highlight w:val="none"/>
        </w:rPr>
        <w:t>博时集兴配置优选6个月持有期混合型发起式基金中基金（FOF）</w:t>
      </w:r>
      <w:r>
        <w:rPr>
          <w:rFonts w:hint="eastAsia"/>
          <w:highlight w:val="none"/>
        </w:rPr>
        <w:t>清算审计报告</w:t>
      </w:r>
    </w:p>
    <w:p w14:paraId="042D132D">
      <w:pPr>
        <w:spacing w:line="360" w:lineRule="auto"/>
        <w:ind w:firstLine="420" w:firstLineChars="200"/>
        <w:rPr>
          <w:rFonts w:ascii="宋体" w:hAnsi="宋体"/>
          <w:color w:val="000000"/>
          <w:szCs w:val="21"/>
          <w:highlight w:val="none"/>
        </w:rPr>
      </w:pPr>
      <w:r>
        <w:rPr>
          <w:rFonts w:hint="eastAsia" w:ascii="宋体" w:hAnsi="宋体"/>
          <w:color w:val="000000"/>
          <w:szCs w:val="21"/>
          <w:highlight w:val="none"/>
        </w:rPr>
        <w:t>6</w:t>
      </w:r>
      <w:r>
        <w:rPr>
          <w:rFonts w:ascii="宋体" w:hAnsi="宋体"/>
          <w:color w:val="000000"/>
          <w:szCs w:val="21"/>
          <w:highlight w:val="none"/>
        </w:rPr>
        <w:t>.1.2</w:t>
      </w:r>
      <w:r>
        <w:rPr>
          <w:rFonts w:hint="eastAsia" w:ascii="宋体" w:hAnsi="宋体"/>
          <w:color w:val="000000"/>
          <w:szCs w:val="21"/>
          <w:highlight w:val="none"/>
          <w:lang w:eastAsia="zh-CN"/>
        </w:rPr>
        <w:t>上海源泰律师事务所</w:t>
      </w:r>
      <w:r>
        <w:rPr>
          <w:rFonts w:hint="eastAsia" w:ascii="宋体" w:hAnsi="宋体"/>
          <w:color w:val="000000"/>
          <w:szCs w:val="21"/>
          <w:highlight w:val="none"/>
        </w:rPr>
        <w:t>关于</w:t>
      </w:r>
      <w:r>
        <w:rPr>
          <w:rFonts w:hint="eastAsia" w:eastAsiaTheme="minorEastAsia"/>
          <w:highlight w:val="none"/>
        </w:rPr>
        <w:t>博时集兴配置优选6个月持有期混合型发起式基金中基金（FOF）</w:t>
      </w:r>
      <w:r>
        <w:rPr>
          <w:rFonts w:hint="eastAsia" w:ascii="宋体" w:hAnsi="宋体"/>
          <w:color w:val="000000"/>
          <w:szCs w:val="21"/>
          <w:highlight w:val="none"/>
        </w:rPr>
        <w:t>清算事宜</w:t>
      </w:r>
      <w:r>
        <w:rPr>
          <w:rFonts w:ascii="宋体" w:hAnsi="宋体"/>
          <w:color w:val="000000"/>
          <w:szCs w:val="21"/>
          <w:highlight w:val="none"/>
        </w:rPr>
        <w:t>之法律意见</w:t>
      </w:r>
    </w:p>
    <w:p w14:paraId="172840DD">
      <w:pPr>
        <w:pStyle w:val="3"/>
        <w:spacing w:before="0" w:after="0"/>
        <w:rPr>
          <w:rFonts w:ascii="宋体" w:hAnsi="宋体" w:eastAsia="宋体"/>
          <w:kern w:val="0"/>
          <w:sz w:val="21"/>
          <w:szCs w:val="21"/>
          <w:highlight w:val="none"/>
        </w:rPr>
      </w:pPr>
      <w:bookmarkStart w:id="64" w:name="_Toc484607316"/>
      <w:bookmarkStart w:id="65" w:name="_Toc484769812"/>
      <w:bookmarkStart w:id="66" w:name="_Toc483396844"/>
      <w:bookmarkStart w:id="67" w:name="_Toc409100473"/>
      <w:bookmarkStart w:id="68" w:name="_Toc361324905"/>
      <w:bookmarkStart w:id="69" w:name="_Toc491963092"/>
      <w:bookmarkStart w:id="70" w:name="_Toc476577309"/>
      <w:bookmarkStart w:id="71" w:name="_Toc409100110"/>
      <w:r>
        <w:rPr>
          <w:rFonts w:hint="eastAsia" w:ascii="宋体" w:hAnsi="宋体" w:eastAsia="宋体"/>
          <w:kern w:val="0"/>
          <w:sz w:val="21"/>
          <w:szCs w:val="21"/>
          <w:highlight w:val="none"/>
        </w:rPr>
        <w:t>6</w:t>
      </w:r>
      <w:r>
        <w:rPr>
          <w:rFonts w:ascii="宋体" w:hAnsi="宋体" w:eastAsia="宋体"/>
          <w:kern w:val="0"/>
          <w:sz w:val="21"/>
          <w:szCs w:val="21"/>
          <w:highlight w:val="none"/>
        </w:rPr>
        <w:t>.2 存放地点</w:t>
      </w:r>
      <w:bookmarkEnd w:id="64"/>
      <w:bookmarkEnd w:id="65"/>
      <w:bookmarkEnd w:id="66"/>
      <w:bookmarkEnd w:id="67"/>
      <w:bookmarkEnd w:id="68"/>
      <w:bookmarkEnd w:id="69"/>
      <w:bookmarkEnd w:id="70"/>
      <w:bookmarkEnd w:id="71"/>
    </w:p>
    <w:p w14:paraId="24CF4182">
      <w:pPr>
        <w:spacing w:line="360" w:lineRule="auto"/>
        <w:ind w:firstLine="420" w:firstLineChars="200"/>
        <w:rPr>
          <w:rFonts w:ascii="宋体" w:hAnsi="宋体"/>
          <w:color w:val="000000"/>
          <w:szCs w:val="21"/>
          <w:highlight w:val="none"/>
        </w:rPr>
      </w:pPr>
      <w:r>
        <w:rPr>
          <w:rFonts w:ascii="宋体" w:hAnsi="宋体"/>
          <w:color w:val="000000"/>
          <w:szCs w:val="21"/>
          <w:highlight w:val="none"/>
        </w:rPr>
        <w:t>基金管理人、基金托管人处</w:t>
      </w:r>
    </w:p>
    <w:p w14:paraId="30F4EDDF">
      <w:pPr>
        <w:pStyle w:val="3"/>
        <w:spacing w:before="0" w:after="0"/>
        <w:rPr>
          <w:rFonts w:ascii="宋体" w:hAnsi="宋体" w:eastAsia="宋体"/>
          <w:kern w:val="0"/>
          <w:sz w:val="21"/>
          <w:szCs w:val="21"/>
          <w:highlight w:val="none"/>
        </w:rPr>
      </w:pPr>
      <w:bookmarkStart w:id="72" w:name="_Toc483396845"/>
      <w:bookmarkStart w:id="73" w:name="_Toc484769813"/>
      <w:bookmarkStart w:id="74" w:name="_Toc409100474"/>
      <w:bookmarkStart w:id="75" w:name="_Toc484607317"/>
      <w:bookmarkStart w:id="76" w:name="_Toc361324906"/>
      <w:bookmarkStart w:id="77" w:name="_Toc491963093"/>
      <w:bookmarkStart w:id="78" w:name="_Toc476577310"/>
      <w:bookmarkStart w:id="79" w:name="_Toc409100111"/>
      <w:r>
        <w:rPr>
          <w:rFonts w:hint="eastAsia" w:ascii="宋体" w:hAnsi="宋体" w:eastAsia="宋体"/>
          <w:kern w:val="0"/>
          <w:sz w:val="21"/>
          <w:szCs w:val="21"/>
          <w:highlight w:val="none"/>
        </w:rPr>
        <w:t>6</w:t>
      </w:r>
      <w:r>
        <w:rPr>
          <w:rFonts w:ascii="宋体" w:hAnsi="宋体" w:eastAsia="宋体"/>
          <w:kern w:val="0"/>
          <w:sz w:val="21"/>
          <w:szCs w:val="21"/>
          <w:highlight w:val="none"/>
        </w:rPr>
        <w:t>.3 查阅方式</w:t>
      </w:r>
      <w:bookmarkEnd w:id="72"/>
      <w:bookmarkEnd w:id="73"/>
      <w:bookmarkEnd w:id="74"/>
      <w:bookmarkEnd w:id="75"/>
      <w:bookmarkEnd w:id="76"/>
      <w:bookmarkEnd w:id="77"/>
      <w:bookmarkEnd w:id="78"/>
      <w:bookmarkEnd w:id="79"/>
    </w:p>
    <w:p w14:paraId="6AAC41AE">
      <w:pPr>
        <w:spacing w:line="360" w:lineRule="auto"/>
        <w:ind w:firstLine="420" w:firstLineChars="200"/>
        <w:rPr>
          <w:rFonts w:ascii="宋体" w:hAnsi="宋体"/>
          <w:color w:val="000000"/>
          <w:szCs w:val="21"/>
          <w:highlight w:val="none"/>
        </w:rPr>
      </w:pPr>
      <w:r>
        <w:rPr>
          <w:rFonts w:ascii="宋体" w:hAnsi="宋体"/>
          <w:color w:val="000000"/>
          <w:szCs w:val="21"/>
          <w:highlight w:val="none"/>
        </w:rPr>
        <w:t>投资者可在营业时间免费查阅，也可按工本费购买复印件</w:t>
      </w:r>
    </w:p>
    <w:p w14:paraId="4FBE9718">
      <w:pPr>
        <w:spacing w:line="360" w:lineRule="auto"/>
        <w:ind w:firstLine="420" w:firstLineChars="200"/>
        <w:rPr>
          <w:rFonts w:ascii="宋体" w:hAnsi="宋体"/>
          <w:color w:val="000000"/>
          <w:szCs w:val="21"/>
          <w:highlight w:val="none"/>
        </w:rPr>
      </w:pPr>
      <w:r>
        <w:rPr>
          <w:rFonts w:ascii="宋体" w:hAnsi="宋体"/>
          <w:color w:val="000000"/>
          <w:szCs w:val="21"/>
          <w:highlight w:val="none"/>
        </w:rPr>
        <w:t>投资者对本报告书如有疑问，可咨询本基金</w:t>
      </w:r>
      <w:r>
        <w:rPr>
          <w:rFonts w:hint="eastAsia" w:ascii="宋体" w:hAnsi="宋体"/>
          <w:color w:val="000000"/>
          <w:szCs w:val="21"/>
          <w:highlight w:val="none"/>
          <w:lang w:val="en-US" w:eastAsia="zh-CN"/>
        </w:rPr>
        <w:t>基金</w:t>
      </w:r>
      <w:r>
        <w:rPr>
          <w:rFonts w:ascii="宋体" w:hAnsi="宋体"/>
          <w:color w:val="000000"/>
          <w:szCs w:val="21"/>
          <w:highlight w:val="none"/>
        </w:rPr>
        <w:t>管理人博时基金管理有限公司</w:t>
      </w:r>
    </w:p>
    <w:p w14:paraId="6B279947">
      <w:pPr>
        <w:spacing w:line="360" w:lineRule="auto"/>
        <w:ind w:firstLine="420" w:firstLineChars="200"/>
        <w:rPr>
          <w:rFonts w:ascii="宋体" w:hAnsi="宋体"/>
          <w:color w:val="000000"/>
          <w:szCs w:val="21"/>
          <w:highlight w:val="none"/>
        </w:rPr>
      </w:pPr>
      <w:r>
        <w:rPr>
          <w:rFonts w:ascii="宋体" w:hAnsi="宋体"/>
          <w:color w:val="000000"/>
          <w:szCs w:val="21"/>
          <w:highlight w:val="none"/>
        </w:rPr>
        <w:t>博时一线通：95105568（免长途话费）</w:t>
      </w:r>
    </w:p>
    <w:p w14:paraId="150F2710">
      <w:pPr>
        <w:spacing w:line="360" w:lineRule="auto"/>
        <w:rPr>
          <w:rFonts w:ascii="宋体" w:hAnsi="宋体"/>
          <w:bCs/>
          <w:color w:val="000000" w:themeColor="text1"/>
          <w:szCs w:val="21"/>
          <w:highlight w:val="none"/>
          <w14:textFill>
            <w14:solidFill>
              <w14:schemeClr w14:val="tx1"/>
            </w14:solidFill>
          </w14:textFill>
        </w:rPr>
      </w:pPr>
    </w:p>
    <w:p w14:paraId="2FDA9F34">
      <w:pPr>
        <w:spacing w:line="360" w:lineRule="auto"/>
        <w:jc w:val="right"/>
        <w:rPr>
          <w:rFonts w:ascii="宋体" w:hAnsi="宋体"/>
          <w:bCs/>
          <w:szCs w:val="21"/>
          <w:highlight w:val="none"/>
        </w:rPr>
      </w:pPr>
      <w:r>
        <w:rPr>
          <w:rFonts w:hint="eastAsia" w:eastAsiaTheme="minorEastAsia"/>
          <w:highlight w:val="none"/>
        </w:rPr>
        <w:t>博时集兴配置优选6个月持有期混合型发起式基金中基金（FOF）</w:t>
      </w:r>
      <w:r>
        <w:rPr>
          <w:rFonts w:hint="eastAsia" w:ascii="宋体" w:hAnsi="宋体"/>
          <w:bCs/>
          <w:szCs w:val="21"/>
          <w:highlight w:val="none"/>
        </w:rPr>
        <w:t>基金财产清算小组</w:t>
      </w:r>
    </w:p>
    <w:p w14:paraId="4C8C841C">
      <w:pPr>
        <w:wordWrap w:val="0"/>
        <w:spacing w:line="360" w:lineRule="auto"/>
        <w:ind w:left="840" w:right="420" w:firstLine="3885" w:firstLineChars="1850"/>
        <w:jc w:val="right"/>
        <w:rPr>
          <w:highlight w:val="none"/>
        </w:rPr>
      </w:pPr>
      <w:bookmarkStart w:id="80" w:name="_GoBack"/>
      <w:bookmarkEnd w:id="80"/>
      <w:r>
        <w:rPr>
          <w:rFonts w:ascii="宋体" w:hAnsi="宋体"/>
          <w:bCs/>
          <w:szCs w:val="21"/>
          <w:highlight w:val="none"/>
        </w:rPr>
        <w:t>二〇</w:t>
      </w:r>
      <w:r>
        <w:rPr>
          <w:rFonts w:hint="eastAsia" w:ascii="宋体" w:hAnsi="宋体"/>
          <w:bCs/>
          <w:szCs w:val="21"/>
          <w:highlight w:val="none"/>
        </w:rPr>
        <w:t>二</w:t>
      </w:r>
      <w:r>
        <w:rPr>
          <w:rFonts w:hint="eastAsia" w:ascii="宋体" w:hAnsi="宋体"/>
          <w:bCs/>
          <w:szCs w:val="21"/>
          <w:highlight w:val="none"/>
          <w:lang w:val="en-US" w:eastAsia="zh-CN"/>
        </w:rPr>
        <w:t>六</w:t>
      </w:r>
      <w:r>
        <w:rPr>
          <w:rFonts w:ascii="宋体" w:hAnsi="宋体"/>
          <w:bCs/>
          <w:szCs w:val="21"/>
          <w:highlight w:val="none"/>
        </w:rPr>
        <w:t>年</w:t>
      </w:r>
      <w:r>
        <w:rPr>
          <w:rFonts w:hint="eastAsia" w:ascii="宋体" w:hAnsi="宋体"/>
          <w:bCs/>
          <w:szCs w:val="21"/>
          <w:highlight w:val="none"/>
          <w:lang w:val="en-US" w:eastAsia="zh-CN"/>
        </w:rPr>
        <w:t>十</w:t>
      </w:r>
      <w:r>
        <w:rPr>
          <w:rFonts w:ascii="宋体" w:hAnsi="宋体"/>
          <w:bCs/>
          <w:szCs w:val="21"/>
          <w:highlight w:val="none"/>
        </w:rPr>
        <w:t>月</w:t>
      </w:r>
      <w:r>
        <w:rPr>
          <w:rFonts w:hint="eastAsia" w:ascii="宋体" w:hAnsi="宋体"/>
          <w:bCs/>
          <w:szCs w:val="21"/>
          <w:highlight w:val="none"/>
          <w:lang w:val="en-US" w:eastAsia="zh-CN"/>
        </w:rPr>
        <w:t>二十三</w:t>
      </w:r>
      <w:r>
        <w:rPr>
          <w:rFonts w:ascii="宋体" w:hAnsi="宋体"/>
          <w:bCs/>
          <w:szCs w:val="21"/>
          <w:highlight w:val="none"/>
        </w:rPr>
        <w:t>日</w:t>
      </w:r>
    </w:p>
    <w:sectPr>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Arial Unicode MS">
    <w:altName w:val="宋体"/>
    <w:panose1 w:val="020B0604020202020204"/>
    <w:charset w:val="86"/>
    <w:family w:val="swiss"/>
    <w:pitch w:val="default"/>
    <w:sig w:usb0="00000000" w:usb1="00000000" w:usb2="0000003F" w:usb3="00000000" w:csb0="603F01FF" w:csb1="FFFF0000"/>
  </w:font>
  <w:font w:name="宋体棬　僬　.">
    <w:altName w:val="宋体"/>
    <w:panose1 w:val="00000000000000000000"/>
    <w:charset w:val="86"/>
    <w:family w:val="roman"/>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810446840"/>
      <w:docPartObj>
        <w:docPartGallery w:val="autotext"/>
      </w:docPartObj>
    </w:sdtPr>
    <w:sdtContent>
      <w:p w14:paraId="325DAADD">
        <w:pPr>
          <w:pStyle w:val="7"/>
          <w:jc w:val="center"/>
        </w:pPr>
        <w:r>
          <w:fldChar w:fldCharType="begin"/>
        </w:r>
        <w:r>
          <w:instrText xml:space="preserve">PAGE   \* MERGEFORMAT</w:instrText>
        </w:r>
        <w:r>
          <w:fldChar w:fldCharType="separate"/>
        </w:r>
        <w:r>
          <w:rPr>
            <w:lang w:val="zh-CN"/>
          </w:rPr>
          <w:t>10</w:t>
        </w:r>
        <w:r>
          <w:fldChar w:fldCharType="end"/>
        </w:r>
      </w:p>
    </w:sdtContent>
  </w:sdt>
  <w:p w14:paraId="55BD4175">
    <w:pPr>
      <w:pStyle w:val="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E9AC64">
    <w:pPr>
      <w:pStyle w:val="8"/>
      <w:pBdr>
        <w:bottom w:val="single" w:color="auto" w:sz="6" w:space="0"/>
      </w:pBdr>
      <w:tabs>
        <w:tab w:val="left" w:pos="3105"/>
        <w:tab w:val="right" w:pos="9090"/>
      </w:tabs>
      <w:jc w:val="left"/>
    </w:pPr>
    <w:r>
      <w:rPr>
        <w:sz w:val="21"/>
        <w:szCs w:val="21"/>
      </w:rPr>
      <w:tab/>
    </w:r>
    <w:r>
      <w:rPr>
        <w:sz w:val="21"/>
        <w:szCs w:val="21"/>
      </w:rPr>
      <w:tab/>
    </w:r>
    <w:r>
      <w:drawing>
        <wp:anchor distT="0" distB="0" distL="114300" distR="114300" simplePos="0" relativeHeight="251660288" behindDoc="0" locked="0" layoutInCell="1" allowOverlap="1">
          <wp:simplePos x="0" y="0"/>
          <wp:positionH relativeFrom="column">
            <wp:posOffset>-13335</wp:posOffset>
          </wp:positionH>
          <wp:positionV relativeFrom="paragraph">
            <wp:posOffset>-190500</wp:posOffset>
          </wp:positionV>
          <wp:extent cx="1257300" cy="314325"/>
          <wp:effectExtent l="0" t="0" r="0" b="0"/>
          <wp:wrapNone/>
          <wp:docPr id="2" name="图片 2" descr="Bosera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Bosera_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257300" cy="314325"/>
                  </a:xfrm>
                  <a:prstGeom prst="rect">
                    <a:avLst/>
                  </a:prstGeom>
                  <a:noFill/>
                  <a:ln>
                    <a:noFill/>
                  </a:ln>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182EC1">
    <w:pPr>
      <w:pStyle w:val="8"/>
      <w:pBdr>
        <w:bottom w:val="single" w:color="auto" w:sz="6" w:space="0"/>
      </w:pBdr>
      <w:tabs>
        <w:tab w:val="left" w:pos="3105"/>
        <w:tab w:val="right" w:pos="9090"/>
      </w:tabs>
      <w:jc w:val="left"/>
    </w:pPr>
    <w:r>
      <w:rPr>
        <w:sz w:val="21"/>
        <w:szCs w:val="21"/>
      </w:rPr>
      <w:tab/>
    </w:r>
    <w:r>
      <w:rPr>
        <w:sz w:val="21"/>
        <w:szCs w:val="21"/>
      </w:rPr>
      <w:tab/>
    </w:r>
    <w:r>
      <w:drawing>
        <wp:anchor distT="0" distB="0" distL="114300" distR="114300" simplePos="0" relativeHeight="251659264" behindDoc="0" locked="0" layoutInCell="1" allowOverlap="1">
          <wp:simplePos x="0" y="0"/>
          <wp:positionH relativeFrom="column">
            <wp:posOffset>-13335</wp:posOffset>
          </wp:positionH>
          <wp:positionV relativeFrom="paragraph">
            <wp:posOffset>-190500</wp:posOffset>
          </wp:positionV>
          <wp:extent cx="1257300" cy="314325"/>
          <wp:effectExtent l="0" t="0" r="0" b="0"/>
          <wp:wrapNone/>
          <wp:docPr id="4" name="图片 4" descr="Bosera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Bosera_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257300" cy="314325"/>
                  </a:xfrm>
                  <a:prstGeom prst="rect">
                    <a:avLst/>
                  </a:prstGeom>
                  <a:noFill/>
                  <a:ln>
                    <a:noFill/>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7CA8D04"/>
    <w:multiLevelType w:val="singleLevel"/>
    <w:tmpl w:val="D7CA8D04"/>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206A"/>
    <w:rsid w:val="0000095F"/>
    <w:rsid w:val="000137FB"/>
    <w:rsid w:val="00044D6A"/>
    <w:rsid w:val="00047E84"/>
    <w:rsid w:val="00052B79"/>
    <w:rsid w:val="000539E5"/>
    <w:rsid w:val="000565B3"/>
    <w:rsid w:val="00077D1B"/>
    <w:rsid w:val="000843E5"/>
    <w:rsid w:val="000A67AD"/>
    <w:rsid w:val="000C1A89"/>
    <w:rsid w:val="000D2477"/>
    <w:rsid w:val="000F0DB6"/>
    <w:rsid w:val="000F38A7"/>
    <w:rsid w:val="000F38C0"/>
    <w:rsid w:val="000F582E"/>
    <w:rsid w:val="00106078"/>
    <w:rsid w:val="001461B5"/>
    <w:rsid w:val="001469B6"/>
    <w:rsid w:val="00155FBE"/>
    <w:rsid w:val="00167779"/>
    <w:rsid w:val="0017203A"/>
    <w:rsid w:val="001837B1"/>
    <w:rsid w:val="00192433"/>
    <w:rsid w:val="001943DA"/>
    <w:rsid w:val="001A25D5"/>
    <w:rsid w:val="001A6186"/>
    <w:rsid w:val="001A64D9"/>
    <w:rsid w:val="001B142B"/>
    <w:rsid w:val="001B27AC"/>
    <w:rsid w:val="001B307F"/>
    <w:rsid w:val="001B6418"/>
    <w:rsid w:val="001C5110"/>
    <w:rsid w:val="001C5F1E"/>
    <w:rsid w:val="001E1155"/>
    <w:rsid w:val="0020164A"/>
    <w:rsid w:val="002025EA"/>
    <w:rsid w:val="00214EB4"/>
    <w:rsid w:val="00234000"/>
    <w:rsid w:val="0023623C"/>
    <w:rsid w:val="0025064B"/>
    <w:rsid w:val="00256EF7"/>
    <w:rsid w:val="002653B2"/>
    <w:rsid w:val="00265EEB"/>
    <w:rsid w:val="002661A0"/>
    <w:rsid w:val="00283A99"/>
    <w:rsid w:val="002873D1"/>
    <w:rsid w:val="002A78CA"/>
    <w:rsid w:val="002B2C22"/>
    <w:rsid w:val="002B3940"/>
    <w:rsid w:val="002B3A7F"/>
    <w:rsid w:val="002B64F0"/>
    <w:rsid w:val="002C1EB1"/>
    <w:rsid w:val="002C206A"/>
    <w:rsid w:val="002D012A"/>
    <w:rsid w:val="002D2D31"/>
    <w:rsid w:val="002E63F9"/>
    <w:rsid w:val="00301ED8"/>
    <w:rsid w:val="00306C8D"/>
    <w:rsid w:val="003123B6"/>
    <w:rsid w:val="0033114F"/>
    <w:rsid w:val="00352E52"/>
    <w:rsid w:val="0035409D"/>
    <w:rsid w:val="00355DCE"/>
    <w:rsid w:val="003835CB"/>
    <w:rsid w:val="00385C7D"/>
    <w:rsid w:val="00386448"/>
    <w:rsid w:val="003B1FF9"/>
    <w:rsid w:val="003C5210"/>
    <w:rsid w:val="003C62D7"/>
    <w:rsid w:val="003E2B75"/>
    <w:rsid w:val="003E5A9A"/>
    <w:rsid w:val="003F58E5"/>
    <w:rsid w:val="004346F7"/>
    <w:rsid w:val="00434B13"/>
    <w:rsid w:val="00436D7F"/>
    <w:rsid w:val="0044360C"/>
    <w:rsid w:val="0044397B"/>
    <w:rsid w:val="004454E6"/>
    <w:rsid w:val="00450E11"/>
    <w:rsid w:val="00455ED0"/>
    <w:rsid w:val="00456810"/>
    <w:rsid w:val="00463891"/>
    <w:rsid w:val="00467B21"/>
    <w:rsid w:val="004850AB"/>
    <w:rsid w:val="00492EFF"/>
    <w:rsid w:val="004A1313"/>
    <w:rsid w:val="004A4000"/>
    <w:rsid w:val="004C29F5"/>
    <w:rsid w:val="004D6178"/>
    <w:rsid w:val="00502816"/>
    <w:rsid w:val="00506722"/>
    <w:rsid w:val="00516AB2"/>
    <w:rsid w:val="00521F84"/>
    <w:rsid w:val="00523B76"/>
    <w:rsid w:val="00523D2E"/>
    <w:rsid w:val="00534804"/>
    <w:rsid w:val="00564FC0"/>
    <w:rsid w:val="005660DC"/>
    <w:rsid w:val="00573CCA"/>
    <w:rsid w:val="00586184"/>
    <w:rsid w:val="00587EB1"/>
    <w:rsid w:val="00591E34"/>
    <w:rsid w:val="005A5F19"/>
    <w:rsid w:val="005B00B8"/>
    <w:rsid w:val="005B1DA8"/>
    <w:rsid w:val="005B7910"/>
    <w:rsid w:val="005C2636"/>
    <w:rsid w:val="005D2BBF"/>
    <w:rsid w:val="005D3C26"/>
    <w:rsid w:val="005E066D"/>
    <w:rsid w:val="005E3053"/>
    <w:rsid w:val="00602945"/>
    <w:rsid w:val="00612741"/>
    <w:rsid w:val="00620453"/>
    <w:rsid w:val="0063424C"/>
    <w:rsid w:val="00635B20"/>
    <w:rsid w:val="006458AE"/>
    <w:rsid w:val="00652E32"/>
    <w:rsid w:val="00662751"/>
    <w:rsid w:val="006631AD"/>
    <w:rsid w:val="00665EC2"/>
    <w:rsid w:val="00680A32"/>
    <w:rsid w:val="0068199C"/>
    <w:rsid w:val="00683CCD"/>
    <w:rsid w:val="006845C6"/>
    <w:rsid w:val="00693EDA"/>
    <w:rsid w:val="006A0CA9"/>
    <w:rsid w:val="006A3E46"/>
    <w:rsid w:val="006C1070"/>
    <w:rsid w:val="006C1BF7"/>
    <w:rsid w:val="006D3ABB"/>
    <w:rsid w:val="006F22C0"/>
    <w:rsid w:val="006F661D"/>
    <w:rsid w:val="006F6EDE"/>
    <w:rsid w:val="00707F9D"/>
    <w:rsid w:val="00714FE5"/>
    <w:rsid w:val="00716C2D"/>
    <w:rsid w:val="0072089C"/>
    <w:rsid w:val="007249F8"/>
    <w:rsid w:val="007302D4"/>
    <w:rsid w:val="00733FD6"/>
    <w:rsid w:val="007446B8"/>
    <w:rsid w:val="007654B6"/>
    <w:rsid w:val="00765C51"/>
    <w:rsid w:val="00772D62"/>
    <w:rsid w:val="00772F4C"/>
    <w:rsid w:val="00784118"/>
    <w:rsid w:val="007A111F"/>
    <w:rsid w:val="007A1382"/>
    <w:rsid w:val="007A4276"/>
    <w:rsid w:val="007C224B"/>
    <w:rsid w:val="007C7E15"/>
    <w:rsid w:val="007D01A7"/>
    <w:rsid w:val="007D2C21"/>
    <w:rsid w:val="007D368E"/>
    <w:rsid w:val="00800E5D"/>
    <w:rsid w:val="00801C52"/>
    <w:rsid w:val="00815886"/>
    <w:rsid w:val="00815FC5"/>
    <w:rsid w:val="008225D8"/>
    <w:rsid w:val="00834E30"/>
    <w:rsid w:val="00845FBE"/>
    <w:rsid w:val="00846CD0"/>
    <w:rsid w:val="00862C4E"/>
    <w:rsid w:val="00872860"/>
    <w:rsid w:val="008761E7"/>
    <w:rsid w:val="00876515"/>
    <w:rsid w:val="00881D41"/>
    <w:rsid w:val="00893D5F"/>
    <w:rsid w:val="008A2534"/>
    <w:rsid w:val="008A2CED"/>
    <w:rsid w:val="008A3541"/>
    <w:rsid w:val="008A37AA"/>
    <w:rsid w:val="008A3F14"/>
    <w:rsid w:val="008B2371"/>
    <w:rsid w:val="008B50E8"/>
    <w:rsid w:val="008D28CA"/>
    <w:rsid w:val="008E44B4"/>
    <w:rsid w:val="008F313A"/>
    <w:rsid w:val="00912B1F"/>
    <w:rsid w:val="0091569A"/>
    <w:rsid w:val="009164BB"/>
    <w:rsid w:val="00916F0F"/>
    <w:rsid w:val="00924654"/>
    <w:rsid w:val="00933D33"/>
    <w:rsid w:val="009837FE"/>
    <w:rsid w:val="00987D82"/>
    <w:rsid w:val="00993E2D"/>
    <w:rsid w:val="009E6B28"/>
    <w:rsid w:val="009F6E54"/>
    <w:rsid w:val="00A01676"/>
    <w:rsid w:val="00A14A60"/>
    <w:rsid w:val="00A23D46"/>
    <w:rsid w:val="00A44F0D"/>
    <w:rsid w:val="00A46614"/>
    <w:rsid w:val="00A50F44"/>
    <w:rsid w:val="00A5445B"/>
    <w:rsid w:val="00A56FA3"/>
    <w:rsid w:val="00A7090F"/>
    <w:rsid w:val="00A728B4"/>
    <w:rsid w:val="00A74683"/>
    <w:rsid w:val="00A862A8"/>
    <w:rsid w:val="00A91EE9"/>
    <w:rsid w:val="00A93929"/>
    <w:rsid w:val="00AA2704"/>
    <w:rsid w:val="00AA33F7"/>
    <w:rsid w:val="00AA5F1B"/>
    <w:rsid w:val="00AA6506"/>
    <w:rsid w:val="00AB4223"/>
    <w:rsid w:val="00AC75BE"/>
    <w:rsid w:val="00AD1682"/>
    <w:rsid w:val="00AE14B8"/>
    <w:rsid w:val="00AE5F6A"/>
    <w:rsid w:val="00B04DF8"/>
    <w:rsid w:val="00B12304"/>
    <w:rsid w:val="00B16F0F"/>
    <w:rsid w:val="00B233AC"/>
    <w:rsid w:val="00B23421"/>
    <w:rsid w:val="00B2597B"/>
    <w:rsid w:val="00B339F1"/>
    <w:rsid w:val="00B43A95"/>
    <w:rsid w:val="00B65F7A"/>
    <w:rsid w:val="00B92205"/>
    <w:rsid w:val="00BB4559"/>
    <w:rsid w:val="00BB63F5"/>
    <w:rsid w:val="00BB738A"/>
    <w:rsid w:val="00BC4087"/>
    <w:rsid w:val="00BE0577"/>
    <w:rsid w:val="00BE2945"/>
    <w:rsid w:val="00BE4A70"/>
    <w:rsid w:val="00BF5EF2"/>
    <w:rsid w:val="00C04232"/>
    <w:rsid w:val="00C11810"/>
    <w:rsid w:val="00C135C6"/>
    <w:rsid w:val="00C14A9A"/>
    <w:rsid w:val="00C16C1F"/>
    <w:rsid w:val="00C210B3"/>
    <w:rsid w:val="00C34DAD"/>
    <w:rsid w:val="00C403BF"/>
    <w:rsid w:val="00C4132F"/>
    <w:rsid w:val="00C41BC6"/>
    <w:rsid w:val="00C46B5E"/>
    <w:rsid w:val="00C525B7"/>
    <w:rsid w:val="00C70690"/>
    <w:rsid w:val="00C80BA7"/>
    <w:rsid w:val="00C80C26"/>
    <w:rsid w:val="00C81D4D"/>
    <w:rsid w:val="00C8253B"/>
    <w:rsid w:val="00C8353B"/>
    <w:rsid w:val="00CA1B80"/>
    <w:rsid w:val="00CA5C95"/>
    <w:rsid w:val="00CB0C41"/>
    <w:rsid w:val="00CC015D"/>
    <w:rsid w:val="00CC6E89"/>
    <w:rsid w:val="00CD5F8A"/>
    <w:rsid w:val="00CD7E4B"/>
    <w:rsid w:val="00CE52AA"/>
    <w:rsid w:val="00CF22FE"/>
    <w:rsid w:val="00D00B39"/>
    <w:rsid w:val="00D05B80"/>
    <w:rsid w:val="00D454FE"/>
    <w:rsid w:val="00D54D70"/>
    <w:rsid w:val="00D77529"/>
    <w:rsid w:val="00D908BA"/>
    <w:rsid w:val="00DA69B2"/>
    <w:rsid w:val="00DA6F9B"/>
    <w:rsid w:val="00DB3DDE"/>
    <w:rsid w:val="00DD0701"/>
    <w:rsid w:val="00DD0AF4"/>
    <w:rsid w:val="00DD447D"/>
    <w:rsid w:val="00DF0830"/>
    <w:rsid w:val="00DF0A36"/>
    <w:rsid w:val="00E036D0"/>
    <w:rsid w:val="00E04E1A"/>
    <w:rsid w:val="00E120A8"/>
    <w:rsid w:val="00E1270D"/>
    <w:rsid w:val="00E142CD"/>
    <w:rsid w:val="00E21B3B"/>
    <w:rsid w:val="00E444C3"/>
    <w:rsid w:val="00E6420A"/>
    <w:rsid w:val="00E667C5"/>
    <w:rsid w:val="00E7448F"/>
    <w:rsid w:val="00E83CB9"/>
    <w:rsid w:val="00E94390"/>
    <w:rsid w:val="00F01202"/>
    <w:rsid w:val="00F03A4C"/>
    <w:rsid w:val="00F31C2E"/>
    <w:rsid w:val="00F349E5"/>
    <w:rsid w:val="00F374DD"/>
    <w:rsid w:val="00F4536A"/>
    <w:rsid w:val="00F45604"/>
    <w:rsid w:val="00F52468"/>
    <w:rsid w:val="00F52622"/>
    <w:rsid w:val="00F53DBF"/>
    <w:rsid w:val="00F54305"/>
    <w:rsid w:val="00F84D89"/>
    <w:rsid w:val="00F869AE"/>
    <w:rsid w:val="00FB4D56"/>
    <w:rsid w:val="00FB67B2"/>
    <w:rsid w:val="00FB68D0"/>
    <w:rsid w:val="00FC3755"/>
    <w:rsid w:val="00FC5621"/>
    <w:rsid w:val="00FC685E"/>
    <w:rsid w:val="00FC7F9D"/>
    <w:rsid w:val="00FE3491"/>
    <w:rsid w:val="00FE7CDD"/>
    <w:rsid w:val="00FF26D8"/>
    <w:rsid w:val="012D1AC7"/>
    <w:rsid w:val="02CB7DF1"/>
    <w:rsid w:val="031A117A"/>
    <w:rsid w:val="05790FF3"/>
    <w:rsid w:val="06EB0547"/>
    <w:rsid w:val="098866BA"/>
    <w:rsid w:val="0BA04D7C"/>
    <w:rsid w:val="0C94657F"/>
    <w:rsid w:val="0E8C7536"/>
    <w:rsid w:val="100D4382"/>
    <w:rsid w:val="10BC5B09"/>
    <w:rsid w:val="114A2CF3"/>
    <w:rsid w:val="12D34A2D"/>
    <w:rsid w:val="167073E3"/>
    <w:rsid w:val="1782771F"/>
    <w:rsid w:val="18F22FF4"/>
    <w:rsid w:val="1B434568"/>
    <w:rsid w:val="1B6C0C0A"/>
    <w:rsid w:val="1EE1565A"/>
    <w:rsid w:val="237C2673"/>
    <w:rsid w:val="25B840F5"/>
    <w:rsid w:val="27765F5D"/>
    <w:rsid w:val="27E37EBE"/>
    <w:rsid w:val="294B2526"/>
    <w:rsid w:val="2A381ADA"/>
    <w:rsid w:val="2A7D3F43"/>
    <w:rsid w:val="2AEE54E9"/>
    <w:rsid w:val="2AF5441A"/>
    <w:rsid w:val="2C0131F0"/>
    <w:rsid w:val="2EDD2042"/>
    <w:rsid w:val="309F0789"/>
    <w:rsid w:val="30AE4471"/>
    <w:rsid w:val="337F0286"/>
    <w:rsid w:val="33B966F1"/>
    <w:rsid w:val="34CC4FAF"/>
    <w:rsid w:val="35A20877"/>
    <w:rsid w:val="36E70096"/>
    <w:rsid w:val="3A1B663C"/>
    <w:rsid w:val="3CB62446"/>
    <w:rsid w:val="416956D8"/>
    <w:rsid w:val="42446B71"/>
    <w:rsid w:val="44376021"/>
    <w:rsid w:val="44507F39"/>
    <w:rsid w:val="4517110E"/>
    <w:rsid w:val="46225CB0"/>
    <w:rsid w:val="47FC6ACB"/>
    <w:rsid w:val="4850646C"/>
    <w:rsid w:val="49A678DF"/>
    <w:rsid w:val="4C586787"/>
    <w:rsid w:val="4EE76244"/>
    <w:rsid w:val="4F505867"/>
    <w:rsid w:val="507125BC"/>
    <w:rsid w:val="50E35208"/>
    <w:rsid w:val="51225219"/>
    <w:rsid w:val="539D3AFE"/>
    <w:rsid w:val="53E221BA"/>
    <w:rsid w:val="547B4190"/>
    <w:rsid w:val="56A33A01"/>
    <w:rsid w:val="5A727826"/>
    <w:rsid w:val="5BB00875"/>
    <w:rsid w:val="5D131D33"/>
    <w:rsid w:val="5D293B5A"/>
    <w:rsid w:val="5D617924"/>
    <w:rsid w:val="5F8E19F8"/>
    <w:rsid w:val="609B58CB"/>
    <w:rsid w:val="65455079"/>
    <w:rsid w:val="669833C5"/>
    <w:rsid w:val="67D0181B"/>
    <w:rsid w:val="68BD3DA4"/>
    <w:rsid w:val="6CB71C8E"/>
    <w:rsid w:val="72DB4057"/>
    <w:rsid w:val="74E94535"/>
    <w:rsid w:val="75534940"/>
    <w:rsid w:val="76086130"/>
    <w:rsid w:val="78E51B9D"/>
    <w:rsid w:val="796014F9"/>
    <w:rsid w:val="79941342"/>
    <w:rsid w:val="7AA84C98"/>
    <w:rsid w:val="7AB374E9"/>
    <w:rsid w:val="7C587145"/>
    <w:rsid w:val="7D8C03A2"/>
    <w:rsid w:val="7E4D78FE"/>
    <w:rsid w:val="7E745F6D"/>
    <w:rsid w:val="7F157AFD"/>
    <w:rsid w:val="7FF742F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9"/>
    <w:qFormat/>
    <w:uiPriority w:val="99"/>
    <w:pPr>
      <w:widowControl/>
      <w:jc w:val="left"/>
      <w:outlineLvl w:val="0"/>
    </w:pPr>
    <w:rPr>
      <w:kern w:val="0"/>
      <w:sz w:val="24"/>
      <w:szCs w:val="20"/>
      <w:lang w:val="en-GB"/>
    </w:rPr>
  </w:style>
  <w:style w:type="paragraph" w:styleId="3">
    <w:name w:val="heading 2"/>
    <w:basedOn w:val="1"/>
    <w:next w:val="1"/>
    <w:link w:val="21"/>
    <w:semiHidden/>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14">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29"/>
    <w:semiHidden/>
    <w:unhideWhenUsed/>
    <w:qFormat/>
    <w:uiPriority w:val="99"/>
    <w:pPr>
      <w:jc w:val="left"/>
    </w:pPr>
  </w:style>
  <w:style w:type="paragraph" w:styleId="5">
    <w:name w:val="Body Text Indent 2"/>
    <w:basedOn w:val="1"/>
    <w:link w:val="27"/>
    <w:qFormat/>
    <w:uiPriority w:val="0"/>
    <w:pPr>
      <w:spacing w:line="560" w:lineRule="exact"/>
      <w:ind w:firstLine="480" w:firstLineChars="200"/>
    </w:pPr>
    <w:rPr>
      <w:rFonts w:ascii="宋体" w:hAnsi="宋体"/>
      <w:color w:val="FF0000"/>
      <w:sz w:val="24"/>
    </w:rPr>
  </w:style>
  <w:style w:type="paragraph" w:styleId="6">
    <w:name w:val="Balloon Text"/>
    <w:basedOn w:val="1"/>
    <w:link w:val="31"/>
    <w:semiHidden/>
    <w:unhideWhenUsed/>
    <w:qFormat/>
    <w:uiPriority w:val="99"/>
    <w:rPr>
      <w:sz w:val="18"/>
      <w:szCs w:val="18"/>
    </w:rPr>
  </w:style>
  <w:style w:type="paragraph" w:styleId="7">
    <w:name w:val="footer"/>
    <w:basedOn w:val="1"/>
    <w:link w:val="18"/>
    <w:unhideWhenUsed/>
    <w:qFormat/>
    <w:uiPriority w:val="99"/>
    <w:pPr>
      <w:tabs>
        <w:tab w:val="center" w:pos="4153"/>
        <w:tab w:val="right" w:pos="8306"/>
      </w:tabs>
      <w:snapToGrid w:val="0"/>
      <w:jc w:val="left"/>
    </w:pPr>
    <w:rPr>
      <w:sz w:val="18"/>
      <w:szCs w:val="18"/>
    </w:rPr>
  </w:style>
  <w:style w:type="paragraph" w:styleId="8">
    <w:name w:val="header"/>
    <w:basedOn w:val="1"/>
    <w:link w:val="17"/>
    <w:unhideWhenUsed/>
    <w:qFormat/>
    <w:uiPriority w:val="0"/>
    <w:pPr>
      <w:pBdr>
        <w:bottom w:val="single" w:color="auto" w:sz="6" w:space="1"/>
      </w:pBdr>
      <w:tabs>
        <w:tab w:val="center" w:pos="4153"/>
        <w:tab w:val="right" w:pos="8306"/>
      </w:tabs>
      <w:snapToGrid w:val="0"/>
      <w:jc w:val="center"/>
    </w:pPr>
    <w:rPr>
      <w:sz w:val="18"/>
      <w:szCs w:val="18"/>
    </w:rPr>
  </w:style>
  <w:style w:type="paragraph" w:styleId="9">
    <w:name w:val="toc 1"/>
    <w:basedOn w:val="1"/>
    <w:next w:val="1"/>
    <w:unhideWhenUsed/>
    <w:qFormat/>
    <w:uiPriority w:val="39"/>
  </w:style>
  <w:style w:type="paragraph" w:styleId="10">
    <w:name w:val="toc 2"/>
    <w:basedOn w:val="1"/>
    <w:next w:val="1"/>
    <w:unhideWhenUsed/>
    <w:qFormat/>
    <w:uiPriority w:val="39"/>
    <w:pPr>
      <w:ind w:left="420" w:leftChars="200"/>
    </w:pPr>
  </w:style>
  <w:style w:type="paragraph" w:styleId="11">
    <w:name w:val="Normal (Web)"/>
    <w:basedOn w:val="1"/>
    <w:unhideWhenUsed/>
    <w:qFormat/>
    <w:uiPriority w:val="0"/>
    <w:pPr>
      <w:widowControl/>
      <w:spacing w:before="100" w:beforeAutospacing="1" w:after="100" w:afterAutospacing="1"/>
      <w:jc w:val="left"/>
    </w:pPr>
    <w:rPr>
      <w:rFonts w:ascii="Arial Unicode MS" w:hAnsi="Arial Unicode MS" w:eastAsia="Arial Unicode MS" w:cs="Arial Unicode MS"/>
      <w:kern w:val="0"/>
      <w:sz w:val="24"/>
      <w:lang w:val="en-GB" w:eastAsia="en-US"/>
    </w:rPr>
  </w:style>
  <w:style w:type="paragraph" w:styleId="12">
    <w:name w:val="annotation subject"/>
    <w:basedOn w:val="4"/>
    <w:next w:val="4"/>
    <w:link w:val="30"/>
    <w:semiHidden/>
    <w:unhideWhenUsed/>
    <w:qFormat/>
    <w:uiPriority w:val="99"/>
    <w:rPr>
      <w:b/>
      <w:bCs/>
    </w:rPr>
  </w:style>
  <w:style w:type="character" w:styleId="15">
    <w:name w:val="Hyperlink"/>
    <w:basedOn w:val="14"/>
    <w:unhideWhenUsed/>
    <w:qFormat/>
    <w:uiPriority w:val="99"/>
    <w:rPr>
      <w:color w:val="0000FF" w:themeColor="hyperlink"/>
      <w:u w:val="single"/>
      <w14:textFill>
        <w14:solidFill>
          <w14:schemeClr w14:val="hlink"/>
        </w14:solidFill>
      </w14:textFill>
    </w:rPr>
  </w:style>
  <w:style w:type="character" w:styleId="16">
    <w:name w:val="annotation reference"/>
    <w:basedOn w:val="14"/>
    <w:semiHidden/>
    <w:unhideWhenUsed/>
    <w:qFormat/>
    <w:uiPriority w:val="99"/>
    <w:rPr>
      <w:sz w:val="21"/>
      <w:szCs w:val="21"/>
    </w:rPr>
  </w:style>
  <w:style w:type="character" w:customStyle="1" w:styleId="17">
    <w:name w:val="页眉 Char"/>
    <w:basedOn w:val="14"/>
    <w:link w:val="8"/>
    <w:qFormat/>
    <w:uiPriority w:val="0"/>
    <w:rPr>
      <w:sz w:val="18"/>
      <w:szCs w:val="18"/>
    </w:rPr>
  </w:style>
  <w:style w:type="character" w:customStyle="1" w:styleId="18">
    <w:name w:val="页脚 Char"/>
    <w:basedOn w:val="14"/>
    <w:link w:val="7"/>
    <w:qFormat/>
    <w:uiPriority w:val="99"/>
    <w:rPr>
      <w:sz w:val="18"/>
      <w:szCs w:val="18"/>
    </w:rPr>
  </w:style>
  <w:style w:type="character" w:customStyle="1" w:styleId="19">
    <w:name w:val="标题 1 Char"/>
    <w:basedOn w:val="14"/>
    <w:link w:val="2"/>
    <w:qFormat/>
    <w:uiPriority w:val="99"/>
    <w:rPr>
      <w:rFonts w:ascii="Times New Roman" w:hAnsi="Times New Roman" w:eastAsia="宋体" w:cs="Times New Roman"/>
      <w:kern w:val="0"/>
      <w:sz w:val="24"/>
      <w:szCs w:val="20"/>
      <w:lang w:val="en-GB"/>
    </w:rPr>
  </w:style>
  <w:style w:type="character" w:customStyle="1" w:styleId="20">
    <w:name w:val="标题 2 Char Char Char"/>
    <w:qFormat/>
    <w:uiPriority w:val="0"/>
    <w:rPr>
      <w:rFonts w:ascii="Arial" w:hAnsi="Arial" w:eastAsia="宋体"/>
      <w:b/>
      <w:kern w:val="2"/>
      <w:sz w:val="28"/>
      <w:szCs w:val="28"/>
      <w:lang w:val="en-US" w:eastAsia="zh-CN" w:bidi="ar-SA"/>
    </w:rPr>
  </w:style>
  <w:style w:type="character" w:customStyle="1" w:styleId="21">
    <w:name w:val="标题 2 Char"/>
    <w:basedOn w:val="14"/>
    <w:link w:val="3"/>
    <w:semiHidden/>
    <w:qFormat/>
    <w:uiPriority w:val="9"/>
    <w:rPr>
      <w:rFonts w:asciiTheme="majorHAnsi" w:hAnsiTheme="majorHAnsi" w:eastAsiaTheme="majorEastAsia" w:cstheme="majorBidi"/>
      <w:b/>
      <w:bCs/>
      <w:sz w:val="32"/>
      <w:szCs w:val="32"/>
    </w:rPr>
  </w:style>
  <w:style w:type="paragraph" w:customStyle="1" w:styleId="22">
    <w:name w:val="2级"/>
    <w:basedOn w:val="1"/>
    <w:link w:val="23"/>
    <w:qFormat/>
    <w:uiPriority w:val="0"/>
    <w:pPr>
      <w:keepNext/>
      <w:keepLines/>
      <w:widowControl/>
      <w:spacing w:before="260" w:after="260"/>
      <w:jc w:val="left"/>
      <w:outlineLvl w:val="1"/>
    </w:pPr>
    <w:rPr>
      <w:rFonts w:asciiTheme="minorEastAsia" w:hAnsiTheme="minorEastAsia" w:cstheme="minorBidi"/>
      <w:b/>
      <w:bCs/>
      <w:sz w:val="24"/>
    </w:rPr>
  </w:style>
  <w:style w:type="character" w:customStyle="1" w:styleId="23">
    <w:name w:val="2级 Char"/>
    <w:basedOn w:val="14"/>
    <w:link w:val="22"/>
    <w:qFormat/>
    <w:uiPriority w:val="0"/>
    <w:rPr>
      <w:rFonts w:eastAsia="宋体" w:asciiTheme="minorEastAsia" w:hAnsiTheme="minorEastAsia"/>
      <w:b/>
      <w:bCs/>
      <w:sz w:val="24"/>
      <w:szCs w:val="24"/>
    </w:rPr>
  </w:style>
  <w:style w:type="paragraph" w:customStyle="1" w:styleId="24">
    <w:name w:val="正文XB"/>
    <w:basedOn w:val="1"/>
    <w:link w:val="25"/>
    <w:qFormat/>
    <w:uiPriority w:val="0"/>
    <w:pPr>
      <w:spacing w:line="360" w:lineRule="auto"/>
      <w:ind w:firstLine="420" w:firstLineChars="200"/>
    </w:pPr>
    <w:rPr>
      <w:rFonts w:ascii="宋体" w:hAnsi="宋体"/>
      <w:color w:val="000000"/>
      <w:szCs w:val="21"/>
    </w:rPr>
  </w:style>
  <w:style w:type="character" w:customStyle="1" w:styleId="25">
    <w:name w:val="正文XB Char"/>
    <w:basedOn w:val="14"/>
    <w:link w:val="24"/>
    <w:qFormat/>
    <w:uiPriority w:val="0"/>
    <w:rPr>
      <w:rFonts w:ascii="宋体" w:hAnsi="宋体" w:eastAsia="宋体" w:cs="Times New Roman"/>
      <w:color w:val="000000"/>
      <w:szCs w:val="21"/>
    </w:rPr>
  </w:style>
  <w:style w:type="paragraph" w:styleId="26">
    <w:name w:val="List Paragraph"/>
    <w:basedOn w:val="1"/>
    <w:unhideWhenUsed/>
    <w:qFormat/>
    <w:uiPriority w:val="99"/>
    <w:pPr>
      <w:ind w:firstLine="420" w:firstLineChars="200"/>
    </w:pPr>
  </w:style>
  <w:style w:type="character" w:customStyle="1" w:styleId="27">
    <w:name w:val="正文文本缩进 2 Char"/>
    <w:basedOn w:val="14"/>
    <w:link w:val="5"/>
    <w:qFormat/>
    <w:uiPriority w:val="0"/>
    <w:rPr>
      <w:rFonts w:ascii="宋体" w:hAnsi="宋体" w:eastAsia="宋体" w:cs="Times New Roman"/>
      <w:color w:val="FF0000"/>
      <w:sz w:val="24"/>
      <w:szCs w:val="24"/>
    </w:rPr>
  </w:style>
  <w:style w:type="paragraph" w:customStyle="1" w:styleId="28">
    <w:name w:val="Default"/>
    <w:qFormat/>
    <w:uiPriority w:val="0"/>
    <w:pPr>
      <w:widowControl w:val="0"/>
      <w:autoSpaceDE w:val="0"/>
      <w:autoSpaceDN w:val="0"/>
      <w:adjustRightInd w:val="0"/>
    </w:pPr>
    <w:rPr>
      <w:rFonts w:ascii="宋体棬　僬　." w:eastAsia="宋体棬　僬　." w:cs="宋体棬　僬　." w:hAnsiTheme="minorHAnsi"/>
      <w:color w:val="000000"/>
      <w:kern w:val="0"/>
      <w:sz w:val="24"/>
      <w:szCs w:val="24"/>
      <w:lang w:val="en-US" w:eastAsia="zh-CN" w:bidi="ar-SA"/>
    </w:rPr>
  </w:style>
  <w:style w:type="character" w:customStyle="1" w:styleId="29">
    <w:name w:val="批注文字 Char"/>
    <w:basedOn w:val="14"/>
    <w:link w:val="4"/>
    <w:semiHidden/>
    <w:qFormat/>
    <w:uiPriority w:val="99"/>
    <w:rPr>
      <w:rFonts w:ascii="Times New Roman" w:hAnsi="Times New Roman" w:eastAsia="宋体" w:cs="Times New Roman"/>
      <w:szCs w:val="24"/>
    </w:rPr>
  </w:style>
  <w:style w:type="character" w:customStyle="1" w:styleId="30">
    <w:name w:val="批注主题 Char"/>
    <w:basedOn w:val="29"/>
    <w:link w:val="12"/>
    <w:semiHidden/>
    <w:qFormat/>
    <w:uiPriority w:val="99"/>
    <w:rPr>
      <w:rFonts w:ascii="Times New Roman" w:hAnsi="Times New Roman" w:eastAsia="宋体" w:cs="Times New Roman"/>
      <w:b/>
      <w:bCs/>
      <w:szCs w:val="24"/>
    </w:rPr>
  </w:style>
  <w:style w:type="character" w:customStyle="1" w:styleId="31">
    <w:name w:val="批注框文本 Char"/>
    <w:basedOn w:val="14"/>
    <w:link w:val="6"/>
    <w:semiHidden/>
    <w:qFormat/>
    <w:uiPriority w:val="99"/>
    <w:rPr>
      <w:rFonts w:ascii="Times New Roman" w:hAnsi="Times New Roman" w:eastAsia="宋体" w:cs="Times New Roman"/>
      <w:sz w:val="18"/>
      <w:szCs w:val="18"/>
    </w:rPr>
  </w:style>
  <w:style w:type="paragraph" w:customStyle="1" w:styleId="32">
    <w:name w:val="TOC Heading"/>
    <w:basedOn w:val="2"/>
    <w:next w:val="1"/>
    <w:semiHidden/>
    <w:unhideWhenUsed/>
    <w:qFormat/>
    <w:uiPriority w:val="39"/>
    <w:pPr>
      <w:keepNext/>
      <w:keepLines/>
      <w:spacing w:before="480" w:line="276" w:lineRule="auto"/>
      <w:outlineLvl w:val="9"/>
    </w:pPr>
    <w:rPr>
      <w:rFonts w:asciiTheme="majorHAnsi" w:hAnsiTheme="majorHAnsi" w:eastAsiaTheme="majorEastAsia" w:cstheme="majorBidi"/>
      <w:b/>
      <w:bCs/>
      <w:color w:val="376092" w:themeColor="accent1" w:themeShade="BF"/>
      <w:sz w:val="28"/>
      <w:szCs w:val="28"/>
      <w:lang w:val="en-US"/>
    </w:rPr>
  </w:style>
  <w:style w:type="paragraph" w:styleId="33">
    <w:name w:val="No Spacing"/>
    <w:basedOn w:val="1"/>
    <w:link w:val="34"/>
    <w:qFormat/>
    <w:uiPriority w:val="1"/>
    <w:pPr>
      <w:widowControl/>
      <w:jc w:val="left"/>
    </w:pPr>
    <w:rPr>
      <w:rFonts w:asciiTheme="minorHAnsi" w:hAnsiTheme="minorHAnsi" w:eastAsiaTheme="minorEastAsia" w:cstheme="minorBidi"/>
      <w:szCs w:val="21"/>
    </w:rPr>
  </w:style>
  <w:style w:type="character" w:customStyle="1" w:styleId="34">
    <w:name w:val="无间隔 Char"/>
    <w:basedOn w:val="14"/>
    <w:link w:val="33"/>
    <w:qFormat/>
    <w:locked/>
    <w:uiPriority w:val="1"/>
    <w:rPr>
      <w:szCs w:val="21"/>
    </w:rPr>
  </w:style>
  <w:style w:type="paragraph" w:customStyle="1" w:styleId="35">
    <w:name w:val="Revision"/>
    <w:hidden/>
    <w:semiHidden/>
    <w:qFormat/>
    <w:uiPriority w:val="99"/>
    <w:rPr>
      <w:rFonts w:ascii="Times New Roman" w:hAnsi="Times New Roman" w:eastAsia="宋体" w:cs="Times New Roman"/>
      <w:kern w:val="2"/>
      <w:sz w:val="21"/>
      <w:szCs w:val="24"/>
      <w:lang w:val="en-US" w:eastAsia="zh-CN" w:bidi="ar-SA"/>
    </w:rPr>
  </w:style>
  <w:style w:type="paragraph" w:customStyle="1" w:styleId="36">
    <w:name w:val="无缩进备注"/>
    <w:basedOn w:val="1"/>
    <w:link w:val="37"/>
    <w:qFormat/>
    <w:uiPriority w:val="0"/>
    <w:pPr>
      <w:tabs>
        <w:tab w:val="left" w:pos="426"/>
      </w:tabs>
      <w:jc w:val="left"/>
    </w:pPr>
    <w:rPr>
      <w:rFonts w:ascii="宋体" w:hAnsi="宋体"/>
      <w:kern w:val="0"/>
      <w:szCs w:val="21"/>
    </w:rPr>
  </w:style>
  <w:style w:type="character" w:customStyle="1" w:styleId="37">
    <w:name w:val="无缩进备注 Char"/>
    <w:basedOn w:val="14"/>
    <w:link w:val="36"/>
    <w:qFormat/>
    <w:uiPriority w:val="0"/>
    <w:rPr>
      <w:rFonts w:ascii="宋体" w:hAnsi="宋体" w:eastAsia="宋体" w:cs="Times New Roman"/>
      <w:kern w:val="0"/>
      <w:szCs w:val="21"/>
    </w:rPr>
  </w:style>
  <w:style w:type="character" w:customStyle="1" w:styleId="38">
    <w:name w:val="read1"/>
    <w:basedOn w:val="14"/>
    <w:qFormat/>
    <w:uiPriority w:val="0"/>
    <w:rPr>
      <w:rFonts w:hint="default"/>
      <w:color w:val="000000"/>
      <w:spacing w:val="450"/>
      <w:u w:val="none"/>
    </w:rPr>
  </w:style>
  <w:style w:type="character" w:customStyle="1" w:styleId="39">
    <w:name w:val="da"/>
    <w:basedOn w:val="14"/>
    <w:qFormat/>
    <w:uiPriority w:val="0"/>
  </w:style>
  <w:style w:type="paragraph" w:customStyle="1" w:styleId="40">
    <w:name w:val="正文XB半年报"/>
    <w:basedOn w:val="5"/>
    <w:qFormat/>
    <w:uiPriority w:val="0"/>
    <w:pPr>
      <w:spacing w:line="360" w:lineRule="auto"/>
      <w:ind w:firstLine="200"/>
    </w:pPr>
    <w:rPr>
      <w:color w:val="000000" w:themeColor="text1"/>
      <w:sz w:val="21"/>
      <w:szCs w:val="21"/>
      <w14:textFill>
        <w14:solidFill>
          <w14:schemeClr w14:val="tx1"/>
        </w14:solidFill>
      </w14:textFill>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089238-77FF-4BFB-BAA4-D6D22B54CFE7}">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11</Pages>
  <Words>1439</Words>
  <Characters>8204</Characters>
  <Lines>68</Lines>
  <Paragraphs>19</Paragraphs>
  <TotalTime>1</TotalTime>
  <ScaleCrop>false</ScaleCrop>
  <LinksUpToDate>false</LinksUpToDate>
  <CharactersWithSpaces>9624</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2022-06-07T10:30:00Z</dcterms:created>
  <dc:creator>段宏竹</dc:creator>
  <cp:lastModifiedBy>fuxj</cp:lastModifiedBy>
  <dcterms:modified xsi:type="dcterms:W3CDTF">2026-10-21T01:13:48Z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4560D6AA7EC6497D830DCA5B9AD81D15_13</vt:lpwstr>
  </property>
</Properties>
</file>