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34AAB"/>
    <w:p w14:paraId="1E582FC6">
      <w:pPr>
        <w:jc w:val="center"/>
        <w:rPr>
          <w:rFonts w:hint="eastAsia" w:ascii="宋体" w:hAnsi="宋体" w:eastAsia="宋体"/>
          <w:b/>
          <w:sz w:val="30"/>
        </w:rPr>
      </w:pPr>
      <w:r>
        <w:rPr>
          <w:rFonts w:hint="eastAsia" w:ascii="宋体" w:hAnsi="宋体" w:eastAsia="宋体"/>
          <w:b/>
          <w:sz w:val="30"/>
        </w:rPr>
        <w:t>关于博时裕丰纯债3个月定期开放债券型发起式证券投资基金基金合同终止的公告</w:t>
      </w:r>
    </w:p>
    <w:p w14:paraId="6AEC0983">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w:t>
      </w:r>
      <w:r>
        <w:rPr>
          <w:rFonts w:hint="eastAsia" w:ascii="宋体" w:hAnsi="宋体" w:eastAsia="宋体"/>
          <w:b/>
          <w:sz w:val="24"/>
          <w:lang w:val="en-US" w:eastAsia="zh-CN"/>
        </w:rPr>
        <w:t>29</w:t>
      </w:r>
      <w:r>
        <w:rPr>
          <w:rFonts w:ascii="宋体" w:hAnsi="宋体" w:eastAsia="宋体"/>
          <w:b/>
          <w:sz w:val="24"/>
        </w:rPr>
        <w:t>日</w:t>
      </w:r>
    </w:p>
    <w:p w14:paraId="49F84F84">
      <w:pPr>
        <w:jc w:val="center"/>
        <w:rPr>
          <w:rFonts w:ascii="宋体" w:hAnsi="宋体" w:eastAsia="宋体"/>
          <w:b/>
          <w:sz w:val="24"/>
        </w:rPr>
      </w:pPr>
    </w:p>
    <w:p w14:paraId="4C89694D">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根据《中华人民共和国证券投资基金法》、《公开募集证券投资基金运作管理办法》、《博时裕丰纯债3个月定期开放债券型发起式证券投资基金基金合同》的有关规定，</w:t>
      </w:r>
      <w:bookmarkStart w:id="0" w:name="_GoBack"/>
      <w:bookmarkEnd w:id="0"/>
      <w:r>
        <w:rPr>
          <w:rFonts w:hint="eastAsia" w:asciiTheme="minorEastAsia" w:hAnsiTheme="minorEastAsia" w:eastAsiaTheme="minorEastAsia" w:cstheme="minorEastAsia"/>
          <w:kern w:val="2"/>
          <w:sz w:val="21"/>
          <w:szCs w:val="21"/>
          <w:lang w:val="en-US" w:eastAsia="zh-CN" w:bidi="ar-SA"/>
        </w:rPr>
        <w:t xml:space="preserve">及博时基金管理有限公司于2026年7月15日发布的《博时基金管理有限公司关于博时裕丰纯债3个月定期开放债券型发起式证券投资基金基金份额持有人大会表决结果暨决议生效的公告》，博时裕丰纯债3个月定期开放债券型发起式证券投资基金（以下简称“本基金”）出现了基金合同终止事由。本基金管理人博时基金管理有限公司（以下简称“本公司”）已依法对基金财产进行清算。现将相关事项公告如下： </w:t>
      </w:r>
    </w:p>
    <w:p w14:paraId="11477C76">
      <w:pPr>
        <w:pStyle w:val="2"/>
        <w:rPr>
          <w:rFonts w:hint="eastAsia" w:ascii="宋体" w:hAnsi="宋体" w:eastAsia="宋体"/>
          <w:sz w:val="21"/>
        </w:rPr>
      </w:pPr>
      <w:r>
        <w:rPr>
          <w:rFonts w:hint="eastAsia" w:ascii="宋体" w:hAnsi="宋体" w:eastAsia="宋体"/>
          <w:sz w:val="21"/>
        </w:rPr>
        <w:t>一、本基金基本信息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866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8712356">
            <w:pPr>
              <w:rPr>
                <w:rFonts w:ascii="宋体" w:hAnsi="宋体" w:eastAsia="宋体"/>
              </w:rPr>
            </w:pPr>
            <w:r>
              <w:rPr>
                <w:rFonts w:hint="eastAsia" w:ascii="宋体" w:hAnsi="宋体" w:eastAsia="宋体"/>
              </w:rPr>
              <w:t>基金名称</w:t>
            </w:r>
          </w:p>
        </w:tc>
        <w:tc>
          <w:tcPr>
            <w:tcW w:w="4261" w:type="dxa"/>
            <w:vAlign w:val="center"/>
          </w:tcPr>
          <w:p w14:paraId="447F7AAE">
            <w:pPr>
              <w:rPr>
                <w:rFonts w:ascii="宋体" w:hAnsi="宋体" w:eastAsia="宋体"/>
              </w:rPr>
            </w:pPr>
            <w:r>
              <w:rPr>
                <w:rFonts w:hint="eastAsia" w:ascii="宋体" w:hAnsi="宋体" w:eastAsia="宋体"/>
              </w:rPr>
              <w:t>博时裕丰纯债</w:t>
            </w:r>
            <w:r>
              <w:rPr>
                <w:rFonts w:ascii="宋体" w:hAnsi="宋体" w:eastAsia="宋体"/>
              </w:rPr>
              <w:t>3个月定期开放债券型发起式证券投资基金</w:t>
            </w:r>
          </w:p>
        </w:tc>
      </w:tr>
      <w:tr w14:paraId="36F69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CA5EB05">
            <w:pPr>
              <w:rPr>
                <w:rFonts w:ascii="宋体" w:hAnsi="宋体" w:eastAsia="宋体"/>
              </w:rPr>
            </w:pPr>
            <w:r>
              <w:rPr>
                <w:rFonts w:hint="eastAsia" w:ascii="宋体" w:hAnsi="宋体" w:eastAsia="宋体"/>
              </w:rPr>
              <w:t>基金简称</w:t>
            </w:r>
          </w:p>
        </w:tc>
        <w:tc>
          <w:tcPr>
            <w:tcW w:w="4261" w:type="dxa"/>
            <w:vAlign w:val="center"/>
          </w:tcPr>
          <w:p w14:paraId="07DF8A68">
            <w:pPr>
              <w:rPr>
                <w:rFonts w:ascii="宋体" w:hAnsi="宋体" w:eastAsia="宋体"/>
              </w:rPr>
            </w:pPr>
            <w:r>
              <w:rPr>
                <w:rFonts w:hint="eastAsia" w:ascii="宋体" w:hAnsi="宋体" w:eastAsia="宋体"/>
              </w:rPr>
              <w:t>博时裕丰</w:t>
            </w:r>
            <w:r>
              <w:rPr>
                <w:rFonts w:ascii="宋体" w:hAnsi="宋体" w:eastAsia="宋体"/>
              </w:rPr>
              <w:t>3个月定开债发起式</w:t>
            </w:r>
          </w:p>
        </w:tc>
      </w:tr>
      <w:tr w14:paraId="4B58D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14D7832">
            <w:pPr>
              <w:rPr>
                <w:rFonts w:ascii="宋体" w:hAnsi="宋体" w:eastAsia="宋体"/>
              </w:rPr>
            </w:pPr>
            <w:r>
              <w:rPr>
                <w:rFonts w:hint="eastAsia" w:ascii="宋体" w:hAnsi="宋体" w:eastAsia="宋体"/>
              </w:rPr>
              <w:t>基金主代码</w:t>
            </w:r>
          </w:p>
        </w:tc>
        <w:tc>
          <w:tcPr>
            <w:tcW w:w="4261" w:type="dxa"/>
            <w:vAlign w:val="center"/>
          </w:tcPr>
          <w:p w14:paraId="02701E96">
            <w:pPr>
              <w:rPr>
                <w:rFonts w:ascii="宋体" w:hAnsi="宋体" w:eastAsia="宋体"/>
              </w:rPr>
            </w:pPr>
            <w:r>
              <w:rPr>
                <w:rFonts w:ascii="宋体" w:hAnsi="宋体" w:eastAsia="宋体"/>
              </w:rPr>
              <w:t>002109</w:t>
            </w:r>
          </w:p>
        </w:tc>
      </w:tr>
      <w:tr w14:paraId="7609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D21551B">
            <w:pPr>
              <w:rPr>
                <w:rFonts w:ascii="宋体" w:hAnsi="宋体" w:eastAsia="宋体"/>
              </w:rPr>
            </w:pPr>
            <w:r>
              <w:rPr>
                <w:rFonts w:hint="eastAsia" w:ascii="宋体" w:hAnsi="宋体" w:eastAsia="宋体"/>
              </w:rPr>
              <w:t>基金运作方式</w:t>
            </w:r>
          </w:p>
        </w:tc>
        <w:tc>
          <w:tcPr>
            <w:tcW w:w="4261" w:type="dxa"/>
            <w:vAlign w:val="center"/>
          </w:tcPr>
          <w:p w14:paraId="2359426B">
            <w:pPr>
              <w:rPr>
                <w:rFonts w:ascii="宋体" w:hAnsi="宋体" w:eastAsia="宋体"/>
              </w:rPr>
            </w:pPr>
            <w:r>
              <w:rPr>
                <w:rFonts w:hint="eastAsia" w:ascii="宋体" w:hAnsi="宋体" w:eastAsia="宋体"/>
              </w:rPr>
              <w:t>契约型定期开放式</w:t>
            </w:r>
          </w:p>
        </w:tc>
      </w:tr>
      <w:tr w14:paraId="2496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0FA30B79">
            <w:pPr>
              <w:rPr>
                <w:rFonts w:ascii="宋体" w:hAnsi="宋体" w:eastAsia="宋体"/>
              </w:rPr>
            </w:pPr>
            <w:r>
              <w:rPr>
                <w:rFonts w:hint="eastAsia" w:ascii="宋体" w:hAnsi="宋体" w:eastAsia="宋体"/>
              </w:rPr>
              <w:t>基金合同生效日</w:t>
            </w:r>
          </w:p>
        </w:tc>
        <w:tc>
          <w:tcPr>
            <w:tcW w:w="4261" w:type="dxa"/>
            <w:vAlign w:val="center"/>
          </w:tcPr>
          <w:p w14:paraId="187720BA">
            <w:pPr>
              <w:rPr>
                <w:rFonts w:ascii="宋体" w:hAnsi="宋体" w:eastAsia="宋体"/>
              </w:rPr>
            </w:pPr>
            <w:r>
              <w:rPr>
                <w:rFonts w:hint="eastAsia" w:ascii="宋体" w:hAnsi="宋体" w:eastAsia="宋体"/>
                <w:lang w:val="en-US" w:eastAsia="zh-CN"/>
              </w:rPr>
              <w:t>2</w:t>
            </w:r>
            <w:r>
              <w:rPr>
                <w:rFonts w:hint="eastAsia" w:ascii="宋体" w:hAnsi="宋体" w:eastAsia="宋体"/>
              </w:rPr>
              <w:t>017年10月18日（由博时裕丰纯债债券型证券投资基金转型而来）</w:t>
            </w:r>
          </w:p>
        </w:tc>
      </w:tr>
      <w:tr w14:paraId="3CAD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3CDABB9">
            <w:pPr>
              <w:rPr>
                <w:rFonts w:ascii="宋体" w:hAnsi="宋体" w:eastAsia="宋体"/>
              </w:rPr>
            </w:pPr>
            <w:r>
              <w:rPr>
                <w:rFonts w:hint="eastAsia" w:ascii="宋体" w:hAnsi="宋体" w:eastAsia="宋体"/>
              </w:rPr>
              <w:t>基金管理人名称</w:t>
            </w:r>
          </w:p>
        </w:tc>
        <w:tc>
          <w:tcPr>
            <w:tcW w:w="4261" w:type="dxa"/>
            <w:vAlign w:val="center"/>
          </w:tcPr>
          <w:p w14:paraId="07CE997C">
            <w:pPr>
              <w:rPr>
                <w:rFonts w:ascii="宋体" w:hAnsi="宋体" w:eastAsia="宋体"/>
              </w:rPr>
            </w:pPr>
            <w:r>
              <w:rPr>
                <w:rFonts w:hint="eastAsia" w:ascii="宋体" w:hAnsi="宋体" w:eastAsia="宋体"/>
              </w:rPr>
              <w:t>博时基金管理有限公司</w:t>
            </w:r>
          </w:p>
        </w:tc>
      </w:tr>
      <w:tr w14:paraId="36F8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vAlign w:val="center"/>
          </w:tcPr>
          <w:p w14:paraId="005808C1">
            <w:pPr>
              <w:rPr>
                <w:rFonts w:ascii="宋体" w:hAnsi="宋体" w:eastAsia="宋体"/>
              </w:rPr>
            </w:pPr>
            <w:r>
              <w:rPr>
                <w:rFonts w:hint="eastAsia" w:ascii="宋体" w:hAnsi="宋体" w:eastAsia="宋体"/>
              </w:rPr>
              <w:t>基金托管人名称</w:t>
            </w:r>
          </w:p>
        </w:tc>
        <w:tc>
          <w:tcPr>
            <w:tcW w:w="4261" w:type="dxa"/>
            <w:vAlign w:val="center"/>
          </w:tcPr>
          <w:p w14:paraId="703A6660">
            <w:pPr>
              <w:rPr>
                <w:rFonts w:ascii="宋体" w:hAnsi="宋体" w:eastAsia="宋体"/>
              </w:rPr>
            </w:pPr>
            <w:r>
              <w:rPr>
                <w:rFonts w:hint="eastAsia" w:ascii="宋体" w:hAnsi="宋体" w:eastAsia="宋体"/>
              </w:rPr>
              <w:t>恒丰银行股份有限公司</w:t>
            </w:r>
          </w:p>
        </w:tc>
      </w:tr>
      <w:tr w14:paraId="14FC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D826C0F">
            <w:pPr>
              <w:rPr>
                <w:rFonts w:ascii="宋体" w:hAnsi="宋体" w:eastAsia="宋体"/>
              </w:rPr>
            </w:pPr>
            <w:r>
              <w:rPr>
                <w:rFonts w:hint="eastAsia" w:ascii="宋体" w:hAnsi="宋体" w:eastAsia="宋体"/>
              </w:rPr>
              <w:t>基金注册登记机构名称</w:t>
            </w:r>
          </w:p>
        </w:tc>
        <w:tc>
          <w:tcPr>
            <w:tcW w:w="4261" w:type="dxa"/>
            <w:vAlign w:val="center"/>
          </w:tcPr>
          <w:p w14:paraId="701F46B3">
            <w:pPr>
              <w:rPr>
                <w:rFonts w:ascii="宋体" w:hAnsi="宋体" w:eastAsia="宋体"/>
              </w:rPr>
            </w:pPr>
            <w:r>
              <w:rPr>
                <w:rFonts w:hint="eastAsia" w:ascii="宋体" w:hAnsi="宋体" w:eastAsia="宋体"/>
              </w:rPr>
              <w:t>博时基金管理有限公司</w:t>
            </w:r>
          </w:p>
        </w:tc>
      </w:tr>
      <w:tr w14:paraId="7D9D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0EDCF7E">
            <w:pPr>
              <w:rPr>
                <w:rFonts w:ascii="宋体" w:hAnsi="宋体" w:eastAsia="宋体"/>
              </w:rPr>
            </w:pPr>
            <w:r>
              <w:rPr>
                <w:rFonts w:hint="eastAsia" w:ascii="宋体" w:hAnsi="宋体" w:eastAsia="宋体"/>
              </w:rPr>
              <w:t>公告依据</w:t>
            </w:r>
          </w:p>
        </w:tc>
        <w:tc>
          <w:tcPr>
            <w:tcW w:w="4261" w:type="dxa"/>
            <w:vAlign w:val="center"/>
          </w:tcPr>
          <w:p w14:paraId="7BE14BBC">
            <w:pPr>
              <w:rPr>
                <w:rFonts w:ascii="宋体" w:hAnsi="宋体" w:eastAsia="宋体"/>
              </w:rPr>
            </w:pPr>
            <w:r>
              <w:rPr>
                <w:rFonts w:hint="eastAsia" w:ascii="宋体" w:hAnsi="宋体" w:eastAsia="宋体"/>
              </w:rPr>
              <w:t>《中华人民共和国证券投资基金法》、《公开募集证券投资基金运作管理办法》等法律法规以及《博时裕丰纯债</w:t>
            </w:r>
            <w:r>
              <w:rPr>
                <w:rFonts w:ascii="宋体" w:hAnsi="宋体" w:eastAsia="宋体"/>
              </w:rPr>
              <w:t>3个月定期开放债券型发起式证券投资基金基金合同》、《博时裕丰纯债3个月定期开放债券型发起式证券投资基金招募说明书》等</w:t>
            </w:r>
          </w:p>
        </w:tc>
      </w:tr>
    </w:tbl>
    <w:p w14:paraId="627D7A47"/>
    <w:p w14:paraId="34B6FBD8">
      <w:pPr>
        <w:pStyle w:val="2"/>
        <w:rPr>
          <w:rFonts w:hint="eastAsia" w:ascii="宋体" w:hAnsi="宋体" w:eastAsia="宋体"/>
          <w:sz w:val="21"/>
        </w:rPr>
      </w:pPr>
      <w:r>
        <w:rPr>
          <w:rFonts w:hint="eastAsia" w:ascii="宋体" w:hAnsi="宋体" w:eastAsia="宋体"/>
          <w:sz w:val="21"/>
        </w:rPr>
        <w:t>二、本基金合同的终止时间</w:t>
      </w:r>
    </w:p>
    <w:p w14:paraId="07881067">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本基金出现了《基金合同》终止事由后，本公司组织基金托管人恒丰银行股份有限公司、容诚会计师事务所(特殊普通合伙)和上海源泰律师事务所成立基金财产清算小组，对基金财产进行了清算。 </w:t>
      </w:r>
    </w:p>
    <w:p w14:paraId="2C37AEB6">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根据《中华人民共和国证券投资基金法》、《公开募集证券投资基金运作管理办法》、《博时裕丰纯债3个月定期开放债券型发起式证券投资基金基金合同》的有关规定及本公司于2026年7月15日发布的《博时基金管理有限公司关于博时裕丰纯债3个月定期开放债券型发起式证券投资基金基金份额持有人大会表决结果暨决议生效的公告》，《博时裕丰纯债3个月定期开放债券型发起式证券投资基金基金合同》自本公告发布之日起终止。 </w:t>
      </w:r>
    </w:p>
    <w:p w14:paraId="519DE28A">
      <w:pPr>
        <w:pStyle w:val="2"/>
        <w:rPr>
          <w:rFonts w:hint="eastAsia" w:ascii="宋体" w:hAnsi="宋体" w:eastAsia="宋体"/>
          <w:sz w:val="21"/>
        </w:rPr>
      </w:pPr>
      <w:r>
        <w:rPr>
          <w:rFonts w:hint="eastAsia" w:ascii="宋体" w:hAnsi="宋体" w:eastAsia="宋体"/>
          <w:sz w:val="21"/>
        </w:rPr>
        <w:t>三、备查文件</w:t>
      </w:r>
    </w:p>
    <w:p w14:paraId="04215E12">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1、《博时裕丰纯债3个月定期开放债券型发起式证券投资基金基金合同》 </w:t>
      </w:r>
    </w:p>
    <w:p w14:paraId="004200D7">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2、《博时基金管理有限公司关于博时裕丰纯债3个月定期开放债券型发起式证券投资基金基金份额持有人大会表决结果暨决议生效的公告》 </w:t>
      </w:r>
    </w:p>
    <w:p w14:paraId="5B994964">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3、《博时裕丰纯债3个月定期开放债券型发起式证券投资基金清算报告》 </w:t>
      </w:r>
    </w:p>
    <w:p w14:paraId="50B1470A">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4、《博时裕丰纯债3个月定期开放债券型发起式证券投资基金清算审计报告》 </w:t>
      </w:r>
    </w:p>
    <w:p w14:paraId="351F7CAE">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5、《上海源泰律师事务所关于博时裕丰纯债3个月定期开放债券型发起式证券投资基金清算事宜之法律意见》 </w:t>
      </w:r>
    </w:p>
    <w:p w14:paraId="74D0C1AB">
      <w:pPr>
        <w:pStyle w:val="2"/>
        <w:rPr>
          <w:rFonts w:hint="eastAsia" w:ascii="宋体" w:hAnsi="宋体" w:eastAsia="宋体"/>
          <w:sz w:val="21"/>
        </w:rPr>
      </w:pPr>
      <w:r>
        <w:rPr>
          <w:rFonts w:hint="eastAsia" w:ascii="宋体" w:hAnsi="宋体" w:eastAsia="宋体"/>
          <w:sz w:val="21"/>
        </w:rPr>
        <w:t>四、特别提示</w:t>
      </w:r>
    </w:p>
    <w:p w14:paraId="5ABD168A">
      <w:pPr>
        <w:pStyle w:val="4"/>
        <w:spacing w:before="0" w:beforeAutospacing="0" w:after="0" w:afterAutospacing="0" w:line="360" w:lineRule="auto"/>
        <w:ind w:firstLine="420"/>
        <w:rPr>
          <w:sz w:val="21"/>
          <w:szCs w:val="21"/>
        </w:rPr>
      </w:pPr>
      <w:r>
        <w:rPr>
          <w:rFonts w:hint="eastAsia"/>
          <w:sz w:val="21"/>
          <w:szCs w:val="21"/>
        </w:rPr>
        <w:t xml:space="preserve">本公告的解释权归博时基金管理有限公司所有。投资者欲了解详情,可拨打本基金管理人的客户服务电话95105568 (免长途话费)进行咨询。 </w:t>
      </w:r>
    </w:p>
    <w:p w14:paraId="73622CA9">
      <w:pPr>
        <w:pStyle w:val="4"/>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715F21F7">
      <w:pPr>
        <w:pStyle w:val="4"/>
        <w:spacing w:before="0" w:beforeAutospacing="0" w:after="0" w:afterAutospacing="0" w:line="360" w:lineRule="auto"/>
        <w:ind w:firstLine="420"/>
        <w:rPr>
          <w:sz w:val="21"/>
          <w:szCs w:val="21"/>
        </w:rPr>
      </w:pPr>
    </w:p>
    <w:p w14:paraId="172816D1">
      <w:pPr>
        <w:pStyle w:val="4"/>
        <w:spacing w:before="0" w:beforeAutospacing="0" w:after="0" w:afterAutospacing="0" w:line="360" w:lineRule="auto"/>
        <w:ind w:firstLine="420"/>
        <w:rPr>
          <w:sz w:val="21"/>
          <w:szCs w:val="21"/>
        </w:rPr>
      </w:pPr>
    </w:p>
    <w:p w14:paraId="0BA8775A">
      <w:pPr>
        <w:pStyle w:val="4"/>
        <w:spacing w:before="0" w:beforeAutospacing="0" w:after="0" w:afterAutospacing="0" w:line="360" w:lineRule="auto"/>
        <w:ind w:firstLine="420"/>
        <w:rPr>
          <w:sz w:val="21"/>
          <w:szCs w:val="21"/>
        </w:rPr>
      </w:pPr>
    </w:p>
    <w:p w14:paraId="262F4AB8">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4C77686">
      <w:pPr>
        <w:pStyle w:val="4"/>
        <w:spacing w:before="0" w:beforeAutospacing="0" w:after="0" w:afterAutospacing="0" w:line="360" w:lineRule="auto"/>
        <w:ind w:firstLine="420"/>
        <w:jc w:val="right"/>
        <w:rPr>
          <w:sz w:val="21"/>
          <w:szCs w:val="21"/>
        </w:rPr>
      </w:pPr>
      <w:r>
        <w:rPr>
          <w:sz w:val="21"/>
          <w:szCs w:val="21"/>
        </w:rPr>
        <w:t>2026年8月2</w:t>
      </w:r>
      <w:r>
        <w:rPr>
          <w:rFonts w:hint="eastAsia"/>
          <w:sz w:val="21"/>
          <w:szCs w:val="21"/>
          <w:lang w:val="en-US" w:eastAsia="zh-CN"/>
        </w:rPr>
        <w:t>9</w:t>
      </w:r>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C2E"/>
    <w:rsid w:val="00821A2D"/>
    <w:rsid w:val="00B55C2E"/>
    <w:rsid w:val="47DFA4D6"/>
    <w:rsid w:val="7DEF0E13"/>
    <w:rsid w:val="7E67A1EB"/>
    <w:rsid w:val="D9F7258A"/>
    <w:rsid w:val="FAFF8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20"/>
    <w:rPr>
      <w:i/>
      <w:iCs/>
    </w:rPr>
  </w:style>
  <w:style w:type="character" w:customStyle="1" w:styleId="9">
    <w:name w:val="标题 3 Char"/>
    <w:basedOn w:val="7"/>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173</Words>
  <Characters>990</Characters>
  <Lines>8</Lines>
  <Paragraphs>2</Paragraphs>
  <TotalTime>0</TotalTime>
  <ScaleCrop>false</ScaleCrop>
  <LinksUpToDate>false</LinksUpToDate>
  <CharactersWithSpaces>1161</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2026-08-14T14:02:00Z</dcterms:created>
  <dc:creator>BSKMadminDev</dc:creator>
  <cp:lastModifiedBy>chenjy814</cp:lastModifiedBy>
  <dcterms:modified xsi:type="dcterms:W3CDTF">2026-08-28T15:21:54Z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B10752C572B294E7285F7D6A97135816_42</vt:lpwstr>
  </property>
</Properties>
</file>