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博时裕坤纯债</w:t>
      </w:r>
      <w:r>
        <w:rPr>
          <w:rFonts w:ascii="宋体" w:hAnsi="宋体" w:eastAsia="宋体"/>
          <w:b/>
          <w:sz w:val="52"/>
        </w:rPr>
        <w:t>3个月定期开放债券型发起式证券投资基金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r>
        <w:rPr>
          <w:rFonts w:hint="eastAsia" w:ascii="宋体" w:hAnsi="宋体" w:eastAsia="宋体"/>
          <w:b/>
          <w:sz w:val="52"/>
        </w:rPr>
        <w:t>【本基金不向个人投资者公开销售】</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招商银行股份有限公司</w:t>
      </w:r>
      <w:r>
        <w:rPr>
          <w:rFonts w:ascii="宋体" w:hAnsi="宋体" w:eastAsia="宋体"/>
          <w:b/>
          <w:sz w:val="30"/>
        </w:rPr>
        <w:br w:type="page"/>
      </w:r>
    </w:p>
    <w:p>
      <w:pPr>
        <w:pStyle w:val="2"/>
        <w:jc w:val="center"/>
        <w:rPr>
          <w:rFonts w:ascii="宋体" w:hAnsi="宋体" w:eastAsia="宋体"/>
          <w:sz w:val="30"/>
        </w:rPr>
      </w:pPr>
      <w:bookmarkStart w:id="0" w:name="_Toc207986275"/>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w:t>
      </w:r>
      <w:bookmarkStart w:id="1" w:name="field_0_productfullname_1"/>
      <w:r>
        <w:rPr>
          <w:rFonts w:hint="eastAsia"/>
          <w:sz w:val="21"/>
          <w:szCs w:val="21"/>
        </w:rPr>
        <w:t>博时裕坤纯债</w:t>
      </w:r>
      <w:r>
        <w:rPr>
          <w:sz w:val="21"/>
          <w:szCs w:val="21"/>
        </w:rPr>
        <w:t>3个月定期开放债券型发起式证券投资基金</w:t>
      </w:r>
      <w:bookmarkEnd w:id="1"/>
      <w:r>
        <w:rPr>
          <w:rFonts w:hint="eastAsia"/>
          <w:sz w:val="21"/>
          <w:szCs w:val="21"/>
        </w:rPr>
        <w:t>由博时裕坤纯债债券型证券投资基金转型而来。基金转型经博时裕坤纯债债券型证券投资基金基金份额持有人大会决议通过，持有人大会决议自表决通过之日起生效。自2018年2月8日起，《博时裕坤纯债债券型证券投资基金基金合同》失效且《</w:t>
      </w:r>
      <w:bookmarkStart w:id="2" w:name="field_0_productfullname_2"/>
      <w:r>
        <w:rPr>
          <w:rFonts w:hint="eastAsia"/>
          <w:sz w:val="21"/>
          <w:szCs w:val="21"/>
        </w:rPr>
        <w:t>博时裕坤纯债</w:t>
      </w:r>
      <w:r>
        <w:rPr>
          <w:sz w:val="21"/>
          <w:szCs w:val="21"/>
        </w:rPr>
        <w:t>3个月定期开放债券型发起式证券投资基金</w:t>
      </w:r>
      <w:bookmarkEnd w:id="2"/>
      <w:r>
        <w:rPr>
          <w:rFonts w:hint="eastAsia"/>
          <w:sz w:val="21"/>
          <w:szCs w:val="21"/>
        </w:rPr>
        <w:t>基金合同》同时生效，博时裕坤纯债债券型证券投资基金正式变更为</w:t>
      </w:r>
      <w:bookmarkStart w:id="3" w:name="field_0_productfullname_3"/>
      <w:r>
        <w:rPr>
          <w:rFonts w:hint="eastAsia"/>
          <w:sz w:val="21"/>
          <w:szCs w:val="21"/>
        </w:rPr>
        <w:t>博时裕坤纯债</w:t>
      </w:r>
      <w:r>
        <w:rPr>
          <w:sz w:val="21"/>
          <w:szCs w:val="21"/>
        </w:rPr>
        <w:t>3个月定期开放债券型发起式证券投资基金</w:t>
      </w:r>
      <w:bookmarkEnd w:id="3"/>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申购基金份额时应认真阅读基金合同、本招募说明书、基金产品资料概要等信息披露文件，自主判断基金的投资价值，全面认识本基金产品的风险收益特征，应充分考虑投资者自身的风险承受能力，并对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5、本基金为债券型基金，预期收益和预期风险高于货币市场基金，但低于混合型基金、股票型基金，属于中低预期风险/收益的产品。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债、金融债、企业债、公司债、央行票据、中期票据、短期融资券、中小企业私募债、资产支持证券、次级债、可分离交易可转债的纯债部分、债券回购、银行存款、同业存单、国债期货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保证金以后，现金或者到期日在一年以内的政府债券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9、本基金初始募集面值为人民币1.00 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 xml:space="preserve">12、本基金允许单一投资者或者构成一致行动人的多个投资者持有基金份额达到或者超过50%，且本基金不向个人投资者公开销售，法律法规或监管机构另有约定的除外。 </w:t>
      </w:r>
    </w:p>
    <w:p>
      <w:pPr>
        <w:pStyle w:val="7"/>
        <w:spacing w:before="0" w:beforeAutospacing="0" w:after="0" w:afterAutospacing="0" w:line="360" w:lineRule="auto"/>
        <w:ind w:firstLine="420"/>
        <w:rPr>
          <w:sz w:val="21"/>
          <w:szCs w:val="21"/>
        </w:rPr>
      </w:pPr>
      <w:r>
        <w:rPr>
          <w:rFonts w:hint="eastAsia"/>
          <w:sz w:val="21"/>
          <w:szCs w:val="21"/>
        </w:rPr>
        <w:t>13、本招募说明书更新所载内容截止日为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"_Toc207986275"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_Toc207986275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"_Toc207986276"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_Toc207986276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"_Toc207986277"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_Toc207986277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"_Toc207986278"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_Toc207986278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"_Toc207986279"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_Toc207986279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"_Toc207986280"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_Toc207986280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"_Toc207986281"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基金的历史沿革</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_Toc207986281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"_Toc207986282"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基金合同的存续</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_Toc207986282 \h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"_Toc207986283"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_Toc207986283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"_Toc207986284"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_Toc207986284 \h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"_Toc207986285"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_Toc207986285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"_Toc207986286"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_Toc207986286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"_Toc207986287"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_Toc207986287 \h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"_Toc207986288"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_Toc207986288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"_Toc207986289"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_Toc207986289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"_Toc207986290"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_Toc207986290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"_Toc207986291"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_Toc207986291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"_Toc207986292"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"_Toc207986293"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_Toc207986293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"_Toc207986294"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_Toc207986294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"_Toc207986295"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_Toc207986295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_Toc207986296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_Toc207986297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_Toc207986298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"_Toc207986299"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_Toc207986299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"_Toc207986300"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_Toc207986300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6" w:name="chapter_level1_3_2344"/>
      <w:bookmarkStart w:id="7" w:name="_Toc207986276"/>
      <w:r>
        <w:rPr>
          <w:rFonts w:hint="eastAsia" w:ascii="宋体" w:hAnsi="宋体" w:eastAsia="宋体"/>
          <w:sz w:val="30"/>
        </w:rPr>
        <w:t>第一部分  绪言</w:t>
      </w:r>
      <w:bookmarkEnd w:id="6"/>
      <w:bookmarkEnd w:id="7"/>
    </w:p>
    <w:p>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4"/>
      <w:r>
        <w:rPr>
          <w:rFonts w:hint="eastAsia"/>
          <w:sz w:val="21"/>
          <w:szCs w:val="21"/>
        </w:rPr>
        <w:t>博时裕坤纯债</w:t>
      </w:r>
      <w:r>
        <w:rPr>
          <w:sz w:val="21"/>
          <w:szCs w:val="21"/>
        </w:rPr>
        <w:t>3个月定期开放债券型发起式证券投资基金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募募集证券投资基金信息披露管理办法》（以下简称“《信息披露办法》”）、《公开募集开放式证券投资基金流动性风险管理规定》（以下简称“《流动性风险管理规定》”）和其他有关法律法规以及《</w:t>
      </w:r>
      <w:bookmarkStart w:id="10" w:name="field_0_productfullname_5"/>
      <w:r>
        <w:rPr>
          <w:rFonts w:hint="eastAsia"/>
          <w:sz w:val="21"/>
          <w:szCs w:val="21"/>
        </w:rPr>
        <w:t>博时裕坤纯债</w:t>
      </w:r>
      <w:r>
        <w:rPr>
          <w:sz w:val="21"/>
          <w:szCs w:val="21"/>
        </w:rPr>
        <w:t>3个月定期开放债券型发起式证券投资基金</w:t>
      </w:r>
      <w:bookmarkEnd w:id="10"/>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6"/>
      <w:r>
        <w:rPr>
          <w:rFonts w:hint="eastAsia"/>
          <w:sz w:val="21"/>
          <w:szCs w:val="21"/>
        </w:rPr>
        <w:t>博时裕坤纯债</w:t>
      </w:r>
      <w:r>
        <w:rPr>
          <w:sz w:val="21"/>
          <w:szCs w:val="21"/>
        </w:rPr>
        <w:t>3个月定期开放债券型发起式证券投资基金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2" w:name="field_0_productfullname_7"/>
      <w:r>
        <w:rPr>
          <w:rFonts w:hint="eastAsia"/>
          <w:sz w:val="21"/>
          <w:szCs w:val="21"/>
        </w:rPr>
        <w:t>博时裕坤纯债</w:t>
      </w:r>
      <w:r>
        <w:rPr>
          <w:sz w:val="21"/>
          <w:szCs w:val="21"/>
        </w:rPr>
        <w:t>3个月定期开放债券型发起式证券投资基金</w:t>
      </w:r>
      <w:bookmarkEnd w:id="12"/>
      <w:r>
        <w:rPr>
          <w:rFonts w:hint="eastAsia"/>
          <w:sz w:val="21"/>
          <w:szCs w:val="21"/>
        </w:rPr>
        <w:t xml:space="preserve">（以下简称“基金”或“本基金”）是根据本招募说明书所载明的资料销售的。本基金管理人没有委托或授权任何其他人提供未在本招募说明书中载明的信息，或对本招募说明书作任何解释或者说明。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 w:name="_Toc207986277"/>
      <w:bookmarkStart w:id="15" w:name="chapter_level1_4_49"/>
      <w:r>
        <w:rPr>
          <w:rFonts w:hint="eastAsia" w:ascii="宋体" w:hAnsi="宋体" w:eastAsia="宋体"/>
          <w:sz w:val="30"/>
        </w:rPr>
        <w:t>第二部分  释义</w:t>
      </w:r>
      <w:bookmarkEnd w:id="14"/>
      <w:bookmarkEnd w:id="15"/>
    </w:p>
    <w:p>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在本招募说明书中，除非文义另有所指，下列词语具有以下含义：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8"/>
      <w:r>
        <w:rPr>
          <w:rFonts w:hint="eastAsia"/>
          <w:sz w:val="21"/>
          <w:szCs w:val="21"/>
        </w:rPr>
        <w:t>博时裕坤纯债</w:t>
      </w:r>
      <w:r>
        <w:rPr>
          <w:sz w:val="21"/>
          <w:szCs w:val="21"/>
        </w:rPr>
        <w:t>3个月定期开放债券型发起式证券投资基金</w:t>
      </w:r>
      <w:bookmarkEnd w:id="17"/>
      <w:r>
        <w:rPr>
          <w:rFonts w:hint="eastAsia"/>
          <w:sz w:val="21"/>
          <w:szCs w:val="21"/>
        </w:rPr>
        <w:t xml:space="preserve">，本基金由博时裕坤纯债债券型证券投资基金转型而来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招商银行股份有限公司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9"/>
      <w:r>
        <w:rPr>
          <w:rFonts w:hint="eastAsia"/>
          <w:sz w:val="21"/>
          <w:szCs w:val="21"/>
        </w:rPr>
        <w:t>博时裕坤纯债</w:t>
      </w:r>
      <w:r>
        <w:rPr>
          <w:sz w:val="21"/>
          <w:szCs w:val="21"/>
        </w:rPr>
        <w:t>3个月定期开放债券型发起式证券投资基金</w:t>
      </w:r>
      <w:bookmarkEnd w:id="20"/>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10"/>
      <w:r>
        <w:rPr>
          <w:rFonts w:hint="eastAsia"/>
          <w:sz w:val="21"/>
          <w:szCs w:val="21"/>
        </w:rPr>
        <w:t>博时裕坤纯债</w:t>
      </w:r>
      <w:r>
        <w:rPr>
          <w:sz w:val="21"/>
          <w:szCs w:val="21"/>
        </w:rPr>
        <w:t>3个月定期开放债券型发起式证券投资基金</w:t>
      </w:r>
      <w:bookmarkEnd w:id="21"/>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6、招募说明书：指《</w:t>
      </w:r>
      <w:bookmarkStart w:id="22" w:name="field_0_productfullname_11"/>
      <w:r>
        <w:rPr>
          <w:rFonts w:hint="eastAsia"/>
          <w:sz w:val="21"/>
          <w:szCs w:val="21"/>
        </w:rPr>
        <w:t>博时裕坤纯债</w:t>
      </w:r>
      <w:r>
        <w:rPr>
          <w:sz w:val="21"/>
          <w:szCs w:val="21"/>
        </w:rPr>
        <w:t>3个月定期开放债券型发起式证券投资基金</w:t>
      </w:r>
      <w:bookmarkEnd w:id="22"/>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2"/>
      <w:r>
        <w:rPr>
          <w:rFonts w:hint="eastAsia"/>
          <w:sz w:val="21"/>
          <w:szCs w:val="21"/>
        </w:rPr>
        <w:t>博时裕坤纯债</w:t>
      </w:r>
      <w:r>
        <w:rPr>
          <w:sz w:val="21"/>
          <w:szCs w:val="21"/>
        </w:rPr>
        <w:t>3个月定期开放债券型发起式证券投资基金</w:t>
      </w:r>
      <w:bookmarkEnd w:id="23"/>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8、法律法规：指中国现行有效并公布实施的法律、行政法规、规范性文件、司法解释、行政规章以及其他对基金合同当事人有约束力的决定、决议、通知等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10、《销售办法》：指中国证监会2013年3月15日颁布、同年6月1日实施的《证券投资基金销售管理办法》及颁布机关对其不时做出的修订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15、银行业监督管理机构：指中国人民银行和/或中国银行业监督管理委员会 </w:t>
      </w:r>
    </w:p>
    <w:p>
      <w:pPr>
        <w:pStyle w:val="7"/>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17、个人投资者：指依据有关法律法规规定可投资于证券投资基金的自然人，本基金为定制基金，不向个人投资者公开销售，法律法规或监管机构另有规定的除外 </w:t>
      </w:r>
    </w:p>
    <w:p>
      <w:pPr>
        <w:pStyle w:val="7"/>
        <w:spacing w:before="0" w:beforeAutospacing="0" w:after="0" w:afterAutospacing="0" w:line="360" w:lineRule="auto"/>
        <w:ind w:firstLine="420"/>
        <w:rPr>
          <w:sz w:val="21"/>
          <w:szCs w:val="21"/>
        </w:rPr>
      </w:pPr>
      <w:r>
        <w:rPr>
          <w:rFonts w:hint="eastAsia"/>
          <w:sz w:val="21"/>
          <w:szCs w:val="21"/>
        </w:rPr>
        <w:t xml:space="preserve">18、机构投资者：指依法可以投资证券投资基金的、在中华人民共和国境内合法登记并存续或经有关政府部门批准设立并存续的企业法人、事业法人、社会团体或其他组织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19、合格境外机构投资者：指符合相关法律法规规定可以投资于在中国境内依法募集的证券投资基金的中国境外的机构投资者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20、投资人：指个人投资者、机构投资者、合格境外机构投资者、发起资金提供方以及法律法规或中国证监会允许购买证券投资基金的其他投资人的合称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21、基金份额持有人：指依基金合同和招募说明书合法取得基金份额的投资人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22、基金销售业务：指基金管理人或销售机构宣传推介基金，办理基金份额的申购、赎回、转换、转托管及定期定额投资等业务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23、销售机构：指直销机构和代销机构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24、直销机构：指</w:t>
      </w:r>
      <w:bookmarkStart w:id="24" w:name="field_0_managerorgfullname_2"/>
      <w:r>
        <w:rPr>
          <w:rFonts w:hint="eastAsia"/>
          <w:sz w:val="21"/>
          <w:szCs w:val="21"/>
        </w:rPr>
        <w:t>博时基金管理有限公司</w:t>
      </w:r>
      <w:bookmarkEnd w:id="2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25、代销机构：指符合《销售办法》和中国证监会规定的其他条件，取得基金销售业务资格并与基金管理人签订了基金销售服务代理协议，代为办理基金销售业务的机构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r>
        <w:rPr>
          <w:rFonts w:hint="eastAsia"/>
          <w:sz w:val="21"/>
          <w:szCs w:val="21"/>
        </w:rPr>
        <w:t>26、登记业务：指基金登记、存管、过户、清算和结算业务，具体内容包括投资人基金账户的建立和管理、基金份额登记、基金销售业务的确认、清算和结算、代理发放红利、建</w:t>
      </w:r>
      <w:bookmarkStart w:id="25" w:name="chapter_level1_4_49_section_1_end"/>
      <w:bookmarkEnd w:id="25"/>
      <w:r>
        <w:rPr>
          <w:rFonts w:hint="eastAsia"/>
          <w:sz w:val="21"/>
          <w:szCs w:val="21"/>
        </w:rPr>
        <w:t xml:space="preserve">立并保管基金份额持有人名册和办理非交易过户等 </w:t>
      </w:r>
    </w:p>
    <w:p>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27、登记机构：指办理登记业务的机构。基金的登记机构为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28、基金账户：指登记机构为投资人开立的、记录其持有的、基金管理人所管理的基金份额余额及其变动情况的账户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29、基金交易账户：指销售机构为投资人开立的、记录投资人通过该销售机构办理申购、赎回、转换、转托管及定期定额投资等业务而引起的基金份额变动及结余情况的账户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30、基金转型：指将“博时裕坤纯债债券型证券投资基金”更名为“</w:t>
      </w:r>
      <w:bookmarkStart w:id="29" w:name="field_0_productfullname_13"/>
      <w:r>
        <w:rPr>
          <w:rFonts w:hint="eastAsia"/>
          <w:sz w:val="21"/>
          <w:szCs w:val="21"/>
        </w:rPr>
        <w:t>博时裕坤纯债</w:t>
      </w:r>
      <w:r>
        <w:rPr>
          <w:sz w:val="21"/>
          <w:szCs w:val="21"/>
        </w:rPr>
        <w:t>3个月定期开放债券型发起式证券投资基金</w:t>
      </w:r>
      <w:bookmarkEnd w:id="29"/>
      <w:r>
        <w:rPr>
          <w:rFonts w:hint="eastAsia"/>
          <w:sz w:val="21"/>
          <w:szCs w:val="21"/>
        </w:rPr>
        <w:t xml:space="preserve">”、变更基金运作方式、修改基金合同等条款的一系列事项的统称 </w:t>
      </w:r>
    </w:p>
    <w:p>
      <w:pPr>
        <w:pStyle w:val="7"/>
        <w:spacing w:before="0" w:beforeAutospacing="0" w:after="0" w:afterAutospacing="0" w:line="360" w:lineRule="auto"/>
        <w:ind w:firstLine="420"/>
        <w:rPr>
          <w:sz w:val="21"/>
          <w:szCs w:val="21"/>
        </w:rPr>
      </w:pPr>
      <w:r>
        <w:rPr>
          <w:rFonts w:hint="eastAsia"/>
          <w:sz w:val="21"/>
          <w:szCs w:val="21"/>
        </w:rPr>
        <w:t>31、基金合同生效日：指《</w:t>
      </w:r>
      <w:bookmarkStart w:id="30" w:name="field_0_productfullname_14"/>
      <w:r>
        <w:rPr>
          <w:rFonts w:hint="eastAsia"/>
          <w:sz w:val="21"/>
          <w:szCs w:val="21"/>
        </w:rPr>
        <w:t>博时裕坤纯债</w:t>
      </w:r>
      <w:r>
        <w:rPr>
          <w:sz w:val="21"/>
          <w:szCs w:val="21"/>
        </w:rPr>
        <w:t>3个月定期开放债券型发起式证券投资基金</w:t>
      </w:r>
      <w:bookmarkEnd w:id="30"/>
      <w:r>
        <w:rPr>
          <w:rFonts w:hint="eastAsia"/>
          <w:sz w:val="21"/>
          <w:szCs w:val="21"/>
        </w:rPr>
        <w:t xml:space="preserve">基金合同》生效日，原《博时裕坤纯债债券型证券投资基金基金合同》自同一日起失效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33、存续期：指《博时裕坤纯债债券型证券投资基金基金合同》生效至终止之间的不定期期限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34、工作日：指上海证券交易所、深圳证券交易所的正常交易日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35、T日：指销售机构在规定时间受理投资人申购、赎回或其他业务申请的工作日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36、T+n日：指自T日起第n个工作日(不包含T日)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37、封闭期：指每一开放期结束之日次日起（含该日）3个月的期间。本基金的第一个封闭期为首个开放期结束之日次日起（含该日）至3个月后的对应日前一日（含该日）的期间，以此类推。如该对应日不存在对应日期或该对应日为非工作日的，则顺延至下一工作日。本基金封闭期内不办理申购与赎回业务，也不上市交易 </w:t>
      </w:r>
    </w:p>
    <w:p>
      <w:pPr>
        <w:pStyle w:val="7"/>
        <w:spacing w:before="0" w:beforeAutospacing="0" w:after="0" w:afterAutospacing="0" w:line="360" w:lineRule="auto"/>
        <w:ind w:firstLine="420"/>
        <w:rPr>
          <w:sz w:val="21"/>
          <w:szCs w:val="21"/>
        </w:rPr>
      </w:pPr>
      <w:r>
        <w:rPr>
          <w:rFonts w:hint="eastAsia"/>
          <w:sz w:val="21"/>
          <w:szCs w:val="21"/>
        </w:rPr>
        <w:t xml:space="preserve">38、开放期：指自基金合同生效日起（包括该日）或每个封闭期结束之日后第一个工作日起（含该日）1至20个工作日，具体期间由基金管理人提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41、《业务规则》：指《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开放期内的单个开放日，基金净赎回申请(赎回申请份额总数加上基金转换中转出申请份额总数后扣除申购申请份额总数及基金转换中转入申请份额总数后的余额)超过上一工作日基金总份额的 </w:t>
      </w:r>
      <w:bookmarkStart w:id="32" w:name="field_49_mintredeemscale_1"/>
      <w:r>
        <w:rPr>
          <w:sz w:val="21"/>
          <w:szCs w:val="21"/>
        </w:rPr>
        <w:t>20</w:t>
      </w:r>
      <w:bookmarkEnd w:id="32"/>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56、发起资金：指基金管理人的股东资金、基金管理人固有资金、基金管理人高级管理人员或基金经理（指基金管理人员工中依法具有基金经理资格者，包括但可能不限于本基金的基金经理，下同）等人员参与申购的资金 </w:t>
      </w:r>
    </w:p>
    <w:p>
      <w:pPr>
        <w:pStyle w:val="7"/>
        <w:spacing w:before="0" w:beforeAutospacing="0" w:after="0" w:afterAutospacing="0" w:line="360" w:lineRule="auto"/>
        <w:ind w:firstLine="420"/>
        <w:rPr>
          <w:sz w:val="21"/>
          <w:szCs w:val="21"/>
        </w:rPr>
      </w:pPr>
      <w:r>
        <w:rPr>
          <w:rFonts w:hint="eastAsia"/>
          <w:sz w:val="21"/>
          <w:szCs w:val="21"/>
        </w:rPr>
        <w:t xml:space="preserve">57、发起资金提供方：指以发起资金申购本基金且承诺以发起资金申购的基金份额持有期限不少于3年的基金管理人股东、基金管理人、基金管理人高级管理人员或基金经理等人员 </w:t>
      </w:r>
    </w:p>
    <w:p>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59、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60、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61、特定资产：包括：（一）无可参考的活跃市场价格且采用估值技术仍导致公允价值存在重大不确定性的资产；（二）按摊余成本计量且计提资产减值准备仍导致资产价值存在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4" w:name="_Toc207986278"/>
      <w:bookmarkStart w:id="35" w:name="chapter_level1_5_53"/>
      <w:r>
        <w:rPr>
          <w:rFonts w:hint="eastAsia" w:ascii="宋体" w:hAnsi="宋体" w:eastAsia="宋体"/>
          <w:sz w:val="30"/>
        </w:rPr>
        <w:t>第三部分  基金管理人</w:t>
      </w:r>
      <w:bookmarkEnd w:id="34"/>
      <w:bookmarkEnd w:id="35"/>
    </w:p>
    <w:p>
      <w:pPr>
        <w:pStyle w:val="7"/>
        <w:spacing w:before="0" w:beforeAutospacing="0" w:after="0" w:afterAutospacing="0" w:line="360" w:lineRule="auto"/>
        <w:ind w:firstLine="420"/>
        <w:rPr>
          <w:sz w:val="21"/>
          <w:szCs w:val="21"/>
          <w:highlight w:val="none"/>
        </w:rPr>
      </w:pPr>
      <w:bookmarkStart w:id="36" w:name="chapter_level1_5_53_section_1"/>
      <w:bookmarkEnd w:id="36"/>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firstLineChars="200"/>
        <w:rPr>
          <w:rFonts w:hint="eastAsia" w:ascii="宋体" w:hAnsi="宋体" w:eastAsia="宋体" w:cs="宋体"/>
          <w:kern w:val="0"/>
          <w:sz w:val="21"/>
          <w:szCs w:val="21"/>
          <w:highlight w:val="none"/>
          <w:lang w:val="en-US" w:eastAsia="zh-CN"/>
        </w:rPr>
      </w:pPr>
      <w:bookmarkStart w:id="240" w:name="_GoBack"/>
      <w:bookmarkEnd w:id="240"/>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7"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7"/>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8" w:name="field_0_managerpersoninfo_1_end"/>
      <w:bookmarkEnd w:id="38"/>
      <w:r>
        <w:rPr>
          <w:rFonts w:hint="eastAsia"/>
          <w:sz w:val="21"/>
          <w:szCs w:val="21"/>
        </w:rPr>
        <w:t xml:space="preserve">  </w:t>
      </w:r>
    </w:p>
    <w:p>
      <w:pPr>
        <w:pStyle w:val="7"/>
        <w:spacing w:before="0" w:beforeAutospacing="0" w:after="0" w:afterAutospacing="0" w:line="360" w:lineRule="auto"/>
        <w:ind w:firstLine="420"/>
        <w:rPr>
          <w:sz w:val="21"/>
          <w:szCs w:val="21"/>
        </w:rPr>
      </w:pPr>
      <w:bookmarkStart w:id="39" w:name="chapter_level1_5_53_section_2"/>
      <w:bookmarkEnd w:id="39"/>
      <w:r>
        <w:rPr>
          <w:rFonts w:hint="eastAsia"/>
          <w:sz w:val="21"/>
          <w:szCs w:val="21"/>
          <w:lang w:val="en-US" w:eastAsia="zh-CN"/>
        </w:rPr>
        <w:t>3</w:t>
      </w:r>
      <w:r>
        <w:rPr>
          <w:rFonts w:hint="eastAsia"/>
          <w:sz w:val="21"/>
          <w:szCs w:val="21"/>
        </w:rPr>
        <w:t xml:space="preserve">、本基金基金经理 </w:t>
      </w:r>
    </w:p>
    <w:p>
      <w:pPr>
        <w:pStyle w:val="7"/>
        <w:spacing w:before="0" w:beforeAutospacing="0" w:after="0" w:afterAutospacing="0" w:line="360" w:lineRule="auto"/>
        <w:ind w:firstLine="420"/>
        <w:rPr>
          <w:sz w:val="21"/>
          <w:szCs w:val="21"/>
        </w:rPr>
      </w:pPr>
      <w:bookmarkStart w:id="40" w:name="field_0_fundmanagerresume_1_start"/>
      <w:bookmarkEnd w:id="40"/>
      <w:r>
        <w:rPr>
          <w:rFonts w:hint="eastAsia"/>
          <w:sz w:val="21"/>
          <w:szCs w:val="21"/>
        </w:rPr>
        <w:t>李俏女士，硕士。2012年起先后在招商银行北京分行、光大银行总行工作。2024年加入博时基金管理有限公司。现任博时裕泉纯债债券型证券投资基金(2025年1月27日—至今)、博时裕昂纯债债券型证券投资基金(2025年2月25日—至今)、博时富灿纯债一年定期开放债券型发起式证券投资基金(2025年2月25日—至今)、博时裕通纯债3个月定期开放债券型发起式证券投资基金(2025年2月25日—至今)、博时裕坤纯债3个月定期开放债券型发起式证券投资基金(2025年4月15日—至今)、博时富进纯债一年定期开放债券型发起式证券投资基金(2025年5月19日—至今)、博时富汇纯债3个月定期开放债券型发起式证券投资基金(2025年7月25日—至今)、博时智臻纯债债券型证券投资基金(2025年7月31日—至今)的基金经理。</w:t>
      </w:r>
    </w:p>
    <w:p>
      <w:pPr>
        <w:pStyle w:val="7"/>
        <w:spacing w:before="0" w:beforeAutospacing="0" w:after="0" w:afterAutospacing="0" w:line="360" w:lineRule="auto"/>
        <w:ind w:firstLine="420"/>
        <w:rPr>
          <w:rFonts w:hint="eastAsia"/>
          <w:sz w:val="21"/>
          <w:szCs w:val="21"/>
        </w:rPr>
      </w:pPr>
      <w:r>
        <w:rPr>
          <w:rFonts w:hint="eastAsia"/>
          <w:sz w:val="21"/>
          <w:szCs w:val="21"/>
        </w:rPr>
        <w:t>陈黎女士，硕士。2014年从上海财经大学硕士研究生毕业后加入博时基金管理有限公司。历任研究员、高级研究员兼基金经理助理、博时裕安纯债债券型证券投资基金(2019年1月16日-2020年5月7日)、博时富源纯债债券型证券投资基金(2019年3月4日-2021年2月25日)、博时富淳纯债3个月定期开放债券型发起式证券投资基金(2019年7月18日-2021年2月25日)、博时富汇纯债3个月定期开放债券型发起式证券投资基金(2019年8月16日-2021年8月17日)、博时裕弘纯债债券型证券投资基金(2020年5月13日-2021年8月17日)、博时聚盈纯债债券型证券投资基金(2019年3月4日-2021年10月27日)、博时安怡6个月定期开放债券型证券投资基金(2018年4月9日-2022年1月24日)、博时慧选纯债3个月定期开放债券型发起式证券投资基金(2018年8月9日-2022年1月24日)、博时富融纯债债券型证券投资基金(2019年1月29日-2022年1月24日)、博时聚润纯债债券型证券投资基金(2019年3月4日-2022年1月24日)、博时裕达纯债债券型证券投资基金(2019年3月11日-2022年1月24日)、博时裕康纯债债券型证券投资基金(2019年3月11日-2022年1月24日)、博时裕丰纯债3个月定期开放债券型发起式证券投资基金(2019年3月11日-2022年1月24日)、博时月月薪定期支付债券型证券投资基金(2020年5月13日-2022年1月24日)、博时裕鹏纯债债券型证券投资基金(2020年7月7日-2022年1月24日)、博时富元纯债债券型证券投资基金(2019年8月19日-2022年3月16日)、博时景发纯债债券型证券投资基金(2019年2月25日-2022年7月14日)、博时裕景纯债债券型证券投资基金(2020年7月7日-2022年7月14日)、博时富泽金融债债券型证券投资基金(2022年11月28日-2024年4月3日)、博时恒享债券型证券投资基金(2023年3月30日-2024年4月23日)的基金经理。现任博时富祥纯债债券型证券投资基金(2018年10月29日—至今)、博时裕利纯债债券型证券投资基金(2019年3月4日—至今)、博时富兴纯债3个月定期开放债券型发起式证券投资基金(2019年8月19日—至今)、博时富顺纯债债券型证券投资基金(2019年10月31日—至今)、博时富信纯债债券型证券投资基金(2020年3月5日—至今)、博时稳悦63个月定期开放债券型证券投资基金(2021年2月25日—至今)、博时安盈债券型证券投资基金(2024年5月7日—至今)、博时裕坤纯债3个月定期开放债券型发起式证券投资基金(2025年5月16日—至今)、博时裕恒纯债债券型证券投资基金(2025年5月16日—至今)的基金经理。</w:t>
      </w:r>
      <w:bookmarkStart w:id="41" w:name="field_0_fundmanagerresume_1_end"/>
      <w:bookmarkEnd w:id="41"/>
    </w:p>
    <w:p>
      <w:pPr>
        <w:pStyle w:val="7"/>
        <w:spacing w:before="0" w:beforeAutospacing="0" w:after="0" w:afterAutospacing="0" w:line="360" w:lineRule="auto"/>
        <w:ind w:firstLine="420"/>
        <w:rPr>
          <w:sz w:val="21"/>
          <w:szCs w:val="21"/>
        </w:rPr>
      </w:pPr>
      <w:r>
        <w:rPr>
          <w:rFonts w:hint="eastAsia"/>
          <w:sz w:val="21"/>
          <w:szCs w:val="21"/>
        </w:rPr>
        <w:t xml:space="preserve">朱品先生，硕士。2011年起先后在中国农业银行总行、平安银行总行工作，2016年起加入博时基金管理有限公司。现任博时富源纯债债券型证券投资基金（2026年5月6日—至今）、博时安怡6个月定期开放债券型证券投资基金（2026年5月6日—至今）、博时裕坤纯债3个月定期开放债券型发起式证券投资基金（2026年5月6日—至今）的基金经理。  </w:t>
      </w:r>
    </w:p>
    <w:p>
      <w:pPr>
        <w:pStyle w:val="7"/>
        <w:spacing w:before="0" w:beforeAutospacing="0" w:after="0" w:afterAutospacing="0" w:line="360" w:lineRule="auto"/>
        <w:ind w:firstLine="420"/>
        <w:rPr>
          <w:sz w:val="21"/>
          <w:szCs w:val="21"/>
        </w:rPr>
      </w:pPr>
      <w:bookmarkStart w:id="42" w:name="field_0_fundmanagershis_1_start"/>
      <w:bookmarkEnd w:id="42"/>
      <w:r>
        <w:rPr>
          <w:rFonts w:hint="eastAsia"/>
          <w:sz w:val="21"/>
          <w:szCs w:val="21"/>
        </w:rPr>
        <w:t>本基金历任基金经理：陈凯杨（2015年11月30日-2016年12月27日）、鲁邦旺（2016年12月15日-2019年3月11日）、陈凯杨（2019年3月11日-2020</w:t>
      </w:r>
      <w:bookmarkStart w:id="43" w:name="chapter_level1_5_53_section_2_end"/>
      <w:bookmarkEnd w:id="43"/>
      <w:r>
        <w:rPr>
          <w:rFonts w:hint="eastAsia"/>
          <w:sz w:val="21"/>
          <w:szCs w:val="21"/>
        </w:rPr>
        <w:t>年5月13日）、郭思洁（2020年5月13日-2025年5月16日）。</w:t>
      </w:r>
      <w:bookmarkStart w:id="44" w:name="field_0_fundmanagershis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field_0_managerpersoninfo2_1_start"/>
      <w:bookmarkEnd w:id="45"/>
      <w:bookmarkStart w:id="46" w:name="chapter_level1_5_53_section_3"/>
      <w:bookmarkEnd w:id="46"/>
      <w:r>
        <w:rPr>
          <w:rFonts w:hint="eastAsia"/>
          <w:sz w:val="21"/>
          <w:szCs w:val="21"/>
          <w:lang w:val="en-US" w:eastAsia="zh-CN"/>
        </w:rPr>
        <w:t>4</w:t>
      </w:r>
      <w:r>
        <w:rPr>
          <w:rFonts w:hint="eastAsia"/>
          <w:sz w:val="21"/>
          <w:szCs w:val="21"/>
        </w:rPr>
        <w:t xml:space="preserve">、投资决策委员会成员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47" w:name="chapter_level1_5_53_section_3_end"/>
      <w:bookmarkEnd w:id="47"/>
      <w:r>
        <w:rPr>
          <w:rFonts w:hint="eastAsia"/>
          <w:sz w:val="21"/>
          <w:szCs w:val="21"/>
          <w:lang w:val="en-US" w:eastAsia="zh-CN"/>
        </w:rPr>
        <w:t>5</w:t>
      </w:r>
      <w:r>
        <w:rPr>
          <w:rFonts w:hint="eastAsia"/>
          <w:sz w:val="21"/>
          <w:szCs w:val="21"/>
        </w:rPr>
        <w:t xml:space="preserve">、上述人员之间均不存在近亲属关系。 </w:t>
      </w:r>
      <w:bookmarkStart w:id="48" w:name="field_0_managerpersoninfo2_1_end"/>
      <w:bookmarkEnd w:id="48"/>
      <w:r>
        <w:rPr>
          <w:rFonts w:hint="eastAsia"/>
          <w:sz w:val="21"/>
          <w:szCs w:val="21"/>
        </w:rPr>
        <w:t xml:space="preserve">  </w:t>
      </w:r>
    </w:p>
    <w:p>
      <w:pPr>
        <w:pStyle w:val="7"/>
        <w:spacing w:before="0" w:beforeAutospacing="0" w:after="0" w:afterAutospacing="0" w:line="360" w:lineRule="auto"/>
        <w:ind w:firstLine="420"/>
        <w:rPr>
          <w:sz w:val="21"/>
          <w:szCs w:val="21"/>
        </w:rPr>
      </w:pPr>
      <w:bookmarkStart w:id="49" w:name="chapter_level1_5_53_section_4"/>
      <w:bookmarkEnd w:id="49"/>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1、依法募集资金，办理或者委托经中国证监会认定的其他机构代为办理基金份额的销售、申购、赎回和登记事宜；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0" w:name="_Toc207986279"/>
      <w:bookmarkStart w:id="51" w:name="chapter_level1_6_55"/>
      <w:r>
        <w:rPr>
          <w:rFonts w:hint="eastAsia" w:ascii="宋体" w:hAnsi="宋体" w:eastAsia="宋体"/>
          <w:sz w:val="30"/>
        </w:rPr>
        <w:t>第四部分  基金托管人</w:t>
      </w:r>
      <w:bookmarkEnd w:id="50"/>
      <w:bookmarkEnd w:id="51"/>
    </w:p>
    <w:p>
      <w:pPr>
        <w:pStyle w:val="7"/>
        <w:spacing w:before="0" w:beforeAutospacing="0" w:after="0" w:afterAutospacing="0" w:line="360" w:lineRule="auto"/>
        <w:ind w:firstLine="420"/>
        <w:rPr>
          <w:sz w:val="21"/>
          <w:szCs w:val="21"/>
        </w:rPr>
      </w:pPr>
      <w:bookmarkStart w:id="52" w:name="chapter_level1_6_55_section_1"/>
      <w:bookmarkEnd w:id="52"/>
      <w:bookmarkStart w:id="53" w:name="field_0_trustcompanyinfo_1_start"/>
      <w:bookmarkEnd w:id="53"/>
      <w:r>
        <w:rPr>
          <w:rFonts w:hint="eastAsia"/>
          <w:sz w:val="21"/>
          <w:szCs w:val="21"/>
        </w:rPr>
        <w:t xml:space="preserve">（一）基金托管人概况 </w:t>
      </w:r>
    </w:p>
    <w:p>
      <w:pPr>
        <w:pStyle w:val="7"/>
        <w:spacing w:before="0" w:beforeAutospacing="0" w:after="0" w:afterAutospacing="0" w:line="360" w:lineRule="auto"/>
        <w:ind w:firstLine="420"/>
        <w:rPr>
          <w:sz w:val="21"/>
          <w:szCs w:val="21"/>
        </w:rPr>
      </w:pPr>
      <w:r>
        <w:rPr>
          <w:rFonts w:hint="eastAsia"/>
          <w:sz w:val="21"/>
          <w:szCs w:val="21"/>
        </w:rPr>
        <w:t xml:space="preserve">1、基本情况 </w:t>
      </w:r>
    </w:p>
    <w:p>
      <w:pPr>
        <w:pStyle w:val="7"/>
        <w:spacing w:before="0" w:beforeAutospacing="0" w:after="0" w:afterAutospacing="0" w:line="360" w:lineRule="auto"/>
        <w:ind w:firstLine="420"/>
        <w:rPr>
          <w:sz w:val="21"/>
          <w:szCs w:val="21"/>
        </w:rPr>
      </w:pPr>
      <w:r>
        <w:rPr>
          <w:rFonts w:hint="eastAsia"/>
          <w:sz w:val="21"/>
          <w:szCs w:val="21"/>
        </w:rPr>
        <w:t xml:space="preserve">名称：招商银行股份有限公司（以下简称“招商银行”） </w:t>
      </w:r>
    </w:p>
    <w:p>
      <w:pPr>
        <w:pStyle w:val="7"/>
        <w:spacing w:before="0" w:beforeAutospacing="0" w:after="0" w:afterAutospacing="0" w:line="360" w:lineRule="auto"/>
        <w:ind w:firstLine="420"/>
        <w:rPr>
          <w:sz w:val="21"/>
          <w:szCs w:val="21"/>
        </w:rPr>
      </w:pPr>
      <w:r>
        <w:rPr>
          <w:rFonts w:hint="eastAsia"/>
          <w:sz w:val="21"/>
          <w:szCs w:val="21"/>
        </w:rPr>
        <w:t xml:space="preserve">设立日期：1987年4月8日 </w:t>
      </w:r>
    </w:p>
    <w:p>
      <w:pPr>
        <w:pStyle w:val="7"/>
        <w:spacing w:before="0" w:beforeAutospacing="0" w:after="0" w:afterAutospacing="0" w:line="360" w:lineRule="auto"/>
        <w:ind w:firstLine="420"/>
        <w:rPr>
          <w:sz w:val="21"/>
          <w:szCs w:val="21"/>
        </w:rPr>
      </w:pPr>
      <w:r>
        <w:rPr>
          <w:rFonts w:hint="eastAsia"/>
          <w:sz w:val="21"/>
          <w:szCs w:val="21"/>
        </w:rPr>
        <w:t xml:space="preserve">注册地址：深圳市深南大道7088号招商银行大厦 </w:t>
      </w:r>
    </w:p>
    <w:p>
      <w:pPr>
        <w:pStyle w:val="7"/>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pPr>
        <w:pStyle w:val="7"/>
        <w:spacing w:before="0" w:beforeAutospacing="0" w:after="0" w:afterAutospacing="0" w:line="360" w:lineRule="auto"/>
        <w:ind w:firstLine="420"/>
        <w:rPr>
          <w:sz w:val="21"/>
          <w:szCs w:val="21"/>
        </w:rPr>
      </w:pPr>
      <w:r>
        <w:rPr>
          <w:rFonts w:hint="eastAsia"/>
          <w:sz w:val="21"/>
          <w:szCs w:val="21"/>
        </w:rPr>
        <w:t xml:space="preserve">注册资本：252.20亿元 </w:t>
      </w:r>
    </w:p>
    <w:p>
      <w:pPr>
        <w:pStyle w:val="7"/>
        <w:spacing w:before="0" w:beforeAutospacing="0" w:after="0" w:afterAutospacing="0" w:line="360" w:lineRule="auto"/>
        <w:ind w:firstLine="420"/>
        <w:rPr>
          <w:sz w:val="21"/>
          <w:szCs w:val="21"/>
        </w:rPr>
      </w:pPr>
      <w:r>
        <w:rPr>
          <w:rFonts w:hint="eastAsia"/>
          <w:sz w:val="21"/>
          <w:szCs w:val="21"/>
        </w:rPr>
        <w:t xml:space="preserve">法定代表人：缪建民 </w:t>
      </w:r>
    </w:p>
    <w:p>
      <w:pPr>
        <w:pStyle w:val="7"/>
        <w:spacing w:before="0" w:beforeAutospacing="0" w:after="0" w:afterAutospacing="0" w:line="360" w:lineRule="auto"/>
        <w:ind w:firstLine="420"/>
        <w:rPr>
          <w:sz w:val="21"/>
          <w:szCs w:val="21"/>
        </w:rPr>
      </w:pPr>
      <w:r>
        <w:rPr>
          <w:rFonts w:hint="eastAsia"/>
          <w:sz w:val="21"/>
          <w:szCs w:val="21"/>
        </w:rPr>
        <w:t xml:space="preserve">行长：王良 </w:t>
      </w:r>
    </w:p>
    <w:p>
      <w:pPr>
        <w:pStyle w:val="7"/>
        <w:spacing w:before="0" w:beforeAutospacing="0" w:after="0" w:afterAutospacing="0" w:line="360" w:lineRule="auto"/>
        <w:ind w:firstLine="420"/>
        <w:rPr>
          <w:sz w:val="21"/>
          <w:szCs w:val="21"/>
        </w:rPr>
      </w:pPr>
      <w:r>
        <w:rPr>
          <w:rFonts w:hint="eastAsia"/>
          <w:sz w:val="21"/>
          <w:szCs w:val="21"/>
        </w:rPr>
        <w:t xml:space="preserve">资产托管业务批准文号：证监基金字[2002]83号 </w:t>
      </w:r>
    </w:p>
    <w:p>
      <w:pPr>
        <w:pStyle w:val="7"/>
        <w:spacing w:before="0" w:beforeAutospacing="0" w:after="0" w:afterAutospacing="0" w:line="360" w:lineRule="auto"/>
        <w:ind w:firstLine="420"/>
        <w:rPr>
          <w:sz w:val="21"/>
          <w:szCs w:val="21"/>
        </w:rPr>
      </w:pPr>
      <w:r>
        <w:rPr>
          <w:rFonts w:hint="eastAsia"/>
          <w:sz w:val="21"/>
          <w:szCs w:val="21"/>
        </w:rPr>
        <w:t xml:space="preserve">电话：4006195555 </w:t>
      </w:r>
    </w:p>
    <w:p>
      <w:pPr>
        <w:pStyle w:val="7"/>
        <w:spacing w:before="0" w:beforeAutospacing="0" w:after="0" w:afterAutospacing="0" w:line="360" w:lineRule="auto"/>
        <w:ind w:firstLine="420"/>
        <w:rPr>
          <w:sz w:val="21"/>
          <w:szCs w:val="21"/>
        </w:rPr>
      </w:pPr>
      <w:r>
        <w:rPr>
          <w:rFonts w:hint="eastAsia"/>
          <w:sz w:val="21"/>
          <w:szCs w:val="21"/>
        </w:rPr>
        <w:t xml:space="preserve">传真：0755-83195201 </w:t>
      </w:r>
    </w:p>
    <w:p>
      <w:pPr>
        <w:pStyle w:val="7"/>
        <w:spacing w:before="0" w:beforeAutospacing="0" w:after="0" w:afterAutospacing="0" w:line="360" w:lineRule="auto"/>
        <w:ind w:firstLine="420"/>
        <w:rPr>
          <w:sz w:val="21"/>
          <w:szCs w:val="21"/>
        </w:rPr>
      </w:pPr>
      <w:r>
        <w:rPr>
          <w:rFonts w:hint="eastAsia"/>
          <w:sz w:val="21"/>
          <w:szCs w:val="21"/>
        </w:rPr>
        <w:t xml:space="preserve">资产托管部信息披露负责人：张姗 </w:t>
      </w:r>
    </w:p>
    <w:p>
      <w:pPr>
        <w:pStyle w:val="7"/>
        <w:spacing w:before="0" w:beforeAutospacing="0" w:after="0" w:afterAutospacing="0" w:line="360" w:lineRule="auto"/>
        <w:ind w:firstLine="420"/>
        <w:rPr>
          <w:sz w:val="21"/>
          <w:szCs w:val="21"/>
        </w:rPr>
      </w:pPr>
      <w:r>
        <w:rPr>
          <w:rFonts w:hint="eastAsia"/>
          <w:sz w:val="21"/>
          <w:szCs w:val="21"/>
        </w:rPr>
        <w:t xml:space="preserve">2、发展概况   </w:t>
      </w:r>
    </w:p>
    <w:p>
      <w:pPr>
        <w:pStyle w:val="7"/>
        <w:spacing w:before="0" w:beforeAutospacing="0" w:after="0" w:afterAutospacing="0" w:line="360" w:lineRule="auto"/>
        <w:ind w:firstLine="420"/>
        <w:rPr>
          <w:sz w:val="21"/>
          <w:szCs w:val="21"/>
        </w:rPr>
      </w:pPr>
      <w:r>
        <w:rPr>
          <w:rFonts w:hint="eastAsia"/>
          <w:sz w:val="21"/>
          <w:szCs w:val="21"/>
        </w:rPr>
        <w:t xml:space="preserve">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 </w:t>
      </w:r>
    </w:p>
    <w:p>
      <w:pPr>
        <w:pStyle w:val="7"/>
        <w:spacing w:before="0" w:beforeAutospacing="0" w:after="0" w:afterAutospacing="0" w:line="360" w:lineRule="auto"/>
        <w:ind w:firstLine="420"/>
        <w:rPr>
          <w:sz w:val="21"/>
          <w:szCs w:val="21"/>
        </w:rPr>
      </w:pPr>
      <w:r>
        <w:rPr>
          <w:rFonts w:hint="eastAsia"/>
          <w:sz w:val="21"/>
          <w:szCs w:val="21"/>
        </w:rPr>
        <w:t xml:space="preserve">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 </w:t>
      </w:r>
    </w:p>
    <w:p>
      <w:pPr>
        <w:pStyle w:val="7"/>
        <w:spacing w:before="0" w:beforeAutospacing="0" w:after="0" w:afterAutospacing="0" w:line="360" w:lineRule="auto"/>
        <w:ind w:firstLine="420"/>
        <w:rPr>
          <w:sz w:val="21"/>
          <w:szCs w:val="21"/>
        </w:rPr>
      </w:pPr>
      <w:r>
        <w:rPr>
          <w:rFonts w:hint="eastAsia"/>
          <w:sz w:val="21"/>
          <w:szCs w:val="21"/>
        </w:rPr>
        <w:t xml:space="preserve">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 </w:t>
      </w:r>
    </w:p>
    <w:p>
      <w:pPr>
        <w:pStyle w:val="7"/>
        <w:spacing w:before="0" w:beforeAutospacing="0" w:after="0" w:afterAutospacing="0" w:line="360" w:lineRule="auto"/>
        <w:ind w:firstLine="420"/>
        <w:rPr>
          <w:sz w:val="21"/>
          <w:szCs w:val="21"/>
        </w:rPr>
      </w:pPr>
      <w:r>
        <w:rPr>
          <w:rFonts w:hint="eastAsia"/>
          <w:sz w:val="21"/>
          <w:szCs w:val="21"/>
        </w:rPr>
        <w:t xml:space="preserve">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 </w:t>
      </w:r>
    </w:p>
    <w:p>
      <w:pPr>
        <w:pStyle w:val="7"/>
        <w:spacing w:before="0" w:beforeAutospacing="0" w:after="0" w:afterAutospacing="0" w:line="360" w:lineRule="auto"/>
        <w:ind w:firstLine="420"/>
        <w:rPr>
          <w:sz w:val="21"/>
          <w:szCs w:val="21"/>
        </w:rPr>
      </w:pPr>
      <w:r>
        <w:rPr>
          <w:rFonts w:hint="eastAsia"/>
          <w:sz w:val="21"/>
          <w:szCs w:val="21"/>
        </w:rPr>
        <w:t xml:space="preserve">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 </w:t>
      </w:r>
    </w:p>
    <w:p>
      <w:pPr>
        <w:pStyle w:val="7"/>
        <w:spacing w:before="0" w:beforeAutospacing="0" w:after="0" w:afterAutospacing="0" w:line="360" w:lineRule="auto"/>
        <w:ind w:firstLine="420"/>
        <w:rPr>
          <w:sz w:val="21"/>
          <w:szCs w:val="21"/>
        </w:rPr>
      </w:pPr>
      <w:r>
        <w:rPr>
          <w:rFonts w:hint="eastAsia"/>
          <w:sz w:val="21"/>
          <w:szCs w:val="21"/>
        </w:rPr>
        <w:t xml:space="preserve">王颖女士，招商银行副行长，南京大学政治经济学专业硕士，经济师。王颖女士1997年1月加入本行，历任本行北京分行行长助理、副行长，天津分行行长，深圳分行行长，本行行长助理。2023年11月起任本行副行长。 </w:t>
      </w:r>
    </w:p>
    <w:p>
      <w:pPr>
        <w:pStyle w:val="7"/>
        <w:spacing w:before="0" w:beforeAutospacing="0" w:after="0" w:afterAutospacing="0" w:line="360" w:lineRule="auto"/>
        <w:ind w:firstLine="420"/>
        <w:rPr>
          <w:sz w:val="21"/>
          <w:szCs w:val="21"/>
        </w:rPr>
      </w:pPr>
      <w:r>
        <w:rPr>
          <w:rFonts w:hint="eastAsia"/>
          <w:sz w:val="21"/>
          <w:szCs w:val="21"/>
        </w:rPr>
        <w:t xml:space="preserve">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bookmarkStart w:id="54" w:name="chapter_level1_6_55_section_1_end"/>
      <w:bookmarkEnd w:id="54"/>
      <w:r>
        <w:rPr>
          <w:rFonts w:hint="eastAsia"/>
          <w:sz w:val="21"/>
          <w:szCs w:val="21"/>
        </w:rPr>
        <w:t xml:space="preserve">截至2025年6月30日，招商银行股份有限公司累计托管1641只证券投资基金。 </w:t>
      </w:r>
      <w:bookmarkStart w:id="55" w:name="field_0_trustcompanyinfo_1_end"/>
      <w:bookmarkEnd w:id="55"/>
      <w:r>
        <w:rPr>
          <w:rFonts w:hint="eastAsia"/>
          <w:sz w:val="21"/>
          <w:szCs w:val="21"/>
        </w:rPr>
        <w:t xml:space="preserve">  </w:t>
      </w:r>
    </w:p>
    <w:p>
      <w:pPr>
        <w:pStyle w:val="7"/>
        <w:spacing w:before="0" w:beforeAutospacing="0" w:after="0" w:afterAutospacing="0" w:line="360" w:lineRule="auto"/>
        <w:ind w:firstLine="420"/>
        <w:rPr>
          <w:sz w:val="21"/>
          <w:szCs w:val="21"/>
        </w:rPr>
      </w:pPr>
      <w:bookmarkStart w:id="56" w:name="field_0_trustcontrollawinfo_1_start"/>
      <w:bookmarkEnd w:id="56"/>
      <w:bookmarkStart w:id="57" w:name="chapter_level1_6_55_section_2"/>
      <w:bookmarkEnd w:id="57"/>
      <w:r>
        <w:rPr>
          <w:rFonts w:hint="eastAsia"/>
          <w:sz w:val="21"/>
          <w:szCs w:val="21"/>
        </w:rPr>
        <w:t xml:space="preserve">(四) 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 内部控制目标 </w:t>
      </w:r>
    </w:p>
    <w:p>
      <w:pPr>
        <w:pStyle w:val="7"/>
        <w:spacing w:before="0" w:beforeAutospacing="0" w:after="0" w:afterAutospacing="0" w:line="360" w:lineRule="auto"/>
        <w:ind w:firstLine="420"/>
        <w:rPr>
          <w:sz w:val="21"/>
          <w:szCs w:val="21"/>
        </w:rPr>
      </w:pPr>
      <w:r>
        <w:rPr>
          <w:rFonts w:hint="eastAsia"/>
          <w:sz w:val="21"/>
          <w:szCs w:val="21"/>
        </w:rPr>
        <w:t xml:space="preserve">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 </w:t>
      </w:r>
    </w:p>
    <w:p>
      <w:pPr>
        <w:pStyle w:val="7"/>
        <w:spacing w:before="0" w:beforeAutospacing="0" w:after="0" w:afterAutospacing="0" w:line="360" w:lineRule="auto"/>
        <w:ind w:firstLine="420"/>
        <w:rPr>
          <w:sz w:val="21"/>
          <w:szCs w:val="21"/>
        </w:rPr>
      </w:pPr>
      <w:r>
        <w:rPr>
          <w:rFonts w:hint="eastAsia"/>
          <w:sz w:val="21"/>
          <w:szCs w:val="21"/>
        </w:rPr>
        <w:t xml:space="preserve">2、 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招商银行资产托管业务建立三级内部控制及风险防范体系： </w:t>
      </w:r>
    </w:p>
    <w:p>
      <w:pPr>
        <w:pStyle w:val="7"/>
        <w:spacing w:before="0" w:beforeAutospacing="0" w:after="0" w:afterAutospacing="0" w:line="360" w:lineRule="auto"/>
        <w:ind w:firstLine="420"/>
        <w:rPr>
          <w:sz w:val="21"/>
          <w:szCs w:val="21"/>
        </w:rPr>
      </w:pPr>
      <w:r>
        <w:rPr>
          <w:rFonts w:hint="eastAsia"/>
          <w:sz w:val="21"/>
          <w:szCs w:val="21"/>
        </w:rPr>
        <w:t xml:space="preserve">一级内部控制及风险防范是在招商银行总行风险管控层面对风险进行预防和控制；总行风险管理部、法律合规部、审计部独立对资产托管业务进行评估监督，并提出内控提升管理建议。 </w:t>
      </w:r>
    </w:p>
    <w:p>
      <w:pPr>
        <w:pStyle w:val="7"/>
        <w:spacing w:before="0" w:beforeAutospacing="0" w:after="0" w:afterAutospacing="0" w:line="360" w:lineRule="auto"/>
        <w:ind w:firstLine="420"/>
        <w:rPr>
          <w:sz w:val="21"/>
          <w:szCs w:val="21"/>
        </w:rPr>
      </w:pPr>
      <w:r>
        <w:rPr>
          <w:rFonts w:hint="eastAsia"/>
          <w:sz w:val="21"/>
          <w:szCs w:val="21"/>
        </w:rPr>
        <w:t xml:space="preserve">二级内部控制及风险防范是招商银行资产托管部设立风险合规管理相关团队，负责部门内部风险预防和控制，及时发现内部控制缺陷，提出整改方案，跟踪整改情况，并直接向部门总经理室报告。 </w:t>
      </w:r>
    </w:p>
    <w:p>
      <w:pPr>
        <w:pStyle w:val="7"/>
        <w:spacing w:before="0" w:beforeAutospacing="0" w:after="0" w:afterAutospacing="0" w:line="360" w:lineRule="auto"/>
        <w:ind w:firstLine="420"/>
        <w:rPr>
          <w:sz w:val="21"/>
          <w:szCs w:val="21"/>
        </w:rPr>
      </w:pPr>
      <w:r>
        <w:rPr>
          <w:rFonts w:hint="eastAsia"/>
          <w:sz w:val="21"/>
          <w:szCs w:val="21"/>
        </w:rPr>
        <w:t xml:space="preserve">三级内部控制及风险防范是招商银行资产托管部在设置专业岗位时，遵循内控制衡原则，视业务的风险程度制定相应监督制衡机制。 </w:t>
      </w:r>
    </w:p>
    <w:p>
      <w:pPr>
        <w:pStyle w:val="7"/>
        <w:spacing w:before="0" w:beforeAutospacing="0" w:after="0" w:afterAutospacing="0" w:line="360" w:lineRule="auto"/>
        <w:ind w:firstLine="420"/>
        <w:rPr>
          <w:sz w:val="21"/>
          <w:szCs w:val="21"/>
        </w:rPr>
      </w:pPr>
      <w:r>
        <w:rPr>
          <w:rFonts w:hint="eastAsia"/>
          <w:sz w:val="21"/>
          <w:szCs w:val="21"/>
        </w:rPr>
        <w:t xml:space="preserve">3、 内部控制原则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（1）全面性原则。内部控制覆盖各项业务过程和操作环节、覆盖所有团队和岗位，并由全部人员参与。 </w:t>
      </w:r>
    </w:p>
    <w:p>
      <w:pPr>
        <w:pStyle w:val="7"/>
        <w:spacing w:before="0" w:beforeAutospacing="0" w:after="0" w:afterAutospacing="0" w:line="360" w:lineRule="auto"/>
        <w:ind w:firstLine="420"/>
        <w:rPr>
          <w:sz w:val="21"/>
          <w:szCs w:val="21"/>
        </w:rPr>
      </w:pPr>
      <w:r>
        <w:rPr>
          <w:rFonts w:hint="eastAsia"/>
          <w:sz w:val="21"/>
          <w:szCs w:val="21"/>
        </w:rPr>
        <w:t xml:space="preserve">（2）审慎性原则。托管组织体系的构成、内部管理制度的建立均以防范风险、审慎经营为出发点，体现“内控优先”的要求。 </w:t>
      </w:r>
    </w:p>
    <w:p>
      <w:pPr>
        <w:pStyle w:val="7"/>
        <w:spacing w:before="0" w:beforeAutospacing="0" w:after="0" w:afterAutospacing="0" w:line="360" w:lineRule="auto"/>
        <w:ind w:firstLine="420"/>
        <w:rPr>
          <w:sz w:val="21"/>
          <w:szCs w:val="21"/>
        </w:rPr>
      </w:pPr>
      <w:r>
        <w:rPr>
          <w:rFonts w:hint="eastAsia"/>
          <w:sz w:val="21"/>
          <w:szCs w:val="21"/>
        </w:rPr>
        <w:t xml:space="preserve">（3）独立性原则。招商银行资产托管部各团队、各岗位职责保持相对独立，不同托管资产之间、托管资产和自有资产之间相互分离。内部控制的检查、评价部门独立于内部控制的建立和执行部门。 </w:t>
      </w:r>
    </w:p>
    <w:p>
      <w:pPr>
        <w:pStyle w:val="7"/>
        <w:spacing w:before="0" w:beforeAutospacing="0" w:after="0" w:afterAutospacing="0" w:line="360" w:lineRule="auto"/>
        <w:ind w:firstLine="420"/>
        <w:rPr>
          <w:sz w:val="21"/>
          <w:szCs w:val="21"/>
        </w:rPr>
      </w:pPr>
      <w:r>
        <w:rPr>
          <w:rFonts w:hint="eastAsia"/>
          <w:sz w:val="21"/>
          <w:szCs w:val="21"/>
        </w:rPr>
        <w:t xml:space="preserve">（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 </w:t>
      </w:r>
    </w:p>
    <w:p>
      <w:pPr>
        <w:pStyle w:val="7"/>
        <w:spacing w:before="0" w:beforeAutospacing="0" w:after="0" w:afterAutospacing="0" w:line="360" w:lineRule="auto"/>
        <w:ind w:firstLine="420"/>
        <w:rPr>
          <w:sz w:val="21"/>
          <w:szCs w:val="21"/>
        </w:rPr>
      </w:pPr>
      <w:r>
        <w:rPr>
          <w:rFonts w:hint="eastAsia"/>
          <w:sz w:val="21"/>
          <w:szCs w:val="21"/>
        </w:rPr>
        <w:t xml:space="preserve">（5）适应性原则。内部控制适应招商银行托管业务风险管理的需要，并能够随着托管业务经营战略、经营方针、经营理念等内部环境的变化和国家法律、法规、政策制度等外部环境的改变及时进行修订和完善。 </w:t>
      </w:r>
    </w:p>
    <w:p>
      <w:pPr>
        <w:pStyle w:val="7"/>
        <w:spacing w:before="0" w:beforeAutospacing="0" w:after="0" w:afterAutospacing="0" w:line="360" w:lineRule="auto"/>
        <w:ind w:firstLine="420"/>
        <w:rPr>
          <w:sz w:val="21"/>
          <w:szCs w:val="21"/>
        </w:rPr>
      </w:pPr>
      <w:r>
        <w:rPr>
          <w:rFonts w:hint="eastAsia"/>
          <w:sz w:val="21"/>
          <w:szCs w:val="21"/>
        </w:rPr>
        <w:t xml:space="preserve">（6）防火墙原则。招商银行资产托管部办公场地与我行其他业务场地隔离，办公网和业务网物理分离，部门业务网和全行业务网防火墙策略分离，以达到风险防范的目的。 </w:t>
      </w:r>
    </w:p>
    <w:p>
      <w:pPr>
        <w:pStyle w:val="7"/>
        <w:spacing w:before="0" w:beforeAutospacing="0" w:after="0" w:afterAutospacing="0" w:line="360" w:lineRule="auto"/>
        <w:ind w:firstLine="420"/>
        <w:rPr>
          <w:sz w:val="21"/>
          <w:szCs w:val="21"/>
        </w:rPr>
      </w:pPr>
      <w:r>
        <w:rPr>
          <w:rFonts w:hint="eastAsia"/>
          <w:sz w:val="21"/>
          <w:szCs w:val="21"/>
        </w:rPr>
        <w:t xml:space="preserve">（7）重要性原则。内部控制在实现全面控制的基础上，关注重要托管业务重要事项和高风险环节。 </w:t>
      </w:r>
    </w:p>
    <w:p>
      <w:pPr>
        <w:pStyle w:val="7"/>
        <w:spacing w:before="0" w:beforeAutospacing="0" w:after="0" w:afterAutospacing="0" w:line="360" w:lineRule="auto"/>
        <w:ind w:firstLine="420"/>
        <w:rPr>
          <w:sz w:val="21"/>
          <w:szCs w:val="21"/>
        </w:rPr>
      </w:pPr>
      <w:r>
        <w:rPr>
          <w:rFonts w:hint="eastAsia"/>
          <w:sz w:val="21"/>
          <w:szCs w:val="21"/>
        </w:rPr>
        <w:t xml:space="preserve">（8）制衡性原则。内部控制能够实现在托管组织体系、机构设置、权责分配及业务流程等方面相互制约、相互监督，同时兼顾运营效率。 </w:t>
      </w:r>
    </w:p>
    <w:p>
      <w:pPr>
        <w:pStyle w:val="7"/>
        <w:spacing w:before="0" w:beforeAutospacing="0" w:after="0" w:afterAutospacing="0" w:line="360" w:lineRule="auto"/>
        <w:ind w:firstLine="420"/>
        <w:rPr>
          <w:sz w:val="21"/>
          <w:szCs w:val="21"/>
        </w:rPr>
      </w:pPr>
      <w:r>
        <w:rPr>
          <w:rFonts w:hint="eastAsia"/>
          <w:sz w:val="21"/>
          <w:szCs w:val="21"/>
        </w:rPr>
        <w:t xml:space="preserve">4、 内部控制措施 </w:t>
      </w:r>
    </w:p>
    <w:p>
      <w:pPr>
        <w:pStyle w:val="7"/>
        <w:spacing w:before="0" w:beforeAutospacing="0" w:after="0" w:afterAutospacing="0" w:line="360" w:lineRule="auto"/>
        <w:ind w:firstLine="420"/>
        <w:rPr>
          <w:sz w:val="21"/>
          <w:szCs w:val="21"/>
        </w:rPr>
      </w:pPr>
      <w:r>
        <w:rPr>
          <w:rFonts w:hint="eastAsia"/>
          <w:sz w:val="21"/>
          <w:szCs w:val="21"/>
        </w:rPr>
        <w:t xml:space="preserve">（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 </w:t>
      </w:r>
    </w:p>
    <w:p>
      <w:pPr>
        <w:pStyle w:val="7"/>
        <w:spacing w:before="0" w:beforeAutospacing="0" w:after="0" w:afterAutospacing="0" w:line="360" w:lineRule="auto"/>
        <w:ind w:firstLine="420"/>
        <w:rPr>
          <w:sz w:val="21"/>
          <w:szCs w:val="21"/>
        </w:rPr>
      </w:pPr>
      <w:r>
        <w:rPr>
          <w:rFonts w:hint="eastAsia"/>
          <w:sz w:val="21"/>
          <w:szCs w:val="21"/>
        </w:rPr>
        <w:t xml:space="preserve">（2）业务信息风险控制。招商银行资产托管部在数据传输和保存方面有严格的加密和备份措施，采用加密、直连方式传输数据，数据执行异地实时备份，所有的业务信息须经过严格的授权方能进行访问。 </w:t>
      </w:r>
    </w:p>
    <w:p>
      <w:pPr>
        <w:pStyle w:val="7"/>
        <w:spacing w:before="0" w:beforeAutospacing="0" w:after="0" w:afterAutospacing="0" w:line="360" w:lineRule="auto"/>
        <w:ind w:firstLine="420"/>
        <w:rPr>
          <w:sz w:val="21"/>
          <w:szCs w:val="21"/>
        </w:rPr>
      </w:pPr>
      <w:r>
        <w:rPr>
          <w:rFonts w:hint="eastAsia"/>
          <w:sz w:val="21"/>
          <w:szCs w:val="21"/>
        </w:rPr>
        <w:t xml:space="preserve">（3）客户资料风险控制。招商银行资产托管部对业务办理过程中获取的客户资料严格保密，除法律法规和其他有关规定、监管机构及审计要求外，不向任何机构、部门或个人泄露。 </w:t>
      </w:r>
    </w:p>
    <w:p>
      <w:pPr>
        <w:pStyle w:val="7"/>
        <w:spacing w:before="0" w:beforeAutospacing="0" w:after="0" w:afterAutospacing="0" w:line="360" w:lineRule="auto"/>
        <w:ind w:firstLine="420"/>
        <w:rPr>
          <w:sz w:val="21"/>
          <w:szCs w:val="21"/>
        </w:rPr>
      </w:pPr>
      <w:r>
        <w:rPr>
          <w:rFonts w:hint="eastAsia"/>
          <w:sz w:val="21"/>
          <w:szCs w:val="21"/>
        </w:rPr>
        <w:t xml:space="preserve">（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 </w:t>
      </w:r>
    </w:p>
    <w:p>
      <w:pPr>
        <w:pStyle w:val="7"/>
        <w:spacing w:before="0" w:beforeAutospacing="0" w:after="0" w:afterAutospacing="0" w:line="360" w:lineRule="auto"/>
        <w:ind w:firstLine="420"/>
        <w:rPr>
          <w:sz w:val="21"/>
          <w:szCs w:val="21"/>
        </w:rPr>
      </w:pPr>
      <w:r>
        <w:rPr>
          <w:rFonts w:hint="eastAsia"/>
          <w:sz w:val="21"/>
          <w:szCs w:val="21"/>
        </w:rPr>
        <w:t xml:space="preserve">（5）人力资源控制。招商银行资产托管部通过建立良好的企业文化和员工培训、激励机制、加强人力资源管理及建立人才梯级队伍及人才储备机制，有效地进行人力资源管理。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等有关法律法规的规定及基金合同、托管协议的约定，对基金投资范围、投资比例、投资组合等情况的合法性、合规性进行监督和核查。 </w:t>
      </w:r>
    </w:p>
    <w:p>
      <w:pPr>
        <w:pStyle w:val="7"/>
        <w:spacing w:before="0" w:beforeAutospacing="0" w:after="0" w:afterAutospacing="0" w:line="360" w:lineRule="auto"/>
        <w:ind w:firstLine="420"/>
        <w:rPr>
          <w:sz w:val="21"/>
          <w:szCs w:val="21"/>
        </w:rPr>
      </w:pPr>
      <w:r>
        <w:rPr>
          <w:rFonts w:hint="eastAsia"/>
          <w:sz w:val="21"/>
          <w:szCs w:val="21"/>
        </w:rPr>
        <w:t xml:space="preserve">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 </w:t>
      </w:r>
    </w:p>
    <w:p>
      <w:pPr>
        <w:pStyle w:val="7"/>
        <w:spacing w:before="0" w:beforeAutospacing="0" w:after="0" w:afterAutospacing="0" w:line="360" w:lineRule="auto"/>
        <w:ind w:firstLine="420"/>
        <w:rPr>
          <w:sz w:val="21"/>
          <w:szCs w:val="21"/>
        </w:rPr>
      </w:pPr>
      <w:r>
        <w:rPr>
          <w:rFonts w:hint="eastAsia"/>
          <w:sz w:val="21"/>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w:t>
      </w:r>
      <w:bookmarkStart w:id="58" w:name="chapter_level1_6_55_section_2_end"/>
      <w:bookmarkEnd w:id="58"/>
      <w:r>
        <w:rPr>
          <w:rFonts w:hint="eastAsia"/>
          <w:sz w:val="21"/>
          <w:szCs w:val="21"/>
        </w:rPr>
        <w:t xml:space="preserve">限期内纠正的，基金托管人应报告中国证监会。 </w:t>
      </w:r>
      <w:bookmarkStart w:id="59" w:name="field_0_trustcontrollawinfo_1_end"/>
      <w:bookmarkEnd w:id="5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0" w:name="chapter_level1_7_56"/>
      <w:bookmarkStart w:id="61" w:name="_Toc207986280"/>
      <w:r>
        <w:rPr>
          <w:rFonts w:hint="eastAsia" w:ascii="宋体" w:hAnsi="宋体" w:eastAsia="宋体"/>
          <w:sz w:val="30"/>
        </w:rPr>
        <w:t>第五部分  相关服务机构</w:t>
      </w:r>
      <w:bookmarkEnd w:id="60"/>
      <w:bookmarkEnd w:id="61"/>
    </w:p>
    <w:p>
      <w:pPr>
        <w:pStyle w:val="7"/>
        <w:spacing w:before="0" w:beforeAutospacing="0" w:after="0" w:afterAutospacing="0" w:line="360" w:lineRule="auto"/>
        <w:ind w:firstLine="420"/>
        <w:rPr>
          <w:sz w:val="21"/>
          <w:szCs w:val="21"/>
        </w:rPr>
      </w:pPr>
      <w:bookmarkStart w:id="62" w:name="chapter_level1_7_56_section_1"/>
      <w:bookmarkEnd w:id="62"/>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3" w:name="field_0_marketcompanyinfo_1_start"/>
      <w:bookmarkEnd w:id="63"/>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4" w:name="chapter_level1_7_56_section_1_end"/>
      <w:bookmarkEnd w:id="64"/>
      <w:r>
        <w:rPr>
          <w:rFonts w:hint="eastAsia"/>
          <w:sz w:val="21"/>
          <w:szCs w:val="21"/>
        </w:rPr>
        <w:t xml:space="preserve">博时一线通：95105568（免长途话费） </w:t>
      </w:r>
      <w:bookmarkStart w:id="65" w:name="field_0_marketcompanyinfo_1_end"/>
      <w:bookmarkEnd w:id="65"/>
      <w:r>
        <w:rPr>
          <w:rFonts w:hint="eastAsia"/>
          <w:sz w:val="21"/>
          <w:szCs w:val="21"/>
        </w:rPr>
        <w:t xml:space="preserve">  </w:t>
      </w:r>
    </w:p>
    <w:p>
      <w:pPr>
        <w:pStyle w:val="7"/>
        <w:spacing w:before="0" w:beforeAutospacing="0" w:after="0" w:afterAutospacing="0" w:line="360" w:lineRule="auto"/>
        <w:ind w:firstLine="420"/>
        <w:rPr>
          <w:sz w:val="21"/>
          <w:szCs w:val="21"/>
        </w:rPr>
      </w:pPr>
      <w:bookmarkStart w:id="66" w:name="chapter_level1_7_56_section_2"/>
      <w:bookmarkEnd w:id="66"/>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7" w:name="field_0_allproxysaletables_1_start"/>
      <w:bookmarkEnd w:id="67"/>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(4)蚂蚁（杭州）基金销售有限公司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(6)上海基煜基金销售有限公司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(7)珠海盈米基金销售有限公司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(8)中信建投证券股份有限公司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(9)招商证券股份有限公司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(10)华泰证券股份有限公司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(11)中国国际金融股份有限公司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沈如军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010－65051156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http://www.cicc.com.cn/ </w:t>
            </w:r>
          </w:p>
        </w:tc>
      </w:tr>
    </w:tbl>
    <w:p>
      <w:pPr>
        <w:pStyle w:val="7"/>
        <w:spacing w:before="0" w:beforeAutospacing="0" w:after="0" w:afterAutospacing="0" w:line="360" w:lineRule="auto"/>
        <w:ind w:firstLine="420"/>
        <w:rPr>
          <w:sz w:val="21"/>
          <w:szCs w:val="21"/>
        </w:rPr>
      </w:pPr>
      <w:r>
        <w:rPr>
          <w:rFonts w:hint="eastAsia"/>
          <w:b/>
          <w:bCs/>
          <w:sz w:val="21"/>
          <w:szCs w:val="21"/>
        </w:rPr>
        <w:t>(12)中国中金财富证券有限公司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rPr>
          <w:rFonts w:ascii="宋体" w:hAnsi="宋体" w:eastAsia="宋体"/>
          <w:sz w:val="24"/>
          <w:szCs w:val="24"/>
        </w:rPr>
      </w:pPr>
      <w:bookmarkStart w:id="68" w:name="field_0_allproxysaletables_1_end"/>
      <w:bookmarkEnd w:id="68"/>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9" w:name="chapter_level1_7_56_section_2_end"/>
      <w:bookmarkEnd w:id="69"/>
      <w:r>
        <w:rPr>
          <w:rFonts w:hint="eastAsia"/>
          <w:sz w:val="21"/>
          <w:szCs w:val="21"/>
        </w:rPr>
        <w:t xml:space="preserve">基金管理人可根据有关法律法规，变更、增减销售本基金的销售机构，并及时公告。 </w:t>
      </w:r>
    </w:p>
    <w:p>
      <w:pPr>
        <w:pStyle w:val="7"/>
        <w:spacing w:before="0" w:beforeAutospacing="0" w:after="0" w:afterAutospacing="0" w:line="360" w:lineRule="auto"/>
        <w:ind w:firstLine="420"/>
        <w:rPr>
          <w:sz w:val="21"/>
          <w:szCs w:val="21"/>
        </w:rPr>
      </w:pPr>
      <w:bookmarkStart w:id="70" w:name="chapter_level1_7_56_section_3"/>
      <w:bookmarkEnd w:id="70"/>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 021- 51150298 </w:t>
      </w:r>
    </w:p>
    <w:p>
      <w:pPr>
        <w:pStyle w:val="7"/>
        <w:spacing w:before="0" w:beforeAutospacing="0" w:after="0" w:afterAutospacing="0" w:line="360" w:lineRule="auto"/>
        <w:ind w:firstLine="420"/>
        <w:rPr>
          <w:sz w:val="21"/>
          <w:szCs w:val="21"/>
        </w:rPr>
      </w:pPr>
      <w:r>
        <w:rPr>
          <w:rFonts w:hint="eastAsia"/>
          <w:sz w:val="21"/>
          <w:szCs w:val="21"/>
        </w:rPr>
        <w:t xml:space="preserve">传真： 021- 51150398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经办律师：刘佳、刘翠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3" w:name="field_0_accountingcompanyinfo_1_start"/>
      <w:bookmarkEnd w:id="73"/>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74" w:name="chapter_level1_7_56_section_3_end"/>
      <w:bookmarkEnd w:id="74"/>
      <w:r>
        <w:rPr>
          <w:rFonts w:hint="eastAsia"/>
          <w:sz w:val="21"/>
          <w:szCs w:val="21"/>
        </w:rPr>
        <w:t xml:space="preserve">经办注册会计师：薛竞 吴琳杰 </w:t>
      </w:r>
      <w:bookmarkStart w:id="75" w:name="field_0_accountingcompanyinfo_1_end"/>
      <w:bookmarkEnd w:id="7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6" w:name="chapter_level1_8_22550"/>
      <w:bookmarkStart w:id="77" w:name="_Toc207986281"/>
      <w:r>
        <w:rPr>
          <w:rFonts w:hint="eastAsia" w:ascii="宋体" w:hAnsi="宋体" w:eastAsia="宋体"/>
          <w:sz w:val="30"/>
        </w:rPr>
        <w:t>第六部分  基金的历史沿革</w:t>
      </w:r>
      <w:bookmarkEnd w:id="76"/>
      <w:bookmarkEnd w:id="77"/>
    </w:p>
    <w:p>
      <w:pPr>
        <w:pStyle w:val="7"/>
        <w:spacing w:before="0" w:beforeAutospacing="0" w:after="0" w:afterAutospacing="0" w:line="360" w:lineRule="auto"/>
        <w:ind w:firstLine="420"/>
        <w:rPr>
          <w:sz w:val="21"/>
          <w:szCs w:val="21"/>
        </w:rPr>
      </w:pPr>
      <w:bookmarkStart w:id="78" w:name="chapter_level1_8_22550_section_1"/>
      <w:bookmarkEnd w:id="78"/>
      <w:bookmarkStart w:id="79" w:name="field_0_productfullname_15"/>
      <w:r>
        <w:rPr>
          <w:rFonts w:hint="eastAsia"/>
          <w:sz w:val="21"/>
          <w:szCs w:val="21"/>
        </w:rPr>
        <w:t>博时裕坤纯债</w:t>
      </w:r>
      <w:r>
        <w:rPr>
          <w:sz w:val="21"/>
          <w:szCs w:val="21"/>
        </w:rPr>
        <w:t>3个月定期开放债券型发起式证券投资基金</w:t>
      </w:r>
      <w:bookmarkEnd w:id="79"/>
      <w:r>
        <w:rPr>
          <w:rFonts w:hint="eastAsia"/>
          <w:sz w:val="21"/>
          <w:szCs w:val="21"/>
        </w:rPr>
        <w:t xml:space="preserve">由博时裕坤纯债债券型证券投资基金变更注册而来。 </w:t>
      </w:r>
    </w:p>
    <w:p>
      <w:pPr>
        <w:pStyle w:val="7"/>
        <w:spacing w:before="0" w:beforeAutospacing="0" w:after="0" w:afterAutospacing="0" w:line="360" w:lineRule="auto"/>
        <w:ind w:firstLine="420"/>
        <w:rPr>
          <w:sz w:val="21"/>
          <w:szCs w:val="21"/>
        </w:rPr>
      </w:pPr>
      <w:r>
        <w:rPr>
          <w:rFonts w:hint="eastAsia"/>
          <w:sz w:val="21"/>
          <w:szCs w:val="21"/>
        </w:rPr>
        <w:t>博时裕坤纯债债券型证券投资基金经中国证监会证监许可[2015]2525号文注册，基金管理人为</w:t>
      </w:r>
      <w:bookmarkStart w:id="80" w:name="field_0_managerorgfullname_6"/>
      <w:r>
        <w:rPr>
          <w:rFonts w:hint="eastAsia"/>
          <w:sz w:val="21"/>
          <w:szCs w:val="21"/>
        </w:rPr>
        <w:t>博时基金管理有限公司</w:t>
      </w:r>
      <w:bookmarkEnd w:id="80"/>
      <w:r>
        <w:rPr>
          <w:rFonts w:hint="eastAsia"/>
          <w:sz w:val="21"/>
          <w:szCs w:val="21"/>
        </w:rPr>
        <w:t>，基金托管人为</w:t>
      </w:r>
      <w:bookmarkStart w:id="81" w:name="field_0_trustorgfullname_2"/>
      <w:r>
        <w:rPr>
          <w:rFonts w:hint="eastAsia"/>
          <w:sz w:val="21"/>
          <w:szCs w:val="21"/>
        </w:rPr>
        <w:t>招商银行股份有限公司</w:t>
      </w:r>
      <w:bookmarkEnd w:id="81"/>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博时裕坤纯债债券型证券投资基金于2015年11月27日公开募集，募集结束后基金管理人向中国证监会办理备案手续。经中国证监会书面确认，《博时裕坤纯债债券型证券投资基金基金合同》于2015年11月30日生效。 </w:t>
      </w:r>
    </w:p>
    <w:p>
      <w:pPr>
        <w:pStyle w:val="7"/>
        <w:spacing w:before="0" w:beforeAutospacing="0" w:after="0" w:afterAutospacing="0" w:line="360" w:lineRule="auto"/>
        <w:ind w:firstLine="420"/>
        <w:rPr>
          <w:sz w:val="21"/>
          <w:szCs w:val="21"/>
        </w:rPr>
      </w:pPr>
      <w:r>
        <w:rPr>
          <w:rFonts w:hint="eastAsia"/>
          <w:sz w:val="21"/>
          <w:szCs w:val="21"/>
        </w:rPr>
        <w:t xml:space="preserve">博时裕坤纯债债券型证券投资基金经中国证监会证监许可[2017]2119号文准予变更注册。 </w:t>
      </w:r>
    </w:p>
    <w:p>
      <w:pPr>
        <w:pStyle w:val="7"/>
        <w:spacing w:before="0" w:beforeAutospacing="0" w:after="0" w:afterAutospacing="0" w:line="360" w:lineRule="auto"/>
        <w:ind w:firstLine="420"/>
        <w:rPr>
          <w:sz w:val="21"/>
          <w:szCs w:val="21"/>
        </w:rPr>
      </w:pPr>
      <w:r>
        <w:rPr>
          <w:rFonts w:hint="eastAsia"/>
          <w:sz w:val="21"/>
          <w:szCs w:val="21"/>
        </w:rPr>
        <w:t>2017年12月4日至2018年1月4日，博时裕坤纯债债券型证券投资基金基金份额持有人大会以通讯方式召开，大会审议并通过了《博时裕坤纯债债券型证券投资基金转型有关事项的议案》，内容包括博时裕坤纯债债券型证券投资基金变更名称、运作方式和修订基金合同等事项。持有人大会决议自表决通过之日起生效。自2018年2月8日起，《博时裕坤纯债债券型证券投资基金基金合同》失效且《</w:t>
      </w:r>
      <w:bookmarkStart w:id="82" w:name="field_0_productfullname_16"/>
      <w:r>
        <w:rPr>
          <w:rFonts w:hint="eastAsia"/>
          <w:sz w:val="21"/>
          <w:szCs w:val="21"/>
        </w:rPr>
        <w:t>博时裕坤纯债</w:t>
      </w:r>
      <w:r>
        <w:rPr>
          <w:sz w:val="21"/>
          <w:szCs w:val="21"/>
        </w:rPr>
        <w:t>3个月定期开放债券型发起式证券投资基金</w:t>
      </w:r>
      <w:bookmarkEnd w:id="82"/>
      <w:r>
        <w:rPr>
          <w:rFonts w:hint="eastAsia"/>
          <w:sz w:val="21"/>
          <w:szCs w:val="21"/>
        </w:rPr>
        <w:t>基金合同》同时生效，博时裕坤纯债债券型证券投资基金正式变更为</w:t>
      </w:r>
      <w:bookmarkStart w:id="83" w:name="field_0_productfullname_17"/>
      <w:r>
        <w:rPr>
          <w:rFonts w:hint="eastAsia"/>
          <w:sz w:val="21"/>
          <w:szCs w:val="21"/>
        </w:rPr>
        <w:t>博时裕坤纯债</w:t>
      </w:r>
      <w:r>
        <w:rPr>
          <w:sz w:val="21"/>
          <w:szCs w:val="21"/>
        </w:rPr>
        <w:t>3个月定期开放债券型发起式证券投资基金</w:t>
      </w:r>
      <w:bookmarkEnd w:id="8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4" w:name="_Toc207986282"/>
      <w:bookmarkStart w:id="85" w:name="chapter_level1_10_58"/>
      <w:r>
        <w:rPr>
          <w:rFonts w:hint="eastAsia" w:ascii="宋体" w:hAnsi="宋体" w:eastAsia="宋体"/>
          <w:sz w:val="30"/>
        </w:rPr>
        <w:t>第七部分  基金合同的存续</w:t>
      </w:r>
      <w:bookmarkEnd w:id="84"/>
      <w:bookmarkEnd w:id="85"/>
    </w:p>
    <w:p>
      <w:pPr>
        <w:pStyle w:val="7"/>
        <w:spacing w:before="0" w:beforeAutospacing="0" w:after="0" w:afterAutospacing="0" w:line="360" w:lineRule="auto"/>
        <w:ind w:firstLine="420"/>
        <w:rPr>
          <w:sz w:val="21"/>
          <w:szCs w:val="21"/>
        </w:rPr>
      </w:pPr>
      <w:bookmarkStart w:id="86" w:name="chapter_level1_10_58_section_1"/>
      <w:bookmarkEnd w:id="86"/>
      <w:r>
        <w:rPr>
          <w:rFonts w:hint="eastAsia"/>
          <w:sz w:val="21"/>
          <w:szCs w:val="21"/>
        </w:rPr>
        <w:t>本基金为发起式基金，本基金的基金合同生效之日起或发起资金申购本基金确认日之日起（以较晚者为准）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w:t>
      </w:r>
      <w:bookmarkStart w:id="87" w:name="chapter_level1_10_58_section_1_end"/>
      <w:bookmarkEnd w:id="87"/>
      <w:r>
        <w:rPr>
          <w:rFonts w:hint="eastAsia"/>
          <w:sz w:val="21"/>
          <w:szCs w:val="21"/>
        </w:rPr>
        <w:t xml:space="preserve">定被取消、更改或补充时，则本基金可以参照届时有效的法律法规或中国证监会规定执行。  </w:t>
      </w:r>
    </w:p>
    <w:p>
      <w:pPr>
        <w:pStyle w:val="7"/>
        <w:spacing w:before="0" w:beforeAutospacing="0" w:after="0" w:afterAutospacing="0" w:line="360" w:lineRule="auto"/>
        <w:ind w:firstLine="420"/>
        <w:rPr>
          <w:sz w:val="21"/>
          <w:szCs w:val="21"/>
        </w:rPr>
      </w:pPr>
      <w:bookmarkStart w:id="88" w:name="chapter_level1_10_58_section_2"/>
      <w:bookmarkEnd w:id="88"/>
      <w:r>
        <w:rPr>
          <w:rFonts w:hint="eastAsia"/>
          <w:sz w:val="21"/>
          <w:szCs w:val="21"/>
        </w:rPr>
        <w:t xml:space="preserve">本基金在基金合同生效之日起或发起资金申购本基金确认日之日起（以较晚者为准）三年后继续存续的，基金存续期内，连续20个工作日出现基金份额持有人数量不满200人或者基金资产净值低于5000万元情形的，基金管理人应当在定期报告中予以披露；连续60个工作日出现前述情形的，基金管理人应当10个工作日内向中国证监会报告并提出解决方案，如持续运作、转换运作方式、与其他基金合并或者终止基金合同等，并6个月内召集基金份额持有人大会。 </w:t>
      </w:r>
    </w:p>
    <w:p>
      <w:pPr>
        <w:rPr>
          <w:rFonts w:ascii="宋体" w:hAnsi="宋体" w:eastAsia="宋体"/>
          <w:sz w:val="24"/>
          <w:szCs w:val="24"/>
        </w:rPr>
      </w:pPr>
      <w:bookmarkStart w:id="89" w:name="chapter_level1_10_58_section_2_end"/>
      <w:bookmarkEnd w:id="89"/>
      <w:r>
        <w:rPr>
          <w:rFonts w:ascii="宋体" w:hAnsi="宋体" w:eastAsia="宋体"/>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0" w:name="_Toc207986283"/>
      <w:bookmarkStart w:id="91" w:name="chapter_level1_11_59"/>
      <w:r>
        <w:rPr>
          <w:rFonts w:hint="eastAsia" w:ascii="宋体" w:hAnsi="宋体" w:eastAsia="宋体"/>
          <w:sz w:val="30"/>
        </w:rPr>
        <w:t>第八部分  基金份额的申购与赎回</w:t>
      </w:r>
      <w:bookmarkEnd w:id="90"/>
      <w:bookmarkEnd w:id="91"/>
    </w:p>
    <w:p>
      <w:pPr>
        <w:pStyle w:val="7"/>
        <w:spacing w:before="0" w:beforeAutospacing="0" w:after="0" w:afterAutospacing="0" w:line="360" w:lineRule="auto"/>
        <w:ind w:firstLine="420"/>
        <w:rPr>
          <w:sz w:val="21"/>
          <w:szCs w:val="21"/>
        </w:rPr>
      </w:pPr>
      <w:bookmarkStart w:id="92" w:name="chapter_level1_11_59_section_1"/>
      <w:bookmarkEnd w:id="92"/>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其他相关公告中列明。基金管理人可根据情况变更或增减销售机构，并在基金管理人网站公示。基金投资者应当在销售机构办理基金销售业务的营业场所或按销售机构提供的其他</w:t>
      </w:r>
      <w:bookmarkStart w:id="93" w:name="chapter_level1_11_59_section_1_end"/>
      <w:bookmarkEnd w:id="93"/>
      <w:r>
        <w:rPr>
          <w:rFonts w:hint="eastAsia"/>
          <w:sz w:val="21"/>
          <w:szCs w:val="21"/>
        </w:rPr>
        <w:t xml:space="preserve">方式办理基金份额的申购与赎回。 </w:t>
      </w:r>
    </w:p>
    <w:p>
      <w:pPr>
        <w:pStyle w:val="7"/>
        <w:spacing w:before="0" w:beforeAutospacing="0" w:after="0" w:afterAutospacing="0" w:line="360" w:lineRule="auto"/>
        <w:ind w:firstLine="420"/>
        <w:rPr>
          <w:sz w:val="21"/>
          <w:szCs w:val="21"/>
        </w:rPr>
      </w:pPr>
      <w:bookmarkStart w:id="94" w:name="chapter_level1_11_59_section_2"/>
      <w:bookmarkEnd w:id="94"/>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本基金在开放期间，投资人在开放日办理基金份额的申购和赎回，具体办理时间为上海证券交易所、深圳证券交易所的正常交易日的交易时间，但基金管理人根据法律法规、中国证监会的要求或本基金合同的规定公告暂停申购、赎回时除外。在封闭期内，本基金不办理申购、赎回业务，也不上市交易。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开放期及业务办理时间除法律法规或基金合同另有约定外，本基金基金合同生效日起（包括该日）或每个封闭期结束之后第一个工作日起（含该日）进入开放期，开放期的期限为1至20个工作日，具体期间由基金管理人提前公告说明，但在开放期内，基金管理人有权延长开放期时间并公告，但开放期最长不可超过20个工作日。 </w:t>
      </w:r>
    </w:p>
    <w:p>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基金管理人临时调整申购或赎回业务的办理期间，应书面通知基金托管人。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在开放期内，投资人在基金合同约定之外的日期和时间提出申购、赎回、转换申请且登记机构确认接受的，其基金份额申购、赎回价格为下一开放日基金份额申购、赎回的价格；但若投资人在开放期最后一日业务办理时间结束之后提出申购、赎回或者转换申请的，视为</w:t>
      </w:r>
      <w:bookmarkStart w:id="95" w:name="chapter_level1_11_59_section_2_end"/>
      <w:bookmarkEnd w:id="95"/>
      <w:r>
        <w:rPr>
          <w:rFonts w:hint="eastAsia"/>
          <w:sz w:val="21"/>
          <w:szCs w:val="21"/>
        </w:rPr>
        <w:t xml:space="preserve">无效申请。 </w:t>
      </w:r>
    </w:p>
    <w:p>
      <w:pPr>
        <w:pStyle w:val="7"/>
        <w:spacing w:before="0" w:beforeAutospacing="0" w:after="0" w:afterAutospacing="0" w:line="360" w:lineRule="auto"/>
        <w:ind w:firstLine="420"/>
        <w:rPr>
          <w:sz w:val="21"/>
          <w:szCs w:val="21"/>
        </w:rPr>
      </w:pPr>
      <w:bookmarkStart w:id="96" w:name="chapter_level1_11_59_section_3"/>
      <w:bookmarkEnd w:id="96"/>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1、首次申购基金份额的最低金额为</w:t>
      </w:r>
      <w:bookmarkStart w:id="97" w:name="field_59_dealerfirstpurminamount_1"/>
      <w:r>
        <w:rPr>
          <w:sz w:val="21"/>
          <w:szCs w:val="21"/>
        </w:rPr>
        <w:t>1</w:t>
      </w:r>
      <w:bookmarkEnd w:id="97"/>
      <w:r>
        <w:rPr>
          <w:rFonts w:hint="eastAsia"/>
          <w:sz w:val="21"/>
          <w:szCs w:val="21"/>
          <w:lang w:val="en-US" w:eastAsia="zh-CN"/>
        </w:rPr>
        <w:t>.00</w:t>
      </w:r>
      <w:r>
        <w:rPr>
          <w:rFonts w:hint="eastAsia"/>
          <w:sz w:val="21"/>
          <w:szCs w:val="21"/>
        </w:rPr>
        <w:t>元（含申购费），追加申购最低金额为</w:t>
      </w:r>
      <w:bookmarkStart w:id="98" w:name="field_59_dealerlaterpurminamount_1"/>
      <w:r>
        <w:rPr>
          <w:sz w:val="21"/>
          <w:szCs w:val="21"/>
        </w:rPr>
        <w:t>1</w:t>
      </w:r>
      <w:bookmarkEnd w:id="98"/>
      <w:r>
        <w:rPr>
          <w:rFonts w:hint="eastAsia"/>
          <w:sz w:val="21"/>
          <w:szCs w:val="21"/>
          <w:lang w:val="en-US" w:eastAsia="zh-CN"/>
        </w:rPr>
        <w:t>.00</w:t>
      </w:r>
      <w:r>
        <w:rPr>
          <w:rFonts w:hint="eastAsia"/>
          <w:sz w:val="21"/>
          <w:szCs w:val="21"/>
        </w:rPr>
        <w:t xml:space="preserve">元（含申购费）；详情请见当地销售机构公告。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9" w:name="field_59_minholdshare_1"/>
      <w:r>
        <w:rPr>
          <w:sz w:val="21"/>
          <w:szCs w:val="21"/>
        </w:rPr>
        <w:t>1</w:t>
      </w:r>
      <w:bookmarkEnd w:id="99"/>
      <w:r>
        <w:rPr>
          <w:rFonts w:hint="eastAsia"/>
          <w:sz w:val="21"/>
          <w:szCs w:val="21"/>
        </w:rPr>
        <w:t>份，若某笔赎回导致单个交易账户的基金份额余额少于</w:t>
      </w:r>
      <w:bookmarkStart w:id="100" w:name="field_59_minholdshare_2"/>
      <w:r>
        <w:rPr>
          <w:sz w:val="21"/>
          <w:szCs w:val="21"/>
        </w:rPr>
        <w:t>1</w:t>
      </w:r>
      <w:bookmarkEnd w:id="100"/>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101" w:name="field_59_minholdshare_3"/>
      <w:r>
        <w:rPr>
          <w:sz w:val="21"/>
          <w:szCs w:val="21"/>
        </w:rPr>
        <w:t>1</w:t>
      </w:r>
      <w:bookmarkEnd w:id="101"/>
      <w:r>
        <w:rPr>
          <w:rFonts w:hint="eastAsia"/>
          <w:sz w:val="21"/>
          <w:szCs w:val="21"/>
        </w:rPr>
        <w:t>份，若投资者单个交易账户持有的基金份额余额不足</w:t>
      </w:r>
      <w:bookmarkStart w:id="102" w:name="field_59_minholdshare_4"/>
      <w:r>
        <w:rPr>
          <w:sz w:val="21"/>
          <w:szCs w:val="21"/>
        </w:rPr>
        <w:t>1</w:t>
      </w:r>
      <w:bookmarkEnd w:id="102"/>
      <w:r>
        <w:rPr>
          <w:rFonts w:hint="eastAsia"/>
          <w:sz w:val="21"/>
          <w:szCs w:val="21"/>
        </w:rPr>
        <w:t xml:space="preserve">份，将不受此限制，但投资者在提交赎回申请时须全部赎回； </w:t>
      </w:r>
    </w:p>
    <w:p>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但须符合法律法规、监管机构的规定和基金合同的约定；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基金管理人可以在法律法规和基金合同允许的范围内，对上述业务办理时间进行调整，并在调整实施前依照《信息披露办法》的有关规定在指定媒介上公告，并书面通知基金托管人。 </w:t>
      </w:r>
    </w:p>
    <w:p>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pPr>
        <w:pStyle w:val="7"/>
        <w:spacing w:before="0" w:beforeAutospacing="0" w:after="0" w:afterAutospacing="0" w:line="360" w:lineRule="auto"/>
        <w:ind w:firstLine="420"/>
        <w:rPr>
          <w:sz w:val="21"/>
          <w:szCs w:val="21"/>
        </w:rPr>
      </w:pPr>
      <w:r>
        <w:rPr>
          <w:rFonts w:hint="eastAsia"/>
          <w:sz w:val="21"/>
          <w:szCs w:val="21"/>
        </w:rPr>
        <w:t xml:space="preserve">表1：本基金份额的申购费率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3"/>
        <w:gridCol w:w="2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金额（M） </w:t>
            </w:r>
          </w:p>
        </w:tc>
        <w:tc>
          <w:tcPr>
            <w:tcW w:w="0" w:type="auto"/>
            <w:shd w:val="clear" w:color="auto" w:fill="auto"/>
          </w:tcPr>
          <w:p>
            <w:pPr>
              <w:pStyle w:val="7"/>
            </w:pPr>
            <w:r>
              <w:rPr>
                <w:rFonts w:hint="eastAsia"/>
              </w:rPr>
              <w:t xml:space="preserve">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M＜100万 </w:t>
            </w:r>
          </w:p>
        </w:tc>
        <w:tc>
          <w:tcPr>
            <w:tcW w:w="0" w:type="auto"/>
            <w:shd w:val="clear" w:color="auto" w:fill="auto"/>
          </w:tcPr>
          <w:p>
            <w:pPr>
              <w:pStyle w:val="7"/>
            </w:pPr>
            <w:r>
              <w:rPr>
                <w:rFonts w:hint="eastAsia"/>
              </w:rPr>
              <w:t xml:space="preserve">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100万≤M＜300万 </w:t>
            </w:r>
          </w:p>
        </w:tc>
        <w:tc>
          <w:tcPr>
            <w:tcW w:w="0" w:type="auto"/>
            <w:shd w:val="clear" w:color="auto" w:fill="auto"/>
          </w:tcPr>
          <w:p>
            <w:pPr>
              <w:pStyle w:val="7"/>
            </w:pPr>
            <w:r>
              <w:rPr>
                <w:rFonts w:hint="eastAsia"/>
              </w:rPr>
              <w:t xml:space="preserve">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300万≤M＜500万 </w:t>
            </w:r>
          </w:p>
        </w:tc>
        <w:tc>
          <w:tcPr>
            <w:tcW w:w="0" w:type="auto"/>
            <w:shd w:val="clear" w:color="auto" w:fill="auto"/>
          </w:tcPr>
          <w:p>
            <w:pPr>
              <w:pStyle w:val="7"/>
            </w:pPr>
            <w:r>
              <w:rPr>
                <w:rFonts w:hint="eastAsia"/>
              </w:rPr>
              <w:t xml:space="preserve">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M≥500万 </w:t>
            </w:r>
          </w:p>
        </w:tc>
        <w:tc>
          <w:tcPr>
            <w:tcW w:w="0" w:type="auto"/>
            <w:shd w:val="clear" w:color="auto" w:fill="auto"/>
          </w:tcPr>
          <w:p>
            <w:pPr>
              <w:pStyle w:val="7"/>
            </w:pPr>
            <w:r>
              <w:rPr>
                <w:rFonts w:hint="eastAsia"/>
              </w:rPr>
              <w:t xml:space="preserve">每笔1000元 </w:t>
            </w: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rPr>
          <w:sz w:val="21"/>
          <w:szCs w:val="21"/>
        </w:rPr>
      </w:pPr>
      <w:r>
        <w:rPr>
          <w:rFonts w:hint="eastAsia"/>
          <w:sz w:val="21"/>
          <w:szCs w:val="21"/>
        </w:rPr>
        <w:t xml:space="preserve">表2：本基金的赎回费率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5"/>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持有时间 </w:t>
            </w:r>
          </w:p>
        </w:tc>
        <w:tc>
          <w:tcPr>
            <w:tcW w:w="0" w:type="auto"/>
            <w:shd w:val="clear" w:color="auto" w:fill="auto"/>
          </w:tcPr>
          <w:p>
            <w:pPr>
              <w:pStyle w:val="7"/>
            </w:pPr>
            <w:r>
              <w:rPr>
                <w:rFonts w:hint="eastAsia"/>
              </w:rPr>
              <w:t xml:space="preserve">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在同一开放期内申购后又赎回且持续持有期限少于7日的 </w:t>
            </w:r>
          </w:p>
        </w:tc>
        <w:tc>
          <w:tcPr>
            <w:tcW w:w="0" w:type="auto"/>
            <w:shd w:val="clear" w:color="auto" w:fill="auto"/>
          </w:tcPr>
          <w:p>
            <w:pPr>
              <w:pStyle w:val="7"/>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在同一开放期内申购后又赎回且持续持有期限大于等于7日的 </w:t>
            </w:r>
          </w:p>
        </w:tc>
        <w:tc>
          <w:tcPr>
            <w:tcW w:w="0" w:type="auto"/>
            <w:shd w:val="clear" w:color="auto" w:fill="auto"/>
          </w:tcPr>
          <w:p>
            <w:pPr>
              <w:pStyle w:val="7"/>
            </w:pPr>
            <w:r>
              <w:rPr>
                <w:rFonts w:hint="eastAsia"/>
              </w:rPr>
              <w:t xml:space="preserve">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在非同一开放期申购后赎回 </w:t>
            </w:r>
          </w:p>
        </w:tc>
        <w:tc>
          <w:tcPr>
            <w:tcW w:w="0" w:type="auto"/>
            <w:shd w:val="clear" w:color="auto" w:fill="auto"/>
          </w:tcPr>
          <w:p>
            <w:pPr>
              <w:pStyle w:val="7"/>
            </w:pPr>
            <w:r>
              <w:rPr>
                <w:rFonts w:hint="eastAsia"/>
              </w:rPr>
              <w:t xml:space="preserve">0% </w:t>
            </w:r>
          </w:p>
        </w:tc>
      </w:tr>
    </w:tbl>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向在同一开放期内申购后又赎回且持续持有期限少于7日的投资者收取的赎回费全额计入基金财产，向在同一开放期内申购后又赎回且持续持有期限大于等于7日的投资者收取的赎回费总额的25%计入基金财产。 </w:t>
      </w:r>
    </w:p>
    <w:p>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例1：假定T日基金份额净值为1.0560元，某投资人本次申购本基金40万元，对应的本次申购费率为0.80%，该投资人可得到的基金份额为：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即：投资人投资40万元申购本基金，假定申购当日基金份额净值为1.0560元，可得到375,781.63份基金份额。 </w:t>
      </w:r>
    </w:p>
    <w:p>
      <w:pPr>
        <w:pStyle w:val="7"/>
        <w:spacing w:before="0" w:beforeAutospacing="0" w:after="0" w:afterAutospacing="0" w:line="360" w:lineRule="auto"/>
        <w:ind w:firstLine="420"/>
        <w:rPr>
          <w:sz w:val="21"/>
          <w:szCs w:val="21"/>
        </w:rPr>
      </w:pPr>
      <w:r>
        <w:rPr>
          <w:rFonts w:hint="eastAsia"/>
          <w:sz w:val="21"/>
          <w:szCs w:val="21"/>
        </w:rPr>
        <w:t xml:space="preserve">例2：假定T日基金份额净值为1.0560元，某投资人投资600万元申购本基金，其对应的申购费用为1000元，则其可得到的申购份额为：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例3：某投资者赎回本基金1万份基金份额，持有时间长于3个月，对应的赎回费率为0%，假设赎回当日基金份额净值是1.2500 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即：投资者赎回本基金1万份基金份额，持有时间长于3个月，假设赎回当日基金份额净值是1.2500元，则其可得到的赎回金额为12,500.00元。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基金合同生效后，在封闭期内，基金管理人应当至少每周公告一次基金资产净值和基金份额净值。在开放期内，T日的基金份额净值和基金份额累计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和基金赎回费率，并进行公告。 </w:t>
      </w:r>
    </w:p>
    <w:p>
      <w:pPr>
        <w:pStyle w:val="7"/>
        <w:spacing w:before="0" w:beforeAutospacing="0" w:after="0" w:afterAutospacing="0" w:line="360" w:lineRule="auto"/>
        <w:ind w:firstLine="420"/>
        <w:rPr>
          <w:sz w:val="21"/>
          <w:szCs w:val="21"/>
        </w:rPr>
      </w:pPr>
      <w:r>
        <w:rPr>
          <w:rFonts w:hint="eastAsia"/>
          <w:sz w:val="21"/>
          <w:szCs w:val="21"/>
        </w:rPr>
        <w:t xml:space="preserve">5、当发生大额申购或赎回情形时，基金管理人可以采用摆动定价机制以确保基金估值的公平性。具体处理原则与操作规范遵循相关法律法规以及监管部门、自律规则的规定。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在开放期间，发生下列情况时，基金管理人可拒绝或暂停接受投资人的申购申请：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6、个人投资者公开申购。 </w:t>
      </w:r>
    </w:p>
    <w:p>
      <w:pPr>
        <w:pStyle w:val="7"/>
        <w:spacing w:before="0" w:beforeAutospacing="0" w:after="0" w:afterAutospacing="0" w:line="360" w:lineRule="auto"/>
        <w:ind w:firstLine="420"/>
        <w:rPr>
          <w:sz w:val="21"/>
          <w:szCs w:val="21"/>
        </w:rPr>
      </w:pPr>
      <w:r>
        <w:rPr>
          <w:rFonts w:hint="eastAsia"/>
          <w:sz w:val="21"/>
          <w:szCs w:val="21"/>
        </w:rPr>
        <w:t xml:space="preserve">7、基金管理人、基金托管人、基金销售机构或登记机构的异常情况导致基金销售系统、基金登记系统或基金会计系统无法正常运行。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8、法律法规规定或中国证监会认定的其他情形。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7、8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且开放期按暂停申购的期间相应延长，具体时间以基金管理人届时公告为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pPr>
        <w:pStyle w:val="7"/>
        <w:spacing w:before="0" w:beforeAutospacing="0" w:after="0" w:afterAutospacing="0" w:line="360" w:lineRule="auto"/>
        <w:ind w:firstLine="420"/>
        <w:rPr>
          <w:sz w:val="21"/>
          <w:szCs w:val="21"/>
        </w:rPr>
      </w:pPr>
      <w:r>
        <w:rPr>
          <w:rFonts w:hint="eastAsia"/>
          <w:sz w:val="21"/>
          <w:szCs w:val="21"/>
        </w:rPr>
        <w:t xml:space="preserve">在开放期间，发生下列情形时，基金管理人可暂停接受投资人的赎回申请或延缓支付赎回款项：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5、法律法规规定或中国证监会认定的其他情形。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基金份额持有人在申请赎回时可事先选择将当日可能未获受理部分予以撤销。在暂停赎回的情况消除时，基金管理人应及时恢复赎回业务的办理并公告，且开放期按暂停赎回的期间相应延长，具体时间以基金管理人届时公告为准。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若本基金开放期内单个开放日的基金份额净赎回申请(赎回申请份额总数加上基金转换中转出申请份额总数后扣除申购申请份额总数及基金转换中转入申请份额总数后的余额)超过前一工作日的基金总份额的</w:t>
      </w:r>
      <w:bookmarkStart w:id="103" w:name="field_49_mintredeemscale_2"/>
      <w:r>
        <w:rPr>
          <w:sz w:val="21"/>
          <w:szCs w:val="21"/>
        </w:rPr>
        <w:t>20</w:t>
      </w:r>
      <w:bookmarkEnd w:id="103"/>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（2）延缓支付赎回款项：发生巨额赎回且不存在单一持有人赎回申请超过上一工作日基金总份额</w:t>
      </w:r>
      <w:bookmarkStart w:id="104" w:name="field_49_mintredeemscale_3"/>
      <w:r>
        <w:rPr>
          <w:sz w:val="21"/>
          <w:szCs w:val="21"/>
        </w:rPr>
        <w:t>20</w:t>
      </w:r>
      <w:bookmarkEnd w:id="104"/>
      <w:r>
        <w:rPr>
          <w:rFonts w:hint="eastAsia"/>
          <w:sz w:val="21"/>
          <w:szCs w:val="21"/>
        </w:rPr>
        <w:t>%的情况下，基金管理人认为有能力支付时可以全额赎回，亦可在对符合法律法规及基金合同的赎回申请全部接受和确认并当日按比例办理支付的赎回份额不得低于前一工作日基金总份额的</w:t>
      </w:r>
      <w:bookmarkStart w:id="105" w:name="field_49_mintredeemscale_4"/>
      <w:r>
        <w:rPr>
          <w:sz w:val="21"/>
          <w:szCs w:val="21"/>
        </w:rPr>
        <w:t>20</w:t>
      </w:r>
      <w:bookmarkEnd w:id="105"/>
      <w:r>
        <w:rPr>
          <w:rFonts w:hint="eastAsia"/>
          <w:sz w:val="21"/>
          <w:szCs w:val="21"/>
        </w:rPr>
        <w:t xml:space="preserve">%的基础上，其余赎回申请采取延缓支付赎回款项的措施。即对于已接受的赎回申请，当基金管理人认为支付投资人的赎回款项有困难或认为因支付投资人的赎回款项而进行的财产变现可能会对基金资产净值造成较大波动时，可以对部分赎回申请延缓支付赎回款项，但延缓支付的期限最长不超过20个工作日。延缓支付的赎回申请以赎回申请当日的基金份额净值为基础计算赎回金额。 </w:t>
      </w:r>
    </w:p>
    <w:p>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20%的情况下，基金管理人可以延期办理赎回申请，且可以将单个基金份额持有人当日赎回申请超过上一工作日基金总份额</w:t>
      </w:r>
      <w:bookmarkStart w:id="106" w:name="field_49_mintredeemscale_5"/>
      <w:r>
        <w:rPr>
          <w:sz w:val="21"/>
          <w:szCs w:val="21"/>
        </w:rPr>
        <w:t>20</w:t>
      </w:r>
      <w:bookmarkEnd w:id="106"/>
      <w:r>
        <w:rPr>
          <w:rFonts w:hint="eastAsia"/>
          <w:sz w:val="21"/>
          <w:szCs w:val="21"/>
        </w:rPr>
        <w:t xml:space="preserve">%的部分办理自动延期。对于此类持有人剩余部分赎回申请以及其他持有人的赎回申请，可以全额赎回或延缓支付赎回款项。对于此类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开放期可以相应延长并公告，但开放期最长不可超过20个工作日，延长的开放期内不办理申购亦不接受新的赎回申请。延期的赎回申请与下一开放日赎回申请一并处理，无优先权并以下一开放日某一类别的基金份额净值为基础计算赎回金额，以此类推。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2、如发生暂停的时间为1日，基金管理人应于重新开放日，在指定媒介上刊登基金重新开放申购或赎回公告，并公布最近1个开放日的基金份额净值。 </w:t>
      </w:r>
    </w:p>
    <w:p>
      <w:pPr>
        <w:pStyle w:val="7"/>
        <w:spacing w:before="0" w:beforeAutospacing="0" w:after="0" w:afterAutospacing="0" w:line="360" w:lineRule="auto"/>
        <w:ind w:firstLine="420"/>
        <w:rPr>
          <w:sz w:val="21"/>
          <w:szCs w:val="21"/>
        </w:rPr>
      </w:pPr>
      <w:r>
        <w:rPr>
          <w:rFonts w:hint="eastAsia"/>
          <w:sz w:val="21"/>
          <w:szCs w:val="21"/>
        </w:rPr>
        <w:t xml:space="preserve">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4、以上暂停及恢复基金申购与赎回的公告规定，不适用于基金合同约定的封闭期与开</w:t>
      </w:r>
      <w:bookmarkStart w:id="107" w:name="chapter_level1_11_59_section_3_end"/>
      <w:bookmarkEnd w:id="107"/>
      <w:r>
        <w:rPr>
          <w:rFonts w:hint="eastAsia"/>
          <w:sz w:val="21"/>
          <w:szCs w:val="21"/>
        </w:rPr>
        <w:t xml:space="preserve">放期运作方式转换引起的暂停或恢复申购与赎回的情形。 </w:t>
      </w:r>
    </w:p>
    <w:p>
      <w:pPr>
        <w:pStyle w:val="7"/>
        <w:spacing w:before="0" w:beforeAutospacing="0" w:after="0" w:afterAutospacing="0" w:line="360" w:lineRule="auto"/>
        <w:ind w:firstLine="420"/>
        <w:rPr>
          <w:sz w:val="21"/>
          <w:szCs w:val="21"/>
        </w:rPr>
      </w:pPr>
      <w:bookmarkStart w:id="108" w:name="chapter_level1_11_59_section_4"/>
      <w:bookmarkEnd w:id="108"/>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9" w:name="chapter_level1_11_59_section_4_end"/>
      <w:bookmarkEnd w:id="109"/>
      <w:r>
        <w:rPr>
          <w:rFonts w:hint="eastAsia"/>
          <w:sz w:val="21"/>
          <w:szCs w:val="21"/>
        </w:rPr>
        <w:t xml:space="preserve">届时根据相关法律法规及基金合同的规定制定并公告，并提前告知基金托管人与相关机构。 </w:t>
      </w:r>
    </w:p>
    <w:p>
      <w:pPr>
        <w:pStyle w:val="7"/>
        <w:spacing w:before="0" w:beforeAutospacing="0" w:after="0" w:afterAutospacing="0" w:line="360" w:lineRule="auto"/>
        <w:ind w:firstLine="420"/>
        <w:rPr>
          <w:sz w:val="21"/>
          <w:szCs w:val="21"/>
        </w:rPr>
      </w:pPr>
      <w:bookmarkStart w:id="110" w:name="chapter_level1_11_59_section_5"/>
      <w:bookmarkEnd w:id="110"/>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1" w:name="chapter_level1_11_59_section_5_end"/>
      <w:bookmarkEnd w:id="111"/>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12" w:name="chapter_level1_11_59_section_6"/>
      <w:bookmarkEnd w:id="112"/>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基金管理人可以为投资人办理定期定额投资计划，具体规则由基金管理人另行规定。投资人在办理定期定额投资计划时可自行约定每期申购金额，每期申购金额必须不低于基金管</w:t>
      </w:r>
      <w:bookmarkStart w:id="113" w:name="chapter_level1_11_59_section_6_end"/>
      <w:bookmarkEnd w:id="113"/>
      <w:r>
        <w:rPr>
          <w:rFonts w:hint="eastAsia"/>
          <w:sz w:val="21"/>
          <w:szCs w:val="21"/>
        </w:rPr>
        <w:t xml:space="preserve">理人在相关公告或更新的招募说明书中所规定的定期定额投资计划最低申购金额。 </w:t>
      </w:r>
    </w:p>
    <w:p>
      <w:pPr>
        <w:pStyle w:val="7"/>
        <w:spacing w:before="0" w:beforeAutospacing="0" w:after="0" w:afterAutospacing="0" w:line="360" w:lineRule="auto"/>
        <w:ind w:firstLine="420"/>
        <w:rPr>
          <w:sz w:val="21"/>
          <w:szCs w:val="21"/>
        </w:rPr>
      </w:pPr>
      <w:bookmarkStart w:id="114" w:name="chapter_level1_11_59_section_7"/>
      <w:bookmarkEnd w:id="114"/>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Fonts w:hint="eastAsia"/>
          <w:b/>
          <w:bCs/>
          <w:sz w:val="21"/>
          <w:szCs w:val="21"/>
        </w:rPr>
        <w:t>十九、实施侧袋机制期间本基金的申购与赎回</w:t>
      </w:r>
    </w:p>
    <w:p>
      <w:pPr>
        <w:pStyle w:val="7"/>
        <w:spacing w:before="0" w:beforeAutospacing="0" w:after="0" w:afterAutospacing="0" w:line="360" w:lineRule="auto"/>
        <w:ind w:firstLine="420"/>
        <w:rPr>
          <w:rFonts w:hint="eastAsia"/>
          <w:sz w:val="21"/>
          <w:szCs w:val="21"/>
        </w:rPr>
      </w:pPr>
      <w:r>
        <w:rPr>
          <w:rFonts w:hint="eastAsia"/>
          <w:sz w:val="21"/>
          <w:szCs w:val="21"/>
        </w:rPr>
        <w:t>本基金实施侧袋机制的，本基金的申购和赎回安排详见本招募说明书“侧袋机制”章节或届时</w:t>
      </w:r>
      <w:bookmarkStart w:id="115" w:name="chapter_level1_11_59_section_7_end"/>
      <w:bookmarkEnd w:id="115"/>
      <w:r>
        <w:rPr>
          <w:rFonts w:hint="eastAsia"/>
          <w:sz w:val="21"/>
          <w:szCs w:val="21"/>
        </w:rPr>
        <w:t xml:space="preserve">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6" w:name="chapter_level1_12_60"/>
      <w:bookmarkStart w:id="117" w:name="_Toc207986284"/>
      <w:r>
        <w:rPr>
          <w:rFonts w:hint="eastAsia" w:ascii="宋体" w:hAnsi="宋体" w:eastAsia="宋体"/>
          <w:sz w:val="30"/>
        </w:rPr>
        <w:t>第九部分  基金的投资</w:t>
      </w:r>
      <w:bookmarkEnd w:id="116"/>
      <w:bookmarkEnd w:id="117"/>
    </w:p>
    <w:p>
      <w:pPr>
        <w:pStyle w:val="7"/>
        <w:spacing w:before="0" w:beforeAutospacing="0" w:after="0" w:afterAutospacing="0" w:line="360" w:lineRule="auto"/>
        <w:ind w:firstLine="420"/>
        <w:rPr>
          <w:sz w:val="21"/>
          <w:szCs w:val="21"/>
        </w:rPr>
      </w:pPr>
      <w:bookmarkStart w:id="118" w:name="chapter_level1_12_60_section_1"/>
      <w:bookmarkEnd w:id="118"/>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9" w:name="field_60_investmenttarget_1_start"/>
      <w:bookmarkEnd w:id="119"/>
      <w:r>
        <w:rPr>
          <w:rFonts w:hint="eastAsia"/>
          <w:sz w:val="21"/>
          <w:szCs w:val="21"/>
        </w:rPr>
        <w:t xml:space="preserve">在严格控制投资组合风险的前提下，力争长期内实现超越业绩比较基准的投资回报。 </w:t>
      </w:r>
      <w:bookmarkStart w:id="120" w:name="field_60_investmenttarget_1_end"/>
      <w:bookmarkEnd w:id="120"/>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21" w:name="field_60_investmentrange_1_start"/>
      <w:bookmarkEnd w:id="121"/>
      <w:r>
        <w:rPr>
          <w:rFonts w:hint="eastAsia"/>
          <w:sz w:val="21"/>
          <w:szCs w:val="21"/>
        </w:rPr>
        <w:t xml:space="preserve">本基金的投资范围主要为具有良好流动性的金融工具，包括国债、金融债、企业债、公司债、央行票据、中期票据、短期融资券、中小企业私募债、资产支持证券、次级债、可分离交易可转债的纯债部分、债券回购、银行存款、同业存单、国债期货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保证金以后，现金或者到期日在一年以内的政府债券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bookmarkStart w:id="122" w:name="field_60_investmentrange_1_end"/>
      <w:bookmarkEnd w:id="122"/>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23" w:name="field_60_investmentstrategy_1_start"/>
      <w:bookmarkEnd w:id="123"/>
      <w:r>
        <w:rPr>
          <w:rFonts w:hint="eastAsia"/>
          <w:sz w:val="21"/>
          <w:szCs w:val="21"/>
        </w:rPr>
        <w:t xml:space="preserve">（一）封闭期投资策略 </w:t>
      </w:r>
    </w:p>
    <w:p>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pPr>
        <w:pStyle w:val="7"/>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灵活应用各种期限结构策略、信用策略、互换策略、息差策略，在合理管理并控制组合风险的前提下，最大化组合收益。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3、互换策略。不同券种在利息、违约风险、久期、流动性、税收和衍生条款等方面存在差别，投资管理人可以同时买入和卖出具有相近特性的两个或两个以上券种，赚取收益级差。互换策略分为两种： </w:t>
      </w:r>
    </w:p>
    <w:p>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7"/>
        <w:spacing w:before="0" w:beforeAutospacing="0" w:after="0" w:afterAutospacing="0" w:line="360" w:lineRule="auto"/>
        <w:ind w:firstLine="420"/>
        <w:rPr>
          <w:sz w:val="21"/>
          <w:szCs w:val="21"/>
        </w:rPr>
      </w:pPr>
      <w:r>
        <w:rPr>
          <w:rFonts w:hint="eastAsia"/>
          <w:sz w:val="21"/>
          <w:szCs w:val="21"/>
        </w:rPr>
        <w:t xml:space="preserve">6、资产支持证券投资策略。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pPr>
        <w:pStyle w:val="7"/>
        <w:spacing w:before="0" w:beforeAutospacing="0" w:after="0" w:afterAutospacing="0" w:line="360" w:lineRule="auto"/>
        <w:ind w:firstLine="420"/>
        <w:rPr>
          <w:sz w:val="21"/>
          <w:szCs w:val="21"/>
        </w:rPr>
      </w:pPr>
      <w:r>
        <w:rPr>
          <w:rFonts w:hint="eastAsia"/>
          <w:sz w:val="21"/>
          <w:szCs w:val="21"/>
        </w:rPr>
        <w:t xml:space="preserve">7、中小企业私募债券投资策略。 </w:t>
      </w:r>
    </w:p>
    <w:p>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 </w:t>
      </w:r>
    </w:p>
    <w:p>
      <w:pPr>
        <w:pStyle w:val="7"/>
        <w:spacing w:before="0" w:beforeAutospacing="0" w:after="0" w:afterAutospacing="0" w:line="360" w:lineRule="auto"/>
        <w:ind w:firstLine="420"/>
        <w:rPr>
          <w:sz w:val="21"/>
          <w:szCs w:val="21"/>
        </w:rPr>
      </w:pPr>
      <w:r>
        <w:rPr>
          <w:rFonts w:hint="eastAsia"/>
          <w:sz w:val="21"/>
          <w:szCs w:val="21"/>
        </w:rPr>
        <w:t xml:space="preserve">8、国债期货投资策略。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（二）开放期投资策略 </w:t>
      </w:r>
    </w:p>
    <w:p>
      <w:pPr>
        <w:pStyle w:val="7"/>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24" w:name="chapter_level1_12_60_section_1_end"/>
      <w:bookmarkEnd w:id="124"/>
      <w:r>
        <w:rPr>
          <w:rFonts w:hint="eastAsia"/>
          <w:sz w:val="21"/>
          <w:szCs w:val="21"/>
        </w:rPr>
        <w:t xml:space="preserve">投资限制与投资比例的前提下，将主要投资于高流动性的投资品种。 </w:t>
      </w:r>
      <w:bookmarkStart w:id="125" w:name="field_60_investmentstrategy_1_end"/>
      <w:bookmarkEnd w:id="125"/>
      <w:r>
        <w:rPr>
          <w:rFonts w:hint="eastAsia"/>
          <w:sz w:val="21"/>
          <w:szCs w:val="21"/>
        </w:rPr>
        <w:t xml:space="preserve">  </w:t>
      </w:r>
    </w:p>
    <w:p>
      <w:pPr>
        <w:pStyle w:val="7"/>
        <w:spacing w:before="0" w:beforeAutospacing="0" w:after="0" w:afterAutospacing="0" w:line="360" w:lineRule="auto"/>
        <w:ind w:firstLine="420"/>
        <w:rPr>
          <w:sz w:val="21"/>
          <w:szCs w:val="21"/>
        </w:rPr>
      </w:pPr>
      <w:bookmarkStart w:id="126" w:name="chapter_level1_12_60_section_2"/>
      <w:bookmarkEnd w:id="126"/>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10个工作日、开放期及开放期结束后10个工作日的期间内，基金投资不受上述比例限制； </w:t>
      </w:r>
    </w:p>
    <w:p>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保证金以后，本基金持有现金或者到期日在一年以内的政府债券投资比例合计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（13）本基金参与国债期货的交易，需遵守下列规定：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3）本基金所持有的债券（不含到期日在一年以内的政府债券）市值和买入、卖出国债期货合约价值，合计（轧差计算）应当符合《基金合同》关于债券投资比例的有关规定；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（14）开放期内，本基金的投资组合还应遵循以下限制： </w:t>
      </w:r>
    </w:p>
    <w:p>
      <w:pPr>
        <w:pStyle w:val="7"/>
        <w:spacing w:before="0" w:beforeAutospacing="0" w:after="0" w:afterAutospacing="0" w:line="360" w:lineRule="auto"/>
        <w:ind w:firstLine="420"/>
        <w:rPr>
          <w:sz w:val="21"/>
          <w:szCs w:val="21"/>
        </w:rPr>
      </w:pPr>
      <w:r>
        <w:rPr>
          <w:rFonts w:hint="eastAsia"/>
          <w:sz w:val="21"/>
          <w:szCs w:val="21"/>
        </w:rPr>
        <w:t xml:space="preserve">本基金主动投资于流动性受限资产的市值合计不得超过本基金资产净值的15%；封闭期内不受此限；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（15）开放期内，基金与私募类证券资管产品及中国证监会认定的其他主体为交易对手开展逆回购交易的，可接受质押品的资质要求应当与基金合同约定的投资范围保持一致；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第（2）、（10）、（14）、（15）项以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bookmarkStart w:id="127" w:name="chapter_level1_12_60_section_2_end"/>
      <w:bookmarkEnd w:id="127"/>
      <w:r>
        <w:rPr>
          <w:rStyle w:val="11"/>
          <w:rFonts w:hint="eastAsia"/>
          <w:sz w:val="21"/>
          <w:szCs w:val="21"/>
        </w:rPr>
        <w:t>五、业绩比较基准</w:t>
      </w:r>
    </w:p>
    <w:p>
      <w:pPr>
        <w:pStyle w:val="7"/>
        <w:spacing w:before="0" w:beforeAutospacing="0" w:after="0" w:afterAutospacing="0" w:line="360" w:lineRule="auto"/>
        <w:ind w:firstLine="420"/>
        <w:rPr>
          <w:sz w:val="21"/>
          <w:szCs w:val="21"/>
        </w:rPr>
      </w:pPr>
      <w:bookmarkStart w:id="128" w:name="chapter_level1_12_60_section_3"/>
      <w:bookmarkEnd w:id="128"/>
      <w:r>
        <w:rPr>
          <w:rFonts w:hint="eastAsia"/>
          <w:sz w:val="21"/>
          <w:szCs w:val="21"/>
        </w:rPr>
        <w:t xml:space="preserve">本基金的业绩比较基准为：  </w:t>
      </w:r>
    </w:p>
    <w:p>
      <w:pPr>
        <w:pStyle w:val="7"/>
        <w:spacing w:before="0" w:beforeAutospacing="0" w:after="0" w:afterAutospacing="0" w:line="360" w:lineRule="auto"/>
        <w:ind w:firstLine="420"/>
        <w:rPr>
          <w:sz w:val="21"/>
          <w:szCs w:val="21"/>
        </w:rPr>
      </w:pPr>
      <w:bookmarkStart w:id="129" w:name="field_60_benchmark_1_start"/>
      <w:bookmarkEnd w:id="129"/>
      <w:r>
        <w:rPr>
          <w:rFonts w:hint="eastAsia"/>
          <w:sz w:val="21"/>
          <w:szCs w:val="21"/>
        </w:rPr>
        <w:t xml:space="preserve">中债综合财富（总值）指数收益率×90%+1年期定期存款利率（税后）×10%。 </w:t>
      </w:r>
      <w:bookmarkStart w:id="130" w:name="field_60_benchmark_1_end"/>
      <w:bookmarkEnd w:id="13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的比例不低于基金资产的80%（开放期开始前10个工作日、开放期及开放期结束后10个工作日的期间内除外），持有现金或者到期日在一年以内的政府债券不低于基金资产净值的5%（封闭期内除外），采用90%作为业绩比较基准中债券投资所代表的权重，10%作为现金资产所对应的权重可以较好的反映本基金的风险收益特征。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1" w:name="chapter_level1_12_60_section_3_end"/>
      <w:bookmarkEnd w:id="131"/>
      <w:r>
        <w:rPr>
          <w:rFonts w:hint="eastAsia"/>
          <w:sz w:val="21"/>
          <w:szCs w:val="21"/>
        </w:rPr>
        <w:t xml:space="preserve">当调整业绩比较基准并及时公告，而无需召开基金份额持有人大会。 </w:t>
      </w:r>
    </w:p>
    <w:p>
      <w:pPr>
        <w:pStyle w:val="7"/>
        <w:spacing w:before="0" w:beforeAutospacing="0" w:after="0" w:afterAutospacing="0" w:line="360" w:lineRule="auto"/>
        <w:ind w:firstLine="420"/>
        <w:rPr>
          <w:sz w:val="21"/>
          <w:szCs w:val="21"/>
        </w:rPr>
      </w:pPr>
      <w:bookmarkStart w:id="132" w:name="chapter_level1_12_60_section_4"/>
      <w:bookmarkEnd w:id="132"/>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33" w:name="field_60_riskyield_1_start"/>
      <w:bookmarkEnd w:id="133"/>
      <w:r>
        <w:rPr>
          <w:rFonts w:hint="eastAsia"/>
          <w:sz w:val="21"/>
          <w:szCs w:val="21"/>
        </w:rPr>
        <w:t xml:space="preserve">本基金为债券型基金，预期收益和预期风险高于货币市场基金，但低于混合型基金、股票型基金，属于中低风险/收益的产品。 </w:t>
      </w:r>
      <w:bookmarkStart w:id="134" w:name="field_60_riskyield_1_end"/>
      <w:bookmarkEnd w:id="13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七、基金管理人代表基金行使相关权利的处理原则及方法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Fonts w:hint="eastAsia"/>
          <w:b/>
          <w:bCs/>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5" w:name="chapter_level1_12_60_section_4_end"/>
      <w:bookmarkEnd w:id="135"/>
      <w:r>
        <w:rPr>
          <w:rFonts w:hint="eastAsia"/>
          <w:sz w:val="21"/>
          <w:szCs w:val="21"/>
        </w:rPr>
        <w:t xml:space="preserve">对投资者权益有重大影响的事项详见本招募说明书“侧袋机制”章节的规定。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36" w:name="chapter_level1_12_60_section_5"/>
      <w:bookmarkEnd w:id="136"/>
      <w:bookmarkStart w:id="137" w:name="chapter_level1_12_60_section_5_end"/>
      <w:bookmarkEnd w:id="137"/>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bookmarkStart w:id="138" w:name="chapter_level1_12_60_section_6"/>
      <w:bookmarkEnd w:id="138"/>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9" w:name="field_2343_financeendday_2"/>
      <w:r>
        <w:rPr>
          <w:sz w:val="21"/>
          <w:szCs w:val="21"/>
        </w:rPr>
        <w:t>2025年6月30日</w:t>
      </w:r>
      <w:bookmarkEnd w:id="139"/>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40" w:name="field_0_fundportfolio_1_start"/>
      <w:bookmarkEnd w:id="140"/>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778,378,273.41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778,378,273.41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3,336,493.76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781,714,767.17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167,955,991.50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420,661,910.95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420,661,910.95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15,914,526.58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20,148,600.00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153,697,244.38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778,378,273.41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110.81</w:t>
            </w:r>
          </w:p>
        </w:tc>
      </w:tr>
    </w:tbl>
    <w:p>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161"/>
        <w:gridCol w:w="1761"/>
        <w:gridCol w:w="1161"/>
        <w:gridCol w:w="1686"/>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09250202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25国开清发02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200,503,506.85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25超长特别国债01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162,755,934.43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230208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23国开08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154,418,178.08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250206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25国开06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45,193,376.71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102282237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22国兴投资MTN001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15,784,582.19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2.25</w:t>
            </w:r>
          </w:p>
        </w:tc>
      </w:tr>
    </w:tbl>
    <w:p>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p>
      <w:pPr>
        <w:pStyle w:val="7"/>
        <w:spacing w:before="0" w:beforeAutospacing="0" w:after="0" w:afterAutospacing="0" w:line="360" w:lineRule="auto"/>
        <w:ind w:firstLine="420"/>
        <w:rPr>
          <w:sz w:val="21"/>
          <w:szCs w:val="21"/>
        </w:rPr>
      </w:pPr>
      <w:r>
        <w:rPr>
          <w:rFonts w:hint="eastAsia"/>
          <w:sz w:val="21"/>
          <w:szCs w:val="21"/>
        </w:rPr>
        <w:t>本基金本报告期末未持有其他资产。</w:t>
      </w:r>
    </w:p>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41" w:name="chapter_level1_12_60_section_6_end"/>
      <w:bookmarkEnd w:id="141"/>
      <w:r>
        <w:rPr>
          <w:rFonts w:hint="eastAsia"/>
          <w:sz w:val="21"/>
          <w:szCs w:val="21"/>
        </w:rPr>
        <w:t>由于四舍五入的原因，分项之和与合计项之间可能存在尾差。</w:t>
      </w:r>
      <w:bookmarkStart w:id="142" w:name="field_0_fundportfolio_1_end"/>
      <w:bookmarkEnd w:id="14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3" w:name="chapter_level1_13_3500"/>
      <w:bookmarkStart w:id="144" w:name="_Toc207986285"/>
      <w:r>
        <w:rPr>
          <w:rFonts w:hint="eastAsia" w:ascii="宋体" w:hAnsi="宋体" w:eastAsia="宋体"/>
          <w:sz w:val="30"/>
        </w:rPr>
        <w:t>第十部分 基金的业绩</w:t>
      </w:r>
      <w:bookmarkEnd w:id="143"/>
      <w:bookmarkEnd w:id="144"/>
    </w:p>
    <w:p>
      <w:pPr>
        <w:pStyle w:val="7"/>
        <w:spacing w:before="0" w:beforeAutospacing="0" w:after="0" w:afterAutospacing="0" w:line="360" w:lineRule="auto"/>
        <w:ind w:firstLine="420"/>
        <w:rPr>
          <w:sz w:val="21"/>
          <w:szCs w:val="21"/>
        </w:rPr>
      </w:pPr>
      <w:bookmarkStart w:id="145" w:name="chapter_level1_13_3500_section_1"/>
      <w:bookmarkEnd w:id="14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46" w:name="field_0_indatatable_1_start"/>
      <w:bookmarkEnd w:id="146"/>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2015.11.30-2015.12.31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8.38%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2015.11.30-2025.06.30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48.13%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bl>
    <w:p>
      <w:pPr>
        <w:pStyle w:val="7"/>
        <w:spacing w:before="0" w:beforeAutospacing="0" w:after="0" w:afterAutospacing="0" w:line="360" w:lineRule="auto"/>
        <w:ind w:firstLine="420"/>
        <w:rPr>
          <w:sz w:val="21"/>
          <w:szCs w:val="21"/>
        </w:rPr>
      </w:pPr>
      <w:bookmarkStart w:id="147" w:name="chapter_level1_13_3500_section_1_end"/>
      <w:bookmarkEnd w:id="147"/>
      <w:bookmarkStart w:id="148" w:name="field_0_indatatable_1_end"/>
      <w:bookmarkEnd w:id="14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9" w:name="chapter_level1_14_62"/>
      <w:bookmarkStart w:id="150" w:name="_Toc207986286"/>
      <w:r>
        <w:rPr>
          <w:rFonts w:hint="eastAsia" w:ascii="宋体" w:hAnsi="宋体" w:eastAsia="宋体"/>
          <w:sz w:val="30"/>
        </w:rPr>
        <w:t>第十一部分  基金的财产</w:t>
      </w:r>
      <w:bookmarkEnd w:id="149"/>
      <w:bookmarkEnd w:id="150"/>
    </w:p>
    <w:p>
      <w:pPr>
        <w:pStyle w:val="7"/>
        <w:spacing w:before="0" w:beforeAutospacing="0" w:after="0" w:afterAutospacing="0" w:line="360" w:lineRule="auto"/>
        <w:ind w:firstLine="420"/>
        <w:rPr>
          <w:sz w:val="21"/>
          <w:szCs w:val="21"/>
        </w:rPr>
      </w:pPr>
      <w:bookmarkStart w:id="151" w:name="chapter_level1_14_62_section_1"/>
      <w:bookmarkEnd w:id="151"/>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2" w:name="chapter_level1_14_62_section_1_end"/>
      <w:bookmarkEnd w:id="152"/>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3" w:name="_Toc207986287"/>
      <w:bookmarkStart w:id="154" w:name="chapter_level1_15_63"/>
      <w:r>
        <w:rPr>
          <w:rFonts w:hint="eastAsia" w:ascii="宋体" w:hAnsi="宋体" w:eastAsia="宋体"/>
          <w:sz w:val="30"/>
        </w:rPr>
        <w:t>第十二部分  基金资产的估值</w:t>
      </w:r>
      <w:bookmarkEnd w:id="153"/>
      <w:bookmarkEnd w:id="154"/>
    </w:p>
    <w:p>
      <w:pPr>
        <w:pStyle w:val="7"/>
        <w:spacing w:before="0" w:beforeAutospacing="0" w:after="0" w:afterAutospacing="0" w:line="360" w:lineRule="auto"/>
        <w:ind w:firstLine="420"/>
        <w:rPr>
          <w:sz w:val="21"/>
          <w:szCs w:val="21"/>
        </w:rPr>
      </w:pPr>
      <w:bookmarkStart w:id="155" w:name="chapter_level1_15_63_section_1"/>
      <w:bookmarkEnd w:id="155"/>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基金所拥有的债券和银行存款本息、国债期货、应收款项、其它投资等资产及负债。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6、本基金投资国债期货合约，一般以估值当日结算价进行估值，估值当日无结算价的，且最近交易日后经济环境未发生重大变化的，采用最近交易日结算价估值。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7、开放期内，当发生大额申购或赎回情形时，基金管理人可以采用摆动定价机制，以确保基金估值的公平性。 </w:t>
      </w:r>
    </w:p>
    <w:p>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6" w:name="chapter_level1_15_63_section_1_end"/>
      <w:bookmarkEnd w:id="156"/>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57" w:name="chapter_level1_15_63_section_2"/>
      <w:bookmarkEnd w:id="157"/>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8" w:name="field_63_netdecimalvalue_1"/>
      <w:r>
        <w:rPr>
          <w:sz w:val="21"/>
          <w:szCs w:val="21"/>
        </w:rPr>
        <w:t>0.0001</w:t>
      </w:r>
      <w:bookmarkEnd w:id="158"/>
      <w:r>
        <w:rPr>
          <w:rFonts w:hint="eastAsia"/>
          <w:sz w:val="21"/>
          <w:szCs w:val="21"/>
        </w:rPr>
        <w:t>元，小数点后第</w:t>
      </w:r>
      <w:bookmarkStart w:id="159" w:name="field_0_netdecimaladd1_1"/>
      <w:r>
        <w:rPr>
          <w:sz w:val="21"/>
          <w:szCs w:val="21"/>
        </w:rPr>
        <w:t>5</w:t>
      </w:r>
      <w:bookmarkEnd w:id="159"/>
      <w:r>
        <w:rPr>
          <w:rFonts w:hint="eastAsia"/>
          <w:sz w:val="21"/>
          <w:szCs w:val="21"/>
        </w:rPr>
        <w:t xml:space="preserve">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60" w:name="field_63_netdecimal_1"/>
      <w:r>
        <w:rPr>
          <w:sz w:val="21"/>
          <w:szCs w:val="21"/>
        </w:rPr>
        <w:t>4</w:t>
      </w:r>
      <w:bookmarkEnd w:id="160"/>
      <w:r>
        <w:rPr>
          <w:rFonts w:hint="eastAsia"/>
          <w:sz w:val="21"/>
          <w:szCs w:val="21"/>
        </w:rPr>
        <w:t>位以内(含第</w:t>
      </w:r>
      <w:bookmarkStart w:id="161" w:name="field_63_netdecimal_2"/>
      <w:r>
        <w:rPr>
          <w:sz w:val="21"/>
          <w:szCs w:val="21"/>
        </w:rPr>
        <w:t>4</w:t>
      </w:r>
      <w:bookmarkEnd w:id="161"/>
      <w:r>
        <w:rPr>
          <w:rFonts w:hint="eastAsia"/>
          <w:sz w:val="21"/>
          <w:szCs w:val="21"/>
        </w:rPr>
        <w:t xml:space="preserve">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b/>
          <w:bCs/>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2" w:name="chapter_level1_15_63_section_2_end"/>
      <w:bookmarkEnd w:id="162"/>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3" w:name="chapter_level1_16_64"/>
      <w:bookmarkStart w:id="164" w:name="_Toc207986288"/>
      <w:r>
        <w:rPr>
          <w:rFonts w:hint="eastAsia" w:ascii="宋体" w:hAnsi="宋体" w:eastAsia="宋体"/>
          <w:sz w:val="30"/>
        </w:rPr>
        <w:t>第十三部分  基金的收益分配</w:t>
      </w:r>
      <w:bookmarkEnd w:id="163"/>
      <w:bookmarkEnd w:id="164"/>
    </w:p>
    <w:p>
      <w:pPr>
        <w:pStyle w:val="7"/>
        <w:spacing w:before="0" w:beforeAutospacing="0" w:after="0" w:afterAutospacing="0" w:line="360" w:lineRule="auto"/>
        <w:ind w:firstLine="420"/>
        <w:rPr>
          <w:sz w:val="21"/>
          <w:szCs w:val="21"/>
        </w:rPr>
      </w:pPr>
      <w:bookmarkStart w:id="165" w:name="chapter_level1_16_64_section_1"/>
      <w:bookmarkEnd w:id="165"/>
      <w:r>
        <w:rPr>
          <w:rFonts w:hint="eastAsia"/>
          <w:b/>
          <w:bCs/>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Fonts w:hint="eastAsia"/>
          <w:b/>
          <w:bCs/>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Fonts w:hint="eastAsia"/>
          <w:b/>
          <w:bCs/>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w:t>
      </w:r>
      <w:bookmarkStart w:id="166" w:name="chapter_level1_16_64_section_1_end"/>
      <w:bookmarkEnd w:id="166"/>
      <w:r>
        <w:rPr>
          <w:rFonts w:hint="eastAsia"/>
          <w:sz w:val="21"/>
          <w:szCs w:val="21"/>
        </w:rPr>
        <w:t xml:space="preserve">开基金份额持有人大会。 </w:t>
      </w:r>
    </w:p>
    <w:p>
      <w:pPr>
        <w:pStyle w:val="7"/>
        <w:spacing w:before="0" w:beforeAutospacing="0" w:after="0" w:afterAutospacing="0" w:line="360" w:lineRule="auto"/>
        <w:ind w:firstLine="420"/>
        <w:rPr>
          <w:sz w:val="21"/>
          <w:szCs w:val="21"/>
        </w:rPr>
      </w:pPr>
      <w:bookmarkStart w:id="167" w:name="chapter_level1_16_64_section_2"/>
      <w:bookmarkEnd w:id="167"/>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  </w:t>
      </w:r>
    </w:p>
    <w:p>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8" w:name="chapter_level1_16_64_section_2_end"/>
      <w:bookmarkEnd w:id="168"/>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chapter_level1_17_65"/>
      <w:bookmarkStart w:id="170" w:name="_Toc207986289"/>
      <w:r>
        <w:rPr>
          <w:rFonts w:hint="eastAsia" w:ascii="宋体" w:hAnsi="宋体" w:eastAsia="宋体"/>
          <w:sz w:val="30"/>
        </w:rPr>
        <w:t>第十四部分  基金费用与税收</w:t>
      </w:r>
      <w:bookmarkEnd w:id="169"/>
      <w:bookmarkEnd w:id="170"/>
    </w:p>
    <w:p>
      <w:pPr>
        <w:pStyle w:val="7"/>
        <w:spacing w:before="0" w:beforeAutospacing="0" w:after="0" w:afterAutospacing="0" w:line="360" w:lineRule="auto"/>
        <w:ind w:firstLine="420"/>
        <w:rPr>
          <w:sz w:val="21"/>
          <w:szCs w:val="21"/>
        </w:rPr>
      </w:pPr>
      <w:bookmarkStart w:id="171" w:name="chapter_level1_17_65_section_1"/>
      <w:bookmarkEnd w:id="171"/>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6、基金的证券交易费用； </w:t>
      </w:r>
    </w:p>
    <w:p>
      <w:pPr>
        <w:pStyle w:val="7"/>
        <w:spacing w:before="0" w:beforeAutospacing="0" w:after="0" w:afterAutospacing="0" w:line="360" w:lineRule="auto"/>
        <w:ind w:firstLine="420"/>
        <w:rPr>
          <w:sz w:val="21"/>
          <w:szCs w:val="21"/>
        </w:rPr>
      </w:pPr>
      <w:r>
        <w:rPr>
          <w:rFonts w:hint="eastAsia"/>
          <w:sz w:val="21"/>
          <w:szCs w:val="21"/>
        </w:rPr>
        <w:t xml:space="preserve">7、基金的银行汇划费用；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8、基金的账户开户费用、账户维护费用；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2" w:name="field_0_managementrate_1"/>
      <w:r>
        <w:rPr>
          <w:sz w:val="21"/>
          <w:szCs w:val="21"/>
        </w:rPr>
        <w:t>0.30</w:t>
      </w:r>
      <w:bookmarkEnd w:id="172"/>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 </w:t>
      </w:r>
      <w:bookmarkStart w:id="173" w:name="field_0_managementrate_2"/>
      <w:r>
        <w:rPr>
          <w:sz w:val="21"/>
          <w:szCs w:val="21"/>
        </w:rPr>
        <w:t>0.30</w:t>
      </w:r>
      <w:bookmarkEnd w:id="173"/>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管理人与基金托管人核对一致后，基金托管人按照与基金管理人协商一致的方式在次月前5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4" w:name="field_0_trusteerate_1"/>
      <w:r>
        <w:rPr>
          <w:sz w:val="21"/>
          <w:szCs w:val="21"/>
        </w:rPr>
        <w:t>0.10</w:t>
      </w:r>
      <w:bookmarkEnd w:id="174"/>
      <w:r>
        <w:rPr>
          <w:rFonts w:hint="eastAsia"/>
          <w:sz w:val="21"/>
          <w:szCs w:val="21"/>
        </w:rPr>
        <w:t xml:space="preserve">% 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5" w:name="field_0_trusteerate_2"/>
      <w:r>
        <w:rPr>
          <w:sz w:val="21"/>
          <w:szCs w:val="21"/>
        </w:rPr>
        <w:t>0.10</w:t>
      </w:r>
      <w:bookmarkEnd w:id="175"/>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管理人与基金托管人核对一致后，基金托管人按照与基金管理人协商一致的方式在次月前5个工作日内从基金财产中一次性支取。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3、《博时裕坤纯债债券型证券投资基金基金合同》生效前的相关费用；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 </w:t>
      </w:r>
    </w:p>
    <w:p>
      <w:pPr>
        <w:pStyle w:val="7"/>
        <w:spacing w:before="0" w:beforeAutospacing="0" w:after="0" w:afterAutospacing="0" w:line="360" w:lineRule="auto"/>
        <w:ind w:firstLine="420"/>
        <w:rPr>
          <w:sz w:val="21"/>
          <w:szCs w:val="21"/>
        </w:rPr>
      </w:pPr>
      <w:r>
        <w:rPr>
          <w:rFonts w:hint="eastAsia"/>
          <w:sz w:val="21"/>
          <w:szCs w:val="21"/>
        </w:rPr>
        <w:t>基金财产投资的相关税收，由基金份额持有人承担，基金管理人或者其他扣缴义务人按</w:t>
      </w:r>
      <w:bookmarkStart w:id="176" w:name="chapter_level1_17_65_section_1_end"/>
      <w:bookmarkEnd w:id="176"/>
      <w:r>
        <w:rPr>
          <w:rFonts w:hint="eastAsia"/>
          <w:sz w:val="21"/>
          <w:szCs w:val="21"/>
        </w:rPr>
        <w:t xml:space="preserve">照国家有关税收征收的规定代扣代缴。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7" w:name="_Toc207986290"/>
      <w:bookmarkStart w:id="178" w:name="chapter_level1_18_66"/>
      <w:r>
        <w:rPr>
          <w:rFonts w:hint="eastAsia" w:ascii="宋体" w:hAnsi="宋体" w:eastAsia="宋体"/>
          <w:sz w:val="30"/>
        </w:rPr>
        <w:t>第十五部分  基金的会计与审计</w:t>
      </w:r>
      <w:bookmarkEnd w:id="177"/>
      <w:bookmarkEnd w:id="178"/>
    </w:p>
    <w:p>
      <w:pPr>
        <w:pStyle w:val="7"/>
        <w:spacing w:before="0" w:beforeAutospacing="0" w:after="0" w:afterAutospacing="0" w:line="360" w:lineRule="auto"/>
        <w:ind w:firstLine="420"/>
        <w:rPr>
          <w:sz w:val="21"/>
          <w:szCs w:val="21"/>
        </w:rPr>
      </w:pPr>
      <w:bookmarkStart w:id="179" w:name="chapter_level1_18_66_section_1"/>
      <w:bookmarkEnd w:id="179"/>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0" w:name="chapter_level1_18_66_section_1_end"/>
      <w:bookmarkEnd w:id="180"/>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1" w:name="_Toc207986291"/>
      <w:bookmarkStart w:id="182" w:name="chapter_level1_19_67"/>
      <w:r>
        <w:rPr>
          <w:rFonts w:hint="eastAsia" w:ascii="宋体" w:hAnsi="宋体" w:eastAsia="宋体"/>
          <w:sz w:val="30"/>
        </w:rPr>
        <w:t>第十六部分  基金的信息披露</w:t>
      </w:r>
      <w:bookmarkEnd w:id="181"/>
      <w:bookmarkEnd w:id="182"/>
    </w:p>
    <w:p>
      <w:pPr>
        <w:pStyle w:val="7"/>
        <w:spacing w:before="0" w:beforeAutospacing="0" w:after="0" w:afterAutospacing="0" w:line="360" w:lineRule="auto"/>
        <w:ind w:firstLine="420"/>
        <w:rPr>
          <w:sz w:val="21"/>
          <w:szCs w:val="21"/>
        </w:rPr>
      </w:pPr>
      <w:bookmarkStart w:id="183" w:name="chapter_level1_19_67_section_1"/>
      <w:bookmarkEnd w:id="183"/>
      <w:r>
        <w:rPr>
          <w:rStyle w:val="11"/>
          <w:rFonts w:hint="eastAsia"/>
          <w:sz w:val="21"/>
          <w:szCs w:val="21"/>
        </w:rPr>
        <w:t>一、本基金的信息披露应符合《基金法》、《运作办法》、《信息披露办法》、《基金合同》及其他有关规定。相关法律法规关于信息披露的规定发生变化时，本基金从其最新规定。 </w:t>
      </w:r>
    </w:p>
    <w:p>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84" w:name="chapter_level1_19_67_section_1_end"/>
      <w:bookmarkEnd w:id="184"/>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85" w:name="chapter_level1_19_67_section_2"/>
      <w:bookmarkEnd w:id="185"/>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本基金由博时裕坤纯债债券型证券投资基金变更而来，经中国证监会注册后，基金管理人按照相关规定将基金招募说明书、《基金合同》摘要登载在指定媒介和网站上；基金管理人、基金托管人应当将《基金合同》、基金托管协议登载在网站上。 </w:t>
      </w:r>
    </w:p>
    <w:p>
      <w:pPr>
        <w:pStyle w:val="7"/>
        <w:spacing w:before="0" w:beforeAutospacing="0" w:after="0" w:afterAutospacing="0" w:line="360" w:lineRule="auto"/>
        <w:ind w:firstLine="420"/>
        <w:rPr>
          <w:sz w:val="21"/>
          <w:szCs w:val="21"/>
        </w:rPr>
      </w:pPr>
      <w:r>
        <w:rPr>
          <w:rFonts w:hint="eastAsia"/>
          <w:sz w:val="21"/>
          <w:szCs w:val="21"/>
        </w:rPr>
        <w:t xml:space="preserve">（二）基金净值信息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《基金合同》生效后，在基金封闭期内，基金管理人应当至少每周在指定网站公告一次基金份额净值和基金份额累计净值。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在基金开放期每个开放日的次日，基金管理人应当在不晚于每个开放日的次日，通过指定网站、基金销售机构网站或者营业网点披露开放日的基金份额净值和基金份额累计净值。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（三）基金份额申购、赎回价格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（四）基金定期报告，包括基金年度报告、基金中期报告和基金季度报告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（五）临时报告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3、转换基金运作方式（不包括本基金封闭期与开放期运作方式的转变）、基金合并；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8、基金管理人高级管理人员、基金经理和基金托管人基金托管部门负责人发生变动；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9、基金管理人的董事在最近12个月内变更超过百分之五十，基金管理人、基金托管人专门基金托管部门的主要业务人员在最近12个月内变动超过百分之三十；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10、涉及基金财产、基金管理业务、基金托管业务的诉讼或仲裁；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11、基金管理人或其高级管理人员、基金经理因基金管理业务相关行为受到重大行政处罚、刑事处罚，基金托管人或其专门基金托管部门负责人因基金托管业务相关行为受到重大行政处罚、刑事处罚；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12、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13、基金收益分配事项；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14、管理费、托管费、申购费、赎回费等费用计提标准、计提方式和费率发生变更；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15、基金份额净值计价错误达基金份额净值百分之零点五；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16、本基金进入开放期； </w:t>
      </w:r>
    </w:p>
    <w:p>
      <w:pPr>
        <w:pStyle w:val="7"/>
        <w:spacing w:before="0" w:beforeAutospacing="0" w:after="0" w:afterAutospacing="0" w:line="360" w:lineRule="auto"/>
        <w:ind w:firstLine="420"/>
        <w:rPr>
          <w:sz w:val="21"/>
          <w:szCs w:val="21"/>
        </w:rPr>
      </w:pPr>
      <w:r>
        <w:rPr>
          <w:rFonts w:hint="eastAsia"/>
          <w:sz w:val="21"/>
          <w:szCs w:val="21"/>
        </w:rPr>
        <w:t xml:space="preserve">17、本基金发生巨额赎回并延缓支付赎回款项；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18、本基金暂停接受申购、赎回申请或重新接受申购、赎回申请；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19、本基金发生涉及基金申购、赎回事项调整或潜在影响投资者赎回等重大事项时；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20、调整基金份额类别的设置；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21、基金推出新业务或服务；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22、基金管理人采用摆动定价机制进行估值时； </w:t>
      </w:r>
    </w:p>
    <w:p>
      <w:pPr>
        <w:pStyle w:val="7"/>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（六）澄清公告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（七）基金份额持有人大会决议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（八）清算报告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基金终止运作的，基金管理人应当依法组织清算组对基金财产进行清算并作出清算报告。清算组应当将清算报告登载在指定网站上，并将清算报告提示性公告登载在指定报刊上。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（九）中小企业私募债券的投资情况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（十一）国债期货的投资情况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国债期货交易情况，包括投资政策、持仓情况、损益情况、风险指标等，并充分揭示国债期货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（十二）发起资金申购份额报告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基金管理人应当按照相关法律法规的规定，在基金年度报告、中期报告、季度报告中分别披露基金管理人固有资金以及基金管理人股东等持有基金的份额、期限及期间的变动情况。 </w:t>
      </w:r>
    </w:p>
    <w:p>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r>
        <w:rPr>
          <w:rFonts w:hint="eastAsia"/>
          <w:sz w:val="21"/>
          <w:szCs w:val="21"/>
        </w:rPr>
        <w:t xml:space="preserve">（十四）中国证监会规定的其他信息 </w:t>
      </w:r>
    </w:p>
    <w:p>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中充分披露基金的相关情况并揭示相关风险，说明该基金单一投资者持有的基金份额或者构成一致行动人的多个投资者持有的基金份额可达到或者超过50%，基金不向个人投资者公开销</w:t>
      </w:r>
      <w:bookmarkStart w:id="186" w:name="chapter_level1_19_67_section_2_end"/>
      <w:bookmarkEnd w:id="186"/>
      <w:r>
        <w:rPr>
          <w:rFonts w:hint="eastAsia"/>
          <w:sz w:val="21"/>
          <w:szCs w:val="21"/>
        </w:rPr>
        <w:t xml:space="preserve">售，法律法规或监管机构另有规定的除外。 </w:t>
      </w:r>
    </w:p>
    <w:p>
      <w:pPr>
        <w:pStyle w:val="7"/>
        <w:spacing w:before="0" w:beforeAutospacing="0" w:after="0" w:afterAutospacing="0" w:line="360" w:lineRule="auto"/>
        <w:ind w:firstLine="420"/>
        <w:rPr>
          <w:sz w:val="21"/>
          <w:szCs w:val="21"/>
        </w:rPr>
      </w:pPr>
      <w:bookmarkStart w:id="187" w:name="chapter_level1_19_67_section_3"/>
      <w:bookmarkEnd w:id="187"/>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 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7"/>
        <w:spacing w:before="0" w:beforeAutospacing="0" w:after="0" w:afterAutospacing="0" w:line="360" w:lineRule="auto"/>
        <w:ind w:firstLine="420"/>
        <w:rPr>
          <w:sz w:val="21"/>
          <w:szCs w:val="21"/>
        </w:rPr>
      </w:pPr>
      <w:bookmarkStart w:id="188" w:name="chapter_level1_19_67_section_3_end"/>
      <w:bookmarkEnd w:id="188"/>
      <w:r>
        <w:rPr>
          <w:rFonts w:hint="eastAsia"/>
          <w:sz w:val="21"/>
          <w:szCs w:val="21"/>
        </w:rPr>
        <w:t xml:space="preserve">3、法律法规、基金合同或中国证监会规定的情况。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9" w:name="chapter_level1_20_55369"/>
      <w:bookmarkStart w:id="190" w:name="_Toc207986292"/>
      <w:r>
        <w:rPr>
          <w:rFonts w:hint="eastAsia" w:ascii="宋体" w:hAnsi="宋体" w:eastAsia="宋体"/>
          <w:sz w:val="30"/>
        </w:rPr>
        <w:t>第十七部分 侧袋机制</w:t>
      </w:r>
      <w:bookmarkEnd w:id="189"/>
      <w:bookmarkEnd w:id="190"/>
    </w:p>
    <w:p>
      <w:pPr>
        <w:pStyle w:val="7"/>
        <w:spacing w:before="0" w:beforeAutospacing="0" w:after="0" w:afterAutospacing="0" w:line="360" w:lineRule="auto"/>
        <w:ind w:firstLine="420"/>
        <w:rPr>
          <w:sz w:val="21"/>
          <w:szCs w:val="21"/>
        </w:rPr>
      </w:pPr>
      <w:bookmarkStart w:id="191" w:name="chapter_level1_20_55369_section_1"/>
      <w:bookmarkEnd w:id="191"/>
      <w:r>
        <w:rPr>
          <w:rFonts w:hint="eastAsia"/>
          <w:b/>
          <w:bCs/>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w:t>
      </w:r>
      <w:bookmarkStart w:id="192" w:name="chapter_level1_20_55369_section_1_end"/>
      <w:bookmarkEnd w:id="192"/>
      <w:r>
        <w:rPr>
          <w:rFonts w:hint="eastAsia"/>
          <w:sz w:val="21"/>
          <w:szCs w:val="21"/>
        </w:rPr>
        <w:t xml:space="preserve">确定性的资产；（3）其他资产价值存在重大不确定性的资产。 </w:t>
      </w:r>
    </w:p>
    <w:p>
      <w:pPr>
        <w:pStyle w:val="7"/>
        <w:spacing w:before="0" w:beforeAutospacing="0" w:after="0" w:afterAutospacing="0" w:line="360" w:lineRule="auto"/>
        <w:ind w:firstLine="420"/>
        <w:rPr>
          <w:sz w:val="21"/>
          <w:szCs w:val="21"/>
        </w:rPr>
      </w:pPr>
      <w:bookmarkStart w:id="193" w:name="chapter_level1_20_55369_section_2"/>
      <w:bookmarkEnd w:id="193"/>
      <w:r>
        <w:rPr>
          <w:rFonts w:hint="eastAsia"/>
          <w:b/>
          <w:bCs/>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94" w:name="chapter_level1_20_55369_section_2_end"/>
      <w:bookmarkEnd w:id="194"/>
      <w:r>
        <w:rPr>
          <w:rFonts w:hint="eastAsia"/>
          <w:sz w:val="21"/>
          <w:szCs w:val="21"/>
        </w:rPr>
        <w:t xml:space="preserve">合《证券法》规定的会计师事务所对侧袋账户进行审计并披露专项审计意见。 </w:t>
      </w:r>
    </w:p>
    <w:p>
      <w:pPr>
        <w:pStyle w:val="7"/>
        <w:spacing w:before="0" w:beforeAutospacing="0" w:after="0" w:afterAutospacing="0" w:line="360" w:lineRule="auto"/>
        <w:ind w:firstLine="420"/>
        <w:rPr>
          <w:sz w:val="21"/>
          <w:szCs w:val="21"/>
        </w:rPr>
      </w:pPr>
      <w:bookmarkStart w:id="195" w:name="chapter_level1_20_55369_section_3"/>
      <w:bookmarkEnd w:id="195"/>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6" w:name="chapter_level1_20_55369_section_3_end"/>
      <w:bookmarkEnd w:id="196"/>
      <w:r>
        <w:rPr>
          <w:rFonts w:hint="eastAsia"/>
          <w:b/>
          <w:bCs/>
          <w:sz w:val="21"/>
          <w:szCs w:val="21"/>
        </w:rPr>
        <w:t>改或调整，无需召开基金份额持有人大会审议。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7" w:name="chapter_level1_21_68"/>
      <w:bookmarkStart w:id="198" w:name="_Toc207986293"/>
      <w:r>
        <w:rPr>
          <w:rFonts w:hint="eastAsia" w:ascii="宋体" w:hAnsi="宋体" w:eastAsia="宋体"/>
          <w:sz w:val="30"/>
        </w:rPr>
        <w:t>第十八部分  风险揭示</w:t>
      </w:r>
      <w:bookmarkEnd w:id="197"/>
      <w:bookmarkEnd w:id="198"/>
    </w:p>
    <w:p>
      <w:pPr>
        <w:pStyle w:val="7"/>
        <w:spacing w:before="0" w:beforeAutospacing="0" w:after="0" w:afterAutospacing="0" w:line="360" w:lineRule="auto"/>
        <w:ind w:firstLine="420"/>
        <w:rPr>
          <w:sz w:val="21"/>
          <w:szCs w:val="21"/>
        </w:rPr>
      </w:pPr>
      <w:bookmarkStart w:id="199" w:name="chapter_level1_21_68_section_1"/>
      <w:bookmarkEnd w:id="199"/>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（6）杠杆风险 。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pPr>
        <w:pStyle w:val="7"/>
        <w:spacing w:before="0" w:beforeAutospacing="0" w:after="0" w:afterAutospacing="0" w:line="360" w:lineRule="auto"/>
        <w:ind w:firstLine="420"/>
        <w:rPr>
          <w:sz w:val="21"/>
          <w:szCs w:val="21"/>
        </w:rPr>
      </w:pPr>
      <w:r>
        <w:rPr>
          <w:rFonts w:hint="eastAsia"/>
          <w:sz w:val="21"/>
          <w:szCs w:val="21"/>
        </w:rPr>
        <w:t xml:space="preserve">本基金在封闭期内，不办理申购、赎回业务，无流动性应对压力。在开放期内基于客户集中度控制和巨额赎回监测及应对在投资者申购赎回方面均明确了管理机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缓支付赎回款项或部分延期赎回。同时，如本基金单个基金份额持有人在单个开放日申请赎回基金份额超过基金总份额一定比例以上的，基金管理人有权对其采取延期办理赎回申请或延缓支付赎回款项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1）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7"/>
        <w:spacing w:before="0" w:beforeAutospacing="0" w:after="0" w:afterAutospacing="0" w:line="360" w:lineRule="auto"/>
        <w:ind w:firstLine="420"/>
        <w:rPr>
          <w:sz w:val="21"/>
          <w:szCs w:val="21"/>
        </w:rPr>
      </w:pPr>
      <w:r>
        <w:rPr>
          <w:rFonts w:hint="eastAsia"/>
          <w:sz w:val="21"/>
          <w:szCs w:val="21"/>
        </w:rPr>
        <w:t xml:space="preserve">（2）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Fonts w:hint="eastAsia"/>
          <w:sz w:val="21"/>
          <w:szCs w:val="21"/>
        </w:rPr>
        <w:t xml:space="preserve">（3）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pPr>
        <w:pStyle w:val="7"/>
        <w:spacing w:before="0" w:beforeAutospacing="0" w:after="0" w:afterAutospacing="0" w:line="360" w:lineRule="auto"/>
        <w:ind w:firstLine="420"/>
        <w:rPr>
          <w:sz w:val="21"/>
          <w:szCs w:val="21"/>
        </w:rPr>
      </w:pPr>
      <w:r>
        <w:rPr>
          <w:rFonts w:hint="eastAsia"/>
          <w:sz w:val="21"/>
          <w:szCs w:val="21"/>
        </w:rPr>
        <w:t xml:space="preserve">（4）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5）本基金以定期开放方式运作，投资者需在开放期提出申购赎回申请，在非开放期间将无法按照基金份额净值进行申购和赎回。并且，开放期如果出现较大数额的净赎回申请，则使基金资产变现困难，基金可能面临一定的流动性风险，存在着基金份额净值波动的风险。 </w:t>
      </w:r>
    </w:p>
    <w:p>
      <w:pPr>
        <w:pStyle w:val="7"/>
        <w:spacing w:before="0" w:beforeAutospacing="0" w:after="0" w:afterAutospacing="0" w:line="360" w:lineRule="auto"/>
        <w:ind w:firstLine="420"/>
        <w:rPr>
          <w:sz w:val="21"/>
          <w:szCs w:val="21"/>
        </w:rPr>
      </w:pPr>
      <w:r>
        <w:rPr>
          <w:rFonts w:hint="eastAsia"/>
          <w:sz w:val="21"/>
          <w:szCs w:val="21"/>
        </w:rPr>
        <w:t xml:space="preserve">（6）本基金开放期内单个开放日出现巨额赎回的，基金管理人对符合法律法规及《基金合同》约定的赎回申请应于当日全部予以接受和确认或延缓支付赎回款项或部分延期赎回。基金经理会对可能出现的巨额赎回情况进行充分准备并做好流动性管理，但当基金在单个开放日出现巨额赎回被全部确认时，申请赎回的基金份额持有人仍有可能存在延缓支付赎回款项的风险，未赎回的基金份额持有人仍有可能承担短期内变现而带来的冲击成本对基金净资产产生的负面影响。 </w:t>
      </w:r>
    </w:p>
    <w:p>
      <w:pPr>
        <w:pStyle w:val="7"/>
        <w:spacing w:before="0" w:beforeAutospacing="0" w:after="0" w:afterAutospacing="0" w:line="360" w:lineRule="auto"/>
        <w:ind w:firstLine="420"/>
        <w:rPr>
          <w:sz w:val="21"/>
          <w:szCs w:val="21"/>
        </w:rPr>
      </w:pPr>
      <w:r>
        <w:rPr>
          <w:rFonts w:hint="eastAsia"/>
          <w:sz w:val="21"/>
          <w:szCs w:val="21"/>
        </w:rPr>
        <w:t xml:space="preserve">（7）本基金允许单一投资者持有的基金份额达到或者超过50%，且本基金不向个人投资者公开销售，法律法规或监管机构另有规定约定的除外。本基金特定机构投资者赎回可能会导致现有的中小基金份额持有人造成损失。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200" w:name="chapter_level1_21_68_section_1_end"/>
      <w:bookmarkEnd w:id="200"/>
      <w:r>
        <w:rPr>
          <w:rFonts w:hint="eastAsia"/>
          <w:sz w:val="21"/>
          <w:szCs w:val="21"/>
        </w:rPr>
        <w:t xml:space="preserve">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1" w:name="_Toc207986294"/>
      <w:bookmarkStart w:id="202" w:name="chapter_level1_22_69"/>
      <w:r>
        <w:rPr>
          <w:rFonts w:hint="eastAsia" w:ascii="宋体" w:hAnsi="宋体" w:eastAsia="宋体"/>
          <w:sz w:val="30"/>
        </w:rPr>
        <w:t>第十九部分  基金合同的变更、终止与基金财产的清算</w:t>
      </w:r>
      <w:bookmarkEnd w:id="201"/>
      <w:bookmarkEnd w:id="202"/>
    </w:p>
    <w:p>
      <w:pPr>
        <w:pStyle w:val="7"/>
        <w:spacing w:before="0" w:beforeAutospacing="0" w:after="0" w:afterAutospacing="0" w:line="360" w:lineRule="auto"/>
        <w:ind w:firstLine="420"/>
        <w:rPr>
          <w:sz w:val="21"/>
          <w:szCs w:val="21"/>
        </w:rPr>
      </w:pPr>
      <w:bookmarkStart w:id="203" w:name="chapter_level1_22_69_section_1"/>
      <w:bookmarkEnd w:id="203"/>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基金登记机构、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204" w:name="chapter_level1_22_69_section_1_end"/>
      <w:bookmarkEnd w:id="204"/>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5" w:name="chapter_level1_23_71"/>
      <w:bookmarkStart w:id="206" w:name="_Toc207986295"/>
      <w:r>
        <w:rPr>
          <w:rFonts w:hint="eastAsia" w:ascii="宋体" w:hAnsi="宋体" w:eastAsia="宋体"/>
          <w:sz w:val="30"/>
        </w:rPr>
        <w:t>第二十部分  基金合同的内容摘要</w:t>
      </w:r>
      <w:bookmarkEnd w:id="205"/>
      <w:bookmarkEnd w:id="206"/>
    </w:p>
    <w:p>
      <w:pPr>
        <w:pStyle w:val="7"/>
        <w:spacing w:before="0" w:beforeAutospacing="0" w:after="0" w:afterAutospacing="0" w:line="360" w:lineRule="auto"/>
        <w:ind w:firstLine="420"/>
        <w:rPr>
          <w:sz w:val="21"/>
          <w:szCs w:val="21"/>
        </w:rPr>
      </w:pPr>
      <w:bookmarkStart w:id="207" w:name="chapter_level1_23_71_section_1"/>
      <w:bookmarkEnd w:id="207"/>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（1）依法募集资金，办理或者委托经中国证监会认定的其他机构代为办理基金份额的销售、申购、赎回和登记事宜；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（9）发起资金提供方持有申购的基金份额不少于3年，法律法规或监管机构另有规定的除外； </w:t>
      </w:r>
    </w:p>
    <w:p>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（4）转换基金运作方式（不包括本基金封闭期与开放期运作方式的转变）；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2、在不违反法律法规、基金合同以及在不损害已有基金份额持有人权益的前提下，以下情况可由基金管理人和基金托管人协商后修改，不需召开基金份额持有人大会：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（1）调低基金除基金管理费、基金托管费之外其他应由基金承担的费用； </w:t>
      </w:r>
    </w:p>
    <w:p>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（7）在不违反法律法规、基金合同以及在不损害已有基金份额持有人权益的前提下，基金推出新业务或服务；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rPr>
          <w:rFonts w:ascii="宋体" w:hAnsi="宋体" w:eastAsia="宋体"/>
          <w:sz w:val="24"/>
          <w:szCs w:val="24"/>
        </w:rPr>
      </w:pPr>
      <w:r>
        <w:rPr>
          <w:rFonts w:ascii="宋体" w:hAnsi="宋体" w:eastAsia="宋体"/>
        </w:rPr>
        <w:t xml:space="preserve">同一主侧袋账户内同一类别的每份基金份额具有平等的表决权。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在符合法律法规及基金合同约定，并对基金份额持有人利益无实质不利影响的前提下，基金管理人与基金托管人协商一致后，可对基金收益分配原则和支付方式进行调整，不需召开基金份额持有人大会。 </w:t>
      </w:r>
    </w:p>
    <w:p>
      <w:pPr>
        <w:pStyle w:val="7"/>
        <w:spacing w:before="0" w:beforeAutospacing="0" w:after="0" w:afterAutospacing="0" w:line="360" w:lineRule="auto"/>
        <w:ind w:firstLine="420"/>
        <w:rPr>
          <w:sz w:val="21"/>
          <w:szCs w:val="21"/>
        </w:rPr>
      </w:pPr>
      <w:r>
        <w:rPr>
          <w:rStyle w:val="11"/>
          <w:rFonts w:hint="eastAsia"/>
          <w:sz w:val="21"/>
          <w:szCs w:val="21"/>
        </w:rPr>
        <w:t>四、与基金财产管理、运用有关费用的提取、支付方式与比例</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本基金的管理费按前一日基金资产净值的0.30%年费率计提。管理费的计算方法如下：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 0.30%÷当年天数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管理人与基金托管人核对一致后，基金托管人按照与基金管理人协商一致的方式在次月前5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本基金的托管费按前一日基金资产净值的0.10% 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 0.10%÷当年天数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管理人与基金托管人核对一致后，基金托管人按照与基金管理人协商一致的方式在次月前5个工作日内从基金财产中一次性支取。若遇法定节假日、公休假或不可抗力等，支付日期顺延。 </w:t>
      </w:r>
    </w:p>
    <w:p>
      <w:pPr>
        <w:pStyle w:val="7"/>
        <w:spacing w:before="0" w:beforeAutospacing="0" w:after="0" w:afterAutospacing="0" w:line="360" w:lineRule="auto"/>
        <w:ind w:firstLine="420"/>
        <w:rPr>
          <w:sz w:val="21"/>
          <w:szCs w:val="21"/>
        </w:rPr>
      </w:pPr>
      <w:r>
        <w:rPr>
          <w:rStyle w:val="11"/>
          <w:rFonts w:hint="eastAsia"/>
          <w:sz w:val="21"/>
          <w:szCs w:val="21"/>
        </w:rPr>
        <w:t>五、基金财产的投资方向和投资限制</w:t>
      </w:r>
    </w:p>
    <w:p>
      <w:pPr>
        <w:pStyle w:val="7"/>
        <w:spacing w:before="0" w:beforeAutospacing="0" w:after="0" w:afterAutospacing="0" w:line="360" w:lineRule="auto"/>
        <w:ind w:firstLine="420"/>
        <w:rPr>
          <w:sz w:val="21"/>
          <w:szCs w:val="21"/>
        </w:rPr>
      </w:pPr>
      <w:r>
        <w:rPr>
          <w:rFonts w:hint="eastAsia"/>
          <w:sz w:val="21"/>
          <w:szCs w:val="21"/>
        </w:rPr>
        <w:t xml:space="preserve">（一）投资范围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国债、金融债、企业债、公司债、央行票据、中期票据、短期融资券、中小企业私募债、资产支持证券、次级债、可分离交易可转债的纯债部分、债券回购、银行存款、同业存单、国债期货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保证金以后，现金或者到期日在一年以内的政府债券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（二）投资限制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10个工作日、开放期及开放期结束后10个工作日的期间内，基金投资不受上述比例限制； </w:t>
      </w:r>
    </w:p>
    <w:p>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保证金以后，本基金持有现金或者到期日在一年以内的政府债券投资比例合计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（13）本基金参与国债期货的交易，需遵守下列规定：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3）本基金所持有的债券（不含到期日在一年以内的政府债券）市值和买入、卖出国债期货合约价值，合计（轧差计算）应当符合《基金合同》关于债券投资比例的有关规定；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（14）开放期内，本基金的投资组合还应遵循以下限制： </w:t>
      </w:r>
    </w:p>
    <w:p>
      <w:pPr>
        <w:pStyle w:val="7"/>
        <w:spacing w:before="0" w:beforeAutospacing="0" w:after="0" w:afterAutospacing="0" w:line="360" w:lineRule="auto"/>
        <w:ind w:firstLine="420"/>
        <w:rPr>
          <w:sz w:val="21"/>
          <w:szCs w:val="21"/>
        </w:rPr>
      </w:pPr>
      <w:r>
        <w:rPr>
          <w:rFonts w:hint="eastAsia"/>
          <w:sz w:val="21"/>
          <w:szCs w:val="21"/>
        </w:rPr>
        <w:t xml:space="preserve">本基金主动投资于流动性受限资产的市值合计不得超过本基金资产净值的15% ；封闭期内不受此限；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（15）开放期内，基金与私募类证券资管产品及中国证监会认定的其他主体为交易对手开展逆回购交易的，可接受质押品的资质要求应当与基金合同约定的投资范围保持一致；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第（2）、（10）、（14）、（15）项以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r>
        <w:rPr>
          <w:rStyle w:val="11"/>
          <w:rFonts w:hint="eastAsia"/>
          <w:sz w:val="21"/>
          <w:szCs w:val="21"/>
        </w:rPr>
        <w:t>六、基金资产净值的计算方法和公告方式</w:t>
      </w:r>
    </w:p>
    <w:p>
      <w:pPr>
        <w:pStyle w:val="7"/>
        <w:spacing w:before="0" w:beforeAutospacing="0" w:after="0" w:afterAutospacing="0" w:line="360" w:lineRule="auto"/>
        <w:ind w:firstLine="420"/>
        <w:rPr>
          <w:sz w:val="21"/>
          <w:szCs w:val="21"/>
        </w:rPr>
      </w:pPr>
      <w:r>
        <w:rPr>
          <w:rFonts w:hint="eastAsia"/>
          <w:sz w:val="21"/>
          <w:szCs w:val="21"/>
        </w:rPr>
        <w:t xml:space="preserve">（一）基金资产净值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（二）估值方法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6、本基金投资国债期货合约，一般以估值当日结算价进行估值，估值当日无结算价的，且最近交易日后经济环境未发生重大变化的，采用最近交易日结算价估值。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7、开放期内，当发生大额申购或赎回情形时，基金管理人可以采用摆动定价机制，以确保基金估值的公平性。 </w:t>
      </w:r>
    </w:p>
    <w:p>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（三）估值程序 </w:t>
      </w:r>
    </w:p>
    <w:p>
      <w:pPr>
        <w:pStyle w:val="7"/>
        <w:spacing w:before="0" w:beforeAutospacing="0" w:after="0" w:afterAutospacing="0" w:line="360" w:lineRule="auto"/>
        <w:ind w:firstLine="420"/>
        <w:rPr>
          <w:sz w:val="21"/>
          <w:szCs w:val="21"/>
        </w:rPr>
      </w:pPr>
      <w:r>
        <w:rPr>
          <w:rFonts w:hint="eastAsia"/>
          <w:sz w:val="21"/>
          <w:szCs w:val="21"/>
        </w:rPr>
        <w:t xml:space="preserve">1、基金份额净值是按照每个工作日闭市后，基金资产净值除以当日基金份额的余额数量计算，精确到0.0001元，小数点后第5位四舍五入。国家另有规定的，从其规定。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《基金合同》生效后，在基金封闭期内，基金管理人应当至少每周公告一次基金份额净值和基金份额累计净值。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在基金开放期每个开放日的次日，基金管理人应当在不晚于每个开放日的次日，通过指定网站、销售机构网站或者营业网点披露开放日的基金份额净值和基金份额累计净值。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Style w:val="11"/>
          <w:rFonts w:hint="eastAsia"/>
          <w:sz w:val="21"/>
          <w:szCs w:val="21"/>
        </w:rPr>
        <w:t>七、基金合同的变更、终止与基金财产的清算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基金登记机构、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八、争议解决方式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决定，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《基金合同》受中国法律（为基金合同之目的，在此不包括香港、澳门特别行政区和台湾地区法律）管辖。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九、基金合同存放地和投资人取得基金合同的方式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8" w:name="chapter_level1_23_71_section_1_end"/>
      <w:bookmarkEnd w:id="208"/>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9" w:name="_Toc207986296"/>
      <w:bookmarkStart w:id="210" w:name="chapter_level1_24_72"/>
      <w:r>
        <w:rPr>
          <w:rFonts w:hint="eastAsia" w:ascii="宋体" w:hAnsi="宋体" w:eastAsia="宋体"/>
          <w:sz w:val="30"/>
        </w:rPr>
        <w:t>第二十部分  基金托管协议的内容摘要</w:t>
      </w:r>
      <w:bookmarkEnd w:id="209"/>
      <w:bookmarkEnd w:id="210"/>
    </w:p>
    <w:p>
      <w:pPr>
        <w:pStyle w:val="7"/>
        <w:spacing w:before="0" w:beforeAutospacing="0" w:after="0" w:afterAutospacing="0" w:line="360" w:lineRule="auto"/>
        <w:ind w:firstLine="420"/>
        <w:rPr>
          <w:sz w:val="21"/>
          <w:szCs w:val="21"/>
        </w:rPr>
      </w:pPr>
      <w:bookmarkStart w:id="211" w:name="chapter_level1_24_72_section_1"/>
      <w:bookmarkEnd w:id="211"/>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12" w:name="field_0_managerorgfullname_7"/>
      <w:r>
        <w:rPr>
          <w:rFonts w:hint="eastAsia"/>
          <w:sz w:val="21"/>
          <w:szCs w:val="21"/>
        </w:rPr>
        <w:t>博时基金管理有限公司</w:t>
      </w:r>
      <w:bookmarkEnd w:id="212"/>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13" w:name="field_0_trustorgfullname_3"/>
      <w:r>
        <w:rPr>
          <w:rFonts w:hint="eastAsia"/>
          <w:sz w:val="21"/>
          <w:szCs w:val="21"/>
        </w:rPr>
        <w:t>招商银行股份有限公司</w:t>
      </w:r>
      <w:bookmarkEnd w:id="213"/>
      <w:r>
        <w:rPr>
          <w:rFonts w:hint="eastAsia"/>
          <w:sz w:val="21"/>
          <w:szCs w:val="21"/>
        </w:rPr>
        <w:t xml:space="preserve">(简称：招商银行) </w:t>
      </w:r>
    </w:p>
    <w:p>
      <w:pPr>
        <w:pStyle w:val="7"/>
        <w:spacing w:before="0" w:beforeAutospacing="0" w:after="0" w:afterAutospacing="0" w:line="360" w:lineRule="auto"/>
        <w:ind w:firstLine="420"/>
        <w:rPr>
          <w:sz w:val="21"/>
          <w:szCs w:val="21"/>
        </w:rPr>
      </w:pPr>
      <w:r>
        <w:rPr>
          <w:rFonts w:hint="eastAsia"/>
          <w:sz w:val="21"/>
          <w:szCs w:val="21"/>
        </w:rPr>
        <w:t xml:space="preserve">住所：深圳市深南大道7088号招商银行大厦 </w:t>
      </w:r>
    </w:p>
    <w:p>
      <w:pPr>
        <w:pStyle w:val="7"/>
        <w:spacing w:before="0" w:beforeAutospacing="0" w:after="0" w:afterAutospacing="0" w:line="360" w:lineRule="auto"/>
        <w:ind w:firstLine="420"/>
        <w:rPr>
          <w:sz w:val="21"/>
          <w:szCs w:val="21"/>
        </w:rPr>
      </w:pPr>
      <w:r>
        <w:rPr>
          <w:rFonts w:hint="eastAsia"/>
          <w:sz w:val="21"/>
          <w:szCs w:val="21"/>
        </w:rPr>
        <w:t xml:space="preserve">办公地址：深圳市深南大道7088号招商银行大厦 </w:t>
      </w:r>
    </w:p>
    <w:p>
      <w:pPr>
        <w:pStyle w:val="7"/>
        <w:spacing w:before="0" w:beforeAutospacing="0" w:after="0" w:afterAutospacing="0" w:line="360" w:lineRule="auto"/>
        <w:ind w:firstLine="420"/>
        <w:rPr>
          <w:sz w:val="21"/>
          <w:szCs w:val="21"/>
        </w:rPr>
      </w:pPr>
      <w:r>
        <w:rPr>
          <w:rFonts w:hint="eastAsia"/>
          <w:sz w:val="21"/>
          <w:szCs w:val="21"/>
        </w:rPr>
        <w:t xml:space="preserve">邮政编码：518040 </w:t>
      </w:r>
    </w:p>
    <w:p>
      <w:pPr>
        <w:pStyle w:val="7"/>
        <w:spacing w:before="0" w:beforeAutospacing="0" w:after="0" w:afterAutospacing="0" w:line="360" w:lineRule="auto"/>
        <w:ind w:firstLine="420"/>
        <w:rPr>
          <w:sz w:val="21"/>
          <w:szCs w:val="21"/>
        </w:rPr>
      </w:pPr>
      <w:r>
        <w:rPr>
          <w:rFonts w:hint="eastAsia"/>
          <w:sz w:val="21"/>
          <w:szCs w:val="21"/>
        </w:rPr>
        <w:t xml:space="preserve">法定代表人：李建红 </w:t>
      </w:r>
    </w:p>
    <w:p>
      <w:pPr>
        <w:pStyle w:val="7"/>
        <w:spacing w:before="0" w:beforeAutospacing="0" w:after="0" w:afterAutospacing="0" w:line="360" w:lineRule="auto"/>
        <w:ind w:firstLine="420"/>
        <w:rPr>
          <w:sz w:val="21"/>
          <w:szCs w:val="21"/>
        </w:rPr>
      </w:pPr>
      <w:r>
        <w:rPr>
          <w:rFonts w:hint="eastAsia"/>
          <w:sz w:val="21"/>
          <w:szCs w:val="21"/>
        </w:rPr>
        <w:t xml:space="preserve">成立时间：1987年4月8日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基金托管业务批准文号：证监基金字[2002]83号 </w:t>
      </w:r>
    </w:p>
    <w:p>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结算；办理票据贴现；发行金融债券；代理发行、代理兑付、承销政府债券；买卖政府债券；同业拆借；提供信用证服务及担保；代理收付款项及代理保险业务；提供保管箱服务。外汇存款；外汇贷款；外汇汇款；外币兑换；国际结算；结汇、售汇；同业外汇拆借；外汇票据的承兑和贴现；外汇借款；外汇担保；发行和代理发行股票以外的外币有价证券；买卖和代理买卖股票以外的外币有价证券；自营和代客外汇买卖；资信调查、咨询、见证业务；离岸金融业务。经中国人民银行批准的其他业务。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注册资本：人民币252.20亿元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以及《基金合同》的约定，对基金投资范围、投资比例、投资限制、关联方交易等，进行严格监督。《基金合同》明确约定基金投资证券选择标准的，基金管理人应事先或定期向基金托管人提供投资品种池，以便基金托管人对基金实际投资是否符合基金合同关于证券选择标准的约定进行监督。 </w:t>
      </w:r>
    </w:p>
    <w:p>
      <w:pPr>
        <w:pStyle w:val="7"/>
        <w:spacing w:before="0" w:beforeAutospacing="0" w:after="0" w:afterAutospacing="0" w:line="360" w:lineRule="auto"/>
        <w:ind w:firstLine="420"/>
        <w:rPr>
          <w:sz w:val="21"/>
          <w:szCs w:val="21"/>
        </w:rPr>
      </w:pPr>
      <w:r>
        <w:rPr>
          <w:rFonts w:hint="eastAsia"/>
          <w:sz w:val="21"/>
          <w:szCs w:val="21"/>
        </w:rPr>
        <w:t xml:space="preserve">1.本基金的投资范围和投资风格为：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国债、金融债、企业债、公司债、央行票据、中期票据、短期融资券、中小企业私募债、资产支持证券、次级债、可分离交易可转债的纯债部分、债券回购、银行存款、同业存单、国债期货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2.本基金各类品种的投资比例、投资限制为： </w:t>
      </w:r>
    </w:p>
    <w:p>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保证金以后，现金或者到期日在一年以内的政府债券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本基金的投资组合应遵循以下限制：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10个工作日、开放期及开放期结束后10个工作日的期间内，基金投资不受上述比例限制； </w:t>
      </w:r>
    </w:p>
    <w:p>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保证金以后，本基金持有现金或者到期日在一年以内的政府债券投资比例合计不低于基金资产净值的5%，在封闭期内，本基金不受上述5%的限制，每个交易日日终在扣除国债期货合约需缴纳的保证金以后，应当保持不低于交易保证金一倍的现金；前述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（13）本基金参与国债期货的交易，需遵守下列规定：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3）本基金所持有的债券（不含到期日在一年以内的政府债券）市值和买入、卖出国债期货合约价值，合计（轧差计算）应当符合《基金合同》关于债券投资比例的有关规定；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（14）开放期内，本基金的投资组合还应遵循以下限制： </w:t>
      </w:r>
    </w:p>
    <w:p>
      <w:pPr>
        <w:pStyle w:val="7"/>
        <w:spacing w:before="0" w:beforeAutospacing="0" w:after="0" w:afterAutospacing="0" w:line="360" w:lineRule="auto"/>
        <w:ind w:firstLine="420"/>
        <w:rPr>
          <w:sz w:val="21"/>
          <w:szCs w:val="21"/>
        </w:rPr>
      </w:pPr>
      <w:r>
        <w:rPr>
          <w:rFonts w:hint="eastAsia"/>
          <w:sz w:val="21"/>
          <w:szCs w:val="21"/>
        </w:rPr>
        <w:t xml:space="preserve">本基金主动投资于流动性受限资产的市值合计不得超过本基金资产净值的15%；封闭期内不受此限；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（15）开放期内，基金与私募类证券资管产品及中国证监会认定的其他主体为交易对手开展逆回购交易的，可接受质押品的资质要求应当与基金合同约定的投资范围保持一致；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3.本基金财产不得用于以下投资或者活动：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4. 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5.基金管理人应当自基金合同生效日起6个月内使基金的投资组合比例符合基金合同的有关约定。在上述期间内，本基金的投资范围、投资策略应当符合基金合同的约定。 </w:t>
      </w:r>
    </w:p>
    <w:p>
      <w:pPr>
        <w:pStyle w:val="7"/>
        <w:spacing w:before="0" w:beforeAutospacing="0" w:after="0" w:afterAutospacing="0" w:line="360" w:lineRule="auto"/>
        <w:ind w:firstLine="420"/>
        <w:rPr>
          <w:sz w:val="21"/>
          <w:szCs w:val="21"/>
        </w:rPr>
      </w:pPr>
      <w:r>
        <w:rPr>
          <w:rFonts w:hint="eastAsia"/>
          <w:sz w:val="21"/>
          <w:szCs w:val="21"/>
        </w:rPr>
        <w:t xml:space="preserve">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除第（2）、（10）、（14）、（15）项以外，因证券市场波动、证券发行人合并、基金规模变动等基金管理人之外的原因导致投资组合不符合上述规定的，基金管理人应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法律、行政法规或监管部门取消或变更上述规定，则本基金投资不再受相关限制或以变更后的规定为准，但须提前公告，不需要经基金份额持有人大会审议。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本基金投资于有固定期限银行存款的比例，不得超过基金资产净值的30%，但投资于有存款期限，根据协议可提前支取的银行存款不受上述比例限制；投资于具有基金托管人资格的同一商业银行的银行存款、同业存单占基金资产净值的比例合计不得超过20%，投资于不具有基金托管人资格的同一商业银行的银行存款、同业存单占基金资产净值的比例合计不得超过5%。 </w:t>
      </w:r>
    </w:p>
    <w:p>
      <w:pPr>
        <w:pStyle w:val="7"/>
        <w:spacing w:before="0" w:beforeAutospacing="0" w:after="0" w:afterAutospacing="0" w:line="360" w:lineRule="auto"/>
        <w:ind w:firstLine="420"/>
        <w:rPr>
          <w:sz w:val="21"/>
          <w:szCs w:val="21"/>
        </w:rPr>
      </w:pPr>
      <w:r>
        <w:rPr>
          <w:rFonts w:hint="eastAsia"/>
          <w:sz w:val="21"/>
          <w:szCs w:val="21"/>
        </w:rPr>
        <w:t xml:space="preserve">有关法律法规或监管部门制定或修改新的定期存款投资政策，基金管理人履行适当程序后，可相应调整投资组合限制的规定。 </w:t>
      </w:r>
    </w:p>
    <w:p>
      <w:pPr>
        <w:pStyle w:val="7"/>
        <w:spacing w:before="0" w:beforeAutospacing="0" w:after="0" w:afterAutospacing="0" w:line="360" w:lineRule="auto"/>
        <w:ind w:firstLine="420"/>
        <w:rPr>
          <w:sz w:val="21"/>
          <w:szCs w:val="21"/>
        </w:rPr>
      </w:pPr>
      <w:r>
        <w:rPr>
          <w:rFonts w:hint="eastAsia"/>
          <w:sz w:val="21"/>
          <w:szCs w:val="21"/>
        </w:rPr>
        <w:t xml:space="preserve">2.基金管理人负责对本基金存款银行的评估与研究，建立健全银行定期存款的业务流程、岗位职责、风险控制措施和监察稽核制度，切实防范有关风险。基金托管人负责对本基金银行定期存款业务的监督与核查，审查、复核相关协议、账户资料、投资指令、存款证实书等有关文件，切实履行托管职责。 </w:t>
      </w:r>
    </w:p>
    <w:p>
      <w:pPr>
        <w:pStyle w:val="7"/>
        <w:spacing w:before="0" w:beforeAutospacing="0" w:after="0" w:afterAutospacing="0" w:line="360" w:lineRule="auto"/>
        <w:ind w:firstLine="420"/>
        <w:rPr>
          <w:sz w:val="21"/>
          <w:szCs w:val="21"/>
        </w:rPr>
      </w:pPr>
      <w:r>
        <w:rPr>
          <w:rFonts w:hint="eastAsia"/>
          <w:sz w:val="21"/>
          <w:szCs w:val="21"/>
        </w:rPr>
        <w:t xml:space="preserve">（1）基金管理人负责控制信用风险。信用风险主要包括存款银行的信用等级、存款银行的支付能力等涉及到存款银行选择方面的风险。因选择存款银行不当造成基金财产损失的，由基金管理人承担责任。 </w:t>
      </w:r>
    </w:p>
    <w:p>
      <w:pPr>
        <w:pStyle w:val="7"/>
        <w:spacing w:before="0" w:beforeAutospacing="0" w:after="0" w:afterAutospacing="0" w:line="360" w:lineRule="auto"/>
        <w:ind w:firstLine="420"/>
        <w:rPr>
          <w:sz w:val="21"/>
          <w:szCs w:val="21"/>
        </w:rPr>
      </w:pPr>
      <w:r>
        <w:rPr>
          <w:rFonts w:hint="eastAsia"/>
          <w:sz w:val="21"/>
          <w:szCs w:val="21"/>
        </w:rPr>
        <w:t xml:space="preserve">（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 </w:t>
      </w:r>
    </w:p>
    <w:p>
      <w:pPr>
        <w:pStyle w:val="7"/>
        <w:spacing w:before="0" w:beforeAutospacing="0" w:after="0" w:afterAutospacing="0" w:line="360" w:lineRule="auto"/>
        <w:ind w:firstLine="420"/>
        <w:rPr>
          <w:sz w:val="21"/>
          <w:szCs w:val="21"/>
        </w:rPr>
      </w:pPr>
      <w:r>
        <w:rPr>
          <w:rFonts w:hint="eastAsia"/>
          <w:sz w:val="21"/>
          <w:szCs w:val="21"/>
        </w:rPr>
        <w:t xml:space="preserve">（3）基金管理人须加强内部风险控制制度的建设。如因基金管理人员工的职务行为导致基金财产受到损失的，需由基金管理人承担由此造成的损失。 </w:t>
      </w:r>
    </w:p>
    <w:p>
      <w:pPr>
        <w:pStyle w:val="7"/>
        <w:spacing w:before="0" w:beforeAutospacing="0" w:after="0" w:afterAutospacing="0" w:line="360" w:lineRule="auto"/>
        <w:ind w:firstLine="420"/>
        <w:rPr>
          <w:sz w:val="21"/>
          <w:szCs w:val="21"/>
        </w:rPr>
      </w:pPr>
      <w:r>
        <w:rPr>
          <w:rFonts w:hint="eastAsia"/>
          <w:sz w:val="21"/>
          <w:szCs w:val="21"/>
        </w:rPr>
        <w:t xml:space="preserve">（4）基金管理人投资银行存款时，应就相关事宜在更新招募说明书中予以披露，进行风险揭示。 </w:t>
      </w:r>
    </w:p>
    <w:p>
      <w:pPr>
        <w:pStyle w:val="7"/>
        <w:spacing w:before="0" w:beforeAutospacing="0" w:after="0" w:afterAutospacing="0" w:line="360" w:lineRule="auto"/>
        <w:ind w:firstLine="420"/>
        <w:rPr>
          <w:sz w:val="21"/>
          <w:szCs w:val="21"/>
        </w:rPr>
      </w:pPr>
      <w:r>
        <w:rPr>
          <w:rFonts w:hint="eastAsia"/>
          <w:sz w:val="21"/>
          <w:szCs w:val="21"/>
        </w:rPr>
        <w:t xml:space="preserve">（5）基金管理人与基金托管人在开展基金存款业务时，应严格遵守《基金法》、《运作办法》等有关法律法规，以及国家有关账户管理、利率管理、支付结算等的各项规定。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（三）基金投资银行存款协议的签订、账户开设与管理、投资指令与资金划付、账目核对、到期兑付、提前支取 </w:t>
      </w:r>
    </w:p>
    <w:p>
      <w:pPr>
        <w:pStyle w:val="7"/>
        <w:spacing w:before="0" w:beforeAutospacing="0" w:after="0" w:afterAutospacing="0" w:line="360" w:lineRule="auto"/>
        <w:ind w:firstLine="420"/>
        <w:rPr>
          <w:sz w:val="21"/>
          <w:szCs w:val="21"/>
        </w:rPr>
      </w:pPr>
      <w:r>
        <w:rPr>
          <w:rFonts w:hint="eastAsia"/>
          <w:sz w:val="21"/>
          <w:szCs w:val="21"/>
        </w:rPr>
        <w:t xml:space="preserve">1.基金投资银行存款协议的签订 </w:t>
      </w:r>
    </w:p>
    <w:p>
      <w:pPr>
        <w:pStyle w:val="7"/>
        <w:spacing w:before="0" w:beforeAutospacing="0" w:after="0" w:afterAutospacing="0" w:line="360" w:lineRule="auto"/>
        <w:ind w:firstLine="420"/>
        <w:rPr>
          <w:sz w:val="21"/>
          <w:szCs w:val="21"/>
        </w:rPr>
      </w:pPr>
      <w:r>
        <w:rPr>
          <w:rFonts w:hint="eastAsia"/>
          <w:sz w:val="21"/>
          <w:szCs w:val="21"/>
        </w:rPr>
        <w:t xml:space="preserve">（1）基金管理人应与存款银行总行或其授权分行签订《基金存款业务总体合作协议》（以下简称《总体合作协议》），确定《存款协议书》的格式范本。《总体合作协议》和《存款协议书》的格式范本由基金托管人与基金管理人共同商定。 </w:t>
      </w:r>
    </w:p>
    <w:p>
      <w:pPr>
        <w:pStyle w:val="7"/>
        <w:spacing w:before="0" w:beforeAutospacing="0" w:after="0" w:afterAutospacing="0" w:line="360" w:lineRule="auto"/>
        <w:ind w:firstLine="420"/>
        <w:rPr>
          <w:sz w:val="21"/>
          <w:szCs w:val="21"/>
        </w:rPr>
      </w:pPr>
      <w:r>
        <w:rPr>
          <w:rFonts w:hint="eastAsia"/>
          <w:sz w:val="21"/>
          <w:szCs w:val="21"/>
        </w:rPr>
        <w:t xml:space="preserve">（2）基金管理人应在《存款协议书》中明确存款证实书或其他有效存款凭证的办理方式、邮寄地址、联系人和联系电话，以及存款证实书或其他有效凭证在邮寄过程中遗失后，存款余额的确认及兑付办法。 </w:t>
      </w:r>
    </w:p>
    <w:p>
      <w:pPr>
        <w:pStyle w:val="7"/>
        <w:spacing w:before="0" w:beforeAutospacing="0" w:after="0" w:afterAutospacing="0" w:line="360" w:lineRule="auto"/>
        <w:ind w:firstLine="420"/>
        <w:rPr>
          <w:sz w:val="21"/>
          <w:szCs w:val="21"/>
        </w:rPr>
      </w:pPr>
      <w:r>
        <w:rPr>
          <w:rFonts w:hint="eastAsia"/>
          <w:sz w:val="21"/>
          <w:szCs w:val="21"/>
        </w:rPr>
        <w:t xml:space="preserve">（3）由存款银行指定的存放存款的分支机构（以下简称“存款分支机构”）寄送存款证实书或其他有效存款凭证的，基金管理人应在《存款协议书》中规定基金托管人可向存款分支机构的上级行发出存款余额询证函，存款分支机构及其上级行应予配合。 </w:t>
      </w:r>
    </w:p>
    <w:p>
      <w:pPr>
        <w:pStyle w:val="7"/>
        <w:spacing w:before="0" w:beforeAutospacing="0" w:after="0" w:afterAutospacing="0" w:line="360" w:lineRule="auto"/>
        <w:ind w:firstLine="420"/>
        <w:rPr>
          <w:sz w:val="21"/>
          <w:szCs w:val="21"/>
        </w:rPr>
      </w:pPr>
      <w:r>
        <w:rPr>
          <w:rFonts w:hint="eastAsia"/>
          <w:sz w:val="21"/>
          <w:szCs w:val="21"/>
        </w:rPr>
        <w:t xml:space="preserve">（4）基金管理人应在《存款协议书》中规定，基金存放到期或提前兑付的资金应全部划转到指定的基金托管账户，并在《存款协议书》写明账户名称和账号，未划入指定账户的，由存款银行承担一切责任。 </w:t>
      </w:r>
    </w:p>
    <w:p>
      <w:pPr>
        <w:pStyle w:val="7"/>
        <w:spacing w:before="0" w:beforeAutospacing="0" w:after="0" w:afterAutospacing="0" w:line="360" w:lineRule="auto"/>
        <w:ind w:firstLine="420"/>
        <w:rPr>
          <w:sz w:val="21"/>
          <w:szCs w:val="21"/>
        </w:rPr>
      </w:pPr>
      <w:r>
        <w:rPr>
          <w:rFonts w:hint="eastAsia"/>
          <w:sz w:val="21"/>
          <w:szCs w:val="21"/>
        </w:rPr>
        <w:t xml:space="preserve">（5）基金托管人依据相关法规对《总体合作协议》和《存款证实书》的内容进行复核，审查存款银行资格等。 </w:t>
      </w:r>
    </w:p>
    <w:p>
      <w:pPr>
        <w:pStyle w:val="7"/>
        <w:spacing w:before="0" w:beforeAutospacing="0" w:after="0" w:afterAutospacing="0" w:line="360" w:lineRule="auto"/>
        <w:ind w:firstLine="420"/>
        <w:rPr>
          <w:sz w:val="21"/>
          <w:szCs w:val="21"/>
        </w:rPr>
      </w:pPr>
      <w:r>
        <w:rPr>
          <w:rFonts w:hint="eastAsia"/>
          <w:sz w:val="21"/>
          <w:szCs w:val="21"/>
        </w:rPr>
        <w:t xml:space="preserve">（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 </w:t>
      </w:r>
    </w:p>
    <w:p>
      <w:pPr>
        <w:pStyle w:val="7"/>
        <w:spacing w:before="0" w:beforeAutospacing="0" w:after="0" w:afterAutospacing="0" w:line="360" w:lineRule="auto"/>
        <w:ind w:firstLine="420"/>
        <w:rPr>
          <w:sz w:val="21"/>
          <w:szCs w:val="21"/>
        </w:rPr>
      </w:pPr>
      <w:r>
        <w:rPr>
          <w:rFonts w:hint="eastAsia"/>
          <w:sz w:val="21"/>
          <w:szCs w:val="21"/>
        </w:rPr>
        <w:t xml:space="preserve">（7）基金管理人应在《存款协议书》中规定，因定期存款产生的存单不得被质押或以任何方式被抵押，不得用于转让和背书。 </w:t>
      </w:r>
    </w:p>
    <w:p>
      <w:pPr>
        <w:pStyle w:val="7"/>
        <w:spacing w:before="0" w:beforeAutospacing="0" w:after="0" w:afterAutospacing="0" w:line="360" w:lineRule="auto"/>
        <w:ind w:firstLine="420"/>
        <w:rPr>
          <w:sz w:val="21"/>
          <w:szCs w:val="21"/>
        </w:rPr>
      </w:pPr>
      <w:r>
        <w:rPr>
          <w:rFonts w:hint="eastAsia"/>
          <w:sz w:val="21"/>
          <w:szCs w:val="21"/>
        </w:rPr>
        <w:t xml:space="preserve">2.基金投资银行存款时的账户开设与管理 </w:t>
      </w:r>
    </w:p>
    <w:p>
      <w:pPr>
        <w:pStyle w:val="7"/>
        <w:spacing w:before="0" w:beforeAutospacing="0" w:after="0" w:afterAutospacing="0" w:line="360" w:lineRule="auto"/>
        <w:ind w:firstLine="420"/>
        <w:rPr>
          <w:sz w:val="21"/>
          <w:szCs w:val="21"/>
        </w:rPr>
      </w:pPr>
      <w:r>
        <w:rPr>
          <w:rFonts w:hint="eastAsia"/>
          <w:sz w:val="21"/>
          <w:szCs w:val="21"/>
        </w:rPr>
        <w:t xml:space="preserve">（1）基金投资于银行存款时，基金管理人应当依据基金管理人与存款银行签订的《总体合作协议》、《存款协议书》，以基金的名义在存款银行总行或授权分行指定的分支机构开立银行账户。 </w:t>
      </w:r>
    </w:p>
    <w:p>
      <w:pPr>
        <w:pStyle w:val="7"/>
        <w:spacing w:before="0" w:beforeAutospacing="0" w:after="0" w:afterAutospacing="0" w:line="360" w:lineRule="auto"/>
        <w:ind w:firstLine="420"/>
        <w:rPr>
          <w:sz w:val="21"/>
          <w:szCs w:val="21"/>
        </w:rPr>
      </w:pPr>
      <w:r>
        <w:rPr>
          <w:rFonts w:hint="eastAsia"/>
          <w:sz w:val="21"/>
          <w:szCs w:val="21"/>
        </w:rPr>
        <w:t xml:space="preserve">（2）基金投资于银行存款时的预留印鉴由基金托管人保管和使用。 </w:t>
      </w:r>
    </w:p>
    <w:p>
      <w:pPr>
        <w:pStyle w:val="7"/>
        <w:spacing w:before="0" w:beforeAutospacing="0" w:after="0" w:afterAutospacing="0" w:line="360" w:lineRule="auto"/>
        <w:ind w:firstLine="420"/>
        <w:rPr>
          <w:sz w:val="21"/>
          <w:szCs w:val="21"/>
        </w:rPr>
      </w:pPr>
      <w:r>
        <w:rPr>
          <w:rFonts w:hint="eastAsia"/>
          <w:sz w:val="21"/>
          <w:szCs w:val="21"/>
        </w:rPr>
        <w:t xml:space="preserve">3. 存款凭证传递、账目核对及到期兑付 </w:t>
      </w:r>
    </w:p>
    <w:p>
      <w:pPr>
        <w:pStyle w:val="7"/>
        <w:spacing w:before="0" w:beforeAutospacing="0" w:after="0" w:afterAutospacing="0" w:line="360" w:lineRule="auto"/>
        <w:ind w:firstLine="420"/>
        <w:rPr>
          <w:sz w:val="21"/>
          <w:szCs w:val="21"/>
        </w:rPr>
      </w:pPr>
      <w:r>
        <w:rPr>
          <w:rFonts w:hint="eastAsia"/>
          <w:sz w:val="21"/>
          <w:szCs w:val="21"/>
        </w:rPr>
        <w:t xml:space="preserve">（1）存款证实书等存款凭证传递 </w:t>
      </w:r>
    </w:p>
    <w:p>
      <w:pPr>
        <w:pStyle w:val="7"/>
        <w:spacing w:before="0" w:beforeAutospacing="0" w:after="0" w:afterAutospacing="0" w:line="360" w:lineRule="auto"/>
        <w:ind w:firstLine="420"/>
        <w:rPr>
          <w:sz w:val="21"/>
          <w:szCs w:val="21"/>
        </w:rPr>
      </w:pPr>
      <w:r>
        <w:rPr>
          <w:rFonts w:hint="eastAsia"/>
          <w:sz w:val="21"/>
          <w:szCs w:val="21"/>
        </w:rPr>
        <w:t xml:space="preserve">存款资金只能存放于存款银行总行或者其授权分行指定的分支机构。基金管理人应在《存款协议书》中规定，存款银行分支机构应为基金开具存款证实书或其他有效存款凭证，该存款证实书为基金存款确认或到期提款的有效凭证，且对应每笔存款仅能开具唯一存款凭证。资金到账当日，由存款银行分支机构指定的会计主管传真一份存款证实书复印件并与基金托管人电话确认收妥后，将存款证实书原件寄送或上门交付至基金托管人指定联系人；若存款银行分支机构代为保管存单的，由存款银行分支机构指定会计主管传真一份存款证实书复印件并与基金托管人电话确认收妥。 </w:t>
      </w:r>
    </w:p>
    <w:p>
      <w:pPr>
        <w:pStyle w:val="7"/>
        <w:spacing w:before="0" w:beforeAutospacing="0" w:after="0" w:afterAutospacing="0" w:line="360" w:lineRule="auto"/>
        <w:ind w:firstLine="420"/>
        <w:rPr>
          <w:sz w:val="21"/>
          <w:szCs w:val="21"/>
        </w:rPr>
      </w:pPr>
      <w:r>
        <w:rPr>
          <w:rFonts w:hint="eastAsia"/>
          <w:sz w:val="21"/>
          <w:szCs w:val="21"/>
        </w:rPr>
        <w:t xml:space="preserve">（2）存款证实书等存款凭证的遗失补办 </w:t>
      </w:r>
    </w:p>
    <w:p>
      <w:pPr>
        <w:pStyle w:val="7"/>
        <w:spacing w:before="0" w:beforeAutospacing="0" w:after="0" w:afterAutospacing="0" w:line="360" w:lineRule="auto"/>
        <w:ind w:firstLine="420"/>
        <w:rPr>
          <w:sz w:val="21"/>
          <w:szCs w:val="21"/>
        </w:rPr>
      </w:pPr>
      <w:r>
        <w:rPr>
          <w:rFonts w:hint="eastAsia"/>
          <w:sz w:val="21"/>
          <w:szCs w:val="21"/>
        </w:rPr>
        <w:t xml:space="preserve">存款证实书在邮寄过程中遗失的，由基金管理人向存款银行提出补办申请，基金管理人应督促存款银行尽快补办存款证实书，并按以上（1）的方式快递或上门交付至基金托管人，原存款凭证自动作废。 </w:t>
      </w:r>
    </w:p>
    <w:p>
      <w:pPr>
        <w:pStyle w:val="7"/>
        <w:spacing w:before="0" w:beforeAutospacing="0" w:after="0" w:afterAutospacing="0" w:line="360" w:lineRule="auto"/>
        <w:ind w:firstLine="420"/>
        <w:rPr>
          <w:sz w:val="21"/>
          <w:szCs w:val="21"/>
        </w:rPr>
      </w:pPr>
      <w:r>
        <w:rPr>
          <w:rFonts w:hint="eastAsia"/>
          <w:sz w:val="21"/>
          <w:szCs w:val="21"/>
        </w:rPr>
        <w:t xml:space="preserve">（3）账目核对 </w:t>
      </w:r>
    </w:p>
    <w:p>
      <w:pPr>
        <w:pStyle w:val="7"/>
        <w:spacing w:before="0" w:beforeAutospacing="0" w:after="0" w:afterAutospacing="0" w:line="360" w:lineRule="auto"/>
        <w:ind w:firstLine="420"/>
        <w:rPr>
          <w:sz w:val="21"/>
          <w:szCs w:val="21"/>
        </w:rPr>
      </w:pPr>
      <w:r>
        <w:rPr>
          <w:rFonts w:hint="eastAsia"/>
          <w:sz w:val="21"/>
          <w:szCs w:val="21"/>
        </w:rPr>
        <w:t xml:space="preserve">每个工作日，基金管理人应与基金托管人核对各项银行存款投资余额及应计利息。 </w:t>
      </w:r>
    </w:p>
    <w:p>
      <w:pPr>
        <w:pStyle w:val="7"/>
        <w:spacing w:before="0" w:beforeAutospacing="0" w:after="0" w:afterAutospacing="0" w:line="360" w:lineRule="auto"/>
        <w:ind w:firstLine="420"/>
        <w:rPr>
          <w:sz w:val="21"/>
          <w:szCs w:val="21"/>
        </w:rPr>
      </w:pPr>
      <w:r>
        <w:rPr>
          <w:rFonts w:hint="eastAsia"/>
          <w:sz w:val="21"/>
          <w:szCs w:val="21"/>
        </w:rPr>
        <w:t xml:space="preserve">基金管理人应在《存款协议书》中规定，对于存期超过3个月的定期存款，存款银行应于每季末后5个工作日内向基金托管人指定人员寄送对账单。因存款银行未寄送对账单造成的资金被挪用、盗取的责任由存款银行承担。 </w:t>
      </w:r>
    </w:p>
    <w:p>
      <w:pPr>
        <w:pStyle w:val="7"/>
        <w:spacing w:before="0" w:beforeAutospacing="0" w:after="0" w:afterAutospacing="0" w:line="360" w:lineRule="auto"/>
        <w:ind w:firstLine="420"/>
        <w:rPr>
          <w:sz w:val="21"/>
          <w:szCs w:val="21"/>
        </w:rPr>
      </w:pPr>
      <w:r>
        <w:rPr>
          <w:rFonts w:hint="eastAsia"/>
          <w:sz w:val="21"/>
          <w:szCs w:val="21"/>
        </w:rPr>
        <w:t xml:space="preserve">存款银行应配合基金托管人对存款凭证的询证，并在询证函上加盖存款银行公章寄送至基金托管人指定联系人。 </w:t>
      </w:r>
    </w:p>
    <w:p>
      <w:pPr>
        <w:pStyle w:val="7"/>
        <w:spacing w:before="0" w:beforeAutospacing="0" w:after="0" w:afterAutospacing="0" w:line="360" w:lineRule="auto"/>
        <w:ind w:firstLine="420"/>
        <w:rPr>
          <w:sz w:val="21"/>
          <w:szCs w:val="21"/>
        </w:rPr>
      </w:pPr>
      <w:r>
        <w:rPr>
          <w:rFonts w:hint="eastAsia"/>
          <w:sz w:val="21"/>
          <w:szCs w:val="21"/>
        </w:rPr>
        <w:t xml:space="preserve">（4）到期兑付 </w:t>
      </w:r>
    </w:p>
    <w:p>
      <w:pPr>
        <w:pStyle w:val="7"/>
        <w:spacing w:before="0" w:beforeAutospacing="0" w:after="0" w:afterAutospacing="0" w:line="360" w:lineRule="auto"/>
        <w:ind w:firstLine="420"/>
        <w:rPr>
          <w:sz w:val="21"/>
          <w:szCs w:val="21"/>
        </w:rPr>
      </w:pPr>
      <w:r>
        <w:rPr>
          <w:rFonts w:hint="eastAsia"/>
          <w:sz w:val="21"/>
          <w:szCs w:val="21"/>
        </w:rPr>
        <w:t xml:space="preserve">基金管理人提前通知基金托管人通过快递将存款证实书原件或其他存款证明原件寄给存款银行分支机构指定的会计主管。存款银行未收到存款证实书原件的，应与基金托管人电话询问。存款到期前基金管理人与存款银行确认存款证实书收到并于到期日兑付存款本息事宜。 </w:t>
      </w:r>
    </w:p>
    <w:p>
      <w:pPr>
        <w:pStyle w:val="7"/>
        <w:spacing w:before="0" w:beforeAutospacing="0" w:after="0" w:afterAutospacing="0" w:line="360" w:lineRule="auto"/>
        <w:ind w:firstLine="420"/>
        <w:rPr>
          <w:sz w:val="21"/>
          <w:szCs w:val="21"/>
        </w:rPr>
      </w:pPr>
      <w:r>
        <w:rPr>
          <w:rFonts w:hint="eastAsia"/>
          <w:sz w:val="21"/>
          <w:szCs w:val="21"/>
        </w:rPr>
        <w:t xml:space="preserve">基金托管人在存款到期日未收到存款本息或存款本息金额不符时，通知基金管理人与存款行接洽存款到账时间及利息补付事宜。基金管理人应将接洽结果告知基金托管人，基金托管人收妥存款本息的当日通知基金管理人。 </w:t>
      </w:r>
    </w:p>
    <w:p>
      <w:pPr>
        <w:pStyle w:val="7"/>
        <w:spacing w:before="0" w:beforeAutospacing="0" w:after="0" w:afterAutospacing="0" w:line="360" w:lineRule="auto"/>
        <w:ind w:firstLine="420"/>
        <w:rPr>
          <w:sz w:val="21"/>
          <w:szCs w:val="21"/>
        </w:rPr>
      </w:pPr>
      <w:r>
        <w:rPr>
          <w:rFonts w:hint="eastAsia"/>
          <w:sz w:val="21"/>
          <w:szCs w:val="21"/>
        </w:rPr>
        <w:t xml:space="preserve">基金管理人应在《存款协议书》中规定，存款证实书在邮寄过程中遗失的，存款银行应立即通知基金托管人，基金托管人在原存款证实书复印件上加盖公章并出具相关证明文件后，与存款银行指定会计主管电话确认后，存款银行应在到期日将存款本息划至指定基金资金账户。 </w:t>
      </w:r>
    </w:p>
    <w:p>
      <w:pPr>
        <w:pStyle w:val="7"/>
        <w:spacing w:before="0" w:beforeAutospacing="0" w:after="0" w:afterAutospacing="0" w:line="360" w:lineRule="auto"/>
        <w:ind w:firstLine="420"/>
        <w:rPr>
          <w:sz w:val="21"/>
          <w:szCs w:val="21"/>
        </w:rPr>
      </w:pPr>
      <w:r>
        <w:rPr>
          <w:rFonts w:hint="eastAsia"/>
          <w:sz w:val="21"/>
          <w:szCs w:val="21"/>
        </w:rPr>
        <w:t xml:space="preserve">如果存款到期日为法定节假日，存款行顺延至到期后第一个工作日支付，存款银行需按原协议约定利率和实际延期天数支付延期利息。 </w:t>
      </w:r>
    </w:p>
    <w:p>
      <w:pPr>
        <w:pStyle w:val="7"/>
        <w:spacing w:before="0" w:beforeAutospacing="0" w:after="0" w:afterAutospacing="0" w:line="360" w:lineRule="auto"/>
        <w:ind w:firstLine="420"/>
        <w:rPr>
          <w:sz w:val="21"/>
          <w:szCs w:val="21"/>
        </w:rPr>
      </w:pPr>
      <w:r>
        <w:rPr>
          <w:rFonts w:hint="eastAsia"/>
          <w:sz w:val="21"/>
          <w:szCs w:val="21"/>
        </w:rPr>
        <w:t xml:space="preserve">4.提前支取 </w:t>
      </w:r>
    </w:p>
    <w:p>
      <w:pPr>
        <w:pStyle w:val="7"/>
        <w:spacing w:before="0" w:beforeAutospacing="0" w:after="0" w:afterAutospacing="0" w:line="360" w:lineRule="auto"/>
        <w:ind w:firstLine="420"/>
        <w:rPr>
          <w:sz w:val="21"/>
          <w:szCs w:val="21"/>
        </w:rPr>
      </w:pPr>
      <w:r>
        <w:rPr>
          <w:rFonts w:hint="eastAsia"/>
          <w:sz w:val="21"/>
          <w:szCs w:val="21"/>
        </w:rPr>
        <w:t xml:space="preserve">如果在存款期限内，由于基金规模发生缩减的原因或者出于流动性管理的需要，经与定期存款行友好协商，基金管理人可以提前支取全部或部分资金，但应继续按原有利率计提利息，因提前支取导致的利息损失应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提前支取的具体事项按照基金管理人与存款行签订的《存款协议书》执行。 </w:t>
      </w:r>
    </w:p>
    <w:p>
      <w:pPr>
        <w:pStyle w:val="7"/>
        <w:spacing w:before="0" w:beforeAutospacing="0" w:after="0" w:afterAutospacing="0" w:line="360" w:lineRule="auto"/>
        <w:ind w:firstLine="420"/>
        <w:rPr>
          <w:sz w:val="21"/>
          <w:szCs w:val="21"/>
        </w:rPr>
      </w:pPr>
      <w:r>
        <w:rPr>
          <w:rFonts w:hint="eastAsia"/>
          <w:sz w:val="21"/>
          <w:szCs w:val="21"/>
        </w:rPr>
        <w:t xml:space="preserve">5.基金投资银行存款的监督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个工作日内纠正或拒绝结算，若基金管理人拒不执行造成基金财产的损失，相关损失由基金管理人承担，基金托管人不承担任何责任。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前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（五）基金管理人应当对投资中期票据业务进行研究，认真评估中期票据投资业务的风险，本着审慎、勤勉尽责的原则进行中期票据的投资业务，并应符合法律法规及监管机构的相关规定。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基金份额净值计算、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托管协议的规定，应及时以电话提醒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托管协议对基金业务执行核查。包括但不限于：对基金托管人发出的提示，基金管理人应在规定时间内答复并改正，或就基金托管人的疑义进行解释或举证；对基金托管人按照法律法规、基金合同和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 </w:t>
      </w:r>
    </w:p>
    <w:p>
      <w:pPr>
        <w:pStyle w:val="7"/>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pPr>
        <w:pStyle w:val="7"/>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pPr>
        <w:pStyle w:val="7"/>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3.基金托管人按照规定开设基金财产投资所需的相关账户。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托管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 </w:t>
      </w:r>
    </w:p>
    <w:p>
      <w:pPr>
        <w:pStyle w:val="7"/>
        <w:spacing w:before="0" w:beforeAutospacing="0" w:after="0" w:afterAutospacing="0" w:line="360" w:lineRule="auto"/>
        <w:ind w:firstLine="420"/>
        <w:rPr>
          <w:sz w:val="21"/>
          <w:szCs w:val="21"/>
        </w:rPr>
      </w:pPr>
      <w:r>
        <w:rPr>
          <w:rFonts w:hint="eastAsia"/>
          <w:sz w:val="21"/>
          <w:szCs w:val="21"/>
        </w:rPr>
        <w:t xml:space="preserve">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托管协议当事人外第三方的欺诈、疏忽、过失或破产等原因给基金资产造成的损失等不承担责任。 </w:t>
      </w:r>
    </w:p>
    <w:p>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（二）基金资金账户的开立和管理 </w:t>
      </w:r>
    </w:p>
    <w:p>
      <w:pPr>
        <w:pStyle w:val="7"/>
        <w:spacing w:before="0" w:beforeAutospacing="0" w:after="0" w:afterAutospacing="0" w:line="360" w:lineRule="auto"/>
        <w:ind w:firstLine="420"/>
        <w:rPr>
          <w:sz w:val="21"/>
          <w:szCs w:val="21"/>
        </w:rPr>
      </w:pPr>
      <w:r>
        <w:rPr>
          <w:rFonts w:hint="eastAsia"/>
          <w:sz w:val="21"/>
          <w:szCs w:val="21"/>
        </w:rPr>
        <w:t>1.基金托管人以本基金的名义在其营业机构开立基金的资金账户（也可称为“托管账户”），保管基金的银行存款，并根据基金管理人的指令办理资金收付。托管账户名称应为“</w:t>
      </w:r>
      <w:bookmarkStart w:id="214" w:name="field_0_productfullname_18"/>
      <w:r>
        <w:rPr>
          <w:rFonts w:hint="eastAsia"/>
          <w:sz w:val="21"/>
          <w:szCs w:val="21"/>
        </w:rPr>
        <w:t>博时裕坤纯债</w:t>
      </w:r>
      <w:r>
        <w:rPr>
          <w:sz w:val="21"/>
          <w:szCs w:val="21"/>
        </w:rPr>
        <w:t>3个月定期开放债券型发起式证券投资基金</w:t>
      </w:r>
      <w:bookmarkEnd w:id="214"/>
      <w:r>
        <w:rPr>
          <w:rFonts w:hint="eastAsia"/>
          <w:sz w:val="21"/>
          <w:szCs w:val="21"/>
        </w:rPr>
        <w:t xml:space="preserve">”，预留印鉴为基金托管人印章。 </w:t>
      </w:r>
    </w:p>
    <w:p>
      <w:pPr>
        <w:pStyle w:val="7"/>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3.基金资金账户的开立和管理应符合法律法规及银行业监督管理机构的有关规定。 </w:t>
      </w:r>
    </w:p>
    <w:p>
      <w:pPr>
        <w:pStyle w:val="7"/>
        <w:spacing w:before="0" w:beforeAutospacing="0" w:after="0" w:afterAutospacing="0" w:line="360" w:lineRule="auto"/>
        <w:ind w:firstLine="420"/>
        <w:rPr>
          <w:sz w:val="21"/>
          <w:szCs w:val="21"/>
        </w:rPr>
      </w:pPr>
      <w:r>
        <w:rPr>
          <w:rFonts w:hint="eastAsia"/>
          <w:sz w:val="21"/>
          <w:szCs w:val="21"/>
        </w:rPr>
        <w:t xml:space="preserve">（三）基金证券账户和结算备付金账户的开立和管理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托管协议订立日之后允许基金从事其他投资品种的投资业务，涉及相关账户的开立、使用的，按有关规定开立、使用并管理；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（四）债券托管账户的开设和管理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基金合同生效后，基金托管人根据中国人民银行、银行间市场登记结算机构的有关规定，以基金的名义在银行间市场登记结算机构开立债券托管账户，并代表基金进行银行间市场债券的结算。 </w:t>
      </w:r>
    </w:p>
    <w:p>
      <w:pPr>
        <w:pStyle w:val="7"/>
        <w:spacing w:before="0" w:beforeAutospacing="0" w:after="0" w:afterAutospacing="0" w:line="360" w:lineRule="auto"/>
        <w:ind w:firstLine="420"/>
        <w:rPr>
          <w:sz w:val="21"/>
          <w:szCs w:val="21"/>
        </w:rPr>
      </w:pPr>
      <w:r>
        <w:rPr>
          <w:rFonts w:hint="eastAsia"/>
          <w:sz w:val="21"/>
          <w:szCs w:val="21"/>
        </w:rPr>
        <w:t xml:space="preserve">（五）其他账户的开立和管理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1.基金托管人和基金管理人应当在开户过程中相互配合，并提供所需资料。基金管理人保证所提供的账户开户材料的真实性和有效性，且在相关资料变更后及时将变更的资料提供给基金托管人。 </w:t>
      </w:r>
    </w:p>
    <w:p>
      <w:pPr>
        <w:pStyle w:val="7"/>
        <w:spacing w:before="0" w:beforeAutospacing="0" w:after="0" w:afterAutospacing="0" w:line="360" w:lineRule="auto"/>
        <w:ind w:firstLine="420"/>
        <w:rPr>
          <w:sz w:val="21"/>
          <w:szCs w:val="21"/>
        </w:rPr>
      </w:pPr>
      <w:r>
        <w:rPr>
          <w:rFonts w:hint="eastAsia"/>
          <w:sz w:val="21"/>
          <w:szCs w:val="21"/>
        </w:rPr>
        <w:t xml:space="preserve">2.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保证金监控中心的登录用户名及密码告知基金托管人。资金密码和保证金监控中心登录密码重置由基金管理人进行，重置后务必及时通知托管人。 </w:t>
      </w:r>
    </w:p>
    <w:p>
      <w:pPr>
        <w:pStyle w:val="7"/>
        <w:spacing w:before="0" w:beforeAutospacing="0" w:after="0" w:afterAutospacing="0" w:line="360" w:lineRule="auto"/>
        <w:ind w:firstLine="420"/>
        <w:rPr>
          <w:sz w:val="21"/>
          <w:szCs w:val="21"/>
        </w:rPr>
      </w:pPr>
      <w:r>
        <w:rPr>
          <w:rFonts w:hint="eastAsia"/>
          <w:sz w:val="21"/>
          <w:szCs w:val="21"/>
        </w:rPr>
        <w:t xml:space="preserve">3.因业务发展需要而开立的其他账户，可以根据法律法规和基金合同的规定，由基金管理人协助基金托管人按照有关法律法规和托管协议的约定协商后开立。新账户按有关规定使用并管理。 </w:t>
      </w:r>
    </w:p>
    <w:p>
      <w:pPr>
        <w:pStyle w:val="7"/>
        <w:spacing w:before="0" w:beforeAutospacing="0" w:after="0" w:afterAutospacing="0" w:line="360" w:lineRule="auto"/>
        <w:ind w:firstLine="420"/>
        <w:rPr>
          <w:sz w:val="21"/>
          <w:szCs w:val="21"/>
        </w:rPr>
      </w:pPr>
      <w:r>
        <w:rPr>
          <w:rFonts w:hint="eastAsia"/>
          <w:sz w:val="21"/>
          <w:szCs w:val="21"/>
        </w:rPr>
        <w:t xml:space="preserve">4.法律法规等有关规定对相关账户的开立和管理另有规定的，从其规定办理。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（六）基金财产投资的有关有价凭证等的保管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按约定由基金托管人存放于基金托管人的保管库，或中央国债登记结算有限责任公司、中国证券登记结算有限责任公司上海分公司/深圳分公司、银行间清算所股份有限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 </w:t>
      </w:r>
    </w:p>
    <w:p>
      <w:pPr>
        <w:pStyle w:val="7"/>
        <w:spacing w:before="0" w:beforeAutospacing="0" w:after="0" w:afterAutospacing="0" w:line="360" w:lineRule="auto"/>
        <w:ind w:firstLine="420"/>
        <w:rPr>
          <w:sz w:val="21"/>
          <w:szCs w:val="21"/>
        </w:rPr>
      </w:pPr>
      <w:r>
        <w:rPr>
          <w:rFonts w:hint="eastAsia"/>
          <w:sz w:val="21"/>
          <w:szCs w:val="21"/>
        </w:rPr>
        <w:t xml:space="preserve">（七）与基金财产有关的重大合同的保管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财产有关的重大合同的原件分别由基金管理人、基金托管人保管。除托管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15年。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正本的，基金管理人应向基金托管人提供与合同原件一致的加盖公章的合同复印件或传真件，未经双方协商一致或未在合同约定范围内，合同原件不得转移。基金管理人向基金托管人提供的合同复印件或传真件与基金管理人留存原件不一致的，以托管人收到的复印件或传真件为准。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基金份额净值是指估值日基金资产净值除以估值日基金份额总数，基金份额净值的计算，精确到0.0001元，小数点后第五位四舍五入。国家另有规定的，从其规定。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基金管理人每个工作日计算基金资产净值及基金份额净值，经基金托管人复核，按规定公告。 </w:t>
      </w:r>
    </w:p>
    <w:p>
      <w:pPr>
        <w:pStyle w:val="7"/>
        <w:spacing w:before="0" w:beforeAutospacing="0" w:after="0" w:afterAutospacing="0" w:line="360" w:lineRule="auto"/>
        <w:ind w:firstLine="420"/>
        <w:rPr>
          <w:sz w:val="21"/>
          <w:szCs w:val="21"/>
        </w:rPr>
      </w:pPr>
      <w:r>
        <w:rPr>
          <w:rFonts w:hint="eastAsia"/>
          <w:sz w:val="21"/>
          <w:szCs w:val="21"/>
        </w:rPr>
        <w:t xml:space="preserve">2.复核程序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资产净值、基金份额净值发送基金托管人，经基金托管人复核无误后，由基金管理人按约定对外公布。但基金管理人根据法律法规或基金合同的规定暂停估值时除外。 </w:t>
      </w:r>
    </w:p>
    <w:p>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（二）基金资产的估值 </w:t>
      </w:r>
    </w:p>
    <w:p>
      <w:pPr>
        <w:pStyle w:val="7"/>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基金管理人及基金托管人应当按照《基金合同》的约定进行估值。 </w:t>
      </w:r>
    </w:p>
    <w:p>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pPr>
        <w:pStyle w:val="7"/>
        <w:spacing w:before="0" w:beforeAutospacing="0" w:after="0" w:afterAutospacing="0" w:line="360" w:lineRule="auto"/>
        <w:ind w:firstLine="420"/>
        <w:rPr>
          <w:sz w:val="21"/>
          <w:szCs w:val="21"/>
        </w:rPr>
      </w:pPr>
      <w:r>
        <w:rPr>
          <w:rFonts w:hint="eastAsia"/>
          <w:sz w:val="21"/>
          <w:szCs w:val="21"/>
        </w:rPr>
        <w:t xml:space="preserve">基金管理人及基金托管人应当按照《基金合同》的约定处理份额净值错误。 </w:t>
      </w:r>
    </w:p>
    <w:p>
      <w:pPr>
        <w:pStyle w:val="7"/>
        <w:spacing w:before="0" w:beforeAutospacing="0" w:after="0" w:afterAutospacing="0" w:line="360" w:lineRule="auto"/>
        <w:ind w:firstLine="420"/>
        <w:rPr>
          <w:sz w:val="21"/>
          <w:szCs w:val="21"/>
        </w:rPr>
      </w:pPr>
      <w:r>
        <w:rPr>
          <w:rFonts w:hint="eastAsia"/>
          <w:sz w:val="21"/>
          <w:szCs w:val="21"/>
        </w:rPr>
        <w:t xml:space="preserve">（四）基金会计制度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相关各方各自的账册定期进行核对，互相监督，以保证基金资产的安全。 </w:t>
      </w:r>
    </w:p>
    <w:p>
      <w:pPr>
        <w:pStyle w:val="7"/>
        <w:spacing w:before="0" w:beforeAutospacing="0" w:after="0" w:afterAutospacing="0" w:line="360" w:lineRule="auto"/>
        <w:ind w:firstLine="420"/>
        <w:rPr>
          <w:sz w:val="21"/>
          <w:szCs w:val="21"/>
        </w:rPr>
      </w:pPr>
      <w:r>
        <w:rPr>
          <w:rFonts w:hint="eastAsia"/>
          <w:sz w:val="21"/>
          <w:szCs w:val="21"/>
        </w:rPr>
        <w:t xml:space="preserve">（六）基金财务报表与报告的编制和复核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每月结束后5个工作日内完成月度报表的编制及复核；在每个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具有证券、期货相关业务资格的会计师事务所审计。基金合同生效不足两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（七）在有需要时，基金管理人应每季度向基金托管人提供基金业绩比较基准的基础数据和编制结果。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六、基金份额持有人名册的登记与保管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法律法规或监管部门另有规定的除外。如不能妥善保管，则按相关法律法规承担责任。 </w:t>
      </w:r>
    </w:p>
    <w:p>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和托管人不得将所保管的基金份额持有人名册用于基金托管业务以外的其他用途，并应遵守保密义务。                          </w:t>
      </w:r>
    </w:p>
    <w:p>
      <w:pPr>
        <w:pStyle w:val="7"/>
        <w:spacing w:before="0" w:beforeAutospacing="0" w:after="0" w:afterAutospacing="0" w:line="360" w:lineRule="auto"/>
        <w:ind w:firstLine="420"/>
        <w:rPr>
          <w:sz w:val="21"/>
          <w:szCs w:val="21"/>
        </w:rPr>
      </w:pPr>
      <w:r>
        <w:rPr>
          <w:rStyle w:val="11"/>
          <w:rFonts w:hint="eastAsia"/>
          <w:sz w:val="21"/>
          <w:szCs w:val="21"/>
        </w:rPr>
        <w:t>七、争议解决的方式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托管协议而产生的或与托管协议有关的一切争议，如经友好协商未能解决的，任何一方均有权将争议提交华南国际经济贸易仲裁委员会，根据该会当时有效的仲裁规则进行仲裁，仲裁地点为深圳市，仲裁裁决是终局性的并对各方当事人具有约束力，仲裁费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托管协议受中国法律（为托管协议之目的，在此不包括香港、澳门特别行政区和台湾地区法律）管辖。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托管协议双方当事人经协商一致，可以对协议进行修改。修改后的新协议，其内容不得与基金合同的规定有任何冲突。基金托管协议的变更应报中国证监会备案。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2、基金托管人因解散、破产、撤销等事由，不能继续担任基金托管人的职务，而在6个月内无其他适当的托管机构承接其原有权利义务； </w:t>
      </w:r>
    </w:p>
    <w:p>
      <w:pPr>
        <w:pStyle w:val="7"/>
        <w:spacing w:before="0" w:beforeAutospacing="0" w:after="0" w:afterAutospacing="0" w:line="360" w:lineRule="auto"/>
        <w:ind w:firstLine="420"/>
        <w:rPr>
          <w:sz w:val="21"/>
          <w:szCs w:val="21"/>
        </w:rPr>
      </w:pPr>
      <w:r>
        <w:rPr>
          <w:rFonts w:hint="eastAsia"/>
          <w:sz w:val="21"/>
          <w:szCs w:val="21"/>
        </w:rPr>
        <w:t xml:space="preserve">3、基金管理人因解散、破产、撤销等事由，不能继续担任基金管理人的职务，而在6个月内无其他适当的基金管理人承接其原有权利义务；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bookmarkStart w:id="215" w:name="chapter_level1_24_72_section_1_end"/>
      <w:bookmarkEnd w:id="215"/>
      <w:r>
        <w:rPr>
          <w:rFonts w:hint="eastAsia"/>
          <w:sz w:val="21"/>
          <w:szCs w:val="21"/>
        </w:rPr>
        <w:t xml:space="preserve">基金管理人与基金托管人按照《基金合同》的约定处理基金财产的清算。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6" w:name="_Toc207986297"/>
      <w:bookmarkStart w:id="217" w:name="chapter_level1_25_75"/>
      <w:r>
        <w:rPr>
          <w:rFonts w:hint="eastAsia" w:ascii="宋体" w:hAnsi="宋体" w:eastAsia="宋体"/>
          <w:sz w:val="30"/>
        </w:rPr>
        <w:t>第二十一部分  对基金份额持有人的服务</w:t>
      </w:r>
      <w:bookmarkEnd w:id="216"/>
      <w:bookmarkEnd w:id="217"/>
    </w:p>
    <w:p>
      <w:pPr>
        <w:pStyle w:val="7"/>
        <w:spacing w:before="0" w:beforeAutospacing="0" w:after="0" w:afterAutospacing="0" w:line="360" w:lineRule="auto"/>
        <w:ind w:firstLine="420"/>
        <w:rPr>
          <w:sz w:val="21"/>
          <w:szCs w:val="21"/>
        </w:rPr>
      </w:pPr>
      <w:bookmarkStart w:id="218" w:name="chapter_level1_25_75_section_1"/>
      <w:bookmarkEnd w:id="21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9" w:name="chapter_level1_25_75_section_1_end"/>
      <w:bookmarkEnd w:id="219"/>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0" w:name="_Toc207986298"/>
      <w:bookmarkStart w:id="221" w:name="chapter_level1_26_3499"/>
      <w:r>
        <w:rPr>
          <w:rFonts w:hint="eastAsia" w:ascii="宋体" w:hAnsi="宋体" w:eastAsia="宋体"/>
          <w:sz w:val="30"/>
        </w:rPr>
        <w:t>第二十二部分 其他应披露的事项</w:t>
      </w:r>
      <w:bookmarkEnd w:id="220"/>
      <w:bookmarkEnd w:id="221"/>
    </w:p>
    <w:p>
      <w:pPr>
        <w:pStyle w:val="7"/>
        <w:spacing w:before="0" w:beforeAutospacing="0" w:after="0" w:afterAutospacing="0" w:line="360" w:lineRule="auto"/>
        <w:ind w:firstLine="420"/>
        <w:rPr>
          <w:sz w:val="21"/>
          <w:szCs w:val="21"/>
        </w:rPr>
      </w:pPr>
      <w:bookmarkStart w:id="222" w:name="chapter_level1_26_3499_section_1"/>
      <w:bookmarkEnd w:id="222"/>
      <w:bookmarkStart w:id="223" w:name="field_0_bsrevealinfo_1_start"/>
      <w:bookmarkEnd w:id="223"/>
      <w:r>
        <w:rPr>
          <w:rFonts w:hint="eastAsia"/>
          <w:sz w:val="21"/>
          <w:szCs w:val="21"/>
        </w:rPr>
        <w:t>（一）、2025年8月29日，我公司公告了《博时裕坤纯债3个月定期开放债券型发起式证券投资基金2025年中期报告》；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（二）、2025年7月21日，我公司公告了《博时裕坤纯债3个月定期开放债券型发起式证券投资基金2025年第2季度报告》；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（三）、2025年6月26日，我公司公告了《博时裕坤纯债3个月定期开放债券型发起式证券投资基金基金产品资料概要更新》；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6日，我公司公告了《博时裕坤纯债3个月定期开放债券型发起式证券投资基金开放申购、赎回业务的公告》、《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（六）、2025年5月19日，我公司公告了《博时裕坤纯债3个月定期开放债券型发起式证券投资基金基金产品资料概要更新》；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七）、2025年5月16日，我公司公告了《博时裕坤纯债3个月定期开放债券型发起式证券投资基金更新招募说明书》、《博时基金管理有限公司关于博时裕坤纯债3个月定期开放债券型发起式证券投资基金的基金经理变更的公告》；</w:t>
      </w:r>
    </w:p>
    <w:p>
      <w:pPr>
        <w:pStyle w:val="7"/>
        <w:spacing w:before="0" w:beforeAutospacing="0" w:after="0" w:afterAutospacing="0" w:line="360" w:lineRule="auto"/>
        <w:ind w:firstLine="420"/>
        <w:rPr>
          <w:sz w:val="21"/>
          <w:szCs w:val="21"/>
        </w:rPr>
      </w:pPr>
      <w:r>
        <w:rPr>
          <w:rFonts w:hint="eastAsia"/>
          <w:sz w:val="21"/>
          <w:szCs w:val="21"/>
        </w:rPr>
        <w:t>（八）、2025年4月22日，我公司公告了《博时裕坤纯债3个月定期开放债券型发起式证券投资基金2025年第1季度报告》；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（九）、2025年4月16日，我公司公告了《博时裕坤纯债3个月定期开放债券型发起式证券投资基金基金产品资料概要更新》；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十）、2025年4月15日，我公司公告了《博时裕坤纯债3个月定期开放债券型发起式证券投资基金更新招募说明书》、《博时基金管理有限公司关于博时裕坤纯债3个月定期开放债券型发起式证券投资基金的基金经理变更的公告》；</w:t>
      </w:r>
    </w:p>
    <w:p>
      <w:pPr>
        <w:pStyle w:val="7"/>
        <w:spacing w:before="0" w:beforeAutospacing="0" w:after="0" w:afterAutospacing="0" w:line="360" w:lineRule="auto"/>
        <w:ind w:firstLine="420"/>
        <w:rPr>
          <w:sz w:val="21"/>
          <w:szCs w:val="21"/>
        </w:rPr>
      </w:pPr>
      <w:r>
        <w:rPr>
          <w:rFonts w:hint="eastAsia"/>
          <w:sz w:val="21"/>
          <w:szCs w:val="21"/>
        </w:rPr>
        <w:t>（十一）、2025年4月8日，我公司公告了《博时基金管理有限公司关于运用公司固有资金投资旗下公募基金的公告》、《博时基金管理有限公司关于旗下基金持有的长期停牌股票调整估值方法的公告-20250408》；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（十二）、2025年3月31日，我公司公告了《博时基金管理有限公司旗下公募基金通过证券公司证券交易及佣金支付情况（2024年度）》、《博时裕坤纯债3个月定期开放债券型发起式证券投资基金2024年年度报告》；</w:t>
      </w:r>
    </w:p>
    <w:p>
      <w:pPr>
        <w:pStyle w:val="7"/>
        <w:spacing w:before="0" w:beforeAutospacing="0" w:after="0" w:afterAutospacing="0" w:line="360" w:lineRule="auto"/>
        <w:ind w:firstLine="420"/>
        <w:rPr>
          <w:sz w:val="21"/>
          <w:szCs w:val="21"/>
        </w:rPr>
      </w:pPr>
      <w:r>
        <w:rPr>
          <w:rFonts w:hint="eastAsia"/>
          <w:sz w:val="21"/>
          <w:szCs w:val="21"/>
        </w:rPr>
        <w:t>（十三）、2025年3月25日，我公司公告了《博时基金管理有限公司关于旗下基金持有的长期停牌股票调整估值方法的公告-20250325》；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（十四）、2025年1月22日，我公司公告了《博时裕坤纯债3个月定期开放债券型发起式证券投资基金2024年第4季度报告》；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（十五）、2025年1月21日，我公司公告了《博时裕坤纯债3个月定期开放债券型发起式证券投资基金开放申购、赎回、转换业务的公告》；</w:t>
      </w:r>
    </w:p>
    <w:p>
      <w:pPr>
        <w:pStyle w:val="7"/>
        <w:spacing w:before="0" w:beforeAutospacing="0" w:after="0" w:afterAutospacing="0" w:line="360" w:lineRule="auto"/>
        <w:ind w:firstLine="420"/>
        <w:rPr>
          <w:sz w:val="21"/>
          <w:szCs w:val="21"/>
        </w:rPr>
      </w:pPr>
      <w:r>
        <w:rPr>
          <w:rFonts w:hint="eastAsia"/>
          <w:sz w:val="21"/>
          <w:szCs w:val="21"/>
        </w:rPr>
        <w:t>（十六）、2024年12月27日，我公司公告了《博时基金管理有限公司关于旗下193只基金改聘会计师事务所的公告》；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（十七）、2024年12月7日，我公司公告了《博时基金管理有限公司关于高级管理人员变更的公告》；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（十八）、2024年11月18日，我公司公告了《博时基金管理有限公司关于终止乾道基金销售有限公司办理旗下基金销售业务的公告》；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（十九）、2024年11月6日，我公司公告了《博时基金管理有限公司关于旗下基金持有的长期停牌股票调整估值方法的公告-20241106》；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（二十）、2024年10月25日，我公司公告了《博时裕坤纯债3个月定期开放债券型发起式证券投资基金2024年第3季度报告》；</w:t>
      </w:r>
    </w:p>
    <w:p>
      <w:pPr>
        <w:pStyle w:val="7"/>
        <w:spacing w:before="0" w:beforeAutospacing="0" w:after="0" w:afterAutospacing="0" w:line="360" w:lineRule="auto"/>
        <w:ind w:firstLine="420"/>
        <w:rPr>
          <w:sz w:val="21"/>
          <w:szCs w:val="21"/>
        </w:rPr>
      </w:pPr>
      <w:r>
        <w:rPr>
          <w:rFonts w:hint="eastAsia"/>
          <w:sz w:val="21"/>
          <w:szCs w:val="21"/>
        </w:rPr>
        <w:t>（二十一）、2024年9月30日，我公司公告了《博时裕坤纯债3个月定期开放债券型发起式证券投资基金更新招募说明书》；</w:t>
      </w:r>
    </w:p>
    <w:p>
      <w:pPr>
        <w:pStyle w:val="7"/>
        <w:spacing w:before="0" w:beforeAutospacing="0" w:after="0" w:afterAutospacing="0" w:line="360" w:lineRule="auto"/>
        <w:ind w:firstLine="420"/>
        <w:rPr>
          <w:sz w:val="21"/>
          <w:szCs w:val="21"/>
        </w:rPr>
      </w:pPr>
      <w:r>
        <w:rPr>
          <w:rFonts w:hint="eastAsia"/>
          <w:sz w:val="21"/>
          <w:szCs w:val="21"/>
        </w:rPr>
        <w:t>（二十二）、2024年9月25日，我公司公告了《博时基金管理有限公司关于旗下基金持有的长期停牌股票调整估值方法的公告-20240925》；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（二十三）、2024年9月21日，我公司公告了《博时基金管理有限公司关于董事会成员变更的公告》；</w:t>
      </w:r>
    </w:p>
    <w:p>
      <w:pPr>
        <w:pStyle w:val="7"/>
        <w:spacing w:before="0" w:beforeAutospacing="0" w:after="0" w:afterAutospacing="0" w:line="360" w:lineRule="auto"/>
        <w:ind w:firstLine="420"/>
        <w:rPr>
          <w:sz w:val="21"/>
          <w:szCs w:val="21"/>
        </w:rPr>
      </w:pPr>
      <w:r>
        <w:rPr>
          <w:rFonts w:hint="eastAsia"/>
          <w:sz w:val="21"/>
          <w:szCs w:val="21"/>
        </w:rPr>
        <w:t>（二十四）、2024年9月20日，我公司公告了《博时裕坤纯债3个月定期开放债券型发起式证券投资基金开放申购、赎回、转换业务的公告》、《博时裕坤纯债3个月定期开放</w:t>
      </w:r>
      <w:bookmarkStart w:id="224" w:name="chapter_level1_26_3499_section_1_end"/>
      <w:bookmarkEnd w:id="224"/>
      <w:r>
        <w:rPr>
          <w:rFonts w:hint="eastAsia"/>
          <w:sz w:val="21"/>
          <w:szCs w:val="21"/>
        </w:rPr>
        <w:t>债券型发起式证券投资基金分红公告》。</w:t>
      </w:r>
      <w:bookmarkStart w:id="225" w:name="field_0_bsrevealinfo_1_end"/>
      <w:bookmarkEnd w:id="22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6" w:name="chapter_level1_27_77"/>
      <w:bookmarkStart w:id="227" w:name="_Toc207986299"/>
      <w:r>
        <w:rPr>
          <w:rFonts w:hint="eastAsia" w:ascii="宋体" w:hAnsi="宋体" w:eastAsia="宋体"/>
          <w:sz w:val="30"/>
        </w:rPr>
        <w:t>第二十三部分  招募说明书存放及查阅方式</w:t>
      </w:r>
      <w:bookmarkEnd w:id="226"/>
      <w:bookmarkEnd w:id="227"/>
    </w:p>
    <w:p>
      <w:pPr>
        <w:pStyle w:val="7"/>
        <w:spacing w:before="0" w:beforeAutospacing="0" w:after="0" w:afterAutospacing="0" w:line="360" w:lineRule="auto"/>
        <w:ind w:firstLine="420"/>
        <w:rPr>
          <w:sz w:val="21"/>
          <w:szCs w:val="21"/>
        </w:rPr>
      </w:pPr>
      <w:bookmarkStart w:id="228" w:name="chapter_level1_27_77_section_1"/>
      <w:bookmarkEnd w:id="228"/>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29" w:name="chapter_level1_27_77_section_1_end"/>
      <w:bookmarkEnd w:id="229"/>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30" w:name="chapter_level1_28_332"/>
      <w:bookmarkStart w:id="231" w:name="_Toc207986300"/>
      <w:r>
        <w:rPr>
          <w:rFonts w:hint="eastAsia" w:ascii="宋体" w:hAnsi="宋体" w:eastAsia="宋体"/>
          <w:sz w:val="30"/>
        </w:rPr>
        <w:t>第二十四部分  备查文件</w:t>
      </w:r>
      <w:bookmarkEnd w:id="230"/>
      <w:bookmarkEnd w:id="231"/>
    </w:p>
    <w:p>
      <w:pPr>
        <w:pStyle w:val="7"/>
        <w:spacing w:before="0" w:beforeAutospacing="0" w:after="0" w:afterAutospacing="0" w:line="360" w:lineRule="auto"/>
        <w:ind w:firstLine="420"/>
        <w:rPr>
          <w:sz w:val="21"/>
          <w:szCs w:val="21"/>
        </w:rPr>
      </w:pPr>
      <w:bookmarkStart w:id="232" w:name="chapter_level1_28_332_section_1"/>
      <w:bookmarkEnd w:id="232"/>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33" w:name="field_0_productfullname_19"/>
      <w:r>
        <w:rPr>
          <w:rFonts w:hint="eastAsia"/>
          <w:sz w:val="21"/>
          <w:szCs w:val="21"/>
        </w:rPr>
        <w:t>博时裕坤纯债</w:t>
      </w:r>
      <w:r>
        <w:rPr>
          <w:sz w:val="21"/>
          <w:szCs w:val="21"/>
        </w:rPr>
        <w:t>3个月定期开放债券型发起式证券投资基金</w:t>
      </w:r>
      <w:bookmarkEnd w:id="233"/>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34" w:name="field_0_productfullname_20"/>
      <w:r>
        <w:rPr>
          <w:rFonts w:hint="eastAsia"/>
          <w:sz w:val="21"/>
          <w:szCs w:val="21"/>
        </w:rPr>
        <w:t>博时裕坤纯债</w:t>
      </w:r>
      <w:r>
        <w:rPr>
          <w:sz w:val="21"/>
          <w:szCs w:val="21"/>
        </w:rPr>
        <w:t>3个月定期开放债券型发起式证券投资基金</w:t>
      </w:r>
      <w:bookmarkEnd w:id="234"/>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35" w:name="field_0_productfullname_21"/>
      <w:r>
        <w:rPr>
          <w:rFonts w:hint="eastAsia"/>
          <w:sz w:val="21"/>
          <w:szCs w:val="21"/>
        </w:rPr>
        <w:t>博时裕坤纯债</w:t>
      </w:r>
      <w:r>
        <w:rPr>
          <w:sz w:val="21"/>
          <w:szCs w:val="21"/>
        </w:rPr>
        <w:t>3个月定期开放债券型发起式证券投资基金</w:t>
      </w:r>
      <w:bookmarkEnd w:id="235"/>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（六）关于变更博时裕坤纯债债券型证券投资基金注册事项之法律意见书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6" w:name="field_0_managerorgfullname_8"/>
      <w:r>
        <w:rPr>
          <w:rFonts w:hint="eastAsia"/>
          <w:sz w:val="21"/>
          <w:szCs w:val="21"/>
        </w:rPr>
        <w:t>博时基金管理有限公司</w:t>
      </w:r>
      <w:bookmarkEnd w:id="236"/>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7" w:name="chapter_level1_28_332_section_1_end"/>
      <w:bookmarkEnd w:id="237"/>
      <w:bookmarkStart w:id="238"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238"/>
      <w:r>
        <w:rPr>
          <w:rFonts w:hint="eastAsia"/>
          <w:sz w:val="21"/>
          <w:szCs w:val="21"/>
        </w:rPr>
        <w:t xml:space="preserve">  </w:t>
      </w:r>
    </w:p>
    <w:p>
      <w:pPr>
        <w:rPr>
          <w:rFonts w:ascii="宋体" w:hAnsi="宋体" w:eastAsia="宋体"/>
        </w:rPr>
      </w:pPr>
      <w:bookmarkStart w:id="239" w:name="end"/>
      <w:bookmarkEnd w:id="23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129</w:t>
    </w:r>
    <w:r>
      <w:fldChar w:fldCharType="end"/>
    </w:r>
    <w:r>
      <w:rPr>
        <w:rFonts w:hint="eastAsia"/>
      </w:rPr>
      <w:t>页 共</w:t>
    </w:r>
    <w:r>
      <w:fldChar w:fldCharType="begin"/>
    </w:r>
    <w:r>
      <w:instrText xml:space="preserve"> NumPages \* MERGEFORMAT </w:instrText>
    </w:r>
    <w:r>
      <w:fldChar w:fldCharType="separate"/>
    </w:r>
    <w:r>
      <w:t>129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博时裕坤纯债3个月定期开放债券型发起式证券投资基金更新招募说明书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288"/>
    <w:rsid w:val="004E6C2F"/>
    <w:rsid w:val="006A5288"/>
    <w:rsid w:val="00E80C19"/>
    <w:rsid w:val="16421E9B"/>
    <w:rsid w:val="39167282"/>
    <w:rsid w:val="491B1F01"/>
    <w:rsid w:val="561A1202"/>
    <w:rsid w:val="6A58586E"/>
    <w:rsid w:val="741C6F04"/>
    <w:rsid w:val="7E1A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129</Pages>
  <Words>14952</Words>
  <Characters>85228</Characters>
  <Lines>710</Lines>
  <Paragraphs>199</Paragraphs>
  <TotalTime>1</TotalTime>
  <ScaleCrop>false</ScaleCrop>
  <LinksUpToDate>false</LinksUpToDate>
  <CharactersWithSpaces>99981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2025-09-05T09:37:00Z</dcterms:created>
  <dc:creator>BSKMadminDev</dc:creator>
  <cp:lastModifiedBy>huangzw</cp:lastModifiedBy>
  <dcterms:modified xsi:type="dcterms:W3CDTF">2026-04-30T06:28:33Z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0D4ACAD8E5364A9090F9276CDF7B2547</vt:lpwstr>
  </property>
</Properties>
</file>