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29451">
      <w:pPr>
        <w:spacing w:line="500" w:lineRule="exact"/>
        <w:jc w:val="center"/>
        <w:rPr>
          <w:rFonts w:ascii="宋体"/>
          <w:b/>
          <w:bCs/>
          <w:sz w:val="48"/>
          <w:szCs w:val="48"/>
        </w:rPr>
      </w:pPr>
    </w:p>
    <w:p w14:paraId="0E455283">
      <w:pPr>
        <w:spacing w:line="500" w:lineRule="exact"/>
        <w:jc w:val="center"/>
        <w:rPr>
          <w:rFonts w:ascii="宋体"/>
          <w:b/>
          <w:bCs/>
          <w:sz w:val="48"/>
          <w:szCs w:val="48"/>
        </w:rPr>
      </w:pPr>
    </w:p>
    <w:p w14:paraId="49839CBF">
      <w:pPr>
        <w:spacing w:line="500" w:lineRule="exact"/>
        <w:jc w:val="center"/>
        <w:rPr>
          <w:rFonts w:ascii="宋体"/>
          <w:b/>
          <w:bCs/>
          <w:sz w:val="48"/>
          <w:szCs w:val="48"/>
        </w:rPr>
      </w:pPr>
    </w:p>
    <w:p w14:paraId="142E56B9">
      <w:pPr>
        <w:spacing w:line="500" w:lineRule="exact"/>
        <w:jc w:val="center"/>
        <w:rPr>
          <w:rFonts w:ascii="宋体"/>
          <w:b/>
          <w:bCs/>
          <w:sz w:val="48"/>
          <w:szCs w:val="48"/>
        </w:rPr>
      </w:pPr>
    </w:p>
    <w:p w14:paraId="50A8E4FD">
      <w:pPr>
        <w:spacing w:line="500" w:lineRule="exact"/>
        <w:jc w:val="center"/>
        <w:rPr>
          <w:rFonts w:ascii="宋体"/>
          <w:b/>
          <w:bCs/>
          <w:sz w:val="48"/>
          <w:szCs w:val="48"/>
        </w:rPr>
      </w:pPr>
    </w:p>
    <w:p w14:paraId="3950F190">
      <w:pPr>
        <w:spacing w:line="720" w:lineRule="auto"/>
        <w:jc w:val="center"/>
        <w:rPr>
          <w:rFonts w:ascii="宋体" w:hAnsi="宋体"/>
          <w:b/>
          <w:bCs/>
          <w:sz w:val="48"/>
          <w:szCs w:val="48"/>
        </w:rPr>
      </w:pPr>
      <w:r>
        <w:rPr>
          <w:rFonts w:ascii="宋体" w:hAnsi="宋体"/>
          <w:b/>
          <w:bCs/>
          <w:sz w:val="48"/>
          <w:szCs w:val="48"/>
        </w:rPr>
        <w:t>博时移动互联主题混合型证券投资基金</w:t>
      </w:r>
    </w:p>
    <w:p w14:paraId="7C3B449B">
      <w:pPr>
        <w:spacing w:line="720" w:lineRule="auto"/>
        <w:jc w:val="center"/>
        <w:rPr>
          <w:rFonts w:ascii="宋体"/>
          <w:b/>
          <w:bCs/>
          <w:sz w:val="48"/>
          <w:szCs w:val="48"/>
        </w:rPr>
      </w:pPr>
      <w:r>
        <w:rPr>
          <w:rFonts w:hint="eastAsia" w:ascii="宋体" w:hAnsi="宋体"/>
          <w:b/>
          <w:bCs/>
          <w:sz w:val="44"/>
        </w:rPr>
        <w:t>托管协议</w:t>
      </w:r>
    </w:p>
    <w:p w14:paraId="053D1CD0">
      <w:pPr>
        <w:spacing w:line="360" w:lineRule="auto"/>
        <w:ind w:left="4709" w:right="25" w:hanging="4709"/>
        <w:jc w:val="center"/>
        <w:rPr>
          <w:rFonts w:ascii="宋体"/>
          <w:b/>
          <w:bCs/>
          <w:sz w:val="44"/>
        </w:rPr>
      </w:pPr>
      <w:bookmarkStart w:id="128" w:name="_GoBack"/>
      <w:bookmarkEnd w:id="128"/>
    </w:p>
    <w:p w14:paraId="6F34F9F4">
      <w:pPr>
        <w:spacing w:line="360" w:lineRule="auto"/>
        <w:jc w:val="center"/>
        <w:rPr>
          <w:rFonts w:ascii="宋体"/>
          <w:b/>
          <w:sz w:val="30"/>
          <w:szCs w:val="30"/>
        </w:rPr>
      </w:pPr>
    </w:p>
    <w:p w14:paraId="05DC5CA2">
      <w:pPr>
        <w:spacing w:line="360" w:lineRule="auto"/>
        <w:jc w:val="center"/>
        <w:rPr>
          <w:rFonts w:ascii="宋体"/>
          <w:b/>
          <w:sz w:val="30"/>
          <w:szCs w:val="30"/>
        </w:rPr>
      </w:pPr>
    </w:p>
    <w:p w14:paraId="1F63D3B8">
      <w:pPr>
        <w:spacing w:line="360" w:lineRule="auto"/>
        <w:jc w:val="center"/>
        <w:rPr>
          <w:rFonts w:ascii="宋体"/>
          <w:b/>
          <w:sz w:val="30"/>
          <w:szCs w:val="30"/>
        </w:rPr>
      </w:pPr>
    </w:p>
    <w:p w14:paraId="04B3E30F">
      <w:pPr>
        <w:spacing w:line="360" w:lineRule="auto"/>
        <w:jc w:val="center"/>
        <w:rPr>
          <w:rFonts w:ascii="宋体"/>
          <w:b/>
          <w:sz w:val="30"/>
          <w:szCs w:val="30"/>
        </w:rPr>
      </w:pPr>
    </w:p>
    <w:p w14:paraId="0C8BF65E">
      <w:pPr>
        <w:spacing w:line="360" w:lineRule="auto"/>
        <w:jc w:val="center"/>
        <w:rPr>
          <w:rFonts w:ascii="宋体"/>
          <w:b/>
          <w:sz w:val="30"/>
          <w:szCs w:val="30"/>
        </w:rPr>
      </w:pPr>
    </w:p>
    <w:p w14:paraId="702B39A7">
      <w:pPr>
        <w:spacing w:line="360" w:lineRule="auto"/>
        <w:jc w:val="center"/>
        <w:rPr>
          <w:rFonts w:ascii="宋体"/>
          <w:b/>
          <w:sz w:val="30"/>
          <w:szCs w:val="30"/>
        </w:rPr>
      </w:pPr>
    </w:p>
    <w:p w14:paraId="161A21F0">
      <w:pPr>
        <w:spacing w:line="360" w:lineRule="auto"/>
        <w:rPr>
          <w:rFonts w:ascii="宋体"/>
          <w:b/>
          <w:sz w:val="30"/>
          <w:szCs w:val="30"/>
        </w:rPr>
      </w:pPr>
    </w:p>
    <w:p w14:paraId="4EA21CE3">
      <w:pPr>
        <w:spacing w:line="500" w:lineRule="exact"/>
        <w:ind w:left="1079"/>
        <w:rPr>
          <w:rFonts w:ascii="宋体"/>
          <w:b/>
          <w:bCs/>
          <w:sz w:val="36"/>
          <w:szCs w:val="36"/>
        </w:rPr>
      </w:pPr>
      <w:r>
        <w:rPr>
          <w:rFonts w:hint="eastAsia" w:ascii="宋体" w:hAnsi="宋体"/>
          <w:b/>
          <w:bCs/>
          <w:sz w:val="36"/>
          <w:szCs w:val="36"/>
        </w:rPr>
        <w:t>基金管理人：</w:t>
      </w:r>
      <w:r>
        <w:rPr>
          <w:rFonts w:ascii="宋体" w:hAnsi="宋体"/>
          <w:b/>
          <w:bCs/>
          <w:sz w:val="36"/>
          <w:szCs w:val="36"/>
        </w:rPr>
        <w:t>博时基金管理有限公司</w:t>
      </w:r>
    </w:p>
    <w:p w14:paraId="65393030">
      <w:pPr>
        <w:ind w:left="1079"/>
        <w:rPr>
          <w:rFonts w:ascii="宋体"/>
        </w:rPr>
      </w:pPr>
      <w:r>
        <w:rPr>
          <w:rFonts w:hint="eastAsia" w:ascii="宋体" w:hAnsi="宋体"/>
          <w:b/>
          <w:bCs/>
          <w:sz w:val="36"/>
          <w:szCs w:val="36"/>
        </w:rPr>
        <w:t>基金托管人：交通银行股份有限公司</w:t>
      </w:r>
    </w:p>
    <w:p w14:paraId="3D954244">
      <w:pPr>
        <w:ind w:left="1079"/>
        <w:sectPr>
          <w:footerReference r:id="rId5" w:type="first"/>
          <w:headerReference r:id="rId3" w:type="default"/>
          <w:footerReference r:id="rId4" w:type="even"/>
          <w:pgSz w:w="11906" w:h="16838"/>
          <w:pgMar w:top="1440" w:right="1800" w:bottom="1440" w:left="1800" w:header="851" w:footer="992" w:gutter="0"/>
          <w:pgNumType w:start="1"/>
          <w:cols w:space="425" w:num="1"/>
          <w:docGrid w:type="lines" w:linePitch="312" w:charSpace="0"/>
        </w:sectPr>
      </w:pPr>
    </w:p>
    <w:p w14:paraId="5E134AC5">
      <w:pPr>
        <w:spacing w:line="360" w:lineRule="auto"/>
        <w:jc w:val="center"/>
        <w:rPr>
          <w:rFonts w:ascii="宋体"/>
          <w:b/>
          <w:sz w:val="44"/>
          <w:szCs w:val="44"/>
        </w:rPr>
      </w:pPr>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p>
    <w:p w14:paraId="73120307">
      <w:pPr>
        <w:pStyle w:val="14"/>
        <w:rPr>
          <w:rFonts w:ascii="Calibri" w:hAnsi="Calibri" w:cs="Calibri"/>
          <w:b w:val="0"/>
          <w:caps w:val="0"/>
          <w:sz w:val="21"/>
          <w:szCs w:val="22"/>
        </w:rPr>
      </w:pPr>
      <w:r>
        <w:rPr>
          <w:rStyle w:val="28"/>
          <w:rFonts w:ascii="宋体" w:hAnsi="宋体"/>
          <w:bCs/>
          <w:color w:val="auto"/>
          <w:sz w:val="24"/>
          <w:szCs w:val="24"/>
        </w:rPr>
        <w:fldChar w:fldCharType="begin"/>
      </w:r>
      <w:r>
        <w:rPr>
          <w:rStyle w:val="28"/>
          <w:rFonts w:ascii="宋体" w:hAnsi="宋体"/>
          <w:bCs/>
          <w:color w:val="auto"/>
          <w:sz w:val="24"/>
          <w:szCs w:val="24"/>
        </w:rPr>
        <w:instrText xml:space="preserve"> TOC \h \z \t "</w:instrText>
      </w:r>
      <w:r>
        <w:rPr>
          <w:rStyle w:val="28"/>
          <w:rFonts w:hint="eastAsia" w:ascii="宋体" w:hAnsi="宋体"/>
          <w:bCs/>
          <w:color w:val="auto"/>
          <w:sz w:val="24"/>
          <w:szCs w:val="24"/>
        </w:rPr>
        <w:instrText xml:space="preserve">标题</w:instrText>
      </w:r>
      <w:r>
        <w:rPr>
          <w:rStyle w:val="28"/>
          <w:rFonts w:ascii="宋体" w:hAnsi="宋体"/>
          <w:bCs/>
          <w:color w:val="auto"/>
          <w:sz w:val="24"/>
          <w:szCs w:val="24"/>
        </w:rPr>
        <w:instrText xml:space="preserve"> 1,1" </w:instrText>
      </w:r>
      <w:r>
        <w:rPr>
          <w:rStyle w:val="28"/>
          <w:rFonts w:ascii="宋体" w:hAnsi="宋体"/>
          <w:bCs/>
          <w:color w:val="auto"/>
          <w:sz w:val="24"/>
          <w:szCs w:val="24"/>
        </w:rPr>
        <w:fldChar w:fldCharType="separate"/>
      </w:r>
      <w:r>
        <w:fldChar w:fldCharType="begin"/>
      </w:r>
      <w:r>
        <w:instrText xml:space="preserve"> HYPERLINK \l "_Toc35001426" \o "当前文档" </w:instrText>
      </w:r>
      <w:r>
        <w:fldChar w:fldCharType="separate"/>
      </w:r>
      <w:r>
        <w:rPr>
          <w:rStyle w:val="28"/>
          <w:rFonts w:hint="eastAsia"/>
        </w:rPr>
        <w:t>一、基金托管协议当事人</w:t>
      </w:r>
      <w:r>
        <w:tab/>
      </w:r>
      <w:r>
        <w:fldChar w:fldCharType="begin"/>
      </w:r>
      <w:r>
        <w:instrText xml:space="preserve"> PAGEREF _Toc35001426 \h </w:instrText>
      </w:r>
      <w:r>
        <w:fldChar w:fldCharType="separate"/>
      </w:r>
      <w:r>
        <w:t>3</w:t>
      </w:r>
      <w:r>
        <w:fldChar w:fldCharType="end"/>
      </w:r>
      <w:r>
        <w:fldChar w:fldCharType="end"/>
      </w:r>
    </w:p>
    <w:p w14:paraId="0C561744">
      <w:pPr>
        <w:pStyle w:val="14"/>
        <w:rPr>
          <w:rFonts w:ascii="Calibri" w:hAnsi="Calibri" w:cs="Calibri"/>
          <w:b w:val="0"/>
          <w:caps w:val="0"/>
          <w:sz w:val="21"/>
          <w:szCs w:val="22"/>
        </w:rPr>
      </w:pPr>
      <w:r>
        <w:fldChar w:fldCharType="begin"/>
      </w:r>
      <w:r>
        <w:instrText xml:space="preserve"> HYPERLINK \l "_Toc35001427" \o "当前文档" </w:instrText>
      </w:r>
      <w:r>
        <w:fldChar w:fldCharType="separate"/>
      </w:r>
      <w:r>
        <w:rPr>
          <w:rStyle w:val="28"/>
          <w:rFonts w:hint="eastAsia"/>
        </w:rPr>
        <w:t>二、基金托管协议的依据、目的和原则</w:t>
      </w:r>
      <w:r>
        <w:tab/>
      </w:r>
      <w:r>
        <w:fldChar w:fldCharType="begin"/>
      </w:r>
      <w:r>
        <w:instrText xml:space="preserve"> PAGEREF _Toc35001427 \h </w:instrText>
      </w:r>
      <w:r>
        <w:fldChar w:fldCharType="separate"/>
      </w:r>
      <w:r>
        <w:t>4</w:t>
      </w:r>
      <w:r>
        <w:fldChar w:fldCharType="end"/>
      </w:r>
      <w:r>
        <w:fldChar w:fldCharType="end"/>
      </w:r>
    </w:p>
    <w:p w14:paraId="00B8D8A3">
      <w:pPr>
        <w:pStyle w:val="14"/>
        <w:rPr>
          <w:rFonts w:ascii="Calibri" w:hAnsi="Calibri" w:cs="Calibri"/>
          <w:b w:val="0"/>
          <w:caps w:val="0"/>
          <w:sz w:val="21"/>
          <w:szCs w:val="22"/>
        </w:rPr>
      </w:pPr>
      <w:r>
        <w:fldChar w:fldCharType="begin"/>
      </w:r>
      <w:r>
        <w:instrText xml:space="preserve"> HYPERLINK \l "_Toc35001428" \o "当前文档" </w:instrText>
      </w:r>
      <w:r>
        <w:fldChar w:fldCharType="separate"/>
      </w:r>
      <w:r>
        <w:rPr>
          <w:rStyle w:val="28"/>
          <w:rFonts w:hint="eastAsia"/>
        </w:rPr>
        <w:t>三、基金托管人对基金管理人的业务监督和核查</w:t>
      </w:r>
      <w:r>
        <w:tab/>
      </w:r>
      <w:r>
        <w:fldChar w:fldCharType="begin"/>
      </w:r>
      <w:r>
        <w:instrText xml:space="preserve"> PAGEREF _Toc35001428 \h </w:instrText>
      </w:r>
      <w:r>
        <w:fldChar w:fldCharType="separate"/>
      </w:r>
      <w:r>
        <w:t>4</w:t>
      </w:r>
      <w:r>
        <w:fldChar w:fldCharType="end"/>
      </w:r>
      <w:r>
        <w:fldChar w:fldCharType="end"/>
      </w:r>
    </w:p>
    <w:p w14:paraId="01D22A34">
      <w:pPr>
        <w:pStyle w:val="14"/>
        <w:rPr>
          <w:rFonts w:ascii="Calibri" w:hAnsi="Calibri" w:cs="Calibri"/>
          <w:b w:val="0"/>
          <w:caps w:val="0"/>
          <w:sz w:val="21"/>
          <w:szCs w:val="22"/>
        </w:rPr>
      </w:pPr>
      <w:r>
        <w:fldChar w:fldCharType="begin"/>
      </w:r>
      <w:r>
        <w:instrText xml:space="preserve"> HYPERLINK \l "_Toc35001429" \o "当前文档" </w:instrText>
      </w:r>
      <w:r>
        <w:fldChar w:fldCharType="separate"/>
      </w:r>
      <w:r>
        <w:rPr>
          <w:rStyle w:val="28"/>
          <w:rFonts w:hint="eastAsia"/>
        </w:rPr>
        <w:t>四、基金管理人对基金托管人的业务核查</w:t>
      </w:r>
      <w:r>
        <w:tab/>
      </w:r>
      <w:r>
        <w:fldChar w:fldCharType="begin"/>
      </w:r>
      <w:r>
        <w:instrText xml:space="preserve"> PAGEREF _Toc35001429 \h </w:instrText>
      </w:r>
      <w:r>
        <w:fldChar w:fldCharType="separate"/>
      </w:r>
      <w:r>
        <w:t>11</w:t>
      </w:r>
      <w:r>
        <w:fldChar w:fldCharType="end"/>
      </w:r>
      <w:r>
        <w:fldChar w:fldCharType="end"/>
      </w:r>
    </w:p>
    <w:p w14:paraId="268F2795">
      <w:pPr>
        <w:pStyle w:val="14"/>
        <w:rPr>
          <w:rFonts w:ascii="Calibri" w:hAnsi="Calibri" w:cs="Calibri"/>
          <w:b w:val="0"/>
          <w:caps w:val="0"/>
          <w:sz w:val="21"/>
          <w:szCs w:val="22"/>
        </w:rPr>
      </w:pPr>
      <w:r>
        <w:fldChar w:fldCharType="begin"/>
      </w:r>
      <w:r>
        <w:instrText xml:space="preserve"> HYPERLINK \l "_Toc35001430" \o "当前文档" </w:instrText>
      </w:r>
      <w:r>
        <w:fldChar w:fldCharType="separate"/>
      </w:r>
      <w:r>
        <w:rPr>
          <w:rStyle w:val="28"/>
          <w:rFonts w:hint="eastAsia"/>
        </w:rPr>
        <w:t>五、基金财产的保管</w:t>
      </w:r>
      <w:r>
        <w:tab/>
      </w:r>
      <w:r>
        <w:fldChar w:fldCharType="begin"/>
      </w:r>
      <w:r>
        <w:instrText xml:space="preserve"> PAGEREF _Toc35001430 \h </w:instrText>
      </w:r>
      <w:r>
        <w:fldChar w:fldCharType="separate"/>
      </w:r>
      <w:r>
        <w:t>11</w:t>
      </w:r>
      <w:r>
        <w:fldChar w:fldCharType="end"/>
      </w:r>
      <w:r>
        <w:fldChar w:fldCharType="end"/>
      </w:r>
    </w:p>
    <w:p w14:paraId="13C5723F">
      <w:pPr>
        <w:pStyle w:val="14"/>
        <w:rPr>
          <w:rFonts w:ascii="Calibri" w:hAnsi="Calibri" w:cs="Calibri"/>
          <w:b w:val="0"/>
          <w:caps w:val="0"/>
          <w:sz w:val="21"/>
          <w:szCs w:val="22"/>
        </w:rPr>
      </w:pPr>
      <w:r>
        <w:fldChar w:fldCharType="begin"/>
      </w:r>
      <w:r>
        <w:instrText xml:space="preserve"> HYPERLINK \l "_Toc35001431" \o "当前文档" </w:instrText>
      </w:r>
      <w:r>
        <w:fldChar w:fldCharType="separate"/>
      </w:r>
      <w:r>
        <w:rPr>
          <w:rStyle w:val="28"/>
          <w:rFonts w:hint="eastAsia"/>
        </w:rPr>
        <w:t>六、指令的发送、确认和执行</w:t>
      </w:r>
      <w:r>
        <w:tab/>
      </w:r>
      <w:r>
        <w:fldChar w:fldCharType="begin"/>
      </w:r>
      <w:r>
        <w:instrText xml:space="preserve"> PAGEREF _Toc35001431 \h </w:instrText>
      </w:r>
      <w:r>
        <w:fldChar w:fldCharType="separate"/>
      </w:r>
      <w:r>
        <w:t>14</w:t>
      </w:r>
      <w:r>
        <w:fldChar w:fldCharType="end"/>
      </w:r>
      <w:r>
        <w:fldChar w:fldCharType="end"/>
      </w:r>
    </w:p>
    <w:p w14:paraId="6AFB5710">
      <w:pPr>
        <w:pStyle w:val="14"/>
        <w:rPr>
          <w:rFonts w:ascii="Calibri" w:hAnsi="Calibri" w:cs="Calibri"/>
          <w:b w:val="0"/>
          <w:caps w:val="0"/>
          <w:sz w:val="21"/>
          <w:szCs w:val="22"/>
        </w:rPr>
      </w:pPr>
      <w:r>
        <w:fldChar w:fldCharType="begin"/>
      </w:r>
      <w:r>
        <w:instrText xml:space="preserve"> HYPERLINK \l "_Toc35001432" \o "当前文档" </w:instrText>
      </w:r>
      <w:r>
        <w:fldChar w:fldCharType="separate"/>
      </w:r>
      <w:r>
        <w:rPr>
          <w:rStyle w:val="28"/>
          <w:rFonts w:hint="eastAsia"/>
        </w:rPr>
        <w:t>七、交易及清算交收安排</w:t>
      </w:r>
      <w:r>
        <w:tab/>
      </w:r>
      <w:r>
        <w:fldChar w:fldCharType="begin"/>
      </w:r>
      <w:r>
        <w:instrText xml:space="preserve"> PAGEREF _Toc35001432 \h </w:instrText>
      </w:r>
      <w:r>
        <w:fldChar w:fldCharType="separate"/>
      </w:r>
      <w:r>
        <w:t>17</w:t>
      </w:r>
      <w:r>
        <w:fldChar w:fldCharType="end"/>
      </w:r>
      <w:r>
        <w:fldChar w:fldCharType="end"/>
      </w:r>
    </w:p>
    <w:p w14:paraId="2F9FE600">
      <w:pPr>
        <w:pStyle w:val="14"/>
        <w:rPr>
          <w:rFonts w:ascii="Calibri" w:hAnsi="Calibri" w:cs="Calibri"/>
          <w:b w:val="0"/>
          <w:caps w:val="0"/>
          <w:sz w:val="21"/>
          <w:szCs w:val="22"/>
        </w:rPr>
      </w:pPr>
      <w:r>
        <w:fldChar w:fldCharType="begin"/>
      </w:r>
      <w:r>
        <w:instrText xml:space="preserve"> HYPERLINK \l "_Toc35001433" \o "当前文档" </w:instrText>
      </w:r>
      <w:r>
        <w:fldChar w:fldCharType="separate"/>
      </w:r>
      <w:r>
        <w:rPr>
          <w:rStyle w:val="28"/>
          <w:rFonts w:hint="eastAsia"/>
        </w:rPr>
        <w:t>八、基金资产净值计算和会计核算</w:t>
      </w:r>
      <w:r>
        <w:tab/>
      </w:r>
      <w:r>
        <w:fldChar w:fldCharType="begin"/>
      </w:r>
      <w:r>
        <w:instrText xml:space="preserve"> PAGEREF _Toc35001433 \h </w:instrText>
      </w:r>
      <w:r>
        <w:fldChar w:fldCharType="separate"/>
      </w:r>
      <w:r>
        <w:t>20</w:t>
      </w:r>
      <w:r>
        <w:fldChar w:fldCharType="end"/>
      </w:r>
      <w:r>
        <w:fldChar w:fldCharType="end"/>
      </w:r>
    </w:p>
    <w:p w14:paraId="133A4E6F">
      <w:pPr>
        <w:pStyle w:val="14"/>
        <w:rPr>
          <w:rFonts w:ascii="Calibri" w:hAnsi="Calibri" w:cs="Calibri"/>
          <w:b w:val="0"/>
          <w:caps w:val="0"/>
          <w:sz w:val="21"/>
          <w:szCs w:val="22"/>
        </w:rPr>
      </w:pPr>
      <w:r>
        <w:fldChar w:fldCharType="begin"/>
      </w:r>
      <w:r>
        <w:instrText xml:space="preserve"> HYPERLINK \l "_Toc35001434" \o "当前文档" </w:instrText>
      </w:r>
      <w:r>
        <w:fldChar w:fldCharType="separate"/>
      </w:r>
      <w:r>
        <w:rPr>
          <w:rStyle w:val="28"/>
          <w:rFonts w:hint="eastAsia"/>
        </w:rPr>
        <w:t>九、基金收益分配</w:t>
      </w:r>
      <w:r>
        <w:tab/>
      </w:r>
      <w:r>
        <w:fldChar w:fldCharType="begin"/>
      </w:r>
      <w:r>
        <w:instrText xml:space="preserve"> PAGEREF _Toc35001434 \h </w:instrText>
      </w:r>
      <w:r>
        <w:fldChar w:fldCharType="separate"/>
      </w:r>
      <w:r>
        <w:t>25</w:t>
      </w:r>
      <w:r>
        <w:fldChar w:fldCharType="end"/>
      </w:r>
      <w:r>
        <w:fldChar w:fldCharType="end"/>
      </w:r>
    </w:p>
    <w:p w14:paraId="26C6F194">
      <w:pPr>
        <w:pStyle w:val="14"/>
        <w:rPr>
          <w:rFonts w:ascii="Calibri" w:hAnsi="Calibri" w:cs="Calibri"/>
          <w:b w:val="0"/>
          <w:caps w:val="0"/>
          <w:sz w:val="21"/>
          <w:szCs w:val="22"/>
        </w:rPr>
      </w:pPr>
      <w:r>
        <w:fldChar w:fldCharType="begin"/>
      </w:r>
      <w:r>
        <w:instrText xml:space="preserve"> HYPERLINK \l "_Toc35001435" \o "当前文档" </w:instrText>
      </w:r>
      <w:r>
        <w:fldChar w:fldCharType="separate"/>
      </w:r>
      <w:r>
        <w:rPr>
          <w:rStyle w:val="28"/>
          <w:rFonts w:hint="eastAsia"/>
        </w:rPr>
        <w:t>十、基金信息披露</w:t>
      </w:r>
      <w:r>
        <w:tab/>
      </w:r>
      <w:r>
        <w:fldChar w:fldCharType="begin"/>
      </w:r>
      <w:r>
        <w:instrText xml:space="preserve"> PAGEREF _Toc35001435 \h </w:instrText>
      </w:r>
      <w:r>
        <w:fldChar w:fldCharType="separate"/>
      </w:r>
      <w:r>
        <w:t>26</w:t>
      </w:r>
      <w:r>
        <w:fldChar w:fldCharType="end"/>
      </w:r>
      <w:r>
        <w:fldChar w:fldCharType="end"/>
      </w:r>
    </w:p>
    <w:p w14:paraId="07CD6053">
      <w:pPr>
        <w:pStyle w:val="14"/>
        <w:rPr>
          <w:rFonts w:ascii="Calibri" w:hAnsi="Calibri" w:cs="Calibri"/>
          <w:b w:val="0"/>
          <w:caps w:val="0"/>
          <w:sz w:val="21"/>
          <w:szCs w:val="22"/>
        </w:rPr>
      </w:pPr>
      <w:r>
        <w:fldChar w:fldCharType="begin"/>
      </w:r>
      <w:r>
        <w:instrText xml:space="preserve"> HYPERLINK \l "_Toc35001436" \o "当前文档" </w:instrText>
      </w:r>
      <w:r>
        <w:fldChar w:fldCharType="separate"/>
      </w:r>
      <w:r>
        <w:rPr>
          <w:rStyle w:val="28"/>
          <w:rFonts w:hint="eastAsia"/>
        </w:rPr>
        <w:t>十一、基金费用</w:t>
      </w:r>
      <w:r>
        <w:tab/>
      </w:r>
      <w:r>
        <w:fldChar w:fldCharType="begin"/>
      </w:r>
      <w:r>
        <w:instrText xml:space="preserve"> PAGEREF _Toc35001436 \h </w:instrText>
      </w:r>
      <w:r>
        <w:fldChar w:fldCharType="separate"/>
      </w:r>
      <w:r>
        <w:t>28</w:t>
      </w:r>
      <w:r>
        <w:fldChar w:fldCharType="end"/>
      </w:r>
      <w:r>
        <w:fldChar w:fldCharType="end"/>
      </w:r>
    </w:p>
    <w:p w14:paraId="1921143C">
      <w:pPr>
        <w:pStyle w:val="14"/>
        <w:rPr>
          <w:rFonts w:ascii="Calibri" w:hAnsi="Calibri" w:cs="Calibri"/>
          <w:b w:val="0"/>
          <w:caps w:val="0"/>
          <w:sz w:val="21"/>
          <w:szCs w:val="22"/>
        </w:rPr>
      </w:pPr>
      <w:r>
        <w:fldChar w:fldCharType="begin"/>
      </w:r>
      <w:r>
        <w:instrText xml:space="preserve"> HYPERLINK \l "_Toc35001437" \o "当前文档" </w:instrText>
      </w:r>
      <w:r>
        <w:fldChar w:fldCharType="separate"/>
      </w:r>
      <w:r>
        <w:rPr>
          <w:rStyle w:val="28"/>
          <w:rFonts w:hint="eastAsia"/>
        </w:rPr>
        <w:t>十二、基金份额持有人名册的保管</w:t>
      </w:r>
      <w:r>
        <w:tab/>
      </w:r>
      <w:r>
        <w:fldChar w:fldCharType="begin"/>
      </w:r>
      <w:r>
        <w:instrText xml:space="preserve"> PAGEREF _Toc35001437 \h </w:instrText>
      </w:r>
      <w:r>
        <w:fldChar w:fldCharType="separate"/>
      </w:r>
      <w:r>
        <w:t>29</w:t>
      </w:r>
      <w:r>
        <w:fldChar w:fldCharType="end"/>
      </w:r>
      <w:r>
        <w:fldChar w:fldCharType="end"/>
      </w:r>
    </w:p>
    <w:p w14:paraId="7DD7230A">
      <w:pPr>
        <w:pStyle w:val="14"/>
        <w:rPr>
          <w:rFonts w:ascii="Calibri" w:hAnsi="Calibri" w:cs="Calibri"/>
          <w:b w:val="0"/>
          <w:caps w:val="0"/>
          <w:sz w:val="21"/>
          <w:szCs w:val="22"/>
        </w:rPr>
      </w:pPr>
      <w:r>
        <w:fldChar w:fldCharType="begin"/>
      </w:r>
      <w:r>
        <w:instrText xml:space="preserve"> HYPERLINK \l "_Toc35001438" \o "当前文档" </w:instrText>
      </w:r>
      <w:r>
        <w:fldChar w:fldCharType="separate"/>
      </w:r>
      <w:r>
        <w:rPr>
          <w:rStyle w:val="28"/>
          <w:rFonts w:hint="eastAsia"/>
        </w:rPr>
        <w:t>十三、基金有关文件档案的保存</w:t>
      </w:r>
      <w:r>
        <w:tab/>
      </w:r>
      <w:r>
        <w:fldChar w:fldCharType="begin"/>
      </w:r>
      <w:r>
        <w:instrText xml:space="preserve"> PAGEREF _Toc35001438 \h </w:instrText>
      </w:r>
      <w:r>
        <w:fldChar w:fldCharType="separate"/>
      </w:r>
      <w:r>
        <w:t>30</w:t>
      </w:r>
      <w:r>
        <w:fldChar w:fldCharType="end"/>
      </w:r>
      <w:r>
        <w:fldChar w:fldCharType="end"/>
      </w:r>
    </w:p>
    <w:p w14:paraId="46B98AFF">
      <w:pPr>
        <w:pStyle w:val="14"/>
        <w:rPr>
          <w:rFonts w:ascii="Calibri" w:hAnsi="Calibri" w:cs="Calibri"/>
          <w:b w:val="0"/>
          <w:caps w:val="0"/>
          <w:sz w:val="21"/>
          <w:szCs w:val="22"/>
        </w:rPr>
      </w:pPr>
      <w:r>
        <w:fldChar w:fldCharType="begin"/>
      </w:r>
      <w:r>
        <w:instrText xml:space="preserve"> HYPERLINK \l "_Toc35001439" \o "当前文档" </w:instrText>
      </w:r>
      <w:r>
        <w:fldChar w:fldCharType="separate"/>
      </w:r>
      <w:r>
        <w:rPr>
          <w:rStyle w:val="28"/>
          <w:rFonts w:hint="eastAsia"/>
        </w:rPr>
        <w:t>十四、基金管理人和基金托管人的更换</w:t>
      </w:r>
      <w:r>
        <w:tab/>
      </w:r>
      <w:r>
        <w:fldChar w:fldCharType="begin"/>
      </w:r>
      <w:r>
        <w:instrText xml:space="preserve"> PAGEREF _Toc35001439 \h </w:instrText>
      </w:r>
      <w:r>
        <w:fldChar w:fldCharType="separate"/>
      </w:r>
      <w:r>
        <w:t>30</w:t>
      </w:r>
      <w:r>
        <w:fldChar w:fldCharType="end"/>
      </w:r>
      <w:r>
        <w:fldChar w:fldCharType="end"/>
      </w:r>
    </w:p>
    <w:p w14:paraId="7F3ECE40">
      <w:pPr>
        <w:pStyle w:val="14"/>
        <w:rPr>
          <w:rFonts w:ascii="Calibri" w:hAnsi="Calibri" w:cs="Calibri"/>
          <w:b w:val="0"/>
          <w:caps w:val="0"/>
          <w:sz w:val="21"/>
          <w:szCs w:val="22"/>
        </w:rPr>
      </w:pPr>
      <w:r>
        <w:fldChar w:fldCharType="begin"/>
      </w:r>
      <w:r>
        <w:instrText xml:space="preserve"> HYPERLINK \l "_Toc35001440" \o "当前文档" </w:instrText>
      </w:r>
      <w:r>
        <w:fldChar w:fldCharType="separate"/>
      </w:r>
      <w:r>
        <w:rPr>
          <w:rStyle w:val="28"/>
          <w:rFonts w:hint="eastAsia"/>
        </w:rPr>
        <w:t>十五、禁止行为</w:t>
      </w:r>
      <w:r>
        <w:tab/>
      </w:r>
      <w:r>
        <w:fldChar w:fldCharType="begin"/>
      </w:r>
      <w:r>
        <w:instrText xml:space="preserve"> PAGEREF _Toc35001440 \h </w:instrText>
      </w:r>
      <w:r>
        <w:fldChar w:fldCharType="separate"/>
      </w:r>
      <w:r>
        <w:t>33</w:t>
      </w:r>
      <w:r>
        <w:fldChar w:fldCharType="end"/>
      </w:r>
      <w:r>
        <w:fldChar w:fldCharType="end"/>
      </w:r>
    </w:p>
    <w:p w14:paraId="219DC7D3">
      <w:pPr>
        <w:pStyle w:val="14"/>
        <w:rPr>
          <w:rFonts w:ascii="Calibri" w:hAnsi="Calibri" w:cs="Calibri"/>
          <w:b w:val="0"/>
          <w:caps w:val="0"/>
          <w:sz w:val="21"/>
          <w:szCs w:val="22"/>
        </w:rPr>
      </w:pPr>
      <w:r>
        <w:fldChar w:fldCharType="begin"/>
      </w:r>
      <w:r>
        <w:instrText xml:space="preserve"> HYPERLINK \l "_Toc35001441" \o "当前文档" </w:instrText>
      </w:r>
      <w:r>
        <w:fldChar w:fldCharType="separate"/>
      </w:r>
      <w:r>
        <w:rPr>
          <w:rStyle w:val="28"/>
          <w:rFonts w:hint="eastAsia"/>
        </w:rPr>
        <w:t>十六、基金托管协议的变更、终止与基金财产的清算</w:t>
      </w:r>
      <w:r>
        <w:tab/>
      </w:r>
      <w:r>
        <w:fldChar w:fldCharType="begin"/>
      </w:r>
      <w:r>
        <w:instrText xml:space="preserve"> PAGEREF _Toc35001441 \h </w:instrText>
      </w:r>
      <w:r>
        <w:fldChar w:fldCharType="separate"/>
      </w:r>
      <w:r>
        <w:t>34</w:t>
      </w:r>
      <w:r>
        <w:fldChar w:fldCharType="end"/>
      </w:r>
      <w:r>
        <w:fldChar w:fldCharType="end"/>
      </w:r>
    </w:p>
    <w:p w14:paraId="02528470">
      <w:pPr>
        <w:pStyle w:val="14"/>
        <w:rPr>
          <w:rFonts w:ascii="Calibri" w:hAnsi="Calibri" w:cs="Calibri"/>
          <w:b w:val="0"/>
          <w:caps w:val="0"/>
          <w:sz w:val="21"/>
          <w:szCs w:val="22"/>
        </w:rPr>
      </w:pPr>
      <w:r>
        <w:fldChar w:fldCharType="begin"/>
      </w:r>
      <w:r>
        <w:instrText xml:space="preserve"> HYPERLINK \l "_Toc35001442" \o "当前文档" </w:instrText>
      </w:r>
      <w:r>
        <w:fldChar w:fldCharType="separate"/>
      </w:r>
      <w:r>
        <w:rPr>
          <w:rStyle w:val="28"/>
          <w:rFonts w:hint="eastAsia"/>
        </w:rPr>
        <w:t>十七、违约责任</w:t>
      </w:r>
      <w:r>
        <w:tab/>
      </w:r>
      <w:r>
        <w:fldChar w:fldCharType="begin"/>
      </w:r>
      <w:r>
        <w:instrText xml:space="preserve"> PAGEREF _Toc35001442 \h </w:instrText>
      </w:r>
      <w:r>
        <w:fldChar w:fldCharType="separate"/>
      </w:r>
      <w:r>
        <w:t>36</w:t>
      </w:r>
      <w:r>
        <w:fldChar w:fldCharType="end"/>
      </w:r>
      <w:r>
        <w:fldChar w:fldCharType="end"/>
      </w:r>
    </w:p>
    <w:p w14:paraId="7C75C5EF">
      <w:pPr>
        <w:pStyle w:val="14"/>
        <w:rPr>
          <w:rFonts w:ascii="Calibri" w:hAnsi="Calibri" w:cs="Calibri"/>
          <w:b w:val="0"/>
          <w:caps w:val="0"/>
          <w:sz w:val="21"/>
          <w:szCs w:val="22"/>
        </w:rPr>
      </w:pPr>
      <w:r>
        <w:fldChar w:fldCharType="begin"/>
      </w:r>
      <w:r>
        <w:instrText xml:space="preserve"> HYPERLINK \l "_Toc35001443" \o "当前文档" </w:instrText>
      </w:r>
      <w:r>
        <w:fldChar w:fldCharType="separate"/>
      </w:r>
      <w:r>
        <w:rPr>
          <w:rStyle w:val="28"/>
          <w:rFonts w:hint="eastAsia"/>
        </w:rPr>
        <w:t>十八、争议解决方式</w:t>
      </w:r>
      <w:r>
        <w:tab/>
      </w:r>
      <w:r>
        <w:fldChar w:fldCharType="begin"/>
      </w:r>
      <w:r>
        <w:instrText xml:space="preserve"> PAGEREF _Toc35001443 \h </w:instrText>
      </w:r>
      <w:r>
        <w:fldChar w:fldCharType="separate"/>
      </w:r>
      <w:r>
        <w:t>37</w:t>
      </w:r>
      <w:r>
        <w:fldChar w:fldCharType="end"/>
      </w:r>
      <w:r>
        <w:fldChar w:fldCharType="end"/>
      </w:r>
    </w:p>
    <w:p w14:paraId="2BC13A21">
      <w:pPr>
        <w:pStyle w:val="14"/>
        <w:rPr>
          <w:rFonts w:ascii="Calibri" w:hAnsi="Calibri" w:cs="Calibri"/>
          <w:b w:val="0"/>
          <w:caps w:val="0"/>
          <w:sz w:val="21"/>
          <w:szCs w:val="22"/>
        </w:rPr>
      </w:pPr>
      <w:r>
        <w:fldChar w:fldCharType="begin"/>
      </w:r>
      <w:r>
        <w:instrText xml:space="preserve"> HYPERLINK \l "_Toc35001444" \o "当前文档" </w:instrText>
      </w:r>
      <w:r>
        <w:fldChar w:fldCharType="separate"/>
      </w:r>
      <w:r>
        <w:rPr>
          <w:rStyle w:val="28"/>
          <w:rFonts w:hint="eastAsia"/>
        </w:rPr>
        <w:t>十九、基金托管协议的效力</w:t>
      </w:r>
      <w:r>
        <w:tab/>
      </w:r>
      <w:r>
        <w:fldChar w:fldCharType="begin"/>
      </w:r>
      <w:r>
        <w:instrText xml:space="preserve"> PAGEREF _Toc35001444 \h </w:instrText>
      </w:r>
      <w:r>
        <w:fldChar w:fldCharType="separate"/>
      </w:r>
      <w:r>
        <w:t>38</w:t>
      </w:r>
      <w:r>
        <w:fldChar w:fldCharType="end"/>
      </w:r>
      <w:r>
        <w:fldChar w:fldCharType="end"/>
      </w:r>
    </w:p>
    <w:p w14:paraId="1D5B8340">
      <w:pPr>
        <w:pStyle w:val="14"/>
        <w:rPr>
          <w:rFonts w:ascii="Calibri" w:hAnsi="Calibri" w:cs="Calibri"/>
          <w:b w:val="0"/>
          <w:caps w:val="0"/>
          <w:sz w:val="21"/>
          <w:szCs w:val="22"/>
        </w:rPr>
      </w:pPr>
      <w:r>
        <w:fldChar w:fldCharType="begin"/>
      </w:r>
      <w:r>
        <w:instrText xml:space="preserve"> HYPERLINK \l "_Toc35001445" \o "当前文档" </w:instrText>
      </w:r>
      <w:r>
        <w:fldChar w:fldCharType="separate"/>
      </w:r>
      <w:r>
        <w:rPr>
          <w:rStyle w:val="28"/>
          <w:rFonts w:hint="eastAsia"/>
        </w:rPr>
        <w:t>二十、其他事项</w:t>
      </w:r>
      <w:r>
        <w:tab/>
      </w:r>
      <w:r>
        <w:fldChar w:fldCharType="begin"/>
      </w:r>
      <w:r>
        <w:instrText xml:space="preserve"> PAGEREF _Toc35001445 \h </w:instrText>
      </w:r>
      <w:r>
        <w:fldChar w:fldCharType="separate"/>
      </w:r>
      <w:r>
        <w:t>38</w:t>
      </w:r>
      <w:r>
        <w:fldChar w:fldCharType="end"/>
      </w:r>
      <w:r>
        <w:fldChar w:fldCharType="end"/>
      </w:r>
    </w:p>
    <w:p w14:paraId="0D37F0E5">
      <w:pPr>
        <w:pStyle w:val="14"/>
        <w:rPr>
          <w:rFonts w:ascii="Calibri" w:hAnsi="Calibri" w:cs="Calibri"/>
          <w:b w:val="0"/>
          <w:caps w:val="0"/>
          <w:sz w:val="21"/>
          <w:szCs w:val="22"/>
        </w:rPr>
      </w:pPr>
      <w:r>
        <w:fldChar w:fldCharType="begin"/>
      </w:r>
      <w:r>
        <w:instrText xml:space="preserve"> HYPERLINK \l "_Toc35001446" \o "当前文档" </w:instrText>
      </w:r>
      <w:r>
        <w:fldChar w:fldCharType="separate"/>
      </w:r>
      <w:r>
        <w:rPr>
          <w:rStyle w:val="28"/>
          <w:rFonts w:hint="eastAsia"/>
        </w:rPr>
        <w:t>二十一、基金托管协议的签订</w:t>
      </w:r>
      <w:r>
        <w:tab/>
      </w:r>
      <w:r>
        <w:fldChar w:fldCharType="begin"/>
      </w:r>
      <w:r>
        <w:instrText xml:space="preserve"> PAGEREF _Toc35001446 \h </w:instrText>
      </w:r>
      <w:r>
        <w:fldChar w:fldCharType="separate"/>
      </w:r>
      <w:r>
        <w:t>38</w:t>
      </w:r>
      <w:r>
        <w:fldChar w:fldCharType="end"/>
      </w:r>
      <w:r>
        <w:fldChar w:fldCharType="end"/>
      </w:r>
    </w:p>
    <w:p w14:paraId="0C6F432F">
      <w:pPr>
        <w:pStyle w:val="14"/>
        <w:tabs>
          <w:tab w:val="right" w:leader="dot" w:pos="8296"/>
          <w:tab w:val="clear" w:pos="8455"/>
        </w:tabs>
        <w:spacing w:before="0"/>
        <w:ind w:firstLine="0"/>
        <w:rPr>
          <w:rStyle w:val="28"/>
          <w:rFonts w:ascii="宋体"/>
          <w:bCs/>
          <w:color w:val="auto"/>
        </w:rPr>
      </w:pPr>
      <w:r>
        <w:rPr>
          <w:rStyle w:val="28"/>
          <w:rFonts w:ascii="宋体" w:hAnsi="宋体"/>
          <w:bCs/>
          <w:color w:val="auto"/>
          <w:sz w:val="24"/>
          <w:szCs w:val="24"/>
        </w:rPr>
        <w:fldChar w:fldCharType="end"/>
      </w:r>
    </w:p>
    <w:p w14:paraId="77E8090C">
      <w:pPr>
        <w:spacing w:line="360" w:lineRule="auto"/>
        <w:ind w:firstLine="420"/>
        <w:rPr>
          <w:rFonts w:ascii="宋体"/>
          <w:sz w:val="24"/>
        </w:rPr>
      </w:pPr>
      <w:r>
        <w:rPr>
          <w:rStyle w:val="28"/>
          <w:rFonts w:ascii="宋体"/>
          <w:bCs/>
          <w:color w:val="auto"/>
        </w:rPr>
        <w:br w:type="page"/>
      </w:r>
      <w:bookmarkStart w:id="0" w:name="_Toc125892432"/>
      <w:bookmarkStart w:id="1" w:name="_Toc22454432"/>
      <w:bookmarkStart w:id="2" w:name="_Toc523829992"/>
      <w:r>
        <w:rPr>
          <w:rFonts w:hint="eastAsia" w:ascii="宋体" w:hAnsi="宋体"/>
          <w:sz w:val="24"/>
        </w:rPr>
        <w:t>鉴于</w:t>
      </w:r>
      <w:r>
        <w:rPr>
          <w:rFonts w:ascii="宋体" w:hAnsi="宋体"/>
          <w:sz w:val="24"/>
        </w:rPr>
        <w:t>博时基金管理有限公司</w:t>
      </w:r>
      <w:r>
        <w:rPr>
          <w:rFonts w:hint="eastAsia" w:ascii="宋体" w:hAnsi="宋体"/>
          <w:sz w:val="24"/>
        </w:rPr>
        <w:t>系一家依照中国法律合法成立并有效存续的有限责任公司，拟募集</w:t>
      </w:r>
      <w:r>
        <w:rPr>
          <w:rFonts w:ascii="宋体" w:hAnsi="宋体"/>
          <w:sz w:val="24"/>
        </w:rPr>
        <w:t>博时移动互联主题混合型证券投资基金（以下简称“本基金”或“基金”）；</w:t>
      </w:r>
      <w:bookmarkEnd w:id="0"/>
    </w:p>
    <w:p w14:paraId="002795E8">
      <w:pPr>
        <w:spacing w:line="360" w:lineRule="auto"/>
        <w:ind w:firstLine="480"/>
        <w:rPr>
          <w:rFonts w:ascii="宋体"/>
          <w:sz w:val="24"/>
        </w:rPr>
      </w:pPr>
      <w:bookmarkStart w:id="3" w:name="_Toc125892433"/>
      <w:r>
        <w:rPr>
          <w:rFonts w:ascii="宋体" w:hAnsi="宋体"/>
          <w:sz w:val="24"/>
        </w:rPr>
        <w:t>鉴于交通银行股份有限公司系一家依照中国法律合法成立并有效存续的银行，按照相关法律法规的规定具备担任基金托管人的资格和能力；</w:t>
      </w:r>
      <w:bookmarkEnd w:id="3"/>
    </w:p>
    <w:p w14:paraId="134537A3">
      <w:pPr>
        <w:spacing w:line="360" w:lineRule="auto"/>
        <w:ind w:firstLine="480"/>
        <w:rPr>
          <w:rFonts w:ascii="宋体"/>
          <w:sz w:val="24"/>
        </w:rPr>
      </w:pPr>
      <w:bookmarkStart w:id="4" w:name="_Toc125892434"/>
      <w:r>
        <w:rPr>
          <w:rFonts w:hint="eastAsia" w:ascii="宋体" w:hAnsi="宋体"/>
          <w:sz w:val="24"/>
        </w:rPr>
        <w:t>鉴于</w:t>
      </w:r>
      <w:r>
        <w:rPr>
          <w:rFonts w:ascii="宋体" w:hAnsi="宋体"/>
          <w:sz w:val="24"/>
        </w:rPr>
        <w:t>博时基金管理有限公司</w:t>
      </w:r>
      <w:r>
        <w:rPr>
          <w:rFonts w:hint="eastAsia" w:ascii="宋体" w:hAnsi="宋体"/>
          <w:sz w:val="24"/>
        </w:rPr>
        <w:t>拟担任</w:t>
      </w:r>
      <w:r>
        <w:rPr>
          <w:rFonts w:ascii="宋体" w:hAnsi="宋体"/>
          <w:sz w:val="24"/>
        </w:rPr>
        <w:t>博时移动互联主题混合型证券投资基金</w:t>
      </w:r>
      <w:r>
        <w:rPr>
          <w:rFonts w:hint="eastAsia" w:ascii="宋体" w:hAnsi="宋体"/>
          <w:sz w:val="24"/>
        </w:rPr>
        <w:t>的基金管理人，交通银行股份有限公司拟担任</w:t>
      </w:r>
      <w:r>
        <w:rPr>
          <w:rFonts w:ascii="宋体" w:hAnsi="宋体"/>
          <w:sz w:val="24"/>
        </w:rPr>
        <w:t>博时移动互联主题混合型证券投资基金的基金托管人；</w:t>
      </w:r>
      <w:bookmarkEnd w:id="4"/>
    </w:p>
    <w:p w14:paraId="1098175A">
      <w:pPr>
        <w:spacing w:line="360" w:lineRule="auto"/>
        <w:ind w:firstLine="480"/>
        <w:rPr>
          <w:rFonts w:ascii="宋体" w:hAnsi="宋体"/>
          <w:sz w:val="24"/>
        </w:rPr>
      </w:pPr>
      <w:bookmarkStart w:id="5" w:name="_Toc125892435"/>
      <w:r>
        <w:rPr>
          <w:rFonts w:hint="eastAsia" w:ascii="宋体" w:hAnsi="宋体"/>
          <w:sz w:val="24"/>
        </w:rPr>
        <w:t>为明确</w:t>
      </w:r>
      <w:r>
        <w:rPr>
          <w:rFonts w:ascii="宋体" w:hAnsi="宋体"/>
          <w:sz w:val="24"/>
        </w:rPr>
        <w:t>博时移动互联主题混合型证券投资基金的基金管理人和基金托管人之间的权利义务关系，特制订本协议；</w:t>
      </w:r>
      <w:bookmarkEnd w:id="5"/>
    </w:p>
    <w:p w14:paraId="26C9AB85">
      <w:pPr>
        <w:spacing w:line="360" w:lineRule="auto"/>
        <w:ind w:firstLine="480"/>
        <w:rPr>
          <w:rFonts w:ascii="宋体"/>
          <w:sz w:val="24"/>
        </w:rPr>
      </w:pPr>
      <w:r>
        <w:rPr>
          <w:rFonts w:ascii="宋体"/>
          <w:sz w:val="24"/>
        </w:rPr>
        <w:t>基金管理人承诺其知悉《中华人民共和国反洗钱法》、《金融机构客户身份识别和客户身份资料及交易记录保存管理办法》、《金融机构大额交易和可疑交易报告管理办法》、《中国人民银行关于加强反洗钱客户身份识别有关工作的通知》（银发﹝2017﹞235号）、《中国人民银行关于进一步做好受益所有人身份识别工作有关问题的通知》（银发﹝2018﹞164号）等反洗钱相关法律法规、监管规定，将严格遵守上述规定，不会违反任何前述规定；承诺用于投资的资金来源不属于违法犯罪所得及其收益；承诺投资的资金来源和去向不涉及洗钱、恐怖融资和逃税等行为；承诺向基金托管人出示真实有效的身份证件或者其他身份证明文件，提供真实有效的业务性质与股权或者控制权结构、提供产品受益所有人的信息和资料，并在产品受益所有人发生变化时，及时告知基金托管人并按基金托管人要求完成更新；承诺积极履行反洗钱职责，不借助本业务进行洗钱等违法犯罪活动。</w:t>
      </w:r>
    </w:p>
    <w:p w14:paraId="463EFE4D">
      <w:pPr>
        <w:spacing w:line="360" w:lineRule="auto"/>
        <w:ind w:firstLine="480"/>
        <w:rPr>
          <w:rFonts w:ascii="宋体"/>
          <w:sz w:val="24"/>
        </w:rPr>
      </w:pPr>
      <w:r>
        <w:rPr>
          <w:rFonts w:hint="eastAsia" w:ascii="宋体"/>
          <w:sz w:val="24"/>
        </w:rPr>
        <w:t>基金管理人承诺基金管理人及其关联方均不属于联合国、欧盟或美国等制裁名单，及中国政府部门或有权机关发布的涉恐及反洗钱相关风险名单内的企业或个人；不位于被联合国、欧盟或美国等制裁的国家和地区。</w:t>
      </w:r>
    </w:p>
    <w:p w14:paraId="18DF2194">
      <w:pPr>
        <w:spacing w:line="360" w:lineRule="auto"/>
        <w:ind w:firstLine="480"/>
        <w:rPr>
          <w:rFonts w:ascii="宋体" w:hAnsi="宋体"/>
          <w:sz w:val="24"/>
        </w:rPr>
      </w:pPr>
      <w:bookmarkStart w:id="6" w:name="_Toc125892436"/>
      <w:r>
        <w:rPr>
          <w:rFonts w:hint="eastAsia" w:ascii="宋体" w:hAnsi="宋体"/>
          <w:sz w:val="24"/>
        </w:rPr>
        <w:t>除非文义另有所指，本协议的所有术语与《</w:t>
      </w:r>
      <w:r>
        <w:rPr>
          <w:rFonts w:ascii="宋体" w:hAnsi="宋体"/>
          <w:sz w:val="24"/>
        </w:rPr>
        <w:t>博时移动互联主题混合型证券投资基金基金合同》（以下简称《基金合同》）中定义的相应术语具有相同的含义。若有抵触应以《基金合同》为准，并依其条款解释。</w:t>
      </w:r>
      <w:bookmarkEnd w:id="6"/>
      <w:bookmarkStart w:id="7" w:name="_Toc125892437"/>
    </w:p>
    <w:p w14:paraId="4D2B58AE">
      <w:pPr>
        <w:pStyle w:val="197"/>
      </w:pPr>
      <w:r>
        <w:br w:type="page"/>
      </w:r>
      <w:bookmarkStart w:id="8" w:name="_Toc35001426"/>
      <w:r>
        <w:t>一、基金托管协议当事人</w:t>
      </w:r>
      <w:bookmarkEnd w:id="1"/>
      <w:bookmarkEnd w:id="2"/>
      <w:bookmarkEnd w:id="7"/>
      <w:bookmarkEnd w:id="8"/>
    </w:p>
    <w:p w14:paraId="6105ACCE">
      <w:pPr>
        <w:tabs>
          <w:tab w:val="left" w:pos="3780"/>
        </w:tabs>
        <w:spacing w:line="360" w:lineRule="auto"/>
        <w:outlineLvl w:val="0"/>
        <w:rPr>
          <w:rFonts w:ascii="宋体"/>
          <w:b/>
          <w:bCs/>
          <w:sz w:val="24"/>
        </w:rPr>
      </w:pPr>
      <w:bookmarkStart w:id="9" w:name="_Toc77662992"/>
      <w:bookmarkStart w:id="10" w:name="_Toc22454433"/>
      <w:r>
        <w:rPr>
          <w:rFonts w:ascii="宋体" w:hAnsi="宋体"/>
          <w:b/>
          <w:bCs/>
          <w:sz w:val="24"/>
        </w:rPr>
        <w:t>（一）基金管理人</w:t>
      </w:r>
      <w:bookmarkEnd w:id="9"/>
      <w:bookmarkEnd w:id="10"/>
    </w:p>
    <w:p w14:paraId="23BC0F0F">
      <w:pPr>
        <w:spacing w:line="360" w:lineRule="auto"/>
        <w:ind w:firstLine="480"/>
        <w:rPr>
          <w:rFonts w:ascii="宋体" w:hAnsi="宋体"/>
          <w:sz w:val="24"/>
        </w:rPr>
      </w:pPr>
      <w:bookmarkStart w:id="11" w:name="_Toc22454434"/>
      <w:bookmarkStart w:id="12" w:name="_Toc77662993"/>
      <w:r>
        <w:rPr>
          <w:rFonts w:hint="eastAsia" w:ascii="宋体" w:hAnsi="宋体"/>
          <w:sz w:val="24"/>
        </w:rPr>
        <w:t>名称：博时基金管理有限公司</w:t>
      </w:r>
    </w:p>
    <w:p w14:paraId="6DB8E7F9">
      <w:pPr>
        <w:spacing w:line="360" w:lineRule="auto"/>
        <w:ind w:firstLine="480"/>
        <w:rPr>
          <w:rFonts w:ascii="宋体" w:hAnsi="宋体"/>
          <w:sz w:val="24"/>
        </w:rPr>
      </w:pPr>
      <w:r>
        <w:rPr>
          <w:rFonts w:hint="eastAsia" w:ascii="宋体" w:hAnsi="宋体"/>
          <w:sz w:val="24"/>
        </w:rPr>
        <w:t>注册地址：深圳市福田区莲花街道福新社区益田路5999号基金大厦21层</w:t>
      </w:r>
    </w:p>
    <w:p w14:paraId="74EDE44D">
      <w:pPr>
        <w:spacing w:line="360" w:lineRule="auto"/>
        <w:ind w:firstLine="480"/>
        <w:rPr>
          <w:rFonts w:ascii="宋体" w:hAnsi="宋体"/>
          <w:sz w:val="24"/>
        </w:rPr>
      </w:pPr>
      <w:r>
        <w:rPr>
          <w:rFonts w:hint="eastAsia" w:ascii="宋体" w:hAnsi="宋体"/>
          <w:sz w:val="24"/>
        </w:rPr>
        <w:t>办公地址：广东省深圳市福田区益田路5999号基金大厦21层</w:t>
      </w:r>
    </w:p>
    <w:p w14:paraId="38553D79">
      <w:pPr>
        <w:spacing w:line="360" w:lineRule="auto"/>
        <w:ind w:firstLine="480"/>
        <w:rPr>
          <w:rFonts w:ascii="宋体" w:hAnsi="宋体"/>
          <w:sz w:val="24"/>
        </w:rPr>
      </w:pPr>
      <w:r>
        <w:rPr>
          <w:rFonts w:hint="eastAsia" w:ascii="宋体" w:hAnsi="宋体"/>
          <w:sz w:val="24"/>
        </w:rPr>
        <w:t>邮政编码：518040</w:t>
      </w:r>
    </w:p>
    <w:p w14:paraId="0B42013E">
      <w:pPr>
        <w:spacing w:line="360" w:lineRule="auto"/>
        <w:ind w:firstLine="480"/>
        <w:rPr>
          <w:rFonts w:ascii="宋体" w:hAnsi="宋体"/>
          <w:sz w:val="24"/>
        </w:rPr>
      </w:pPr>
      <w:r>
        <w:rPr>
          <w:rFonts w:hint="eastAsia" w:ascii="宋体" w:hAnsi="宋体"/>
          <w:sz w:val="24"/>
        </w:rPr>
        <w:t>法定代表人：</w:t>
      </w:r>
      <w:r>
        <w:rPr>
          <w:rFonts w:hint="eastAsia" w:ascii="宋体" w:hAnsi="宋体"/>
          <w:sz w:val="24"/>
          <w:lang w:val="en-US" w:eastAsia="zh-CN"/>
        </w:rPr>
        <w:t>张东</w:t>
      </w:r>
    </w:p>
    <w:p w14:paraId="16859815">
      <w:pPr>
        <w:spacing w:line="360" w:lineRule="auto"/>
        <w:ind w:firstLine="480"/>
        <w:rPr>
          <w:rFonts w:ascii="宋体" w:hAnsi="宋体"/>
          <w:sz w:val="24"/>
        </w:rPr>
      </w:pPr>
      <w:r>
        <w:rPr>
          <w:rFonts w:hint="eastAsia" w:ascii="宋体" w:hAnsi="宋体"/>
          <w:sz w:val="24"/>
        </w:rPr>
        <w:t>成立日期：1998年7月13日</w:t>
      </w:r>
    </w:p>
    <w:p w14:paraId="45598469">
      <w:pPr>
        <w:spacing w:line="360" w:lineRule="auto"/>
        <w:ind w:firstLine="480"/>
        <w:rPr>
          <w:rFonts w:ascii="宋体" w:hAnsi="宋体"/>
          <w:sz w:val="24"/>
        </w:rPr>
      </w:pPr>
      <w:r>
        <w:rPr>
          <w:rFonts w:hint="eastAsia" w:ascii="宋体" w:hAnsi="宋体"/>
          <w:sz w:val="24"/>
        </w:rPr>
        <w:t>批准设立机关及批准设立文号：中国证监会证监基字【1998】26号</w:t>
      </w:r>
    </w:p>
    <w:p w14:paraId="59AD11F1">
      <w:pPr>
        <w:spacing w:line="360" w:lineRule="auto"/>
        <w:ind w:firstLine="480"/>
        <w:rPr>
          <w:rFonts w:ascii="宋体" w:hAnsi="宋体"/>
          <w:sz w:val="24"/>
        </w:rPr>
      </w:pPr>
      <w:r>
        <w:rPr>
          <w:rFonts w:hint="eastAsia" w:ascii="宋体" w:hAnsi="宋体"/>
          <w:sz w:val="24"/>
        </w:rPr>
        <w:t>组织形式：有限责任公司</w:t>
      </w:r>
    </w:p>
    <w:p w14:paraId="0CB06EE2">
      <w:pPr>
        <w:spacing w:line="360" w:lineRule="auto"/>
        <w:ind w:firstLine="480"/>
        <w:rPr>
          <w:rFonts w:ascii="宋体" w:hAnsi="宋体"/>
          <w:sz w:val="24"/>
        </w:rPr>
      </w:pPr>
      <w:r>
        <w:rPr>
          <w:rFonts w:hint="eastAsia" w:ascii="宋体" w:hAnsi="宋体"/>
          <w:sz w:val="24"/>
        </w:rPr>
        <w:t>注册资本：2.5亿元人民币</w:t>
      </w:r>
    </w:p>
    <w:p w14:paraId="340FB0B1">
      <w:pPr>
        <w:spacing w:line="360" w:lineRule="auto"/>
        <w:ind w:firstLine="480"/>
        <w:rPr>
          <w:rFonts w:ascii="宋体" w:hAnsi="宋体"/>
          <w:sz w:val="24"/>
        </w:rPr>
      </w:pPr>
      <w:r>
        <w:rPr>
          <w:rFonts w:hint="eastAsia" w:ascii="宋体" w:hAnsi="宋体"/>
          <w:sz w:val="24"/>
        </w:rPr>
        <w:t>存续期间：持续经营</w:t>
      </w:r>
    </w:p>
    <w:p w14:paraId="01AA6BBE">
      <w:pPr>
        <w:spacing w:line="360" w:lineRule="auto"/>
        <w:ind w:firstLine="480"/>
        <w:rPr>
          <w:rFonts w:ascii="宋体"/>
          <w:sz w:val="24"/>
        </w:rPr>
      </w:pPr>
      <w:r>
        <w:rPr>
          <w:rFonts w:hint="eastAsia" w:ascii="宋体" w:hAnsi="宋体"/>
          <w:sz w:val="24"/>
        </w:rPr>
        <w:t>经营范围：基金募集；基金销售；资产管理以及中国证监会许可的其它业务。</w:t>
      </w:r>
    </w:p>
    <w:p w14:paraId="404F2BDD">
      <w:pPr>
        <w:tabs>
          <w:tab w:val="left" w:pos="3780"/>
        </w:tabs>
        <w:spacing w:line="360" w:lineRule="auto"/>
        <w:outlineLvl w:val="0"/>
        <w:rPr>
          <w:rFonts w:ascii="宋体"/>
          <w:b/>
          <w:bCs/>
          <w:sz w:val="24"/>
        </w:rPr>
      </w:pPr>
      <w:r>
        <w:rPr>
          <w:rFonts w:ascii="宋体" w:hAnsi="宋体"/>
          <w:b/>
          <w:bCs/>
          <w:sz w:val="24"/>
        </w:rPr>
        <w:t>（二）基金托管人</w:t>
      </w:r>
      <w:bookmarkEnd w:id="11"/>
      <w:bookmarkEnd w:id="12"/>
    </w:p>
    <w:p w14:paraId="122B7E12">
      <w:pPr>
        <w:spacing w:line="360" w:lineRule="auto"/>
        <w:ind w:firstLine="480"/>
        <w:rPr>
          <w:rFonts w:ascii="宋体"/>
          <w:sz w:val="24"/>
        </w:rPr>
      </w:pPr>
      <w:r>
        <w:rPr>
          <w:rFonts w:hint="eastAsia" w:ascii="宋体" w:hAnsi="宋体"/>
          <w:sz w:val="24"/>
        </w:rPr>
        <w:t>名称：交通银行股份有限公司（简称：交通银行）</w:t>
      </w:r>
    </w:p>
    <w:p w14:paraId="1E8B192A">
      <w:pPr>
        <w:spacing w:line="360" w:lineRule="auto"/>
        <w:ind w:firstLine="480"/>
        <w:rPr>
          <w:rFonts w:ascii="宋体"/>
          <w:sz w:val="24"/>
        </w:rPr>
      </w:pPr>
      <w:r>
        <w:rPr>
          <w:rFonts w:hint="eastAsia" w:ascii="宋体" w:hAnsi="宋体"/>
          <w:sz w:val="24"/>
        </w:rPr>
        <w:t>住所：中国（上海）自由贸易试验区银城中路</w:t>
      </w:r>
      <w:r>
        <w:rPr>
          <w:rFonts w:ascii="宋体" w:hAnsi="宋体"/>
          <w:sz w:val="24"/>
        </w:rPr>
        <w:t>188</w:t>
      </w:r>
      <w:r>
        <w:rPr>
          <w:rFonts w:hint="eastAsia" w:ascii="宋体" w:hAnsi="宋体"/>
          <w:sz w:val="24"/>
        </w:rPr>
        <w:t>号</w:t>
      </w:r>
    </w:p>
    <w:p w14:paraId="0ABCD142">
      <w:pPr>
        <w:spacing w:line="360" w:lineRule="auto"/>
        <w:ind w:firstLine="480"/>
        <w:rPr>
          <w:rFonts w:ascii="宋体"/>
          <w:sz w:val="24"/>
        </w:rPr>
      </w:pPr>
      <w:r>
        <w:rPr>
          <w:rFonts w:hint="eastAsia" w:ascii="宋体" w:hAnsi="宋体"/>
          <w:sz w:val="24"/>
        </w:rPr>
        <w:t>办公地址：上海市长宁区仙霞路</w:t>
      </w:r>
      <w:r>
        <w:rPr>
          <w:rFonts w:ascii="宋体" w:hAnsi="宋体"/>
          <w:sz w:val="24"/>
        </w:rPr>
        <w:t>18</w:t>
      </w:r>
      <w:r>
        <w:rPr>
          <w:rFonts w:hint="eastAsia" w:ascii="宋体" w:hAnsi="宋体"/>
          <w:sz w:val="24"/>
        </w:rPr>
        <w:t>号（邮政编码：</w:t>
      </w:r>
      <w:r>
        <w:rPr>
          <w:rFonts w:ascii="宋体" w:hAnsi="宋体"/>
          <w:sz w:val="24"/>
        </w:rPr>
        <w:t>200336</w:t>
      </w:r>
      <w:r>
        <w:rPr>
          <w:rFonts w:hint="eastAsia" w:ascii="宋体" w:hAnsi="宋体"/>
          <w:sz w:val="24"/>
        </w:rPr>
        <w:t>）</w:t>
      </w:r>
    </w:p>
    <w:p w14:paraId="02AD4F68">
      <w:pPr>
        <w:spacing w:line="360" w:lineRule="auto"/>
        <w:ind w:firstLine="480"/>
        <w:rPr>
          <w:rFonts w:ascii="宋体"/>
          <w:sz w:val="24"/>
        </w:rPr>
      </w:pPr>
      <w:r>
        <w:rPr>
          <w:rFonts w:hint="eastAsia" w:ascii="宋体" w:hAnsi="宋体"/>
          <w:sz w:val="24"/>
        </w:rPr>
        <w:t>法定代表人：任德奇</w:t>
      </w:r>
      <w:r>
        <w:fldChar w:fldCharType="begin"/>
      </w:r>
      <w:r>
        <w:instrText xml:space="preserve"> HYPERLINK "https://www.qixin.com/name-detail/0e33b6e872a663ea81f6a7457fdf268d" \t "_blank" </w:instrText>
      </w:r>
      <w:r>
        <w:fldChar w:fldCharType="separate"/>
      </w:r>
      <w:r>
        <w:fldChar w:fldCharType="end"/>
      </w:r>
    </w:p>
    <w:p w14:paraId="13770C80">
      <w:pPr>
        <w:spacing w:line="360" w:lineRule="auto"/>
        <w:ind w:firstLine="480"/>
        <w:rPr>
          <w:rFonts w:ascii="宋体"/>
          <w:sz w:val="24"/>
        </w:rPr>
      </w:pPr>
      <w:r>
        <w:rPr>
          <w:rFonts w:hint="eastAsia" w:ascii="宋体" w:hAnsi="宋体"/>
          <w:sz w:val="24"/>
        </w:rPr>
        <w:t>成立时间：</w:t>
      </w:r>
      <w:r>
        <w:rPr>
          <w:rFonts w:ascii="宋体" w:hAnsi="宋体"/>
          <w:sz w:val="24"/>
        </w:rPr>
        <w:t>1987</w:t>
      </w:r>
      <w:r>
        <w:rPr>
          <w:rFonts w:hint="eastAsia" w:ascii="宋体" w:hAnsi="宋体"/>
          <w:sz w:val="24"/>
        </w:rPr>
        <w:t>年</w:t>
      </w:r>
      <w:r>
        <w:rPr>
          <w:rFonts w:ascii="宋体" w:hAnsi="宋体"/>
          <w:sz w:val="24"/>
        </w:rPr>
        <w:t>3</w:t>
      </w:r>
      <w:r>
        <w:rPr>
          <w:rFonts w:hint="eastAsia" w:ascii="宋体" w:hAnsi="宋体"/>
          <w:sz w:val="24"/>
        </w:rPr>
        <w:t>月</w:t>
      </w:r>
      <w:r>
        <w:rPr>
          <w:rFonts w:ascii="宋体" w:hAnsi="宋体"/>
          <w:sz w:val="24"/>
        </w:rPr>
        <w:t>30</w:t>
      </w:r>
      <w:r>
        <w:rPr>
          <w:rFonts w:hint="eastAsia" w:ascii="宋体" w:hAnsi="宋体"/>
          <w:sz w:val="24"/>
        </w:rPr>
        <w:t>日</w:t>
      </w:r>
    </w:p>
    <w:p w14:paraId="5B3528F8">
      <w:pPr>
        <w:spacing w:line="360" w:lineRule="auto"/>
        <w:ind w:firstLine="480"/>
        <w:rPr>
          <w:rFonts w:ascii="宋体"/>
          <w:sz w:val="24"/>
        </w:rPr>
      </w:pPr>
      <w:r>
        <w:rPr>
          <w:rFonts w:hint="eastAsia" w:ascii="宋体" w:hAnsi="宋体"/>
          <w:sz w:val="24"/>
        </w:rPr>
        <w:t>批准设立机关及批准设立文号：国务院国发</w:t>
      </w:r>
      <w:r>
        <w:rPr>
          <w:rFonts w:ascii="宋体" w:hAnsi="宋体"/>
          <w:sz w:val="24"/>
        </w:rPr>
        <w:t>(1986)</w:t>
      </w:r>
      <w:r>
        <w:rPr>
          <w:rFonts w:hint="eastAsia" w:ascii="宋体" w:hAnsi="宋体"/>
          <w:sz w:val="24"/>
        </w:rPr>
        <w:t>字第</w:t>
      </w:r>
      <w:r>
        <w:rPr>
          <w:rFonts w:ascii="宋体" w:hAnsi="宋体"/>
          <w:sz w:val="24"/>
        </w:rPr>
        <w:t xml:space="preserve">81 </w:t>
      </w:r>
      <w:r>
        <w:rPr>
          <w:rFonts w:hint="eastAsia" w:ascii="宋体" w:hAnsi="宋体"/>
          <w:sz w:val="24"/>
        </w:rPr>
        <w:t>号文和中国人民银行银发［</w:t>
      </w:r>
      <w:r>
        <w:rPr>
          <w:rFonts w:ascii="宋体" w:hAnsi="宋体"/>
          <w:sz w:val="24"/>
        </w:rPr>
        <w:t>1987</w:t>
      </w:r>
      <w:r>
        <w:rPr>
          <w:rFonts w:hint="eastAsia" w:ascii="宋体" w:hAnsi="宋体"/>
          <w:sz w:val="24"/>
        </w:rPr>
        <w:t>］</w:t>
      </w:r>
      <w:r>
        <w:rPr>
          <w:rFonts w:ascii="宋体" w:hAnsi="宋体"/>
          <w:sz w:val="24"/>
        </w:rPr>
        <w:t>40</w:t>
      </w:r>
      <w:r>
        <w:rPr>
          <w:rFonts w:hint="eastAsia" w:ascii="宋体" w:hAnsi="宋体"/>
          <w:sz w:val="24"/>
        </w:rPr>
        <w:t>号文</w:t>
      </w:r>
    </w:p>
    <w:p w14:paraId="653DFF0D">
      <w:pPr>
        <w:spacing w:line="360" w:lineRule="auto"/>
        <w:ind w:firstLine="480"/>
        <w:rPr>
          <w:rFonts w:ascii="宋体"/>
          <w:sz w:val="24"/>
        </w:rPr>
      </w:pPr>
      <w:r>
        <w:rPr>
          <w:rFonts w:hint="eastAsia" w:ascii="宋体" w:hAnsi="宋体"/>
          <w:sz w:val="24"/>
        </w:rPr>
        <w:t>基金托管业务批准文号：中国证监会证监基字［</w:t>
      </w:r>
      <w:r>
        <w:rPr>
          <w:rFonts w:ascii="宋体" w:hAnsi="宋体"/>
          <w:sz w:val="24"/>
        </w:rPr>
        <w:t>1998</w:t>
      </w:r>
      <w:r>
        <w:rPr>
          <w:rFonts w:hint="eastAsia" w:ascii="宋体" w:hAnsi="宋体"/>
          <w:sz w:val="24"/>
        </w:rPr>
        <w:t>］</w:t>
      </w:r>
      <w:r>
        <w:rPr>
          <w:rFonts w:ascii="宋体" w:hAnsi="宋体"/>
          <w:sz w:val="24"/>
        </w:rPr>
        <w:t>25</w:t>
      </w:r>
      <w:r>
        <w:rPr>
          <w:rFonts w:hint="eastAsia" w:ascii="宋体" w:hAnsi="宋体"/>
          <w:sz w:val="24"/>
        </w:rPr>
        <w:t>号</w:t>
      </w:r>
    </w:p>
    <w:p w14:paraId="681F2FAC">
      <w:pPr>
        <w:spacing w:line="360" w:lineRule="auto"/>
        <w:ind w:firstLine="480"/>
        <w:rPr>
          <w:rFonts w:ascii="宋体"/>
          <w:sz w:val="24"/>
        </w:rPr>
      </w:pPr>
      <w:r>
        <w:rPr>
          <w:rFonts w:hint="eastAsia"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w:t>
      </w:r>
    </w:p>
    <w:p w14:paraId="535835F4">
      <w:pPr>
        <w:autoSpaceDE w:val="0"/>
        <w:autoSpaceDN w:val="0"/>
        <w:adjustRightInd w:val="0"/>
        <w:snapToGrid w:val="0"/>
        <w:spacing w:line="360" w:lineRule="auto"/>
        <w:ind w:firstLine="480" w:firstLineChars="200"/>
        <w:rPr>
          <w:rFonts w:ascii="宋体"/>
          <w:sz w:val="24"/>
        </w:rPr>
      </w:pPr>
      <w:r>
        <w:rPr>
          <w:rFonts w:hint="eastAsia" w:ascii="宋体" w:hAnsi="宋体"/>
          <w:sz w:val="24"/>
        </w:rPr>
        <w:t>注册资本：</w:t>
      </w:r>
      <w:r>
        <w:rPr>
          <w:rFonts w:hint="eastAsia" w:ascii="宋体" w:hAnsi="宋体" w:eastAsia="宋体" w:cs="Times New Roman"/>
          <w:color w:val="auto"/>
          <w:sz w:val="24"/>
          <w:szCs w:val="24"/>
          <w:lang w:val="en-US" w:eastAsia="zh-CN"/>
        </w:rPr>
        <w:t>883.64</w:t>
      </w:r>
      <w:r>
        <w:rPr>
          <w:rFonts w:hint="eastAsia" w:ascii="宋体" w:hAnsi="宋体" w:eastAsia="宋体" w:cs="Times New Roman"/>
          <w:sz w:val="24"/>
          <w:szCs w:val="24"/>
        </w:rPr>
        <w:t>亿元</w:t>
      </w:r>
    </w:p>
    <w:p w14:paraId="7936841E">
      <w:pPr>
        <w:spacing w:line="360" w:lineRule="auto"/>
        <w:ind w:firstLine="480"/>
        <w:rPr>
          <w:rFonts w:ascii="宋体"/>
          <w:sz w:val="24"/>
        </w:rPr>
      </w:pPr>
      <w:r>
        <w:rPr>
          <w:rFonts w:hint="eastAsia" w:ascii="宋体" w:hAnsi="宋体"/>
          <w:sz w:val="24"/>
        </w:rPr>
        <w:t>组织形式：股份有限公司</w:t>
      </w:r>
    </w:p>
    <w:p w14:paraId="19C9DA29">
      <w:pPr>
        <w:spacing w:line="360" w:lineRule="auto"/>
        <w:ind w:firstLine="480"/>
        <w:rPr>
          <w:rFonts w:ascii="宋体"/>
          <w:sz w:val="24"/>
        </w:rPr>
      </w:pPr>
      <w:r>
        <w:rPr>
          <w:rFonts w:hint="eastAsia" w:ascii="宋体" w:hAnsi="宋体"/>
          <w:sz w:val="24"/>
        </w:rPr>
        <w:t>存续期间：持续经营</w:t>
      </w:r>
    </w:p>
    <w:p w14:paraId="219476B6">
      <w:pPr>
        <w:pStyle w:val="197"/>
      </w:pPr>
      <w:bookmarkStart w:id="13" w:name="_Toc466788852"/>
      <w:bookmarkStart w:id="14" w:name="_Toc125892438"/>
      <w:bookmarkStart w:id="15" w:name="_Toc35001427"/>
      <w:bookmarkStart w:id="16" w:name="_Toc523829993"/>
      <w:bookmarkStart w:id="17" w:name="_Toc22454435"/>
      <w:r>
        <w:t>二、基金托管协议的依据、目的和原则</w:t>
      </w:r>
      <w:bookmarkEnd w:id="13"/>
      <w:bookmarkEnd w:id="14"/>
      <w:bookmarkEnd w:id="15"/>
      <w:bookmarkEnd w:id="16"/>
      <w:bookmarkEnd w:id="17"/>
    </w:p>
    <w:p w14:paraId="163FAEA1">
      <w:pPr>
        <w:spacing w:line="360" w:lineRule="auto"/>
        <w:ind w:firstLine="480"/>
        <w:rPr>
          <w:rFonts w:ascii="宋体"/>
          <w:sz w:val="24"/>
        </w:rPr>
      </w:pPr>
      <w:r>
        <w:rPr>
          <w:rFonts w:hint="eastAsia" w:ascii="宋体" w:hAnsi="宋体"/>
          <w:sz w:val="24"/>
        </w:rPr>
        <w:t>本协议依据《中华人民共和国证券法》(以下简称“《证券法》”)、《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w:t>
      </w:r>
      <w:r>
        <w:rPr>
          <w:rFonts w:ascii="宋体" w:hAnsi="宋体"/>
          <w:sz w:val="24"/>
        </w:rPr>
        <w:t>博时移动互联主题混合型证券投资基金</w:t>
      </w:r>
      <w:r>
        <w:rPr>
          <w:rFonts w:hint="eastAsia" w:ascii="宋体" w:hAnsi="宋体"/>
          <w:sz w:val="24"/>
        </w:rPr>
        <w:t>基金合同》（以下简称《基金合同》）、《公开募集开放式证券投资基金流动性风险管理规定》及其他有关规定订立。</w:t>
      </w:r>
    </w:p>
    <w:p w14:paraId="583BAAA6">
      <w:pPr>
        <w:spacing w:line="360" w:lineRule="auto"/>
        <w:ind w:firstLine="480"/>
        <w:rPr>
          <w:rFonts w:ascii="宋体"/>
          <w:sz w:val="24"/>
        </w:rPr>
      </w:pPr>
      <w:r>
        <w:rPr>
          <w:rFonts w:hint="eastAsia" w:ascii="宋体" w:hAnsi="宋体"/>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7472405A">
      <w:pPr>
        <w:spacing w:line="360" w:lineRule="auto"/>
        <w:ind w:firstLine="480"/>
        <w:rPr>
          <w:rFonts w:ascii="宋体"/>
          <w:sz w:val="24"/>
        </w:rPr>
      </w:pPr>
      <w:r>
        <w:rPr>
          <w:rFonts w:hint="eastAsia" w:ascii="宋体" w:hAnsi="宋体"/>
          <w:sz w:val="24"/>
        </w:rPr>
        <w:t>基金管理人和基金托管人遵循平等自愿、诚实信用、充分保护投资者合法利益的原则，经协商一致，签订本协议。</w:t>
      </w:r>
    </w:p>
    <w:p w14:paraId="4F2BC8F8">
      <w:pPr>
        <w:pStyle w:val="197"/>
        <w:rPr>
          <w:rFonts w:hAnsi="宋体"/>
          <w:b w:val="0"/>
          <w:bCs/>
        </w:rPr>
      </w:pPr>
      <w:bookmarkStart w:id="18" w:name="_Toc466788853"/>
      <w:bookmarkStart w:id="19" w:name="_Toc125892439"/>
      <w:bookmarkStart w:id="20" w:name="_Toc35001428"/>
      <w:bookmarkStart w:id="21" w:name="_Toc22454436"/>
      <w:bookmarkStart w:id="22" w:name="_Toc523829994"/>
      <w:r>
        <w:rPr>
          <w:rFonts w:hint="eastAsia"/>
        </w:rPr>
        <w:t>三、基金托管人对基金管理人</w:t>
      </w:r>
      <w:bookmarkEnd w:id="18"/>
      <w:r>
        <w:t>的业务监督和核查</w:t>
      </w:r>
      <w:bookmarkEnd w:id="19"/>
      <w:bookmarkEnd w:id="20"/>
      <w:bookmarkEnd w:id="21"/>
      <w:bookmarkEnd w:id="22"/>
    </w:p>
    <w:p w14:paraId="152828C4">
      <w:pPr>
        <w:tabs>
          <w:tab w:val="left" w:pos="3780"/>
        </w:tabs>
        <w:spacing w:line="360" w:lineRule="auto"/>
        <w:outlineLvl w:val="0"/>
        <w:rPr>
          <w:rFonts w:ascii="宋体"/>
          <w:b/>
          <w:bCs/>
          <w:sz w:val="24"/>
        </w:rPr>
      </w:pPr>
      <w:r>
        <w:rPr>
          <w:rFonts w:hint="eastAsia" w:ascii="宋体" w:hAnsi="宋体"/>
          <w:b/>
          <w:bCs/>
          <w:sz w:val="24"/>
        </w:rPr>
        <w:t>（一）基金托管人对基金管理人的投资行为行使监督权</w:t>
      </w:r>
    </w:p>
    <w:p w14:paraId="3B309E5D">
      <w:pPr>
        <w:tabs>
          <w:tab w:val="left" w:pos="3780"/>
        </w:tabs>
        <w:spacing w:line="360" w:lineRule="auto"/>
        <w:ind w:firstLine="472"/>
        <w:outlineLvl w:val="0"/>
        <w:rPr>
          <w:rFonts w:ascii="宋体"/>
          <w:b/>
          <w:bCs/>
          <w:sz w:val="24"/>
        </w:rPr>
      </w:pPr>
      <w:r>
        <w:rPr>
          <w:rFonts w:ascii="宋体" w:hAnsi="宋体"/>
          <w:b/>
          <w:bCs/>
          <w:sz w:val="24"/>
        </w:rPr>
        <w:t>1.</w:t>
      </w:r>
      <w:r>
        <w:rPr>
          <w:rFonts w:hint="eastAsia" w:ascii="宋体" w:hAnsi="宋体"/>
          <w:b/>
          <w:bCs/>
          <w:sz w:val="24"/>
        </w:rPr>
        <w:t>基金托管人根据有关法律法规的规定及《基金合同》和本协议的约定，对基金的投资范围、投资对象进行监督。</w:t>
      </w:r>
    </w:p>
    <w:p w14:paraId="17DD8BAE">
      <w:pPr>
        <w:tabs>
          <w:tab w:val="left" w:pos="3780"/>
        </w:tabs>
        <w:spacing w:line="360" w:lineRule="auto"/>
        <w:ind w:firstLine="472"/>
        <w:outlineLvl w:val="0"/>
        <w:rPr>
          <w:bCs/>
          <w:sz w:val="24"/>
        </w:rPr>
      </w:pPr>
      <w:r>
        <w:rPr>
          <w:rFonts w:hint="eastAsia"/>
          <w:bCs/>
          <w:sz w:val="24"/>
        </w:rPr>
        <w:t>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w:t>
      </w:r>
    </w:p>
    <w:p w14:paraId="2CB6DD46">
      <w:pPr>
        <w:tabs>
          <w:tab w:val="left" w:pos="3780"/>
        </w:tabs>
        <w:spacing w:line="360" w:lineRule="auto"/>
        <w:ind w:firstLine="472"/>
        <w:outlineLvl w:val="0"/>
        <w:rPr>
          <w:bCs/>
          <w:sz w:val="24"/>
        </w:rPr>
      </w:pPr>
      <w:r>
        <w:rPr>
          <w:rFonts w:hint="eastAsia"/>
          <w:bCs/>
          <w:sz w:val="24"/>
        </w:rPr>
        <w:t>本基金可根据相关法律法规和基金合同的约定参与融资业务。</w:t>
      </w:r>
    </w:p>
    <w:p w14:paraId="33508711">
      <w:pPr>
        <w:tabs>
          <w:tab w:val="left" w:pos="3780"/>
        </w:tabs>
        <w:spacing w:line="360" w:lineRule="auto"/>
        <w:ind w:firstLine="472"/>
        <w:outlineLvl w:val="0"/>
        <w:rPr>
          <w:bCs/>
          <w:sz w:val="24"/>
        </w:rPr>
      </w:pPr>
      <w:r>
        <w:rPr>
          <w:rFonts w:hint="eastAsia"/>
          <w:bCs/>
          <w:sz w:val="24"/>
        </w:rPr>
        <w:t>如法律法规或监管机构以后允许基金投资其他品种，基金管理人在履行适当程序后，可以将其纳入投资范围。</w:t>
      </w:r>
    </w:p>
    <w:p w14:paraId="5F9414E0">
      <w:pPr>
        <w:tabs>
          <w:tab w:val="left" w:pos="3780"/>
        </w:tabs>
        <w:spacing w:line="360" w:lineRule="auto"/>
        <w:ind w:firstLine="472"/>
        <w:outlineLvl w:val="0"/>
        <w:rPr>
          <w:bCs/>
          <w:sz w:val="24"/>
        </w:rPr>
      </w:pPr>
      <w:r>
        <w:rPr>
          <w:rFonts w:hint="eastAsia"/>
          <w:bCs/>
          <w:sz w:val="24"/>
        </w:rPr>
        <w:t>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w:t>
      </w:r>
    </w:p>
    <w:p w14:paraId="3244417A">
      <w:pPr>
        <w:spacing w:line="360" w:lineRule="auto"/>
        <w:ind w:firstLine="480"/>
        <w:rPr>
          <w:rFonts w:ascii="宋体"/>
          <w:sz w:val="24"/>
        </w:rPr>
      </w:pPr>
      <w:r>
        <w:rPr>
          <w:rFonts w:hint="eastAsia"/>
          <w:bCs/>
          <w:sz w:val="24"/>
        </w:rPr>
        <w:t>如果法律法规或中国证监会变更投资品种的投资比例限制，基金管理人在履行适当程序后，可以调整上述投资品种的投资比例。</w:t>
      </w:r>
    </w:p>
    <w:p w14:paraId="2AA7787B">
      <w:pPr>
        <w:tabs>
          <w:tab w:val="left" w:pos="3780"/>
        </w:tabs>
        <w:spacing w:line="360" w:lineRule="auto"/>
        <w:ind w:firstLine="354"/>
        <w:outlineLvl w:val="0"/>
        <w:rPr>
          <w:rFonts w:ascii="宋体"/>
          <w:b/>
          <w:bCs/>
          <w:sz w:val="24"/>
        </w:rPr>
      </w:pPr>
      <w:r>
        <w:rPr>
          <w:rFonts w:hint="eastAsia" w:ascii="宋体" w:hAnsi="宋体"/>
          <w:b/>
          <w:bCs/>
          <w:sz w:val="24"/>
        </w:rPr>
        <w:t>2</w:t>
      </w:r>
      <w:r>
        <w:rPr>
          <w:rFonts w:ascii="宋体" w:hAnsi="宋体"/>
          <w:b/>
          <w:bCs/>
          <w:sz w:val="24"/>
        </w:rPr>
        <w:t>.</w:t>
      </w:r>
      <w:r>
        <w:rPr>
          <w:rFonts w:hint="eastAsia" w:ascii="宋体" w:hAnsi="宋体"/>
          <w:b/>
          <w:bCs/>
          <w:sz w:val="24"/>
        </w:rPr>
        <w:t>基金托管人根据有关法律法规的规定及《基金合同》和本协议的约定，对基金投资、融资比例进行监督。</w:t>
      </w:r>
    </w:p>
    <w:p w14:paraId="42577631">
      <w:pPr>
        <w:tabs>
          <w:tab w:val="left" w:pos="1260"/>
        </w:tabs>
        <w:spacing w:line="336" w:lineRule="auto"/>
        <w:ind w:firstLine="480"/>
        <w:rPr>
          <w:rFonts w:ascii="宋体" w:hAnsi="宋体"/>
          <w:sz w:val="24"/>
        </w:rPr>
      </w:pPr>
      <w:r>
        <w:rPr>
          <w:rFonts w:hint="eastAsia" w:ascii="宋体" w:hAnsi="宋体"/>
          <w:sz w:val="24"/>
        </w:rPr>
        <w:t>1、组合限制</w:t>
      </w:r>
    </w:p>
    <w:p w14:paraId="09D10EC5">
      <w:pPr>
        <w:tabs>
          <w:tab w:val="left" w:pos="1260"/>
        </w:tabs>
        <w:spacing w:line="336" w:lineRule="auto"/>
        <w:ind w:firstLine="480"/>
        <w:rPr>
          <w:rFonts w:ascii="宋体" w:hAnsi="宋体"/>
          <w:sz w:val="24"/>
        </w:rPr>
      </w:pPr>
      <w:r>
        <w:rPr>
          <w:rFonts w:hint="eastAsia" w:ascii="宋体" w:hAnsi="宋体"/>
          <w:sz w:val="24"/>
        </w:rPr>
        <w:t xml:space="preserve">基金的投资组合应遵循以下限制： </w:t>
      </w:r>
    </w:p>
    <w:p w14:paraId="46373D7A">
      <w:pPr>
        <w:tabs>
          <w:tab w:val="left" w:pos="1260"/>
        </w:tabs>
        <w:spacing w:line="336" w:lineRule="auto"/>
        <w:ind w:firstLine="480"/>
        <w:rPr>
          <w:rFonts w:ascii="宋体" w:hAnsi="宋体"/>
          <w:sz w:val="24"/>
        </w:rPr>
      </w:pPr>
      <w:r>
        <w:rPr>
          <w:rFonts w:hint="eastAsia" w:ascii="宋体" w:hAnsi="宋体"/>
          <w:sz w:val="24"/>
        </w:rPr>
        <w:t>（1）基金的股票资产（含存托凭证）占基金资产的60%-95%，港股通标的股票的投资比例为股票资产的0%-50%；其中，投资于本基金界定的移动互联主题相关证券的比例不低于非现金基金资产的80%；</w:t>
      </w:r>
    </w:p>
    <w:p w14:paraId="12F91EE2">
      <w:pPr>
        <w:tabs>
          <w:tab w:val="left" w:pos="1260"/>
        </w:tabs>
        <w:spacing w:line="336" w:lineRule="auto"/>
        <w:ind w:firstLine="480"/>
        <w:rPr>
          <w:rFonts w:ascii="宋体" w:hAnsi="宋体"/>
          <w:sz w:val="24"/>
        </w:rPr>
      </w:pPr>
      <w:r>
        <w:rPr>
          <w:rFonts w:hint="eastAsia" w:ascii="宋体" w:hAnsi="宋体"/>
          <w:sz w:val="24"/>
        </w:rPr>
        <w:t>（2）每个交易日日终在扣除股指期货合约、国债期货合约、股票期权合约需缴纳的交易保证金后，保持不低于基金资产净值5%的现金或者到期日在一年以内的政府债券，其中，现金不包括结算备付金、存出保证金、应收申购款等；</w:t>
      </w:r>
    </w:p>
    <w:p w14:paraId="1457325D">
      <w:pPr>
        <w:tabs>
          <w:tab w:val="left" w:pos="1260"/>
        </w:tabs>
        <w:spacing w:line="336" w:lineRule="auto"/>
        <w:ind w:firstLine="480"/>
        <w:rPr>
          <w:rFonts w:ascii="宋体" w:hAnsi="宋体"/>
          <w:sz w:val="24"/>
        </w:rPr>
      </w:pPr>
      <w:r>
        <w:rPr>
          <w:rFonts w:hint="eastAsia" w:ascii="宋体" w:hAnsi="宋体"/>
          <w:sz w:val="24"/>
        </w:rPr>
        <w:t>（3）本基金持有一家公司发行的证券（含存托凭证），其市值（若同时持有一家公司发行的A股和H股，则为A股与H股合计市值）不超过基金资产净值的10%；</w:t>
      </w:r>
    </w:p>
    <w:p w14:paraId="39DB1BBB">
      <w:pPr>
        <w:tabs>
          <w:tab w:val="left" w:pos="1260"/>
        </w:tabs>
        <w:spacing w:line="336" w:lineRule="auto"/>
        <w:ind w:firstLine="480"/>
        <w:rPr>
          <w:rFonts w:ascii="宋体" w:hAnsi="宋体"/>
          <w:sz w:val="24"/>
        </w:rPr>
      </w:pPr>
      <w:r>
        <w:rPr>
          <w:rFonts w:hint="eastAsia" w:ascii="宋体" w:hAnsi="宋体"/>
          <w:sz w:val="24"/>
        </w:rPr>
        <w:t>（4）本基金管理人管理的全部基金持有一家公司发行的证券（含存托凭证），不超过该证券（若同时持有一家公司发行的A股和H股，则为A股与H股合计）的10%；</w:t>
      </w:r>
    </w:p>
    <w:p w14:paraId="7F3DE605">
      <w:pPr>
        <w:tabs>
          <w:tab w:val="left" w:pos="1260"/>
        </w:tabs>
        <w:spacing w:line="336" w:lineRule="auto"/>
        <w:ind w:firstLine="480"/>
        <w:rPr>
          <w:rFonts w:ascii="宋体" w:hAnsi="宋体"/>
          <w:sz w:val="24"/>
        </w:rPr>
      </w:pPr>
      <w:r>
        <w:rPr>
          <w:rFonts w:hint="eastAsia" w:ascii="宋体" w:hAnsi="宋体"/>
          <w:sz w:val="24"/>
        </w:rPr>
        <w:t>（5）本基金投资于同一原始权益人的各类资产支持证券的比例，不得超过基金资产净值的10%；</w:t>
      </w:r>
    </w:p>
    <w:p w14:paraId="5F424692">
      <w:pPr>
        <w:tabs>
          <w:tab w:val="left" w:pos="1260"/>
        </w:tabs>
        <w:spacing w:line="336" w:lineRule="auto"/>
        <w:ind w:firstLine="480"/>
        <w:rPr>
          <w:rFonts w:ascii="宋体" w:hAnsi="宋体"/>
          <w:sz w:val="24"/>
        </w:rPr>
      </w:pPr>
      <w:r>
        <w:rPr>
          <w:rFonts w:hint="eastAsia" w:ascii="宋体" w:hAnsi="宋体"/>
          <w:sz w:val="24"/>
        </w:rPr>
        <w:t>（6）本基金持有的全部资产支持证券，其市值不得超过基金资产净值的 20%；</w:t>
      </w:r>
    </w:p>
    <w:p w14:paraId="2DCF929D">
      <w:pPr>
        <w:tabs>
          <w:tab w:val="left" w:pos="1260"/>
        </w:tabs>
        <w:spacing w:line="336" w:lineRule="auto"/>
        <w:ind w:firstLine="480"/>
        <w:rPr>
          <w:rFonts w:ascii="宋体" w:hAnsi="宋体"/>
          <w:sz w:val="24"/>
        </w:rPr>
      </w:pPr>
      <w:r>
        <w:rPr>
          <w:rFonts w:hint="eastAsia" w:ascii="宋体" w:hAnsi="宋体"/>
          <w:sz w:val="24"/>
        </w:rPr>
        <w:t>（7）本基金持有的同一(指同一信用级别)资产支持证券的比例，不得超过该资产支持证券规模的10%；</w:t>
      </w:r>
    </w:p>
    <w:p w14:paraId="001661CE">
      <w:pPr>
        <w:tabs>
          <w:tab w:val="left" w:pos="1260"/>
        </w:tabs>
        <w:spacing w:line="336" w:lineRule="auto"/>
        <w:ind w:firstLine="480"/>
        <w:rPr>
          <w:rFonts w:ascii="宋体" w:hAnsi="宋体"/>
          <w:sz w:val="24"/>
        </w:rPr>
      </w:pPr>
      <w:r>
        <w:rPr>
          <w:rFonts w:hint="eastAsia" w:ascii="宋体" w:hAnsi="宋体"/>
          <w:sz w:val="24"/>
        </w:rPr>
        <w:t>（8）本基金管理人管理的全部基金投资于同一原始权益人的各类资产支持证券，不得超过其各类资产支持证券合计规模的10%；</w:t>
      </w:r>
    </w:p>
    <w:p w14:paraId="7B2D4D21">
      <w:pPr>
        <w:tabs>
          <w:tab w:val="left" w:pos="1260"/>
        </w:tabs>
        <w:spacing w:line="336" w:lineRule="auto"/>
        <w:ind w:firstLine="480"/>
        <w:rPr>
          <w:rFonts w:ascii="宋体" w:hAnsi="宋体"/>
          <w:sz w:val="24"/>
        </w:rPr>
      </w:pPr>
      <w:r>
        <w:rPr>
          <w:rFonts w:hint="eastAsia"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14:paraId="6970C16D">
      <w:pPr>
        <w:tabs>
          <w:tab w:val="left" w:pos="1260"/>
        </w:tabs>
        <w:spacing w:line="336" w:lineRule="auto"/>
        <w:ind w:firstLine="480"/>
        <w:rPr>
          <w:rFonts w:ascii="宋体" w:hAnsi="宋体"/>
          <w:sz w:val="24"/>
        </w:rPr>
      </w:pPr>
      <w:r>
        <w:rPr>
          <w:rFonts w:hint="eastAsia" w:ascii="宋体" w:hAnsi="宋体"/>
          <w:sz w:val="24"/>
        </w:rPr>
        <w:t>（10）基金财产参与股票发行申购，本基金所申报的金额不超过本基金的总资产，本基金所申报的股票数量不超过拟发行股票公司本次发行股票的总量；</w:t>
      </w:r>
    </w:p>
    <w:p w14:paraId="4FA4CE90">
      <w:pPr>
        <w:tabs>
          <w:tab w:val="left" w:pos="1260"/>
        </w:tabs>
        <w:spacing w:line="336" w:lineRule="auto"/>
        <w:ind w:firstLine="480"/>
        <w:rPr>
          <w:rFonts w:ascii="宋体" w:hAnsi="宋体"/>
          <w:sz w:val="24"/>
        </w:rPr>
      </w:pPr>
      <w:r>
        <w:rPr>
          <w:rFonts w:hint="eastAsia" w:ascii="宋体" w:hAnsi="宋体"/>
          <w:sz w:val="24"/>
        </w:rPr>
        <w:t>（11）本基金进入全国银行间同业市场进行债券回购的资金余额不得超过基金资产净值的40%，进入全国银行间同业市场进行债券回购的最长期限为1年，债券回购到期后不得展期；</w:t>
      </w:r>
    </w:p>
    <w:p w14:paraId="2E1BB920">
      <w:pPr>
        <w:tabs>
          <w:tab w:val="left" w:pos="1260"/>
        </w:tabs>
        <w:spacing w:line="336" w:lineRule="auto"/>
        <w:ind w:firstLine="480"/>
        <w:rPr>
          <w:rFonts w:ascii="宋体" w:hAnsi="宋体"/>
          <w:sz w:val="24"/>
        </w:rPr>
      </w:pPr>
      <w:r>
        <w:rPr>
          <w:rFonts w:hint="eastAsia" w:ascii="宋体" w:hAnsi="宋体"/>
          <w:sz w:val="24"/>
        </w:rPr>
        <w:t>（12）本基金参与股指期货、国债期货投资的，应遵循下列限制：</w:t>
      </w:r>
    </w:p>
    <w:p w14:paraId="2A4574EE">
      <w:pPr>
        <w:tabs>
          <w:tab w:val="left" w:pos="1260"/>
        </w:tabs>
        <w:spacing w:line="336" w:lineRule="auto"/>
        <w:ind w:firstLine="480"/>
        <w:rPr>
          <w:rFonts w:ascii="宋体" w:hAnsi="宋体"/>
          <w:sz w:val="24"/>
        </w:rPr>
      </w:pPr>
      <w:r>
        <w:rPr>
          <w:rFonts w:hint="eastAsia" w:ascii="宋体" w:hAnsi="宋体"/>
          <w:sz w:val="24"/>
        </w:rPr>
        <w:t>1）本基金在任何交易日日终，持有的买入股指期货合约价值，不得超过基金资产净值的10%；</w:t>
      </w:r>
    </w:p>
    <w:p w14:paraId="7050C862">
      <w:pPr>
        <w:tabs>
          <w:tab w:val="left" w:pos="1260"/>
        </w:tabs>
        <w:spacing w:line="336" w:lineRule="auto"/>
        <w:ind w:firstLine="480"/>
        <w:rPr>
          <w:rFonts w:ascii="宋体" w:hAnsi="宋体"/>
          <w:sz w:val="24"/>
        </w:rPr>
      </w:pPr>
      <w:r>
        <w:rPr>
          <w:rFonts w:hint="eastAsia" w:ascii="宋体" w:hAnsi="宋体"/>
          <w:sz w:val="24"/>
        </w:rPr>
        <w:t>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3642EA2D">
      <w:pPr>
        <w:tabs>
          <w:tab w:val="left" w:pos="1260"/>
        </w:tabs>
        <w:spacing w:line="336" w:lineRule="auto"/>
        <w:ind w:firstLine="480"/>
        <w:rPr>
          <w:rFonts w:ascii="宋体" w:hAnsi="宋体"/>
          <w:sz w:val="24"/>
        </w:rPr>
      </w:pPr>
      <w:r>
        <w:rPr>
          <w:rFonts w:hint="eastAsia" w:ascii="宋体" w:hAnsi="宋体"/>
          <w:sz w:val="24"/>
        </w:rPr>
        <w:t>3）本基金在任何交易日日终，持有的卖出股指期货合约价值不得超过基金持有的股票总市值的20%；</w:t>
      </w:r>
    </w:p>
    <w:p w14:paraId="35A0D6A4">
      <w:pPr>
        <w:tabs>
          <w:tab w:val="left" w:pos="1260"/>
        </w:tabs>
        <w:spacing w:line="336" w:lineRule="auto"/>
        <w:ind w:firstLine="480"/>
        <w:rPr>
          <w:rFonts w:ascii="宋体" w:hAnsi="宋体"/>
          <w:sz w:val="24"/>
        </w:rPr>
      </w:pPr>
      <w:r>
        <w:rPr>
          <w:rFonts w:hint="eastAsia" w:ascii="宋体" w:hAnsi="宋体"/>
          <w:sz w:val="24"/>
        </w:rPr>
        <w:t>4）本基金在任何交易日内交易（不包括平仓）的股指期货合约的成交金额不得超过上一交易日基金资产净值的20%；</w:t>
      </w:r>
    </w:p>
    <w:p w14:paraId="6A7BC252">
      <w:pPr>
        <w:tabs>
          <w:tab w:val="left" w:pos="1260"/>
        </w:tabs>
        <w:spacing w:line="336" w:lineRule="auto"/>
        <w:ind w:firstLine="480"/>
        <w:rPr>
          <w:rFonts w:ascii="宋体" w:hAnsi="宋体"/>
          <w:sz w:val="24"/>
        </w:rPr>
      </w:pPr>
      <w:r>
        <w:rPr>
          <w:rFonts w:hint="eastAsia" w:ascii="宋体" w:hAnsi="宋体"/>
          <w:sz w:val="24"/>
        </w:rPr>
        <w:t>5）本基金所持有的股票市值和买入、卖出股指期货合约价值，合计（轧差计算）应当符合基金合同关于股票投资比例的有关规定；</w:t>
      </w:r>
    </w:p>
    <w:p w14:paraId="22B6A250">
      <w:pPr>
        <w:tabs>
          <w:tab w:val="left" w:pos="1260"/>
        </w:tabs>
        <w:spacing w:line="336" w:lineRule="auto"/>
        <w:ind w:firstLine="480"/>
        <w:rPr>
          <w:rFonts w:ascii="宋体" w:hAnsi="宋体"/>
          <w:sz w:val="24"/>
        </w:rPr>
      </w:pPr>
      <w:r>
        <w:rPr>
          <w:rFonts w:hint="eastAsia" w:ascii="宋体" w:hAnsi="宋体"/>
          <w:sz w:val="24"/>
        </w:rPr>
        <w:t>6）本基金在任何交易日日终，持有的买入国债期货合约价值，不得超过基金资产净值的15%；</w:t>
      </w:r>
    </w:p>
    <w:p w14:paraId="2B3C7B5E">
      <w:pPr>
        <w:tabs>
          <w:tab w:val="left" w:pos="1260"/>
        </w:tabs>
        <w:spacing w:line="336" w:lineRule="auto"/>
        <w:ind w:firstLine="480"/>
        <w:rPr>
          <w:rFonts w:ascii="宋体" w:hAnsi="宋体"/>
          <w:sz w:val="24"/>
        </w:rPr>
      </w:pPr>
      <w:r>
        <w:rPr>
          <w:rFonts w:hint="eastAsia" w:ascii="宋体" w:hAnsi="宋体"/>
          <w:sz w:val="24"/>
        </w:rPr>
        <w:t>7）本基金在任何交易日日终，持有的卖出国债期货合约价值不得超过基金持有的债券总市值的30%；</w:t>
      </w:r>
    </w:p>
    <w:p w14:paraId="19706C96">
      <w:pPr>
        <w:tabs>
          <w:tab w:val="left" w:pos="1260"/>
        </w:tabs>
        <w:spacing w:line="336" w:lineRule="auto"/>
        <w:ind w:firstLine="480"/>
        <w:rPr>
          <w:rFonts w:ascii="宋体" w:hAnsi="宋体"/>
          <w:sz w:val="24"/>
        </w:rPr>
      </w:pPr>
      <w:r>
        <w:rPr>
          <w:rFonts w:hint="eastAsia" w:ascii="宋体" w:hAnsi="宋体"/>
          <w:sz w:val="24"/>
        </w:rPr>
        <w:t>8）本基金在任何交易日内交易（不包括平仓）的国债期货合约的成交金额不得超过上一交易日基金资产净值的30%；</w:t>
      </w:r>
    </w:p>
    <w:p w14:paraId="6B30C192">
      <w:pPr>
        <w:tabs>
          <w:tab w:val="left" w:pos="1260"/>
        </w:tabs>
        <w:spacing w:line="336" w:lineRule="auto"/>
        <w:ind w:firstLine="480"/>
        <w:rPr>
          <w:rFonts w:ascii="宋体" w:hAnsi="宋体"/>
          <w:sz w:val="24"/>
        </w:rPr>
      </w:pPr>
      <w:r>
        <w:rPr>
          <w:rFonts w:hint="eastAsia" w:ascii="宋体" w:hAnsi="宋体"/>
          <w:sz w:val="24"/>
        </w:rPr>
        <w:t>9）本基金所持有的债券（不含到期日在一年以内的政府债券）市值和买入、卖出国债期货合约价值，合计（轧差计算）应当符合基金合同关于债券投资比例的有关约定；</w:t>
      </w:r>
    </w:p>
    <w:p w14:paraId="0F655E39">
      <w:pPr>
        <w:tabs>
          <w:tab w:val="left" w:pos="1260"/>
        </w:tabs>
        <w:spacing w:line="336" w:lineRule="auto"/>
        <w:ind w:firstLine="480"/>
        <w:rPr>
          <w:rFonts w:ascii="宋体" w:hAnsi="宋体"/>
          <w:sz w:val="24"/>
        </w:rPr>
      </w:pPr>
      <w:r>
        <w:rPr>
          <w:rFonts w:hint="eastAsia" w:ascii="宋体" w:hAnsi="宋体"/>
          <w:sz w:val="24"/>
        </w:rPr>
        <w:t>（13）本基金参与股票期权交易的，需遵守下列规定：</w:t>
      </w:r>
    </w:p>
    <w:p w14:paraId="2B1D6A00">
      <w:pPr>
        <w:tabs>
          <w:tab w:val="left" w:pos="1260"/>
        </w:tabs>
        <w:spacing w:line="336" w:lineRule="auto"/>
        <w:ind w:firstLine="480"/>
        <w:rPr>
          <w:rFonts w:ascii="宋体" w:hAnsi="宋体"/>
          <w:sz w:val="24"/>
        </w:rPr>
      </w:pPr>
      <w:r>
        <w:rPr>
          <w:rFonts w:hint="eastAsia" w:ascii="宋体" w:hAnsi="宋体"/>
          <w:sz w:val="24"/>
        </w:rPr>
        <w:t>1）因未平仓的股票期权合约支付和收取的权利金总额不得超过基金资产净值的10%；</w:t>
      </w:r>
    </w:p>
    <w:p w14:paraId="111C8456">
      <w:pPr>
        <w:tabs>
          <w:tab w:val="left" w:pos="1260"/>
        </w:tabs>
        <w:spacing w:line="336" w:lineRule="auto"/>
        <w:ind w:firstLine="480"/>
        <w:rPr>
          <w:rFonts w:ascii="宋体" w:hAnsi="宋体"/>
          <w:sz w:val="24"/>
        </w:rPr>
      </w:pPr>
      <w:r>
        <w:rPr>
          <w:rFonts w:hint="eastAsia" w:ascii="宋体" w:hAnsi="宋体"/>
          <w:sz w:val="24"/>
        </w:rPr>
        <w:t>2）开仓卖出认购股票期权的，应持有足额标的证券；开仓卖出认沽股票期权的，应持有合约行权所需的全额现金或交易所规则认可的可冲抵股票期权保证金的现金等价物；</w:t>
      </w:r>
    </w:p>
    <w:p w14:paraId="5DE039BB">
      <w:pPr>
        <w:tabs>
          <w:tab w:val="left" w:pos="1260"/>
        </w:tabs>
        <w:spacing w:line="336" w:lineRule="auto"/>
        <w:ind w:firstLine="480"/>
        <w:rPr>
          <w:rFonts w:ascii="宋体" w:hAnsi="宋体"/>
          <w:sz w:val="24"/>
        </w:rPr>
      </w:pPr>
      <w:r>
        <w:rPr>
          <w:rFonts w:hint="eastAsia" w:ascii="宋体" w:hAnsi="宋体"/>
          <w:sz w:val="24"/>
        </w:rPr>
        <w:t>3）未平仓的股票期权合约面值不得超过基金资产净值的20%。其中，合约面值按照行权价乘以合约乘数计算；</w:t>
      </w:r>
    </w:p>
    <w:p w14:paraId="6D34C8E3">
      <w:pPr>
        <w:tabs>
          <w:tab w:val="left" w:pos="1260"/>
        </w:tabs>
        <w:spacing w:line="336" w:lineRule="auto"/>
        <w:ind w:firstLine="480"/>
        <w:rPr>
          <w:rFonts w:ascii="宋体" w:hAnsi="宋体"/>
          <w:bCs/>
          <w:sz w:val="24"/>
        </w:rPr>
      </w:pPr>
      <w:r>
        <w:rPr>
          <w:rFonts w:ascii="宋体" w:hAnsi="宋体"/>
          <w:bCs/>
          <w:sz w:val="24"/>
        </w:rPr>
        <w:t>4）基金投资股票期权应符合基金合同约定的比例限制（如股票仓位、个股占比等）、投资目标和风险收益特征；</w:t>
      </w:r>
    </w:p>
    <w:p w14:paraId="2537FE26">
      <w:pPr>
        <w:tabs>
          <w:tab w:val="left" w:pos="1260"/>
        </w:tabs>
        <w:spacing w:line="336" w:lineRule="auto"/>
        <w:ind w:firstLine="480"/>
        <w:rPr>
          <w:rFonts w:ascii="宋体" w:hAnsi="宋体"/>
          <w:sz w:val="24"/>
        </w:rPr>
      </w:pPr>
      <w:r>
        <w:rPr>
          <w:rFonts w:hint="eastAsia" w:ascii="宋体" w:hAnsi="宋体"/>
          <w:sz w:val="24"/>
        </w:rPr>
        <w:t>（14）本基金资产总值不得超过基金资产净值的140%；</w:t>
      </w:r>
    </w:p>
    <w:p w14:paraId="05EFBE8E">
      <w:pPr>
        <w:tabs>
          <w:tab w:val="left" w:pos="1260"/>
        </w:tabs>
        <w:spacing w:line="336" w:lineRule="auto"/>
        <w:ind w:firstLine="480"/>
        <w:rPr>
          <w:rFonts w:ascii="宋体" w:hAnsi="宋体"/>
          <w:sz w:val="24"/>
        </w:rPr>
      </w:pPr>
      <w:r>
        <w:rPr>
          <w:rFonts w:ascii="宋体" w:hAnsi="宋体"/>
          <w:sz w:val="24"/>
        </w:rPr>
        <w:t>（15）本基金管理人管理的全部开放式基金持</w:t>
      </w:r>
      <w:r>
        <w:rPr>
          <w:rFonts w:hint="eastAsia" w:ascii="宋体" w:hAnsi="宋体"/>
          <w:sz w:val="24"/>
        </w:rPr>
        <w:t>有一家上市公司发行的可流通股票，不得超过该上市公司可流通股票的15%；本基金管理人管理的全部投资组合持有一家上市公司发行的可流通股票，不得超过该上市公司可流通股票的30%；</w:t>
      </w:r>
    </w:p>
    <w:p w14:paraId="29F26301">
      <w:pPr>
        <w:tabs>
          <w:tab w:val="left" w:pos="1260"/>
        </w:tabs>
        <w:spacing w:line="336" w:lineRule="auto"/>
        <w:ind w:firstLine="480"/>
        <w:rPr>
          <w:rFonts w:ascii="宋体" w:hAnsi="宋体"/>
          <w:sz w:val="24"/>
        </w:rPr>
      </w:pPr>
      <w:r>
        <w:rPr>
          <w:rFonts w:hint="eastAsia"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4E034071">
      <w:pPr>
        <w:tabs>
          <w:tab w:val="left" w:pos="1260"/>
        </w:tabs>
        <w:spacing w:line="336" w:lineRule="auto"/>
        <w:ind w:firstLine="480"/>
        <w:rPr>
          <w:rFonts w:ascii="宋体" w:hAnsi="宋体"/>
          <w:sz w:val="24"/>
        </w:rPr>
      </w:pPr>
      <w:r>
        <w:rPr>
          <w:rFonts w:hint="eastAsia" w:ascii="宋体" w:hAnsi="宋体"/>
          <w:sz w:val="24"/>
        </w:rPr>
        <w:t>（17）本基金与私募类证券资管产品及中国证监会认定的其他主体为交易对手开展逆回购交易的，可接受质押品的资质要求应当与基金合同约定的投资范围保持一致；</w:t>
      </w:r>
    </w:p>
    <w:p w14:paraId="0C7DDE7E">
      <w:pPr>
        <w:tabs>
          <w:tab w:val="left" w:pos="1260"/>
        </w:tabs>
        <w:spacing w:line="336" w:lineRule="auto"/>
        <w:ind w:firstLine="480"/>
        <w:rPr>
          <w:rFonts w:ascii="宋体" w:hAnsi="宋体"/>
          <w:sz w:val="24"/>
        </w:rPr>
      </w:pPr>
      <w:r>
        <w:rPr>
          <w:rFonts w:hint="eastAsia" w:ascii="宋体" w:hAnsi="宋体"/>
          <w:sz w:val="24"/>
        </w:rPr>
        <w:t>（18）本基金参与融资的，任何交易日日终，本基金持有的融资买入股票与其他有价证券市值之和，不得超过基金资产净值的95%；</w:t>
      </w:r>
    </w:p>
    <w:p w14:paraId="092B0AD2">
      <w:pPr>
        <w:tabs>
          <w:tab w:val="left" w:pos="1260"/>
        </w:tabs>
        <w:spacing w:line="336" w:lineRule="auto"/>
        <w:ind w:firstLine="480"/>
        <w:rPr>
          <w:rFonts w:ascii="宋体" w:hAnsi="宋体"/>
          <w:sz w:val="24"/>
        </w:rPr>
      </w:pPr>
      <w:r>
        <w:rPr>
          <w:rFonts w:hint="eastAsia" w:ascii="宋体" w:hAnsi="宋体"/>
          <w:sz w:val="24"/>
        </w:rPr>
        <w:t>（19）本基金不持有具有信用保护卖方属性的信用衍生品，不持有合约类信用衍生品，本基金持有的信用衍生品名义本金不得超过本基金中所对应受保护债券面值的100%；</w:t>
      </w:r>
    </w:p>
    <w:p w14:paraId="64EC604C">
      <w:pPr>
        <w:tabs>
          <w:tab w:val="left" w:pos="1260"/>
        </w:tabs>
        <w:spacing w:line="336" w:lineRule="auto"/>
        <w:ind w:firstLine="480"/>
        <w:rPr>
          <w:rFonts w:ascii="宋体" w:hAnsi="宋体"/>
          <w:sz w:val="24"/>
        </w:rPr>
      </w:pPr>
      <w:r>
        <w:rPr>
          <w:rFonts w:hint="eastAsia" w:ascii="宋体" w:hAnsi="宋体"/>
          <w:sz w:val="24"/>
        </w:rPr>
        <w:t>（20）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1CFF7B46">
      <w:pPr>
        <w:tabs>
          <w:tab w:val="left" w:pos="1260"/>
        </w:tabs>
        <w:spacing w:line="336" w:lineRule="auto"/>
        <w:ind w:firstLine="480"/>
        <w:rPr>
          <w:rFonts w:ascii="宋体" w:hAnsi="宋体"/>
          <w:sz w:val="24"/>
        </w:rPr>
      </w:pPr>
      <w:r>
        <w:rPr>
          <w:rFonts w:hint="eastAsia" w:ascii="宋体" w:hAnsi="宋体"/>
          <w:sz w:val="24"/>
        </w:rPr>
        <w:t>（21）法律法规及中国证监会规定的和《基金合同》约定的其他投资限制。</w:t>
      </w:r>
    </w:p>
    <w:p w14:paraId="25DEAA29">
      <w:pPr>
        <w:tabs>
          <w:tab w:val="left" w:pos="1260"/>
        </w:tabs>
        <w:spacing w:line="336" w:lineRule="auto"/>
        <w:ind w:firstLine="480"/>
        <w:rPr>
          <w:rFonts w:ascii="宋体" w:hAnsi="宋体"/>
          <w:sz w:val="24"/>
        </w:rPr>
      </w:pPr>
      <w:r>
        <w:rPr>
          <w:rFonts w:hint="eastAsia" w:ascii="宋体" w:hAnsi="宋体"/>
          <w:sz w:val="24"/>
        </w:rPr>
        <w:t>除上述（2）、（9）、（16）、（17）、（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5C48272A">
      <w:pPr>
        <w:tabs>
          <w:tab w:val="left" w:pos="1260"/>
        </w:tabs>
        <w:spacing w:line="336" w:lineRule="auto"/>
        <w:ind w:firstLine="480"/>
        <w:rPr>
          <w:rFonts w:ascii="宋体" w:hAnsi="宋体"/>
          <w:sz w:val="24"/>
        </w:rPr>
      </w:pPr>
      <w:r>
        <w:rPr>
          <w:rFonts w:hint="eastAsia"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A751D34">
      <w:pPr>
        <w:tabs>
          <w:tab w:val="left" w:pos="1260"/>
        </w:tabs>
        <w:spacing w:line="336" w:lineRule="auto"/>
        <w:ind w:firstLine="480"/>
        <w:rPr>
          <w:rFonts w:ascii="宋体" w:hAnsi="宋体"/>
          <w:color w:val="000000"/>
          <w:sz w:val="24"/>
        </w:rPr>
      </w:pPr>
      <w:r>
        <w:rPr>
          <w:rFonts w:hint="eastAsia" w:ascii="宋体" w:hAnsi="宋体"/>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0239337A">
      <w:pPr>
        <w:spacing w:line="360" w:lineRule="auto"/>
        <w:ind w:firstLine="482"/>
        <w:rPr>
          <w:rFonts w:ascii="宋体"/>
          <w:b/>
          <w:bCs/>
          <w:sz w:val="24"/>
        </w:rPr>
      </w:pPr>
      <w:r>
        <w:rPr>
          <w:rFonts w:hint="eastAsia" w:ascii="宋体" w:hAnsi="宋体"/>
          <w:b/>
          <w:bCs/>
          <w:sz w:val="24"/>
        </w:rPr>
        <w:t>3</w:t>
      </w:r>
      <w:r>
        <w:rPr>
          <w:rFonts w:ascii="宋体" w:hAnsi="宋体"/>
          <w:b/>
          <w:bCs/>
          <w:sz w:val="24"/>
        </w:rPr>
        <w:t>.</w:t>
      </w:r>
      <w:r>
        <w:rPr>
          <w:rFonts w:hint="eastAsia" w:ascii="宋体" w:hAnsi="宋体"/>
          <w:b/>
          <w:bCs/>
          <w:sz w:val="24"/>
        </w:rPr>
        <w:t>基金托管人</w:t>
      </w:r>
      <w:bookmarkStart w:id="23" w:name="OLE_LINK1"/>
      <w:r>
        <w:rPr>
          <w:rFonts w:hint="eastAsia" w:ascii="宋体" w:hAnsi="宋体"/>
          <w:b/>
          <w:bCs/>
          <w:sz w:val="24"/>
        </w:rPr>
        <w:t>根据有关法律法规的规定及基金合同和本协议的约定，</w:t>
      </w:r>
      <w:bookmarkEnd w:id="23"/>
      <w:r>
        <w:rPr>
          <w:rFonts w:hint="eastAsia" w:ascii="宋体" w:hAnsi="宋体"/>
          <w:b/>
          <w:bCs/>
          <w:sz w:val="24"/>
        </w:rPr>
        <w:t>对基金投资禁止行为进行监督。基金财产不得用于下列投资或者活动。</w:t>
      </w:r>
    </w:p>
    <w:p w14:paraId="0252ECA5">
      <w:pPr>
        <w:tabs>
          <w:tab w:val="left" w:pos="3780"/>
        </w:tabs>
        <w:spacing w:line="360" w:lineRule="auto"/>
        <w:ind w:firstLine="480"/>
        <w:outlineLvl w:val="0"/>
        <w:rPr>
          <w:rFonts w:ascii="宋体" w:hAnsi="宋体"/>
          <w:sz w:val="24"/>
        </w:rPr>
      </w:pPr>
      <w:bookmarkStart w:id="24" w:name="OLE_LINK2"/>
      <w:bookmarkStart w:id="25" w:name="OLE_LINK4"/>
      <w:r>
        <w:rPr>
          <w:rFonts w:hint="eastAsia" w:ascii="宋体" w:hAnsi="宋体"/>
          <w:sz w:val="24"/>
        </w:rPr>
        <w:t>（1）承销证券；</w:t>
      </w:r>
    </w:p>
    <w:p w14:paraId="024382AB">
      <w:pPr>
        <w:tabs>
          <w:tab w:val="left" w:pos="3780"/>
        </w:tabs>
        <w:spacing w:line="360" w:lineRule="auto"/>
        <w:ind w:firstLine="480"/>
        <w:outlineLvl w:val="0"/>
        <w:rPr>
          <w:rFonts w:ascii="宋体" w:hAnsi="宋体"/>
          <w:sz w:val="24"/>
        </w:rPr>
      </w:pPr>
      <w:r>
        <w:rPr>
          <w:rFonts w:hint="eastAsia" w:ascii="宋体" w:hAnsi="宋体"/>
          <w:sz w:val="24"/>
        </w:rPr>
        <w:t>（2）违反规定向他人贷款或者提供担保；</w:t>
      </w:r>
    </w:p>
    <w:p w14:paraId="1DD515E0">
      <w:pPr>
        <w:tabs>
          <w:tab w:val="left" w:pos="3780"/>
        </w:tabs>
        <w:spacing w:line="360" w:lineRule="auto"/>
        <w:ind w:firstLine="480"/>
        <w:outlineLvl w:val="0"/>
        <w:rPr>
          <w:rFonts w:ascii="宋体" w:hAnsi="宋体"/>
          <w:sz w:val="24"/>
        </w:rPr>
      </w:pPr>
      <w:r>
        <w:rPr>
          <w:rFonts w:hint="eastAsia" w:ascii="宋体" w:hAnsi="宋体"/>
          <w:sz w:val="24"/>
        </w:rPr>
        <w:t>（3）从事承担无限责任的投资；</w:t>
      </w:r>
    </w:p>
    <w:p w14:paraId="47563AA4">
      <w:pPr>
        <w:tabs>
          <w:tab w:val="left" w:pos="3780"/>
        </w:tabs>
        <w:spacing w:line="360" w:lineRule="auto"/>
        <w:ind w:firstLine="480"/>
        <w:outlineLvl w:val="0"/>
        <w:rPr>
          <w:rFonts w:ascii="宋体" w:hAnsi="宋体"/>
          <w:sz w:val="24"/>
        </w:rPr>
      </w:pPr>
      <w:r>
        <w:rPr>
          <w:rFonts w:hint="eastAsia" w:ascii="宋体" w:hAnsi="宋体"/>
          <w:sz w:val="24"/>
        </w:rPr>
        <w:t>（4）买卖其他基金份额，但是中国证监会另有规定的除外；</w:t>
      </w:r>
    </w:p>
    <w:p w14:paraId="44A6733E">
      <w:pPr>
        <w:tabs>
          <w:tab w:val="left" w:pos="3780"/>
        </w:tabs>
        <w:spacing w:line="360" w:lineRule="auto"/>
        <w:ind w:firstLine="480"/>
        <w:outlineLvl w:val="0"/>
        <w:rPr>
          <w:rFonts w:ascii="宋体" w:hAnsi="宋体"/>
          <w:sz w:val="24"/>
        </w:rPr>
      </w:pPr>
      <w:r>
        <w:rPr>
          <w:rFonts w:hint="eastAsia" w:ascii="宋体" w:hAnsi="宋体"/>
          <w:sz w:val="24"/>
        </w:rPr>
        <w:t>（5）向其基金管理人、基金托管人出资；</w:t>
      </w:r>
    </w:p>
    <w:p w14:paraId="3D8BD5E2">
      <w:pPr>
        <w:tabs>
          <w:tab w:val="left" w:pos="3780"/>
        </w:tabs>
        <w:spacing w:line="360" w:lineRule="auto"/>
        <w:ind w:firstLine="480"/>
        <w:outlineLvl w:val="0"/>
        <w:rPr>
          <w:rFonts w:ascii="宋体" w:hAnsi="宋体"/>
          <w:sz w:val="24"/>
        </w:rPr>
      </w:pPr>
      <w:r>
        <w:rPr>
          <w:rFonts w:hint="eastAsia" w:ascii="宋体" w:hAnsi="宋体"/>
          <w:sz w:val="24"/>
        </w:rPr>
        <w:t>（6）从事内幕交易、操纵证券交易价格及其他不正当的证券交易活动；</w:t>
      </w:r>
    </w:p>
    <w:p w14:paraId="087BED8C">
      <w:pPr>
        <w:tabs>
          <w:tab w:val="left" w:pos="3780"/>
        </w:tabs>
        <w:spacing w:line="360" w:lineRule="auto"/>
        <w:ind w:firstLine="480"/>
        <w:outlineLvl w:val="0"/>
        <w:rPr>
          <w:rFonts w:ascii="宋体" w:hAnsi="宋体"/>
          <w:sz w:val="24"/>
        </w:rPr>
      </w:pPr>
      <w:r>
        <w:rPr>
          <w:rFonts w:hint="eastAsia" w:ascii="宋体" w:hAnsi="宋体"/>
          <w:sz w:val="24"/>
        </w:rPr>
        <w:t>（7）法律、行政法规和中国证监会规定禁止的其他活动。</w:t>
      </w:r>
    </w:p>
    <w:p w14:paraId="02304317">
      <w:pPr>
        <w:tabs>
          <w:tab w:val="left" w:pos="3780"/>
        </w:tabs>
        <w:spacing w:line="360" w:lineRule="auto"/>
        <w:ind w:firstLine="480"/>
        <w:outlineLvl w:val="0"/>
        <w:rPr>
          <w:rFonts w:ascii="宋体" w:hAnsi="宋体"/>
          <w:sz w:val="24"/>
        </w:rPr>
      </w:pPr>
      <w:r>
        <w:rPr>
          <w:rFonts w:hint="eastAsia"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B3FBB72">
      <w:pPr>
        <w:tabs>
          <w:tab w:val="left" w:pos="3780"/>
        </w:tabs>
        <w:spacing w:line="360" w:lineRule="auto"/>
        <w:ind w:firstLine="480"/>
        <w:outlineLvl w:val="0"/>
        <w:rPr>
          <w:rFonts w:ascii="宋体" w:hAnsi="宋体"/>
          <w:sz w:val="24"/>
        </w:rPr>
      </w:pPr>
      <w:r>
        <w:rPr>
          <w:rFonts w:hint="eastAsia" w:ascii="宋体" w:hAnsi="宋体"/>
          <w:sz w:val="24"/>
        </w:rPr>
        <w:t>法律、行政法规或监管部门取消或变更上述禁止性规定，如适用于本基金，基金管理人在履行适当程序后，则本基金投资不再受相关限制或以变更后的规定为准。</w:t>
      </w:r>
    </w:p>
    <w:p w14:paraId="1586DFA2">
      <w:pPr>
        <w:tabs>
          <w:tab w:val="left" w:pos="3780"/>
        </w:tabs>
        <w:spacing w:line="360" w:lineRule="auto"/>
        <w:ind w:firstLine="482"/>
        <w:outlineLvl w:val="0"/>
        <w:rPr>
          <w:rFonts w:ascii="宋体"/>
          <w:b/>
          <w:bCs/>
          <w:sz w:val="24"/>
        </w:rPr>
      </w:pPr>
      <w:r>
        <w:rPr>
          <w:rFonts w:hint="eastAsia" w:ascii="宋体" w:hAnsi="宋体"/>
          <w:b/>
          <w:bCs/>
          <w:sz w:val="24"/>
        </w:rPr>
        <w:t>4</w:t>
      </w:r>
      <w:r>
        <w:rPr>
          <w:rFonts w:ascii="宋体" w:hAnsi="宋体"/>
          <w:b/>
          <w:bCs/>
          <w:sz w:val="24"/>
        </w:rPr>
        <w:t>.基金托管人根据有关法律法规的规定及基金合同和本协议的约定，对基金管理人参与银行间债券市场进行监督。</w:t>
      </w:r>
      <w:bookmarkEnd w:id="24"/>
      <w:bookmarkEnd w:id="25"/>
    </w:p>
    <w:p w14:paraId="4B1C001D">
      <w:pPr>
        <w:tabs>
          <w:tab w:val="left" w:pos="1260"/>
        </w:tabs>
        <w:spacing w:line="360" w:lineRule="auto"/>
        <w:ind w:firstLine="480"/>
        <w:rPr>
          <w:rFonts w:ascii="宋体"/>
          <w:sz w:val="24"/>
        </w:rPr>
      </w:pPr>
      <w:r>
        <w:rPr>
          <w:rFonts w:hint="eastAsia" w:ascii="宋体" w:hAnsi="宋体"/>
          <w:sz w:val="24"/>
        </w:rPr>
        <w:t>（</w:t>
      </w:r>
      <w:r>
        <w:rPr>
          <w:rFonts w:ascii="宋体" w:hAnsi="宋体"/>
          <w:sz w:val="24"/>
        </w:rPr>
        <w:t>1</w:t>
      </w:r>
      <w:r>
        <w:rPr>
          <w:rFonts w:hint="eastAsia" w:ascii="宋体" w:hAnsi="宋体"/>
          <w:sz w:val="24"/>
        </w:rPr>
        <w:t>）基金托管人依据有关法律法规的规定和《基金合同》的约定对于基金管理人参与银行间市场交易时面临的交易对手资信风险进行监督。</w:t>
      </w:r>
    </w:p>
    <w:p w14:paraId="692812A3">
      <w:pPr>
        <w:tabs>
          <w:tab w:val="left" w:pos="1260"/>
        </w:tabs>
        <w:spacing w:line="360" w:lineRule="auto"/>
        <w:ind w:firstLine="480"/>
        <w:rPr>
          <w:rFonts w:ascii="宋体"/>
          <w:sz w:val="24"/>
        </w:rPr>
      </w:pPr>
      <w:r>
        <w:rPr>
          <w:rFonts w:hint="eastAsia" w:ascii="宋体" w:hAnsi="宋体"/>
          <w:sz w:val="24"/>
        </w:rPr>
        <w:t>基金管理人向基金托管人提供符合法律法规及行业标准的银行间市场交易对手的名单。基金托管人在收到名单后</w:t>
      </w:r>
      <w:r>
        <w:rPr>
          <w:rFonts w:ascii="宋体" w:hAnsi="宋体"/>
          <w:sz w:val="24"/>
        </w:rPr>
        <w:t>2</w:t>
      </w:r>
      <w:r>
        <w:rPr>
          <w:rFonts w:hint="eastAsia" w:ascii="宋体" w:hAnsi="宋体"/>
          <w:sz w:val="24"/>
        </w:rPr>
        <w:t>个工作日内电话或回函确认收到该名单。基金管理人应定期和不定期对银行间市场现券及回购交易对手的名单进行更新。基金托管人在收到名单后</w:t>
      </w:r>
      <w:r>
        <w:rPr>
          <w:rFonts w:ascii="宋体" w:hAnsi="宋体"/>
          <w:sz w:val="24"/>
        </w:rPr>
        <w:t>2</w:t>
      </w:r>
      <w:r>
        <w:rPr>
          <w:rFonts w:hint="eastAsia" w:ascii="宋体" w:hAnsi="宋体"/>
          <w:sz w:val="24"/>
        </w:rPr>
        <w:t>个工作日内电话或书面回函确认，新名单自基金托管人确认当日生效。新名单生效前已与本次剔除的交易对手所进行但尚未结算的交易，仍应按照协议进行结算。</w:t>
      </w:r>
    </w:p>
    <w:p w14:paraId="5F49CC55">
      <w:pPr>
        <w:tabs>
          <w:tab w:val="left" w:pos="1260"/>
        </w:tabs>
        <w:spacing w:line="360" w:lineRule="auto"/>
        <w:ind w:firstLine="480"/>
        <w:rPr>
          <w:rFonts w:ascii="宋体"/>
          <w:sz w:val="24"/>
        </w:rPr>
      </w:pPr>
      <w:r>
        <w:rPr>
          <w:rFonts w:hint="eastAsia" w:ascii="宋体" w:hAnsi="宋体"/>
          <w:sz w:val="24"/>
        </w:rPr>
        <w:t>（</w:t>
      </w:r>
      <w:r>
        <w:rPr>
          <w:rFonts w:ascii="宋体" w:hAnsi="宋体"/>
          <w:sz w:val="24"/>
        </w:rPr>
        <w:t>2</w:t>
      </w:r>
      <w:r>
        <w:rPr>
          <w:rFonts w:hint="eastAsia" w:ascii="宋体" w:hAnsi="宋体"/>
          <w:sz w:val="24"/>
        </w:rPr>
        <w:t>）基金管理人参与银行间市场交易时，有责任控制交易对手的资信风险，由于交易对手资信风险引起的损失</w:t>
      </w:r>
      <w:r>
        <w:rPr>
          <w:rFonts w:ascii="宋体"/>
          <w:sz w:val="24"/>
        </w:rPr>
        <w:t>,</w:t>
      </w:r>
      <w:r>
        <w:rPr>
          <w:rFonts w:hint="eastAsia" w:ascii="宋体" w:hAnsi="宋体"/>
          <w:sz w:val="24"/>
        </w:rPr>
        <w:t>基金管理人应当负责向相关责任人追偿。</w:t>
      </w:r>
    </w:p>
    <w:p w14:paraId="33D7DC4E">
      <w:pPr>
        <w:tabs>
          <w:tab w:val="left" w:pos="3780"/>
        </w:tabs>
        <w:spacing w:line="360" w:lineRule="auto"/>
        <w:ind w:firstLine="482"/>
        <w:outlineLvl w:val="0"/>
        <w:rPr>
          <w:rFonts w:ascii="宋体"/>
          <w:b/>
          <w:bCs/>
          <w:sz w:val="24"/>
        </w:rPr>
      </w:pPr>
      <w:r>
        <w:rPr>
          <w:rFonts w:hint="eastAsia" w:ascii="宋体" w:hAnsi="宋体"/>
          <w:b/>
          <w:bCs/>
          <w:sz w:val="24"/>
        </w:rPr>
        <w:t>5</w:t>
      </w:r>
      <w:r>
        <w:rPr>
          <w:rFonts w:ascii="宋体" w:hAnsi="宋体"/>
          <w:b/>
          <w:bCs/>
          <w:sz w:val="24"/>
        </w:rPr>
        <w:t>.</w:t>
      </w:r>
      <w:r>
        <w:rPr>
          <w:rFonts w:hint="eastAsia" w:ascii="宋体" w:hAnsi="宋体"/>
          <w:b/>
          <w:bCs/>
          <w:sz w:val="24"/>
        </w:rPr>
        <w:t>基金托管人根据有关法律法规的规定及基金合同和本协议的约定，对基金管理人银行存款业务约定如下。</w:t>
      </w:r>
    </w:p>
    <w:p w14:paraId="055C10A3">
      <w:pPr>
        <w:tabs>
          <w:tab w:val="left" w:pos="1260"/>
        </w:tabs>
        <w:spacing w:line="360" w:lineRule="auto"/>
        <w:ind w:firstLine="480"/>
        <w:rPr>
          <w:rFonts w:ascii="宋体"/>
          <w:sz w:val="24"/>
        </w:rPr>
      </w:pPr>
      <w:r>
        <w:rPr>
          <w:rFonts w:hint="eastAsia" w:ascii="宋体" w:hAnsi="宋体"/>
          <w:sz w:val="24"/>
        </w:rPr>
        <w:t>本基金投资银行存款应符合如下规定：</w:t>
      </w:r>
    </w:p>
    <w:p w14:paraId="4A5A6D8F">
      <w:pPr>
        <w:tabs>
          <w:tab w:val="left" w:pos="1260"/>
        </w:tabs>
        <w:spacing w:line="360" w:lineRule="auto"/>
        <w:ind w:firstLine="480"/>
        <w:rPr>
          <w:rFonts w:ascii="宋体"/>
          <w:sz w:val="24"/>
        </w:rPr>
      </w:pPr>
      <w:r>
        <w:rPr>
          <w:rFonts w:hint="eastAsia" w:ascii="宋体" w:hAnsi="宋体"/>
          <w:sz w:val="24"/>
        </w:rPr>
        <w:t>（1）基金管理人、基金托管人应当与存款银行建立定期对账机制，确保基金银行存款业务账目及核算的真实、准确。</w:t>
      </w:r>
    </w:p>
    <w:p w14:paraId="19342AD1">
      <w:pPr>
        <w:tabs>
          <w:tab w:val="left" w:pos="1260"/>
        </w:tabs>
        <w:spacing w:line="360" w:lineRule="auto"/>
        <w:ind w:firstLine="480"/>
        <w:rPr>
          <w:rFonts w:ascii="宋体"/>
          <w:sz w:val="24"/>
        </w:rPr>
      </w:pPr>
      <w:r>
        <w:rPr>
          <w:rFonts w:hint="eastAsia"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14:paraId="2F391662">
      <w:pPr>
        <w:tabs>
          <w:tab w:val="left" w:pos="1260"/>
        </w:tabs>
        <w:spacing w:line="360" w:lineRule="auto"/>
        <w:ind w:firstLine="480"/>
        <w:rPr>
          <w:rFonts w:ascii="宋体"/>
          <w:sz w:val="24"/>
        </w:rPr>
      </w:pPr>
      <w:r>
        <w:rPr>
          <w:rFonts w:hint="eastAsia" w:ascii="宋体" w:hAnsi="宋体"/>
          <w:sz w:val="24"/>
        </w:rPr>
        <w:t>（3）基金托管人应加强对基金银行存款业务的监督与核查，严格审查、复核相关协议、账户资料、投资指令、存款证实书等有关文件，切实履行托管职责。</w:t>
      </w:r>
    </w:p>
    <w:p w14:paraId="78E236F8">
      <w:pPr>
        <w:tabs>
          <w:tab w:val="left" w:pos="1260"/>
        </w:tabs>
        <w:spacing w:line="360" w:lineRule="auto"/>
        <w:ind w:firstLine="480"/>
        <w:rPr>
          <w:rFonts w:ascii="宋体"/>
          <w:sz w:val="24"/>
        </w:rPr>
      </w:pPr>
      <w:r>
        <w:rPr>
          <w:rFonts w:hint="eastAsia" w:ascii="宋体" w:hAnsi="宋体"/>
          <w:sz w:val="24"/>
        </w:rPr>
        <w:t>（4）基金管理人与基金托管人在开展基金存款业务时，应严格遵守《基金法》、《运作办法》等有关法律法规，以及国家有关账户管理、利率管理、支付结算等的各项规定。</w:t>
      </w:r>
    </w:p>
    <w:p w14:paraId="20497E6D">
      <w:pPr>
        <w:tabs>
          <w:tab w:val="left" w:pos="3780"/>
        </w:tabs>
        <w:spacing w:line="360" w:lineRule="auto"/>
        <w:ind w:firstLine="482"/>
        <w:outlineLvl w:val="0"/>
        <w:rPr>
          <w:rFonts w:ascii="宋体"/>
          <w:b/>
          <w:bCs/>
          <w:sz w:val="24"/>
        </w:rPr>
      </w:pPr>
      <w:r>
        <w:rPr>
          <w:rFonts w:hint="eastAsia" w:ascii="宋体" w:hAnsi="宋体"/>
          <w:b/>
          <w:bCs/>
          <w:sz w:val="24"/>
        </w:rPr>
        <w:t>6</w:t>
      </w:r>
      <w:r>
        <w:rPr>
          <w:rFonts w:ascii="宋体" w:hAnsi="宋体"/>
          <w:b/>
          <w:bCs/>
          <w:sz w:val="24"/>
        </w:rPr>
        <w:t>.</w:t>
      </w:r>
      <w:r>
        <w:rPr>
          <w:rFonts w:hint="eastAsia" w:ascii="宋体" w:hAnsi="宋体"/>
          <w:b/>
          <w:bCs/>
          <w:sz w:val="24"/>
        </w:rPr>
        <w:t>基金托管人根据法律法规的规定及《基金合同》和本协议的约定，对基金投资其他方面进行监督。</w:t>
      </w:r>
    </w:p>
    <w:p w14:paraId="086F95F5">
      <w:pPr>
        <w:tabs>
          <w:tab w:val="left" w:pos="3780"/>
        </w:tabs>
        <w:spacing w:line="360" w:lineRule="auto"/>
        <w:ind w:firstLine="482"/>
        <w:outlineLvl w:val="0"/>
        <w:rPr>
          <w:rFonts w:ascii="宋体"/>
          <w:b/>
          <w:bCs/>
          <w:sz w:val="24"/>
        </w:rPr>
      </w:pPr>
      <w:r>
        <w:rPr>
          <w:rFonts w:hint="eastAsia" w:ascii="宋体" w:hAnsi="宋体"/>
          <w:b/>
          <w:bCs/>
          <w:sz w:val="24"/>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3F541D92">
      <w:pPr>
        <w:tabs>
          <w:tab w:val="left" w:pos="3780"/>
        </w:tabs>
        <w:spacing w:line="360" w:lineRule="auto"/>
        <w:ind w:firstLine="482"/>
        <w:outlineLvl w:val="0"/>
        <w:rPr>
          <w:rFonts w:ascii="宋体"/>
          <w:b/>
          <w:bCs/>
          <w:sz w:val="24"/>
        </w:rPr>
      </w:pPr>
      <w:r>
        <w:rPr>
          <w:rFonts w:hint="eastAsia" w:ascii="宋体" w:hAnsi="宋体"/>
          <w:b/>
          <w:bCs/>
          <w:sz w:val="24"/>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13950853">
      <w:pPr>
        <w:tabs>
          <w:tab w:val="left" w:pos="1260"/>
        </w:tabs>
        <w:spacing w:line="360" w:lineRule="auto"/>
        <w:ind w:firstLine="480"/>
        <w:rPr>
          <w:rFonts w:ascii="宋体"/>
          <w:sz w:val="24"/>
        </w:rPr>
      </w:pPr>
      <w:r>
        <w:rPr>
          <w:rFonts w:hint="eastAsia" w:ascii="宋体" w:hAnsi="宋体"/>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2362A21F">
      <w:pPr>
        <w:tabs>
          <w:tab w:val="left" w:pos="1260"/>
        </w:tabs>
        <w:spacing w:line="360" w:lineRule="auto"/>
        <w:ind w:firstLine="480"/>
        <w:rPr>
          <w:rFonts w:ascii="宋体"/>
          <w:sz w:val="24"/>
        </w:rPr>
      </w:pPr>
      <w:r>
        <w:rPr>
          <w:rFonts w:hint="eastAsia" w:ascii="宋体" w:hAnsi="宋体"/>
          <w:sz w:val="24"/>
        </w:rPr>
        <w:t>基金托管人发现基金管理人有重大违规行为，应立即报告中国证监会，同时通知基金管理人在限期内纠正。</w:t>
      </w:r>
    </w:p>
    <w:p w14:paraId="2DE1BFB6">
      <w:pPr>
        <w:tabs>
          <w:tab w:val="left" w:pos="1260"/>
        </w:tabs>
        <w:spacing w:line="360" w:lineRule="auto"/>
        <w:ind w:firstLine="480"/>
        <w:rPr>
          <w:rFonts w:ascii="宋体"/>
          <w:sz w:val="24"/>
        </w:rPr>
      </w:pPr>
      <w:r>
        <w:rPr>
          <w:rFonts w:hint="eastAsia" w:ascii="宋体" w:hAnsi="宋体"/>
          <w:sz w:val="24"/>
        </w:rPr>
        <w:t>基金托管人发现基金管理人的指令违反法律、行政法规和其他有关规定，或者违反《基金合同》约定的，应当视情况暂缓或拒绝执行，立即通知基金管理人，并有权向中国证监会报告。</w:t>
      </w:r>
    </w:p>
    <w:p w14:paraId="13B4AB6D">
      <w:pPr>
        <w:tabs>
          <w:tab w:val="left" w:pos="1260"/>
        </w:tabs>
        <w:spacing w:line="360" w:lineRule="auto"/>
        <w:ind w:firstLine="480"/>
        <w:rPr>
          <w:rFonts w:ascii="宋体" w:hAnsi="宋体"/>
          <w:sz w:val="24"/>
        </w:rPr>
      </w:pPr>
      <w:r>
        <w:rPr>
          <w:rFonts w:ascii="宋体" w:hAnsi="宋体"/>
          <w:sz w:val="24"/>
        </w:rPr>
        <w:t>基金托管人发现基金管理人依据交易程序已经生效的指令违反法律、行政法规和其他有关规定，或者违反《基金合同》约定的，应当立即通知基金管理人，并有权向中国证监会报告。</w:t>
      </w:r>
      <w:bookmarkStart w:id="26" w:name="_Toc125892440"/>
    </w:p>
    <w:p w14:paraId="27949732">
      <w:pPr>
        <w:tabs>
          <w:tab w:val="left" w:pos="1260"/>
        </w:tabs>
        <w:spacing w:line="360" w:lineRule="auto"/>
        <w:ind w:firstLine="482"/>
        <w:rPr>
          <w:rFonts w:ascii="宋体"/>
          <w:b/>
          <w:sz w:val="24"/>
        </w:rPr>
      </w:pPr>
      <w:r>
        <w:rPr>
          <w:rFonts w:hint="eastAsia" w:ascii="宋体"/>
          <w:b/>
          <w:sz w:val="24"/>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257EB33B">
      <w:pPr>
        <w:tabs>
          <w:tab w:val="left" w:pos="1260"/>
        </w:tabs>
        <w:spacing w:line="360" w:lineRule="auto"/>
        <w:ind w:firstLine="480"/>
        <w:rPr>
          <w:rFonts w:ascii="宋体"/>
          <w:sz w:val="24"/>
        </w:rPr>
      </w:pPr>
      <w:r>
        <w:rPr>
          <w:rFonts w:hint="eastAsia" w:ascii="宋体"/>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208AFC7C">
      <w:pPr>
        <w:tabs>
          <w:tab w:val="left" w:pos="1260"/>
        </w:tabs>
        <w:spacing w:line="360" w:lineRule="auto"/>
        <w:ind w:firstLine="480"/>
        <w:rPr>
          <w:rFonts w:ascii="宋体"/>
          <w:sz w:val="24"/>
        </w:rPr>
      </w:pPr>
    </w:p>
    <w:p w14:paraId="4468B257">
      <w:pPr>
        <w:pStyle w:val="197"/>
      </w:pPr>
      <w:bookmarkStart w:id="27" w:name="_Toc35001429"/>
      <w:r>
        <w:t>四、基金管理人对基金托管人的业务核查</w:t>
      </w:r>
      <w:bookmarkEnd w:id="26"/>
      <w:bookmarkEnd w:id="27"/>
    </w:p>
    <w:p w14:paraId="533FCB51">
      <w:pPr>
        <w:tabs>
          <w:tab w:val="left" w:pos="1260"/>
        </w:tabs>
        <w:spacing w:line="360" w:lineRule="auto"/>
        <w:ind w:firstLine="480"/>
        <w:rPr>
          <w:rFonts w:ascii="宋体"/>
          <w:sz w:val="24"/>
        </w:rPr>
      </w:pPr>
      <w:r>
        <w:rPr>
          <w:rFonts w:hint="eastAsia" w:ascii="宋体" w:hAnsi="宋体"/>
          <w:sz w:val="24"/>
        </w:rPr>
        <w:t>根据《基金法》及其他有关法规、《基金合同》和本协议规定，基金管理人对基金托管人履行托管职责的情况进行核查，核查事项包括但不限于基金托管人是否安全保管基金财产、开立基金财产的资金账户、证券账户</w:t>
      </w:r>
      <w:r>
        <w:rPr>
          <w:rFonts w:ascii="宋体" w:hAnsi="宋体"/>
          <w:sz w:val="24"/>
        </w:rPr>
        <w:t>和</w:t>
      </w:r>
      <w:r>
        <w:rPr>
          <w:rFonts w:hint="eastAsia" w:ascii="宋体" w:hAnsi="宋体"/>
          <w:sz w:val="24"/>
        </w:rPr>
        <w:t>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20D6DC7E">
      <w:pPr>
        <w:tabs>
          <w:tab w:val="left" w:pos="1260"/>
        </w:tabs>
        <w:spacing w:line="360" w:lineRule="auto"/>
        <w:ind w:firstLine="480"/>
        <w:rPr>
          <w:rFonts w:ascii="宋体"/>
          <w:sz w:val="24"/>
        </w:rPr>
      </w:pPr>
      <w:r>
        <w:rPr>
          <w:rFonts w:hint="eastAsia" w:ascii="宋体" w:hAnsi="宋体"/>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21408EE8">
      <w:pPr>
        <w:tabs>
          <w:tab w:val="left" w:pos="1260"/>
        </w:tabs>
        <w:spacing w:line="360" w:lineRule="auto"/>
        <w:ind w:firstLine="480"/>
        <w:rPr>
          <w:rFonts w:ascii="宋体"/>
          <w:sz w:val="24"/>
        </w:rPr>
      </w:pPr>
      <w:r>
        <w:rPr>
          <w:rFonts w:hint="eastAsia" w:ascii="宋体" w:hAnsi="宋体"/>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4CB8BC04">
      <w:pPr>
        <w:tabs>
          <w:tab w:val="left" w:pos="1260"/>
        </w:tabs>
        <w:spacing w:line="360" w:lineRule="auto"/>
        <w:ind w:firstLine="480"/>
        <w:rPr>
          <w:rFonts w:ascii="宋体" w:hAnsi="宋体"/>
          <w:sz w:val="24"/>
        </w:rPr>
      </w:pPr>
      <w:r>
        <w:rPr>
          <w:rFonts w:hint="eastAsia" w:ascii="宋体" w:hAnsi="宋体"/>
          <w:sz w:val="24"/>
        </w:rPr>
        <w:t>基金管理人发现基金托管人有重大违规行为，应立即报告中国证监会，同时通知基金托管人在限期内纠正。</w:t>
      </w:r>
    </w:p>
    <w:p w14:paraId="5C0B46BC">
      <w:pPr>
        <w:tabs>
          <w:tab w:val="left" w:pos="1260"/>
        </w:tabs>
        <w:spacing w:line="360" w:lineRule="auto"/>
        <w:ind w:firstLine="480"/>
        <w:rPr>
          <w:rFonts w:ascii="宋体"/>
          <w:sz w:val="24"/>
        </w:rPr>
      </w:pPr>
    </w:p>
    <w:p w14:paraId="033F20D7">
      <w:pPr>
        <w:pStyle w:val="197"/>
      </w:pPr>
      <w:bookmarkStart w:id="28" w:name="_Toc523829995"/>
      <w:bookmarkStart w:id="29" w:name="_Toc466788854"/>
      <w:bookmarkStart w:id="30" w:name="_Toc35001430"/>
      <w:bookmarkStart w:id="31" w:name="_Toc125892441"/>
      <w:bookmarkStart w:id="32" w:name="_Toc22454437"/>
      <w:r>
        <w:t>五、基金财产的保管</w:t>
      </w:r>
      <w:bookmarkEnd w:id="28"/>
      <w:bookmarkEnd w:id="29"/>
      <w:bookmarkEnd w:id="30"/>
      <w:bookmarkEnd w:id="31"/>
      <w:bookmarkEnd w:id="32"/>
    </w:p>
    <w:p w14:paraId="796DC687">
      <w:pPr>
        <w:tabs>
          <w:tab w:val="left" w:pos="3780"/>
        </w:tabs>
        <w:spacing w:line="360" w:lineRule="auto"/>
        <w:outlineLvl w:val="0"/>
        <w:rPr>
          <w:rFonts w:ascii="宋体"/>
          <w:b/>
          <w:bCs/>
          <w:sz w:val="24"/>
        </w:rPr>
      </w:pPr>
      <w:bookmarkStart w:id="33" w:name="_Toc37159173"/>
      <w:bookmarkStart w:id="34" w:name="_Toc77662997"/>
      <w:r>
        <w:rPr>
          <w:rFonts w:ascii="宋体" w:hAnsi="宋体"/>
          <w:b/>
          <w:bCs/>
          <w:sz w:val="24"/>
        </w:rPr>
        <w:t>（一）基金财产保管的原则</w:t>
      </w:r>
      <w:bookmarkEnd w:id="33"/>
      <w:bookmarkEnd w:id="34"/>
    </w:p>
    <w:p w14:paraId="3B3B0302">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基金托管人应安全保管基金财产，未经基金管理人的指令，不得自行运用、处分、分配基金的任何资产。</w:t>
      </w:r>
    </w:p>
    <w:p w14:paraId="4ED86ECF">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基金财产应独立于基金管理人、基金托管人的固有财产。</w:t>
      </w:r>
    </w:p>
    <w:p w14:paraId="50EDDCB9">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 xml:space="preserve"> 基金托管人按照规定开立基金财产的资金账户、证券账户和债券托管账户等投资所需账户，基金管理人和基金托管人按照规定开立期货资金账户。</w:t>
      </w:r>
    </w:p>
    <w:p w14:paraId="7671BD2A">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基金托管人对所托管的不同基金财产分别设置账户，确保基金财产的完整和独立。</w:t>
      </w:r>
    </w:p>
    <w:p w14:paraId="7A258987">
      <w:pPr>
        <w:tabs>
          <w:tab w:val="left" w:pos="1260"/>
        </w:tabs>
        <w:spacing w:line="360" w:lineRule="auto"/>
        <w:ind w:firstLine="480"/>
        <w:rPr>
          <w:rFonts w:ascii="宋体"/>
          <w:sz w:val="24"/>
        </w:rPr>
      </w:pPr>
      <w:r>
        <w:rPr>
          <w:rFonts w:hint="eastAsia" w:ascii="宋体" w:hAnsi="宋体"/>
          <w:sz w:val="24"/>
        </w:rPr>
        <w:t>5</w:t>
      </w:r>
      <w:r>
        <w:rPr>
          <w:rFonts w:ascii="宋体" w:hAnsi="宋体"/>
          <w:sz w:val="24"/>
        </w:rPr>
        <w:t>.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35" w:name="_Toc77662998"/>
      <w:bookmarkStart w:id="36" w:name="_Toc37159174"/>
      <w:r>
        <w:rPr>
          <w:rFonts w:hint="eastAsia" w:ascii="宋体" w:hAnsi="宋体"/>
          <w:sz w:val="24"/>
        </w:rPr>
        <w:t>基金托管人应予以必要的协助和配合，但对此不承担任何责任。</w:t>
      </w:r>
    </w:p>
    <w:p w14:paraId="04399080">
      <w:pPr>
        <w:tabs>
          <w:tab w:val="left" w:pos="3780"/>
        </w:tabs>
        <w:spacing w:line="360" w:lineRule="auto"/>
        <w:outlineLvl w:val="0"/>
        <w:rPr>
          <w:rFonts w:ascii="宋体"/>
          <w:b/>
          <w:bCs/>
          <w:sz w:val="24"/>
        </w:rPr>
      </w:pPr>
      <w:r>
        <w:rPr>
          <w:rFonts w:ascii="宋体" w:hAnsi="宋体"/>
          <w:b/>
          <w:bCs/>
          <w:sz w:val="24"/>
        </w:rPr>
        <w:t>（二）基金募集资产的验证</w:t>
      </w:r>
      <w:bookmarkEnd w:id="35"/>
      <w:bookmarkEnd w:id="36"/>
    </w:p>
    <w:p w14:paraId="6F9B989B">
      <w:pPr>
        <w:tabs>
          <w:tab w:val="left" w:pos="1260"/>
        </w:tabs>
        <w:spacing w:line="360" w:lineRule="auto"/>
        <w:ind w:firstLine="480"/>
        <w:rPr>
          <w:rFonts w:ascii="宋体"/>
          <w:sz w:val="24"/>
        </w:rPr>
      </w:pPr>
      <w:r>
        <w:rPr>
          <w:rFonts w:hint="eastAsia" w:ascii="宋体" w:hAnsi="宋体"/>
          <w:sz w:val="24"/>
        </w:rPr>
        <w:t>基金募集期满或基金提前结束募集之日起</w:t>
      </w:r>
      <w:r>
        <w:rPr>
          <w:rFonts w:ascii="宋体" w:hAnsi="宋体"/>
          <w:sz w:val="24"/>
        </w:rPr>
        <w:t>10</w:t>
      </w:r>
      <w:r>
        <w:rPr>
          <w:rFonts w:hint="eastAsia" w:ascii="宋体" w:hAnsi="宋体"/>
          <w:sz w:val="24"/>
        </w:rPr>
        <w:t>日内，由基金管理人聘请符合《证券法》规定的会计师事务所进行验资，出具验资报告，出具的验资报告应由参加验资的</w:t>
      </w:r>
      <w:r>
        <w:rPr>
          <w:rFonts w:ascii="宋体" w:hAnsi="宋体"/>
          <w:sz w:val="24"/>
        </w:rPr>
        <w:t>2</w:t>
      </w:r>
      <w:r>
        <w:rPr>
          <w:rFonts w:hint="eastAsia" w:ascii="宋体" w:hAnsi="宋体"/>
          <w:sz w:val="24"/>
        </w:rPr>
        <w:t>名以上（含</w:t>
      </w:r>
      <w:r>
        <w:rPr>
          <w:rFonts w:ascii="宋体" w:hAnsi="宋体"/>
          <w:sz w:val="24"/>
        </w:rPr>
        <w:t>2名）中国注册会计师签字有效。验资完成，基金管理人应将募集到的全部资金存入基金托管人为基金开立的基金银行存款账户中，基金托管人在收到资金当日出具相关证明文件。</w:t>
      </w:r>
      <w:bookmarkStart w:id="37" w:name="_Toc37159176"/>
      <w:bookmarkStart w:id="38" w:name="_Toc77663000"/>
    </w:p>
    <w:p w14:paraId="745794F2">
      <w:pPr>
        <w:tabs>
          <w:tab w:val="left" w:pos="3780"/>
        </w:tabs>
        <w:spacing w:line="360" w:lineRule="auto"/>
        <w:outlineLvl w:val="0"/>
        <w:rPr>
          <w:rFonts w:ascii="宋体"/>
          <w:b/>
          <w:bCs/>
          <w:sz w:val="24"/>
        </w:rPr>
      </w:pPr>
      <w:r>
        <w:rPr>
          <w:rFonts w:ascii="宋体" w:hAnsi="宋体"/>
          <w:b/>
          <w:bCs/>
          <w:sz w:val="24"/>
        </w:rPr>
        <w:t>（三）基金的银行存款账户的开立和管理</w:t>
      </w:r>
      <w:bookmarkEnd w:id="37"/>
      <w:bookmarkEnd w:id="38"/>
    </w:p>
    <w:p w14:paraId="74AFD993">
      <w:pPr>
        <w:tabs>
          <w:tab w:val="left" w:pos="1260"/>
        </w:tabs>
        <w:spacing w:line="360" w:lineRule="auto"/>
        <w:ind w:firstLine="480"/>
        <w:rPr>
          <w:rFonts w:ascii="宋体"/>
          <w:sz w:val="24"/>
        </w:rPr>
      </w:pPr>
      <w:r>
        <w:rPr>
          <w:rFonts w:ascii="宋体" w:hAnsi="宋体"/>
          <w:sz w:val="24"/>
        </w:rPr>
        <w:t>1.</w:t>
      </w:r>
      <w:r>
        <w:rPr>
          <w:rFonts w:hint="eastAsia" w:ascii="宋体" w:hAnsi="宋体"/>
          <w:sz w:val="24"/>
        </w:rPr>
        <w:t>基金托管人应负责本基金银行存款账户的开立和管理。</w:t>
      </w:r>
    </w:p>
    <w:p w14:paraId="2C7F7785">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基金托管人以本基金的名义在其营业机构开立基金的银行存款账户，并根据基金管理人合法合规的指令办理资金收付。本基金的银行预留印鉴由基金托管人保管和使用。</w:t>
      </w:r>
    </w:p>
    <w:p w14:paraId="2915437A">
      <w:pPr>
        <w:tabs>
          <w:tab w:val="left" w:pos="1260"/>
        </w:tabs>
        <w:spacing w:line="360" w:lineRule="auto"/>
        <w:ind w:firstLine="480"/>
        <w:rPr>
          <w:rFonts w:ascii="宋体"/>
          <w:sz w:val="24"/>
        </w:rPr>
      </w:pPr>
      <w:r>
        <w:rPr>
          <w:rFonts w:ascii="宋体" w:hAnsi="宋体"/>
          <w:sz w:val="24"/>
        </w:rPr>
        <w:t>3</w:t>
      </w:r>
      <w:bookmarkStart w:id="39" w:name="_Hlk37260391"/>
      <w:r>
        <w:rPr>
          <w:rFonts w:ascii="宋体" w:hAnsi="宋体"/>
          <w:sz w:val="24"/>
        </w:rPr>
        <w:t>.</w:t>
      </w:r>
      <w:bookmarkEnd w:id="39"/>
      <w:r>
        <w:rPr>
          <w:rFonts w:hint="eastAsia" w:ascii="宋体" w:hAnsi="宋体"/>
          <w:sz w:val="24"/>
        </w:rPr>
        <w:t>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4A5B4A6E">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基金托管人可以通过申请开通本基金银行账户的企业网上银行业务进行资金支付，并使用交通银行企业网上银行（简称“交通银行网银”）办理托管资产的资金结算汇划业务。</w:t>
      </w:r>
    </w:p>
    <w:p w14:paraId="56D7D291">
      <w:pPr>
        <w:tabs>
          <w:tab w:val="left" w:pos="1260"/>
        </w:tabs>
        <w:spacing w:line="360" w:lineRule="auto"/>
        <w:ind w:firstLine="480"/>
        <w:rPr>
          <w:rFonts w:ascii="宋体"/>
          <w:sz w:val="24"/>
        </w:rPr>
      </w:pPr>
      <w:r>
        <w:rPr>
          <w:rFonts w:ascii="宋体" w:hAnsi="宋体"/>
          <w:sz w:val="24"/>
        </w:rPr>
        <w:t>5.基金银行存款账户的管理应符合银行业监督管理机构的有关规定。</w:t>
      </w:r>
      <w:bookmarkStart w:id="40" w:name="_Toc77663001"/>
      <w:bookmarkStart w:id="41" w:name="_Toc37159177"/>
    </w:p>
    <w:p w14:paraId="245E4F58">
      <w:pPr>
        <w:tabs>
          <w:tab w:val="left" w:pos="3780"/>
        </w:tabs>
        <w:spacing w:line="360" w:lineRule="auto"/>
        <w:outlineLvl w:val="0"/>
        <w:rPr>
          <w:rFonts w:ascii="宋体"/>
          <w:b/>
          <w:bCs/>
          <w:sz w:val="24"/>
        </w:rPr>
      </w:pPr>
      <w:r>
        <w:rPr>
          <w:rFonts w:ascii="宋体" w:hAnsi="宋体"/>
          <w:b/>
          <w:bCs/>
          <w:sz w:val="24"/>
        </w:rPr>
        <w:t>（四）基金证券交收账户、资金交收账户的开立和管理</w:t>
      </w:r>
      <w:bookmarkEnd w:id="40"/>
      <w:bookmarkEnd w:id="41"/>
    </w:p>
    <w:p w14:paraId="76BCE62A">
      <w:pPr>
        <w:tabs>
          <w:tab w:val="left" w:pos="1260"/>
        </w:tabs>
        <w:spacing w:line="360" w:lineRule="auto"/>
        <w:ind w:firstLine="480"/>
        <w:rPr>
          <w:rFonts w:ascii="宋体"/>
          <w:sz w:val="24"/>
        </w:rPr>
      </w:pPr>
      <w:r>
        <w:rPr>
          <w:rFonts w:hint="eastAsia" w:ascii="宋体" w:hAnsi="宋体"/>
          <w:sz w:val="24"/>
        </w:rPr>
        <w:t>基金托管人以基金托管人和本基金联名的方式在中国证券登记结算有限责任公司开立证券账户。</w:t>
      </w:r>
    </w:p>
    <w:p w14:paraId="16C6A4F4">
      <w:pPr>
        <w:tabs>
          <w:tab w:val="left" w:pos="1260"/>
        </w:tabs>
        <w:spacing w:line="360" w:lineRule="auto"/>
        <w:ind w:firstLine="480"/>
        <w:rPr>
          <w:rFonts w:ascii="宋体"/>
          <w:sz w:val="24"/>
        </w:rPr>
      </w:pPr>
      <w:r>
        <w:rPr>
          <w:rFonts w:hint="eastAsia"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2078BE0B">
      <w:pPr>
        <w:tabs>
          <w:tab w:val="left" w:pos="1260"/>
        </w:tabs>
        <w:spacing w:line="360" w:lineRule="auto"/>
        <w:ind w:firstLine="480"/>
        <w:rPr>
          <w:rFonts w:ascii="宋体"/>
          <w:sz w:val="24"/>
        </w:rPr>
      </w:pPr>
      <w:r>
        <w:rPr>
          <w:rFonts w:hint="eastAsia" w:ascii="宋体" w:hAnsi="宋体"/>
          <w:sz w:val="24"/>
        </w:rPr>
        <w:t>基金管理人不得对基金证券交收账户、资金交收账户进行证券的超卖或超买。基金证券账户资产的管理和运用由基金管理人负责。</w:t>
      </w:r>
    </w:p>
    <w:p w14:paraId="5E510EEE">
      <w:pPr>
        <w:tabs>
          <w:tab w:val="left" w:pos="1260"/>
        </w:tabs>
        <w:spacing w:line="360" w:lineRule="auto"/>
        <w:ind w:firstLine="480"/>
        <w:rPr>
          <w:rFonts w:ascii="宋体" w:hAnsi="宋体"/>
          <w:sz w:val="24"/>
        </w:rPr>
      </w:pPr>
      <w:r>
        <w:rPr>
          <w:rFonts w:ascii="宋体" w:hAnsi="宋体"/>
          <w:sz w:val="24"/>
        </w:rPr>
        <w:t>基金托管人以基金托管人的名义在中国证券登记结算有限责任公司开立结算备付金账户即资金交收账户，用于证券交易资金的结算。基金托管人以本基金的名义在托管人处开立基金的证券交易资金结算的二级结算备付金账户。</w:t>
      </w:r>
      <w:bookmarkStart w:id="42" w:name="_Toc37159179"/>
      <w:bookmarkStart w:id="43" w:name="_Toc77663003"/>
    </w:p>
    <w:p w14:paraId="44E9659B">
      <w:pPr>
        <w:tabs>
          <w:tab w:val="left" w:pos="1260"/>
        </w:tabs>
        <w:spacing w:line="360" w:lineRule="auto"/>
        <w:ind w:firstLine="482"/>
        <w:rPr>
          <w:rFonts w:ascii="宋体" w:hAnsi="宋体"/>
          <w:sz w:val="24"/>
        </w:rPr>
      </w:pPr>
      <w:r>
        <w:rPr>
          <w:rFonts w:hint="eastAsia" w:ascii="宋体" w:hAnsi="宋体"/>
          <w:b/>
          <w:bCs/>
          <w:sz w:val="24"/>
        </w:rPr>
        <w:t>（五）债券托管账户的开立和管理</w:t>
      </w:r>
    </w:p>
    <w:p w14:paraId="2D8B79CC">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w:t>
      </w:r>
      <w:r>
        <w:rPr>
          <w:rFonts w:hint="eastAsia" w:ascii="宋体" w:hAnsi="宋体"/>
          <w:sz w:val="24"/>
          <w:szCs w:val="21"/>
        </w:rPr>
        <w:t>基金管理人负责申请基金进入全国银行间同业拆借市场进行交易，由基金管理人在中国外汇交易中心开设同业拆借市场交易</w:t>
      </w:r>
      <w:r>
        <w:rPr>
          <w:rFonts w:hint="eastAsia" w:ascii="宋体" w:hAnsi="宋体"/>
          <w:sz w:val="24"/>
        </w:rPr>
        <w:t>账户</w:t>
      </w:r>
      <w:r>
        <w:rPr>
          <w:rFonts w:hint="eastAsia" w:ascii="宋体" w:hAnsi="宋体"/>
          <w:sz w:val="24"/>
          <w:szCs w:val="21"/>
        </w:rPr>
        <w:t>。</w:t>
      </w:r>
    </w:p>
    <w:p w14:paraId="6AD929A0">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基金管理人代表基金签订全国银行间债券市场债券回购主协议，协议正本由基金管理人保存。</w:t>
      </w:r>
    </w:p>
    <w:p w14:paraId="67930DCB">
      <w:pPr>
        <w:tabs>
          <w:tab w:val="left" w:pos="1260"/>
        </w:tabs>
        <w:spacing w:line="360" w:lineRule="auto"/>
        <w:ind w:firstLine="480"/>
        <w:rPr>
          <w:rFonts w:ascii="宋体" w:hAnsi="宋体"/>
          <w:sz w:val="24"/>
        </w:rPr>
      </w:pPr>
      <w:r>
        <w:rPr>
          <w:rFonts w:ascii="宋体" w:hAnsi="宋体" w:cs="宋体"/>
          <w:color w:val="000000"/>
          <w:sz w:val="24"/>
        </w:rPr>
        <w:t>3</w:t>
      </w:r>
      <w:r>
        <w:rPr>
          <w:rFonts w:hint="eastAsia" w:ascii="宋体" w:hAnsi="宋体" w:cs="宋体"/>
          <w:color w:val="000000"/>
          <w:sz w:val="24"/>
        </w:rPr>
        <w:t>．</w:t>
      </w:r>
      <w:r>
        <w:rPr>
          <w:rFonts w:ascii="宋体" w:hAnsi="宋体" w:cs="宋体"/>
          <w:color w:val="000000"/>
          <w:sz w:val="24"/>
        </w:rPr>
        <w:t>基金管理人代表基金签订中国银行间市场金融衍生产品交易主协议（凭证特别版），协议正本由基金管理人保存。</w:t>
      </w:r>
    </w:p>
    <w:p w14:paraId="1107EE7D">
      <w:pPr>
        <w:tabs>
          <w:tab w:val="left" w:pos="3780"/>
        </w:tabs>
        <w:spacing w:line="360" w:lineRule="auto"/>
        <w:ind w:firstLine="482"/>
        <w:outlineLvl w:val="0"/>
        <w:rPr>
          <w:rFonts w:ascii="宋体" w:hAnsi="宋体"/>
          <w:b/>
          <w:bCs/>
          <w:sz w:val="24"/>
        </w:rPr>
      </w:pPr>
      <w:r>
        <w:rPr>
          <w:rFonts w:hint="eastAsia" w:ascii="宋体" w:hAnsi="宋体"/>
          <w:b/>
          <w:bCs/>
          <w:sz w:val="24"/>
        </w:rPr>
        <w:t>（六）期货的相关账户的开立和管理</w:t>
      </w:r>
    </w:p>
    <w:p w14:paraId="68E5CFA2">
      <w:pPr>
        <w:tabs>
          <w:tab w:val="left" w:pos="1260"/>
        </w:tabs>
        <w:spacing w:line="360" w:lineRule="auto"/>
        <w:ind w:firstLine="480"/>
        <w:rPr>
          <w:rFonts w:ascii="宋体"/>
          <w:sz w:val="24"/>
        </w:rPr>
      </w:pPr>
      <w:r>
        <w:rPr>
          <w:rFonts w:hint="eastAsia" w:ascii="宋体"/>
          <w:sz w:val="24"/>
        </w:rPr>
        <w:t>基金管理人、基金托管人应当按照相关规定开立期货资金账户，在中国金融期货交易所获取交易编码。期货资金账户名称及交易编码对应名称应按照有关规定设立。</w:t>
      </w:r>
    </w:p>
    <w:p w14:paraId="63643191">
      <w:pPr>
        <w:tabs>
          <w:tab w:val="left" w:pos="1260"/>
        </w:tabs>
        <w:spacing w:line="360" w:lineRule="auto"/>
        <w:ind w:firstLine="480"/>
        <w:rPr>
          <w:rFonts w:ascii="宋体"/>
          <w:sz w:val="24"/>
        </w:rPr>
      </w:pPr>
      <w:r>
        <w:rPr>
          <w:rFonts w:hint="eastAsia" w:ascii="宋体"/>
          <w:sz w:val="24"/>
        </w:rPr>
        <w:t>基金托管人已取得期货保证金存管银行资格，基金管理人授权基金托管人办理相关银期转账业务。</w:t>
      </w:r>
    </w:p>
    <w:p w14:paraId="12F24386">
      <w:pPr>
        <w:tabs>
          <w:tab w:val="left" w:pos="3780"/>
        </w:tabs>
        <w:spacing w:line="360" w:lineRule="auto"/>
        <w:ind w:firstLine="482"/>
        <w:outlineLvl w:val="0"/>
        <w:rPr>
          <w:rFonts w:ascii="宋体" w:hAnsi="宋体"/>
          <w:b/>
          <w:bCs/>
          <w:sz w:val="24"/>
        </w:rPr>
      </w:pPr>
      <w:r>
        <w:rPr>
          <w:rFonts w:hint="eastAsia" w:ascii="宋体" w:hAnsi="宋体"/>
          <w:b/>
          <w:bCs/>
          <w:sz w:val="24"/>
        </w:rPr>
        <w:t>（七）基金投资银行存款账户的开立和管理</w:t>
      </w:r>
    </w:p>
    <w:p w14:paraId="0F9A091F">
      <w:pPr>
        <w:tabs>
          <w:tab w:val="left" w:pos="1260"/>
        </w:tabs>
        <w:spacing w:line="360" w:lineRule="auto"/>
        <w:ind w:firstLine="480"/>
        <w:rPr>
          <w:rFonts w:ascii="宋体"/>
          <w:sz w:val="24"/>
        </w:rPr>
      </w:pPr>
      <w:r>
        <w:rPr>
          <w:rFonts w:hint="eastAsia" w:ascii="宋体"/>
          <w:sz w:val="24"/>
        </w:rPr>
        <w:t>存款账户必须以基金名义开立，账户名称为基金名称，存款账户开户文件上加盖预留印鉴（须包括托管人印章）及基金管理人公章。</w:t>
      </w:r>
    </w:p>
    <w:p w14:paraId="3AD48F61">
      <w:pPr>
        <w:tabs>
          <w:tab w:val="left" w:pos="1260"/>
        </w:tabs>
        <w:spacing w:line="360" w:lineRule="auto"/>
        <w:ind w:firstLine="480"/>
        <w:rPr>
          <w:rFonts w:ascii="宋体"/>
          <w:sz w:val="24"/>
        </w:rPr>
      </w:pPr>
      <w:r>
        <w:rPr>
          <w:rFonts w:hint="eastAsia" w:ascii="宋体"/>
          <w:sz w:val="24"/>
        </w:rPr>
        <w:t>本基金投资银行存款时，基金管理人应当与存款银行签订具体存款协议或存款确认单据，明确存款的类型、期限、利率、金额、账号、对账方式、支取方式、存款到期指定收款账户等细则。</w:t>
      </w:r>
    </w:p>
    <w:p w14:paraId="0B1A1310">
      <w:pPr>
        <w:tabs>
          <w:tab w:val="left" w:pos="1260"/>
        </w:tabs>
        <w:spacing w:line="360" w:lineRule="auto"/>
        <w:ind w:firstLine="480"/>
        <w:rPr>
          <w:rFonts w:ascii="宋体"/>
          <w:sz w:val="24"/>
        </w:rPr>
      </w:pPr>
      <w:r>
        <w:rPr>
          <w:rFonts w:hint="eastAsia" w:ascii="宋体"/>
          <w:sz w:val="24"/>
        </w:rPr>
        <w:t>为防范特殊情况下的流动性风险，定期存款协议中应当约定提前支取条款。</w:t>
      </w:r>
    </w:p>
    <w:p w14:paraId="35868740">
      <w:pPr>
        <w:tabs>
          <w:tab w:val="left" w:pos="3780"/>
        </w:tabs>
        <w:spacing w:line="360" w:lineRule="auto"/>
        <w:outlineLvl w:val="0"/>
        <w:rPr>
          <w:rFonts w:ascii="宋体" w:hAnsi="宋体"/>
          <w:b/>
          <w:bCs/>
          <w:sz w:val="24"/>
        </w:rPr>
      </w:pPr>
      <w:r>
        <w:rPr>
          <w:rFonts w:hint="eastAsia" w:ascii="宋体" w:hAnsi="宋体"/>
          <w:b/>
          <w:bCs/>
          <w:sz w:val="24"/>
        </w:rPr>
        <w:t>（八）其他账户的开立和管理</w:t>
      </w:r>
    </w:p>
    <w:p w14:paraId="29E5C3C8">
      <w:pPr>
        <w:tabs>
          <w:tab w:val="left" w:pos="2958"/>
        </w:tabs>
        <w:spacing w:line="360" w:lineRule="auto"/>
        <w:ind w:firstLine="420"/>
        <w:outlineLvl w:val="0"/>
      </w:pPr>
      <w:r>
        <w:rPr>
          <w:rFonts w:hint="eastAsia"/>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24C71719">
      <w:pPr>
        <w:tabs>
          <w:tab w:val="left" w:pos="3780"/>
        </w:tabs>
        <w:spacing w:line="360" w:lineRule="auto"/>
        <w:outlineLvl w:val="0"/>
        <w:rPr>
          <w:rFonts w:ascii="宋体"/>
          <w:b/>
          <w:bCs/>
          <w:sz w:val="24"/>
        </w:rPr>
      </w:pPr>
      <w:r>
        <w:rPr>
          <w:rFonts w:ascii="宋体" w:hAnsi="宋体"/>
          <w:b/>
          <w:bCs/>
          <w:sz w:val="24"/>
        </w:rPr>
        <w:t>（九）基金财产投资的有关实物证券、银行存款定期存单等有价凭证的保管</w:t>
      </w:r>
      <w:bookmarkEnd w:id="42"/>
      <w:bookmarkEnd w:id="43"/>
    </w:p>
    <w:p w14:paraId="12B4A188">
      <w:pPr>
        <w:tabs>
          <w:tab w:val="left" w:pos="1260"/>
        </w:tabs>
        <w:spacing w:line="360" w:lineRule="auto"/>
        <w:ind w:firstLine="480"/>
        <w:rPr>
          <w:rFonts w:ascii="宋体"/>
          <w:color w:val="000000"/>
          <w:sz w:val="24"/>
        </w:rPr>
      </w:pPr>
      <w:r>
        <w:rPr>
          <w:rFonts w:hint="eastAsia" w:ascii="宋体" w:hAnsi="宋体"/>
          <w:sz w:val="24"/>
        </w:rPr>
        <w:t>实物证券由基金托管人存放于基金托管人的保管库。实物证券的购买和转让，由基金托管人根据基金管理人的指令办理。</w:t>
      </w:r>
      <w:r>
        <w:rPr>
          <w:rFonts w:hint="eastAsia" w:ascii="宋体" w:hAnsi="宋体"/>
          <w:color w:val="000000"/>
          <w:sz w:val="24"/>
        </w:rPr>
        <w:t>基金托管人对由基金托管人以外机构实际有效控制的本基金资产不承担保管责任。</w:t>
      </w:r>
    </w:p>
    <w:p w14:paraId="456506DA">
      <w:pPr>
        <w:tabs>
          <w:tab w:val="left" w:pos="1260"/>
        </w:tabs>
        <w:spacing w:line="360" w:lineRule="auto"/>
        <w:ind w:firstLine="480"/>
        <w:rPr>
          <w:rFonts w:ascii="宋体" w:hAnsi="宋体"/>
          <w:sz w:val="24"/>
        </w:rPr>
      </w:pPr>
      <w:r>
        <w:rPr>
          <w:rFonts w:hint="eastAsia" w:ascii="宋体" w:hAnsi="宋体"/>
          <w:sz w:val="24"/>
        </w:rPr>
        <w:t>银行存款定期存单等有价凭证由基金托管人负责保管。</w:t>
      </w:r>
    </w:p>
    <w:p w14:paraId="262E8022">
      <w:pPr>
        <w:tabs>
          <w:tab w:val="left" w:pos="1260"/>
        </w:tabs>
        <w:spacing w:line="360" w:lineRule="auto"/>
        <w:ind w:firstLine="480"/>
        <w:rPr>
          <w:rFonts w:ascii="宋体"/>
          <w:sz w:val="24"/>
        </w:rPr>
      </w:pPr>
      <w:r>
        <w:rPr>
          <w:rFonts w:hint="eastAsia" w:ascii="宋体"/>
          <w:sz w:val="24"/>
        </w:rPr>
        <w:t>基金托管人只负责对存款证实书进行保管，不负责对存款证实书真伪的辨别，不承担存款证实书对应存款的本金及收益的安全保管责任。</w:t>
      </w:r>
    </w:p>
    <w:p w14:paraId="59F947E9">
      <w:pPr>
        <w:tabs>
          <w:tab w:val="left" w:pos="3780"/>
        </w:tabs>
        <w:spacing w:line="360" w:lineRule="auto"/>
        <w:outlineLvl w:val="0"/>
        <w:rPr>
          <w:rFonts w:ascii="宋体"/>
          <w:b/>
          <w:bCs/>
          <w:sz w:val="24"/>
        </w:rPr>
      </w:pPr>
      <w:bookmarkStart w:id="44" w:name="_Toc77663004"/>
      <w:bookmarkStart w:id="45" w:name="_Toc37159180"/>
      <w:r>
        <w:rPr>
          <w:rFonts w:ascii="宋体" w:hAnsi="宋体"/>
          <w:b/>
          <w:bCs/>
          <w:sz w:val="24"/>
        </w:rPr>
        <w:t>（十）与基金财产有关的重大合同的保管</w:t>
      </w:r>
      <w:bookmarkEnd w:id="44"/>
      <w:bookmarkEnd w:id="45"/>
    </w:p>
    <w:p w14:paraId="729009AB">
      <w:pPr>
        <w:tabs>
          <w:tab w:val="left" w:pos="1260"/>
        </w:tabs>
        <w:spacing w:line="360" w:lineRule="auto"/>
        <w:ind w:firstLine="480"/>
        <w:rPr>
          <w:rFonts w:ascii="宋体"/>
          <w:sz w:val="24"/>
        </w:rPr>
      </w:pPr>
      <w:r>
        <w:rPr>
          <w:rFonts w:hint="eastAsia" w:ascii="宋体" w:hAnsi="宋体"/>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549B3CF7">
      <w:pPr>
        <w:tabs>
          <w:tab w:val="left" w:pos="1260"/>
        </w:tabs>
        <w:spacing w:line="360" w:lineRule="auto"/>
        <w:ind w:firstLine="480"/>
        <w:rPr>
          <w:rFonts w:ascii="宋体"/>
          <w:sz w:val="24"/>
        </w:rPr>
      </w:pPr>
      <w:r>
        <w:rPr>
          <w:rFonts w:ascii="宋体" w:hAnsi="宋体"/>
          <w:sz w:val="24"/>
        </w:rPr>
        <w:t>对于无法取得二份以上的正本的，基金管理人应向基金托管人提供加盖授权业务章的合同传真件，未经双方协商或未在合同约定范围内，合同原件不得转移。</w:t>
      </w:r>
      <w:bookmarkStart w:id="46" w:name="_Toc125892442"/>
      <w:bookmarkStart w:id="47" w:name="_Toc466788855"/>
      <w:bookmarkStart w:id="48" w:name="_Toc523829996"/>
    </w:p>
    <w:p w14:paraId="3B42038A">
      <w:pPr>
        <w:pStyle w:val="197"/>
      </w:pPr>
      <w:bookmarkStart w:id="49" w:name="_Toc35001431"/>
      <w:r>
        <w:t>六、指令的发送、确认和执行</w:t>
      </w:r>
      <w:bookmarkEnd w:id="46"/>
      <w:bookmarkEnd w:id="47"/>
      <w:bookmarkEnd w:id="48"/>
      <w:bookmarkEnd w:id="49"/>
    </w:p>
    <w:p w14:paraId="6AD27593">
      <w:pPr>
        <w:tabs>
          <w:tab w:val="left" w:pos="3780"/>
        </w:tabs>
        <w:spacing w:line="360" w:lineRule="auto"/>
        <w:outlineLvl w:val="0"/>
        <w:rPr>
          <w:rFonts w:ascii="宋体"/>
          <w:b/>
          <w:bCs/>
          <w:sz w:val="24"/>
        </w:rPr>
      </w:pPr>
      <w:bookmarkStart w:id="50" w:name="_Toc77663006"/>
      <w:r>
        <w:rPr>
          <w:rFonts w:ascii="宋体" w:hAnsi="宋体"/>
          <w:b/>
          <w:bCs/>
          <w:sz w:val="24"/>
        </w:rPr>
        <w:t>（一）基金管理人对发送指令人员的书面授权</w:t>
      </w:r>
      <w:bookmarkEnd w:id="50"/>
    </w:p>
    <w:p w14:paraId="1DE820C2">
      <w:pPr>
        <w:tabs>
          <w:tab w:val="left" w:pos="1260"/>
        </w:tabs>
        <w:spacing w:line="360" w:lineRule="auto"/>
        <w:ind w:firstLine="480"/>
        <w:rPr>
          <w:rFonts w:ascii="宋体"/>
          <w:sz w:val="24"/>
        </w:rPr>
      </w:pPr>
      <w:r>
        <w:rPr>
          <w:rFonts w:hint="eastAsia" w:ascii="宋体" w:hAnsi="宋体"/>
          <w:sz w:val="24"/>
        </w:rPr>
        <w:t>基金管理人应事先书面通知（以下称“授权通知”）基金托管人有权发送指令的人员名单、签字样本、预留印鉴和启用日期，注明相应的权限，并规定基金管理人向基金托管人发送指令时基金托管人确认有权发送人员（以下简称“被授权人”）身份的方法。基金管理人向基金托管人发出的授权通知应加盖公章。基金管理人发出授权通知后，以电话形式向基金托管人确认，授权通知自其上面注明的启用日期开始生效，在此后三个工作日内基金管理人应将授权通知的正本送交基金托管人。</w:t>
      </w:r>
    </w:p>
    <w:p w14:paraId="2BD998A0">
      <w:pPr>
        <w:tabs>
          <w:tab w:val="left" w:pos="1260"/>
        </w:tabs>
        <w:spacing w:line="360" w:lineRule="auto"/>
        <w:ind w:firstLine="480"/>
        <w:rPr>
          <w:rFonts w:ascii="宋体"/>
          <w:sz w:val="24"/>
        </w:rPr>
      </w:pPr>
      <w:r>
        <w:rPr>
          <w:rFonts w:hint="eastAsia" w:ascii="宋体" w:hAnsi="宋体"/>
          <w:sz w:val="24"/>
        </w:rPr>
        <w:t>基金托管人收到授权通知后，将签字和印鉴与预留样本核对无误后，应在收到授权通知当日电话向基金管理人确认。</w:t>
      </w:r>
    </w:p>
    <w:p w14:paraId="0ADE00EE">
      <w:pPr>
        <w:tabs>
          <w:tab w:val="left" w:pos="1260"/>
        </w:tabs>
        <w:spacing w:line="360" w:lineRule="auto"/>
        <w:ind w:firstLine="480"/>
        <w:rPr>
          <w:rFonts w:ascii="宋体"/>
          <w:sz w:val="24"/>
        </w:rPr>
      </w:pPr>
      <w:r>
        <w:rPr>
          <w:rFonts w:ascii="宋体" w:hAnsi="宋体"/>
          <w:sz w:val="24"/>
        </w:rPr>
        <w:t>基金管理人和基金托管人对授权文件负有保密义务，其内容不得向被授权人及相关操作人员以外的任何人泄露，但法律法规或中国证监会另有规定的除外。</w:t>
      </w:r>
      <w:bookmarkStart w:id="51" w:name="_Toc77663007"/>
    </w:p>
    <w:p w14:paraId="7E01E7F8">
      <w:pPr>
        <w:tabs>
          <w:tab w:val="left" w:pos="3780"/>
        </w:tabs>
        <w:spacing w:line="360" w:lineRule="auto"/>
        <w:outlineLvl w:val="0"/>
        <w:rPr>
          <w:rFonts w:ascii="宋体"/>
          <w:b/>
          <w:bCs/>
          <w:sz w:val="24"/>
        </w:rPr>
      </w:pPr>
      <w:r>
        <w:rPr>
          <w:rFonts w:ascii="宋体" w:hAnsi="宋体"/>
          <w:b/>
          <w:bCs/>
          <w:sz w:val="24"/>
        </w:rPr>
        <w:t>（二）指令的内容</w:t>
      </w:r>
      <w:bookmarkEnd w:id="51"/>
    </w:p>
    <w:p w14:paraId="4E562782">
      <w:pPr>
        <w:tabs>
          <w:tab w:val="left" w:pos="1260"/>
        </w:tabs>
        <w:spacing w:line="360" w:lineRule="auto"/>
        <w:ind w:firstLine="480"/>
        <w:rPr>
          <w:rFonts w:ascii="宋体"/>
          <w:sz w:val="24"/>
        </w:rPr>
      </w:pPr>
      <w:r>
        <w:rPr>
          <w:rFonts w:hint="eastAsia" w:ascii="宋体" w:hAnsi="宋体"/>
          <w:sz w:val="24"/>
        </w:rPr>
        <w:t>指令是基金管理人在运用基金资产时，向基金托管人发出的资金划拨及其他款项收付的指令。</w:t>
      </w:r>
      <w:bookmarkStart w:id="52" w:name="_Toc77663008"/>
      <w:r>
        <w:rPr>
          <w:rFonts w:hint="eastAsia" w:ascii="宋体" w:hAnsi="宋体"/>
          <w:sz w:val="24"/>
        </w:rPr>
        <w:t>指令应写明款项事由、支付时间、到账时间、金额、账户、大额支付号等执行支付所需内容，加盖预留印鉴。</w:t>
      </w:r>
    </w:p>
    <w:p w14:paraId="29226C6A">
      <w:pPr>
        <w:tabs>
          <w:tab w:val="left" w:pos="1260"/>
        </w:tabs>
        <w:spacing w:line="360" w:lineRule="auto"/>
        <w:rPr>
          <w:rFonts w:ascii="宋体"/>
          <w:b/>
          <w:bCs/>
          <w:sz w:val="24"/>
        </w:rPr>
      </w:pPr>
      <w:r>
        <w:rPr>
          <w:rFonts w:hint="eastAsia" w:ascii="宋体" w:hAnsi="宋体"/>
          <w:b/>
          <w:bCs/>
          <w:sz w:val="24"/>
        </w:rPr>
        <w:t>（三）指令的发送、确认和执行</w:t>
      </w:r>
      <w:bookmarkEnd w:id="52"/>
      <w:r>
        <w:rPr>
          <w:rFonts w:hint="eastAsia" w:ascii="宋体" w:hAnsi="宋体"/>
          <w:b/>
          <w:bCs/>
          <w:sz w:val="24"/>
        </w:rPr>
        <w:t>的时间和程序</w:t>
      </w:r>
    </w:p>
    <w:p w14:paraId="73D252E8">
      <w:pPr>
        <w:tabs>
          <w:tab w:val="left" w:pos="1260"/>
        </w:tabs>
        <w:spacing w:line="360" w:lineRule="auto"/>
        <w:ind w:firstLine="480"/>
        <w:rPr>
          <w:rFonts w:ascii="宋体"/>
          <w:sz w:val="24"/>
        </w:rPr>
      </w:pPr>
      <w:r>
        <w:rPr>
          <w:rFonts w:hint="eastAsia" w:ascii="宋体" w:hAnsi="宋体"/>
          <w:sz w:val="24"/>
        </w:rPr>
        <w:t>基金管理人应按照《基金法》及其他有关法规、《基金合同》和本协议的规定，在其合法的经营权限和交易权限内发送指令，被授权人应按照其授权权限发送指令。指令由“授权通知”确定的被授权人代表基金管理人用传真的方式向基金托管人发送。发送后基金管理人及时通过电话与基金托管人确认指令内容。</w:t>
      </w:r>
      <w:r>
        <w:rPr>
          <w:rFonts w:hint="eastAsia" w:hAnsi="宋体"/>
          <w:sz w:val="24"/>
        </w:rPr>
        <w:t>基金管理人必须在</w:t>
      </w:r>
      <w:r>
        <w:rPr>
          <w:rFonts w:hAnsi="宋体"/>
          <w:sz w:val="24"/>
        </w:rPr>
        <w:t>15:00</w:t>
      </w:r>
      <w:r>
        <w:rPr>
          <w:rFonts w:hint="eastAsia" w:hAnsi="宋体"/>
          <w:sz w:val="24"/>
        </w:rPr>
        <w:t>之前向基金托管人发送付款指令并确保基金银行账户有足够的资金余额，</w:t>
      </w:r>
      <w:r>
        <w:rPr>
          <w:rFonts w:hAnsi="宋体"/>
          <w:sz w:val="24"/>
        </w:rPr>
        <w:t>15:00</w:t>
      </w:r>
      <w:r>
        <w:rPr>
          <w:rFonts w:hint="eastAsia" w:hAnsi="宋体"/>
          <w:sz w:val="24"/>
        </w:rPr>
        <w:t>之后发送付款指令或截止</w:t>
      </w:r>
      <w:r>
        <w:rPr>
          <w:rFonts w:hAnsi="宋体"/>
          <w:sz w:val="24"/>
        </w:rPr>
        <w:t>15:00</w:t>
      </w:r>
      <w:r>
        <w:rPr>
          <w:rFonts w:hint="eastAsia" w:hAnsi="宋体"/>
          <w:sz w:val="24"/>
        </w:rPr>
        <w:t>时账户资金不足的，基金托管人不能保证在当日完成划付。对基金管理人在没有充足资金的情况下向基金托管人发出的指令，基金托管人可不予执行，并立即通知基金管理人，基金托管人不承担因为不执行该指令而造成损失的责任。如基金管理人要求当天某一时点到账，必须至少提前</w:t>
      </w:r>
      <w:r>
        <w:rPr>
          <w:rFonts w:hAnsi="宋体"/>
          <w:sz w:val="24"/>
        </w:rPr>
        <w:t>2</w:t>
      </w:r>
      <w:r>
        <w:rPr>
          <w:rFonts w:hint="eastAsia" w:hAnsi="宋体"/>
          <w:sz w:val="24"/>
        </w:rPr>
        <w:t>个</w:t>
      </w:r>
      <w:r>
        <w:rPr>
          <w:rFonts w:hAnsi="宋体"/>
          <w:sz w:val="24"/>
        </w:rPr>
        <w:t>工作</w:t>
      </w:r>
      <w:r>
        <w:rPr>
          <w:rFonts w:hint="eastAsia" w:hAnsi="宋体"/>
          <w:sz w:val="24"/>
        </w:rPr>
        <w:t>小时向基金托管人发送付款指令并与基金托管人电话确认。基金管理人指令传输及确认不及时或账户资金不足，未能留出足够的执行时间，致使指令未能及时执行的，基金托管人不承担由此导致的损失。基金管理人应将银行间市场成交单加盖预留印鉴后传真给基金托管人。</w:t>
      </w:r>
      <w:r>
        <w:rPr>
          <w:rFonts w:hint="eastAsia" w:ascii="宋体" w:hAnsi="宋体"/>
          <w:sz w:val="24"/>
        </w:rPr>
        <w:t>对于被授权人发出的指令，基金管理人不得否认其效力。基金托管人依照“授权通知”规定的方法确认指令的有效后，方可执行指令。</w:t>
      </w:r>
      <w:r>
        <w:rPr>
          <w:rFonts w:hint="eastAsia" w:cs="Arial"/>
          <w:sz w:val="24"/>
        </w:rPr>
        <w:t>指令</w:t>
      </w:r>
      <w:r>
        <w:rPr>
          <w:rFonts w:hint="eastAsia" w:ascii="宋体" w:hAnsi="宋体" w:cs="Arial"/>
          <w:sz w:val="24"/>
        </w:rPr>
        <w:t>执行完毕后，基金托管人将执行结果反馈给基金管理人。基金托管人仅根据基金管理人的授权文件对指令进行表面相符性的形式审查，对其真实性不承担责任。</w:t>
      </w:r>
    </w:p>
    <w:p w14:paraId="40CEC8D4">
      <w:pPr>
        <w:tabs>
          <w:tab w:val="left" w:pos="3780"/>
        </w:tabs>
        <w:spacing w:line="360" w:lineRule="auto"/>
        <w:outlineLvl w:val="0"/>
        <w:rPr>
          <w:rFonts w:ascii="宋体"/>
          <w:b/>
          <w:bCs/>
          <w:sz w:val="24"/>
        </w:rPr>
      </w:pPr>
      <w:r>
        <w:rPr>
          <w:rFonts w:hint="eastAsia" w:ascii="宋体" w:hAnsi="宋体"/>
          <w:b/>
          <w:bCs/>
          <w:sz w:val="24"/>
        </w:rPr>
        <w:t>（四）基金管理人发送错误指令的情形和处理程序</w:t>
      </w:r>
    </w:p>
    <w:p w14:paraId="14A0828F">
      <w:pPr>
        <w:tabs>
          <w:tab w:val="left" w:pos="1260"/>
        </w:tabs>
        <w:spacing w:line="360" w:lineRule="auto"/>
        <w:ind w:firstLine="480"/>
        <w:rPr>
          <w:rFonts w:ascii="宋体"/>
          <w:sz w:val="24"/>
        </w:rPr>
      </w:pPr>
      <w:r>
        <w:rPr>
          <w:rFonts w:hint="eastAsia" w:ascii="宋体" w:hAnsi="宋体"/>
          <w:sz w:val="24"/>
        </w:rPr>
        <w:t>基金管理人发送错误指令的情形包括指令发送人员无权或超越权限发送指令及交割信息错误，指令中重要信息模糊不清或不全等。基金托管人在履行监督职能时，发现基金管理人的指令错误时，有权视情况暂缓或拒绝执行，并及时通知基金管理人改正。</w:t>
      </w:r>
      <w:r>
        <w:rPr>
          <w:rFonts w:ascii="宋体" w:hAnsi="宋体"/>
          <w:sz w:val="24"/>
        </w:rPr>
        <w:t xml:space="preserve"> </w:t>
      </w:r>
    </w:p>
    <w:p w14:paraId="76C2FFBB">
      <w:pPr>
        <w:tabs>
          <w:tab w:val="left" w:pos="3780"/>
        </w:tabs>
        <w:spacing w:line="360" w:lineRule="auto"/>
        <w:outlineLvl w:val="0"/>
        <w:rPr>
          <w:rFonts w:ascii="宋体"/>
          <w:b/>
          <w:bCs/>
          <w:sz w:val="24"/>
        </w:rPr>
      </w:pPr>
      <w:r>
        <w:rPr>
          <w:rFonts w:hint="eastAsia" w:ascii="宋体" w:hAnsi="宋体"/>
          <w:b/>
          <w:bCs/>
          <w:sz w:val="24"/>
        </w:rPr>
        <w:t>（五）基金托管人依照法律法规暂缓、拒绝执行指令的情形和处理程序</w:t>
      </w:r>
    </w:p>
    <w:p w14:paraId="416EF589">
      <w:pPr>
        <w:tabs>
          <w:tab w:val="left" w:pos="1260"/>
        </w:tabs>
        <w:spacing w:line="360" w:lineRule="auto"/>
        <w:ind w:firstLine="480"/>
        <w:rPr>
          <w:rFonts w:ascii="宋体"/>
          <w:sz w:val="24"/>
        </w:rPr>
      </w:pPr>
      <w:r>
        <w:rPr>
          <w:rFonts w:hint="eastAsia" w:ascii="宋体" w:hAnsi="宋体"/>
          <w:sz w:val="24"/>
        </w:rPr>
        <w:t>基金托管人在对基金场外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由基金管理人承担。</w:t>
      </w:r>
    </w:p>
    <w:p w14:paraId="7244B558">
      <w:pPr>
        <w:tabs>
          <w:tab w:val="left" w:pos="1260"/>
        </w:tabs>
        <w:spacing w:line="360" w:lineRule="auto"/>
        <w:ind w:firstLine="480"/>
        <w:rPr>
          <w:rFonts w:ascii="宋体"/>
          <w:sz w:val="24"/>
        </w:rPr>
      </w:pPr>
      <w:r>
        <w:rPr>
          <w:rFonts w:hint="eastAsia" w:ascii="宋体" w:hAnsi="宋体"/>
          <w:sz w:val="24"/>
        </w:rPr>
        <w:t>基金托管人在对基金场外投资指令进行审核时，如发现投资指令有可能违反法律法规、《基金合同》、本协议的规定，应暂缓执行指令，通知基金管理人改正。如果基金管理人拒不改正，基金托管人有权向中国证监会报告。</w:t>
      </w:r>
    </w:p>
    <w:p w14:paraId="28C571DB">
      <w:pPr>
        <w:tabs>
          <w:tab w:val="left" w:pos="3780"/>
        </w:tabs>
        <w:spacing w:line="360" w:lineRule="auto"/>
        <w:outlineLvl w:val="0"/>
        <w:rPr>
          <w:rFonts w:ascii="宋体"/>
          <w:b/>
          <w:bCs/>
          <w:sz w:val="24"/>
        </w:rPr>
      </w:pPr>
      <w:r>
        <w:rPr>
          <w:rFonts w:hint="eastAsia" w:ascii="宋体" w:hAnsi="宋体"/>
          <w:b/>
          <w:bCs/>
          <w:sz w:val="24"/>
        </w:rPr>
        <w:t>（六）基金托管人未按照基金管理人指令执行的处理方法</w:t>
      </w:r>
    </w:p>
    <w:p w14:paraId="174E435F">
      <w:pPr>
        <w:tabs>
          <w:tab w:val="left" w:pos="1260"/>
        </w:tabs>
        <w:spacing w:line="360" w:lineRule="auto"/>
        <w:ind w:firstLine="480"/>
        <w:rPr>
          <w:rFonts w:ascii="宋体"/>
          <w:sz w:val="24"/>
        </w:rPr>
      </w:pPr>
      <w:r>
        <w:rPr>
          <w:rFonts w:hint="eastAsia" w:ascii="宋体" w:hAnsi="宋体"/>
          <w:sz w:val="24"/>
        </w:rPr>
        <w:t>基金托管人由于自身原因造成未按照基金管理人发送的正常指令执行，应在发现后及时采取措施予以弥补，</w:t>
      </w:r>
      <w:r>
        <w:rPr>
          <w:rFonts w:ascii="宋体" w:hAnsi="宋体"/>
          <w:sz w:val="24"/>
        </w:rPr>
        <w:t>给基金份额持有人造成损失的，对由此造成的直接经济损失负赔偿责任。</w:t>
      </w:r>
      <w:bookmarkStart w:id="53" w:name="_Toc77663009"/>
    </w:p>
    <w:p w14:paraId="7DAB46CA">
      <w:pPr>
        <w:tabs>
          <w:tab w:val="left" w:pos="3780"/>
        </w:tabs>
        <w:spacing w:line="360" w:lineRule="auto"/>
        <w:outlineLvl w:val="0"/>
        <w:rPr>
          <w:rFonts w:ascii="宋体"/>
          <w:b/>
          <w:bCs/>
          <w:sz w:val="24"/>
        </w:rPr>
      </w:pPr>
      <w:r>
        <w:rPr>
          <w:rFonts w:hint="eastAsia" w:ascii="宋体" w:hAnsi="宋体"/>
          <w:b/>
          <w:bCs/>
          <w:sz w:val="24"/>
        </w:rPr>
        <w:t>（七）被授权人</w:t>
      </w:r>
      <w:bookmarkEnd w:id="53"/>
      <w:r>
        <w:rPr>
          <w:rFonts w:hint="eastAsia" w:ascii="宋体" w:hAnsi="宋体"/>
          <w:b/>
          <w:bCs/>
          <w:sz w:val="24"/>
        </w:rPr>
        <w:t>员的更换</w:t>
      </w:r>
    </w:p>
    <w:p w14:paraId="1439E5D0">
      <w:pPr>
        <w:tabs>
          <w:tab w:val="left" w:pos="1260"/>
        </w:tabs>
        <w:spacing w:line="360" w:lineRule="auto"/>
        <w:ind w:firstLine="480"/>
        <w:rPr>
          <w:rFonts w:ascii="宋体"/>
          <w:sz w:val="24"/>
        </w:rPr>
      </w:pPr>
      <w:r>
        <w:rPr>
          <w:rFonts w:hint="eastAsia" w:ascii="宋体" w:hAnsi="宋体"/>
          <w:sz w:val="24"/>
        </w:rPr>
        <w:t>基金管理人撤换被授权人员或改变被授权人员的权限，必须提前至少三个工作日，使用传真向基金托管人发出加盖公章的被授权人变更通知，注明启用日期，同时电话通知基金托管人。被授权人变更通知自其上面注明的启用日期起开始生效。基金管理人对授权通知的内容的修改自启用日期起生效。基金管理人在此后三个工作日内将被授权人变更通知的正本送交基金托管人。</w:t>
      </w:r>
    </w:p>
    <w:p w14:paraId="3BE0D99F">
      <w:pPr>
        <w:tabs>
          <w:tab w:val="left" w:pos="1260"/>
        </w:tabs>
        <w:spacing w:line="360" w:lineRule="auto"/>
        <w:ind w:firstLine="480"/>
        <w:rPr>
          <w:rFonts w:ascii="宋体"/>
          <w:sz w:val="24"/>
        </w:rPr>
      </w:pPr>
      <w:r>
        <w:rPr>
          <w:rFonts w:hint="eastAsia" w:ascii="宋体" w:hAnsi="宋体"/>
          <w:sz w:val="24"/>
        </w:rPr>
        <w:t>如果基金管理人已经撤销或更改对指令发送人员的授权，并且书面通知基金托管人，则对于在变更通知的启用日期后该指令发送人员无权发送的指令，或超权限发送的指令，基金管理人不承担责任。</w:t>
      </w:r>
    </w:p>
    <w:p w14:paraId="18E8F1CA">
      <w:pPr>
        <w:pStyle w:val="197"/>
      </w:pPr>
      <w:bookmarkStart w:id="54" w:name="_Toc125892443"/>
      <w:bookmarkStart w:id="55" w:name="_Toc523829997"/>
      <w:bookmarkStart w:id="56" w:name="_Toc22454451"/>
      <w:bookmarkStart w:id="57" w:name="_Toc35001432"/>
      <w:bookmarkStart w:id="58" w:name="_Toc466788856"/>
      <w:r>
        <w:t>七、交易及清算交收安排</w:t>
      </w:r>
      <w:bookmarkEnd w:id="54"/>
      <w:bookmarkEnd w:id="55"/>
      <w:bookmarkEnd w:id="56"/>
      <w:bookmarkEnd w:id="57"/>
      <w:bookmarkEnd w:id="58"/>
    </w:p>
    <w:p w14:paraId="4D55E8B5">
      <w:pPr>
        <w:tabs>
          <w:tab w:val="left" w:pos="3780"/>
        </w:tabs>
        <w:spacing w:line="360" w:lineRule="auto"/>
        <w:outlineLvl w:val="0"/>
        <w:rPr>
          <w:rFonts w:ascii="宋体"/>
          <w:b/>
          <w:bCs/>
          <w:sz w:val="24"/>
        </w:rPr>
      </w:pPr>
      <w:bookmarkStart w:id="59" w:name="_Toc77663011"/>
      <w:bookmarkStart w:id="60" w:name="_Toc22454452"/>
      <w:r>
        <w:rPr>
          <w:rFonts w:ascii="宋体" w:hAnsi="宋体"/>
          <w:b/>
          <w:bCs/>
          <w:sz w:val="24"/>
        </w:rPr>
        <w:t>（一）选择代理证券、期货买卖的证券、期货经营机构的标准和程序</w:t>
      </w:r>
      <w:bookmarkEnd w:id="59"/>
      <w:bookmarkEnd w:id="60"/>
    </w:p>
    <w:p w14:paraId="1EBB5A9F">
      <w:pPr>
        <w:tabs>
          <w:tab w:val="left" w:pos="1260"/>
        </w:tabs>
        <w:spacing w:line="360" w:lineRule="auto"/>
        <w:ind w:firstLine="480"/>
        <w:rPr>
          <w:rFonts w:ascii="宋体"/>
          <w:sz w:val="24"/>
        </w:rPr>
      </w:pPr>
      <w:r>
        <w:rPr>
          <w:rFonts w:hint="eastAsia" w:ascii="宋体" w:hAnsi="宋体"/>
          <w:sz w:val="24"/>
        </w:rPr>
        <w:t>基金管理人负责选择代理本基金证券、期货买卖的证券、期货经营机构。</w:t>
      </w:r>
    </w:p>
    <w:p w14:paraId="0B0FE6CA">
      <w:pPr>
        <w:tabs>
          <w:tab w:val="left" w:pos="1260"/>
        </w:tabs>
        <w:spacing w:line="360" w:lineRule="auto"/>
        <w:ind w:firstLine="480"/>
        <w:rPr>
          <w:rFonts w:ascii="宋体" w:hAnsi="宋体"/>
          <w:sz w:val="24"/>
        </w:rPr>
      </w:pPr>
      <w:r>
        <w:rPr>
          <w:rFonts w:hint="eastAsia" w:ascii="宋体" w:hAnsi="宋体"/>
          <w:sz w:val="24"/>
        </w:rPr>
        <w:t>基金管理人应代表基金与被选择的证券经营机构签订交易单元租用协议。基金管理人应及时将基金交易单元号、佣金费率等基本信息以及变更情况及时以书面形式通知基金托管人，并在法定信息披露公告中披露相关内容。</w:t>
      </w:r>
    </w:p>
    <w:p w14:paraId="5943DAA8">
      <w:pPr>
        <w:tabs>
          <w:tab w:val="left" w:pos="1260"/>
        </w:tabs>
        <w:spacing w:line="360" w:lineRule="auto"/>
        <w:ind w:firstLine="480"/>
        <w:rPr>
          <w:rFonts w:ascii="宋体"/>
          <w:sz w:val="24"/>
        </w:rPr>
      </w:pPr>
      <w:r>
        <w:rPr>
          <w:rFonts w:hint="eastAsia" w:ascii="宋体"/>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3CF7309B">
      <w:pPr>
        <w:tabs>
          <w:tab w:val="left" w:pos="3780"/>
        </w:tabs>
        <w:spacing w:line="360" w:lineRule="auto"/>
        <w:outlineLvl w:val="0"/>
        <w:rPr>
          <w:rFonts w:ascii="宋体" w:hAnsi="宋体"/>
          <w:b/>
          <w:bCs/>
          <w:sz w:val="24"/>
        </w:rPr>
      </w:pPr>
      <w:bookmarkStart w:id="61" w:name="_Toc77663012"/>
      <w:r>
        <w:rPr>
          <w:rFonts w:hint="eastAsia" w:ascii="宋体" w:hAnsi="宋体"/>
          <w:b/>
          <w:bCs/>
          <w:sz w:val="24"/>
        </w:rPr>
        <w:t>（二）基金投资证券后的清算</w:t>
      </w:r>
      <w:bookmarkEnd w:id="61"/>
      <w:r>
        <w:rPr>
          <w:rFonts w:hint="eastAsia" w:ascii="宋体" w:hAnsi="宋体"/>
          <w:b/>
          <w:bCs/>
          <w:sz w:val="24"/>
        </w:rPr>
        <w:t>交收安排</w:t>
      </w:r>
    </w:p>
    <w:p w14:paraId="3FFE0669">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资金划拨</w:t>
      </w:r>
    </w:p>
    <w:p w14:paraId="549010AD">
      <w:pPr>
        <w:tabs>
          <w:tab w:val="left" w:pos="1260"/>
        </w:tabs>
        <w:spacing w:line="360" w:lineRule="auto"/>
        <w:ind w:firstLine="480"/>
        <w:rPr>
          <w:rFonts w:ascii="宋体"/>
          <w:sz w:val="24"/>
        </w:rPr>
      </w:pPr>
      <w:r>
        <w:rPr>
          <w:rFonts w:hint="eastAsia" w:ascii="宋体" w:hAnsi="宋体"/>
          <w:sz w:val="24"/>
        </w:rPr>
        <w:t>对于基金管理人的资金划拨指令，基金托管人在复核无误后应在规定期限</w:t>
      </w:r>
      <w:r>
        <w:rPr>
          <w:rFonts w:ascii="宋体" w:hAnsi="宋体"/>
          <w:sz w:val="24"/>
        </w:rPr>
        <w:t>内执行，不得延误。基金管理人应保证基金托管人在执行基金管理人发送的资金划拨指令时，基金银行账户或资金交收账</w:t>
      </w:r>
      <w:r>
        <w:rPr>
          <w:rFonts w:hint="eastAsia" w:ascii="宋体" w:hAnsi="宋体"/>
          <w:sz w:val="24"/>
        </w:rPr>
        <w:t>户上有充足的资金。基金的资金头寸不足时，基金托管人有权拒绝基金管理人发送的划款指令，并及时通知基金管理人。基金管理人在发送划款指令时应充分考虑基金托管人的划款处理时间和在途时间。在基金资金头寸充足的情况下，基金托管人对基金管理人符合法律法规、《基金合同》、本协议的指令不得拖延或拒绝执行。对超头寸的划款指令，基金托管人有权止付但应及时电话通知基金管理人，由此造成的损失由基金管理人承担。</w:t>
      </w:r>
    </w:p>
    <w:p w14:paraId="3AC42085">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结算方式</w:t>
      </w:r>
    </w:p>
    <w:p w14:paraId="1FB19904">
      <w:pPr>
        <w:tabs>
          <w:tab w:val="left" w:pos="1260"/>
        </w:tabs>
        <w:spacing w:line="360" w:lineRule="auto"/>
        <w:ind w:firstLine="480"/>
        <w:rPr>
          <w:rFonts w:ascii="宋体"/>
          <w:sz w:val="24"/>
        </w:rPr>
      </w:pPr>
      <w:r>
        <w:rPr>
          <w:rFonts w:hint="eastAsia" w:ascii="宋体" w:hAnsi="宋体"/>
          <w:sz w:val="24"/>
        </w:rPr>
        <w:t>支付结算以转账形式进行。如中国人民银行有更快捷、安全、可行的结算方式，基金托管人可根据需要进行调整。</w:t>
      </w:r>
    </w:p>
    <w:p w14:paraId="32A149B5">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证券交易资金的清算</w:t>
      </w:r>
    </w:p>
    <w:p w14:paraId="4028AF40">
      <w:pPr>
        <w:tabs>
          <w:tab w:val="left" w:pos="1260"/>
        </w:tabs>
        <w:spacing w:line="360" w:lineRule="auto"/>
        <w:ind w:firstLine="480"/>
        <w:rPr>
          <w:rFonts w:ascii="宋体"/>
          <w:sz w:val="24"/>
        </w:rPr>
      </w:pPr>
      <w:r>
        <w:rPr>
          <w:rFonts w:hint="eastAsia" w:ascii="宋体" w:hAnsi="宋体"/>
          <w:sz w:val="24"/>
        </w:rPr>
        <w:t>本基金投资于证券而发生的场内、场外交易的清算交割，由基金托管人负责办理。</w:t>
      </w:r>
    </w:p>
    <w:p w14:paraId="742F2C47">
      <w:pPr>
        <w:tabs>
          <w:tab w:val="left" w:pos="1260"/>
        </w:tabs>
        <w:spacing w:line="360" w:lineRule="auto"/>
        <w:ind w:firstLine="480"/>
        <w:rPr>
          <w:rFonts w:ascii="宋体"/>
          <w:sz w:val="24"/>
        </w:rPr>
      </w:pPr>
      <w:r>
        <w:rPr>
          <w:rFonts w:hint="eastAsia" w:ascii="宋体" w:hAnsi="宋体"/>
          <w:sz w:val="24"/>
        </w:rPr>
        <w:t>本基金场外证券投资的清算交割，由基金托管人根据基金管理人的指令通过登记结算机构办理。本基金场内证券投资的清算交割，由基金托管人根据双方签订的《托管银行证券资金结算协议》约定，由基金托管人负责办理。但本基金场内证券投资涉及</w:t>
      </w:r>
      <w:r>
        <w:rPr>
          <w:rFonts w:ascii="宋体" w:hAnsi="宋体"/>
          <w:sz w:val="24"/>
        </w:rPr>
        <w:t>T</w:t>
      </w:r>
      <w:r>
        <w:rPr>
          <w:rFonts w:hint="eastAsia" w:ascii="宋体" w:hAnsi="宋体"/>
          <w:sz w:val="24"/>
        </w:rPr>
        <w:t>+0日非担保、RTGS交收的业务，基金管理人应在</w:t>
      </w:r>
      <w:r>
        <w:rPr>
          <w:rFonts w:ascii="宋体" w:hAnsi="宋体"/>
          <w:sz w:val="24"/>
        </w:rPr>
        <w:t>T</w:t>
      </w:r>
      <w:r>
        <w:rPr>
          <w:rFonts w:hint="eastAsia" w:ascii="宋体" w:hAnsi="宋体"/>
          <w:sz w:val="24"/>
        </w:rPr>
        <w:t>+0日15：00前书面通知基金托管人办理交收，否则基金托管人不能保证相关清算交割成功。如因基金托管人的自身原因在清算上造成基金资产的损失，应由基金托管人负责赔偿基金的损失；如果因为基金管理人投资运作而造成基金投资清算困难和风险的，基金托管人发现后应立即通知基金管理人，由基金管理人负责解决，基金托管人应给予必要的配合，由此给</w:t>
      </w:r>
      <w:r>
        <w:rPr>
          <w:rFonts w:ascii="宋体" w:hAnsi="宋体" w:cs="宋体"/>
          <w:color w:val="000000"/>
          <w:sz w:val="24"/>
        </w:rPr>
        <w:t>基金托管人、本基金和基金托管人托管的其他资产</w:t>
      </w:r>
      <w:r>
        <w:rPr>
          <w:rFonts w:ascii="宋体" w:hAnsi="宋体"/>
          <w:sz w:val="24"/>
        </w:rPr>
        <w:t>造成的损失由基金管理人承担。</w:t>
      </w:r>
    </w:p>
    <w:p w14:paraId="6C6BADEA">
      <w:pPr>
        <w:tabs>
          <w:tab w:val="left" w:pos="1260"/>
        </w:tabs>
        <w:spacing w:line="360" w:lineRule="auto"/>
        <w:ind w:firstLine="480"/>
        <w:rPr>
          <w:rFonts w:ascii="宋体"/>
          <w:sz w:val="24"/>
        </w:rPr>
      </w:pPr>
      <w:r>
        <w:rPr>
          <w:rFonts w:hint="eastAsia" w:ascii="宋体" w:hAnsi="宋体"/>
          <w:sz w:val="24"/>
        </w:rPr>
        <w:t>基金托管人在完成相关登记结算公司通知的事项后应以书面形式通知基金管理人。</w:t>
      </w:r>
    </w:p>
    <w:p w14:paraId="7161CB2F">
      <w:pPr>
        <w:tabs>
          <w:tab w:val="left" w:pos="1260"/>
        </w:tabs>
        <w:spacing w:line="360" w:lineRule="auto"/>
        <w:ind w:firstLine="480"/>
        <w:rPr>
          <w:rFonts w:ascii="宋体" w:hAnsi="宋体"/>
          <w:sz w:val="24"/>
        </w:rPr>
      </w:pPr>
      <w:r>
        <w:rPr>
          <w:rFonts w:hint="eastAsia" w:ascii="宋体" w:hAnsi="宋体"/>
          <w:sz w:val="24"/>
        </w:rPr>
        <w:t>由于基金管理人的原因造成基金无法按时支付证券清算款，按照登记结算机构的有关规定办理。</w:t>
      </w:r>
    </w:p>
    <w:p w14:paraId="7FBD817F">
      <w:pPr>
        <w:tabs>
          <w:tab w:val="left" w:pos="1260"/>
        </w:tabs>
        <w:spacing w:line="360" w:lineRule="auto"/>
        <w:ind w:firstLine="480"/>
        <w:rPr>
          <w:rFonts w:ascii="宋体"/>
          <w:sz w:val="24"/>
        </w:rPr>
      </w:pPr>
      <w:r>
        <w:rPr>
          <w:rFonts w:hint="eastAsia" w:ascii="宋体"/>
          <w:sz w:val="24"/>
        </w:rPr>
        <w:t>本基金参与港股通交易时，基金管理人应事先书面通知基金托管人，明确交易单元、佣金费率等相关信息，在基金托管人完成相关设置后方可开展交易。若涉及需基金管理人做出选择的港股通公司行为，基金托管人根据基金管理人提供的数据将基金管理人的选择结果提交给中国结算。</w:t>
      </w:r>
    </w:p>
    <w:p w14:paraId="2D65087D">
      <w:pPr>
        <w:tabs>
          <w:tab w:val="left" w:pos="1260"/>
        </w:tabs>
        <w:spacing w:line="360" w:lineRule="auto"/>
        <w:ind w:firstLine="480"/>
        <w:rPr>
          <w:rFonts w:ascii="宋体"/>
          <w:sz w:val="24"/>
        </w:rPr>
      </w:pPr>
      <w:r>
        <w:rPr>
          <w:rFonts w:ascii="宋体" w:hAnsi="宋体" w:cs="宋体"/>
          <w:color w:val="000000"/>
          <w:sz w:val="24"/>
        </w:rPr>
        <w:t>信用衍生品信用事件发生后，基金管理人根据交易所和登记结算机构的相关规则负责办理信用事件的处置，并将信用事件处置结果和结算安排告知基金托管人，基金托管人仅负责办理结算事宜。</w:t>
      </w:r>
    </w:p>
    <w:p w14:paraId="0C53EC8B">
      <w:pPr>
        <w:spacing w:line="360" w:lineRule="auto"/>
        <w:ind w:firstLine="480"/>
      </w:pPr>
      <w:r>
        <w:rPr>
          <w:rFonts w:ascii="宋体" w:hAnsi="宋体" w:cs="宋体"/>
          <w:color w:val="000000"/>
          <w:sz w:val="24"/>
        </w:rPr>
        <w:t>（三）基金投资期货后的清算交收安排</w:t>
      </w:r>
    </w:p>
    <w:p w14:paraId="19B1C783">
      <w:pPr>
        <w:spacing w:line="360" w:lineRule="auto"/>
        <w:ind w:firstLine="480"/>
      </w:pPr>
      <w:r>
        <w:rPr>
          <w:rFonts w:ascii="宋体" w:hAnsi="宋体" w:cs="宋体"/>
          <w:color w:val="000000"/>
          <w:sz w:val="24"/>
        </w:rPr>
        <w:t>本基金</w:t>
      </w:r>
      <w:r>
        <w:rPr>
          <w:rFonts w:ascii="宋体" w:hAnsi="宋体" w:cs="宋体"/>
          <w:color w:val="000000"/>
          <w:spacing w:val="-4"/>
          <w:sz w:val="24"/>
        </w:rPr>
        <w:t>通过</w:t>
      </w:r>
      <w:r>
        <w:rPr>
          <w:rFonts w:ascii="宋体" w:hAnsi="宋体" w:cs="宋体"/>
          <w:color w:val="000000"/>
          <w:sz w:val="24"/>
        </w:rPr>
        <w:t>期货经纪机构</w:t>
      </w:r>
      <w:r>
        <w:rPr>
          <w:rFonts w:ascii="宋体" w:hAnsi="宋体" w:cs="宋体"/>
          <w:color w:val="000000"/>
          <w:spacing w:val="-4"/>
          <w:sz w:val="24"/>
        </w:rPr>
        <w:t>进行的交易</w:t>
      </w:r>
      <w:r>
        <w:rPr>
          <w:rFonts w:ascii="宋体" w:hAnsi="宋体" w:cs="宋体"/>
          <w:color w:val="000000"/>
          <w:sz w:val="24"/>
        </w:rPr>
        <w:t>由期货经纪机构作为结算参与人代理本基金进行结算，并承担由期货经纪机构原因造成的正常结算、交收业务无法完成的责任。</w:t>
      </w:r>
    </w:p>
    <w:p w14:paraId="2FBE76AA">
      <w:pPr>
        <w:spacing w:line="360" w:lineRule="auto"/>
        <w:ind w:firstLine="480"/>
      </w:pPr>
      <w:r>
        <w:rPr>
          <w:rFonts w:ascii="宋体" w:hAnsi="宋体" w:cs="宋体"/>
          <w:color w:val="000000"/>
          <w:sz w:val="24"/>
        </w:rPr>
        <w:t>基金管理人、基金托管人和期货经纪机构可就基金参与期货交易的具体事项另行签订协议，明确三方在本基金参与期货交易中的账户开立、资金划拨、期货交易、交易费用、数据传输，以及风控控制与监督等方面的职责和义务。</w:t>
      </w:r>
    </w:p>
    <w:p w14:paraId="777555BC">
      <w:pPr>
        <w:tabs>
          <w:tab w:val="left" w:pos="3780"/>
        </w:tabs>
        <w:spacing w:line="360" w:lineRule="auto"/>
        <w:outlineLvl w:val="0"/>
      </w:pPr>
      <w:r>
        <w:rPr>
          <w:rFonts w:ascii="宋体" w:hAnsi="宋体" w:cs="宋体"/>
          <w:color w:val="000000"/>
          <w:sz w:val="24"/>
        </w:rPr>
        <w:t>基金管理人应责成其选择的期货公司对发送的数据的准确性、完整性、真实性负责。由于交易结算报告的记载事项出现与实际交易结果和权益不符造成本产品估值计算错误的，应由基金管理人负责向数据发送方追偿，基金托管人不承担责任。</w:t>
      </w:r>
      <w:bookmarkStart w:id="62" w:name="_Toc77663013"/>
    </w:p>
    <w:p w14:paraId="42D20140">
      <w:pPr>
        <w:tabs>
          <w:tab w:val="left" w:pos="3780"/>
        </w:tabs>
        <w:spacing w:line="360" w:lineRule="auto"/>
        <w:outlineLvl w:val="0"/>
        <w:rPr>
          <w:rFonts w:ascii="宋体"/>
          <w:b/>
          <w:sz w:val="24"/>
        </w:rPr>
      </w:pPr>
      <w:r>
        <w:rPr>
          <w:rFonts w:ascii="宋体" w:hAnsi="宋体"/>
          <w:b/>
          <w:bCs/>
          <w:sz w:val="24"/>
        </w:rPr>
        <w:t>（三）基金管理人与基金托管人进行资金、证券账目和交易记录的核对</w:t>
      </w:r>
      <w:bookmarkEnd w:id="62"/>
    </w:p>
    <w:p w14:paraId="0A34E571">
      <w:pPr>
        <w:tabs>
          <w:tab w:val="left" w:pos="1260"/>
        </w:tabs>
        <w:spacing w:line="360" w:lineRule="auto"/>
        <w:ind w:firstLine="480"/>
        <w:rPr>
          <w:rFonts w:ascii="宋体"/>
          <w:sz w:val="24"/>
        </w:rPr>
      </w:pPr>
      <w:r>
        <w:rPr>
          <w:rFonts w:hint="eastAsia" w:ascii="宋体" w:hAnsi="宋体"/>
          <w:sz w:val="24"/>
        </w:rPr>
        <w:t>对基金的交易记录，由基金管理人按日进行核对。对外披露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14:paraId="38EEA8AC">
      <w:pPr>
        <w:tabs>
          <w:tab w:val="left" w:pos="1260"/>
        </w:tabs>
        <w:spacing w:line="360" w:lineRule="auto"/>
        <w:ind w:firstLine="480"/>
        <w:rPr>
          <w:rFonts w:ascii="宋体"/>
          <w:sz w:val="24"/>
        </w:rPr>
      </w:pPr>
      <w:r>
        <w:rPr>
          <w:rFonts w:hint="eastAsia" w:ascii="宋体" w:hAnsi="宋体"/>
          <w:sz w:val="24"/>
        </w:rPr>
        <w:t>对实物券账目，相关各方定期进行账实核对。</w:t>
      </w:r>
    </w:p>
    <w:p w14:paraId="1003A44B">
      <w:pPr>
        <w:tabs>
          <w:tab w:val="left" w:pos="1260"/>
        </w:tabs>
        <w:spacing w:line="360" w:lineRule="auto"/>
        <w:ind w:firstLine="480"/>
        <w:rPr>
          <w:rFonts w:ascii="宋体"/>
          <w:b/>
          <w:bCs/>
          <w:sz w:val="24"/>
        </w:rPr>
      </w:pPr>
      <w:r>
        <w:rPr>
          <w:rFonts w:hint="eastAsia" w:ascii="宋体" w:hAnsi="宋体"/>
          <w:sz w:val="24"/>
        </w:rPr>
        <w:t>基金托管人应定期核对证券账户中的证券数量和种类。</w:t>
      </w:r>
    </w:p>
    <w:p w14:paraId="2E479F33">
      <w:pPr>
        <w:tabs>
          <w:tab w:val="left" w:pos="1260"/>
        </w:tabs>
        <w:spacing w:line="360" w:lineRule="auto"/>
        <w:ind w:firstLine="480"/>
        <w:rPr>
          <w:rFonts w:ascii="宋体"/>
          <w:sz w:val="24"/>
        </w:rPr>
      </w:pPr>
      <w:r>
        <w:rPr>
          <w:rFonts w:hint="eastAsia" w:ascii="宋体" w:hAnsi="宋体"/>
          <w:sz w:val="24"/>
        </w:rPr>
        <w:t>双方可协商采用电子对账方式进行账目核对。</w:t>
      </w:r>
    </w:p>
    <w:p w14:paraId="0E2B4731">
      <w:pPr>
        <w:tabs>
          <w:tab w:val="left" w:pos="3780"/>
        </w:tabs>
        <w:spacing w:line="360" w:lineRule="auto"/>
        <w:outlineLvl w:val="0"/>
        <w:rPr>
          <w:rFonts w:ascii="宋体"/>
          <w:b/>
          <w:bCs/>
          <w:sz w:val="24"/>
        </w:rPr>
      </w:pPr>
      <w:bookmarkStart w:id="63" w:name="_Toc523829999"/>
      <w:bookmarkStart w:id="64" w:name="_Toc466788858"/>
      <w:r>
        <w:rPr>
          <w:rFonts w:hint="eastAsia" w:ascii="宋体" w:hAnsi="宋体"/>
          <w:b/>
          <w:bCs/>
          <w:sz w:val="24"/>
        </w:rPr>
        <w:t>（四）申购、赎回、转换开放式基金的资金清算和数据传递的时间、程序及托管协议当事人的责任界定</w:t>
      </w:r>
    </w:p>
    <w:p w14:paraId="01FB4493">
      <w:pPr>
        <w:tabs>
          <w:tab w:val="left" w:pos="1260"/>
        </w:tabs>
        <w:spacing w:line="360" w:lineRule="auto"/>
        <w:ind w:firstLine="480"/>
        <w:rPr>
          <w:rFonts w:ascii="宋体"/>
          <w:sz w:val="24"/>
        </w:rPr>
      </w:pPr>
      <w:r>
        <w:rPr>
          <w:rFonts w:hint="eastAsia" w:ascii="宋体"/>
          <w:sz w:val="24"/>
        </w:rPr>
        <w:t>1</w:t>
      </w:r>
      <w:r>
        <w:rPr>
          <w:rFonts w:ascii="宋体"/>
          <w:sz w:val="24"/>
        </w:rPr>
        <w:t>.</w:t>
      </w:r>
      <w:r>
        <w:rPr>
          <w:rFonts w:hint="eastAsia" w:ascii="宋体"/>
          <w:sz w:val="24"/>
        </w:rPr>
        <w:t>基金份额申购、赎回的确认，清算由基金管理人指定的登记机构负责。</w:t>
      </w:r>
    </w:p>
    <w:p w14:paraId="41BAE85C">
      <w:pPr>
        <w:tabs>
          <w:tab w:val="left" w:pos="1260"/>
        </w:tabs>
        <w:spacing w:line="360" w:lineRule="auto"/>
        <w:ind w:firstLine="480"/>
        <w:rPr>
          <w:rFonts w:ascii="宋体"/>
          <w:sz w:val="24"/>
        </w:rPr>
      </w:pPr>
      <w:r>
        <w:rPr>
          <w:rFonts w:hint="eastAsia" w:ascii="宋体"/>
          <w:sz w:val="24"/>
        </w:rPr>
        <w:t>2</w:t>
      </w:r>
      <w:r>
        <w:rPr>
          <w:rFonts w:ascii="宋体"/>
          <w:sz w:val="24"/>
        </w:rPr>
        <w:t>.</w:t>
      </w:r>
      <w:r>
        <w:rPr>
          <w:rFonts w:hint="eastAsia" w:ascii="宋体"/>
          <w:sz w:val="24"/>
        </w:rPr>
        <w:t>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4EB32635">
      <w:pPr>
        <w:tabs>
          <w:tab w:val="left" w:pos="1260"/>
        </w:tabs>
        <w:spacing w:line="360" w:lineRule="auto"/>
        <w:ind w:firstLine="480"/>
        <w:rPr>
          <w:rFonts w:ascii="宋体"/>
          <w:sz w:val="24"/>
        </w:rPr>
      </w:pPr>
      <w:r>
        <w:rPr>
          <w:rFonts w:hint="eastAsia" w:ascii="宋体"/>
          <w:sz w:val="24"/>
        </w:rPr>
        <w:t>3</w:t>
      </w:r>
      <w:r>
        <w:rPr>
          <w:rFonts w:ascii="宋体"/>
          <w:sz w:val="24"/>
        </w:rPr>
        <w:t>.</w:t>
      </w:r>
      <w:r>
        <w:rPr>
          <w:rFonts w:hint="eastAsia" w:ascii="宋体"/>
          <w:sz w:val="24"/>
        </w:rPr>
        <w:t>基金托管账户与基金管理人总清算账户间的资金清算遵循“全额清算、净额交收”的原则，即按照托管账户应收资金（申购申请对应申购净额与基金转换转入申请对应净额之和）与托管账户应付额（赎回申请对应赎回金额扣除归基金资产的费用与基金转换转出申请对应金额扣除归基金资产的费用之和）的差额来确定托管账户净应收额或净应付额，以此确定资金交收额。</w:t>
      </w:r>
    </w:p>
    <w:p w14:paraId="34E6CBE9">
      <w:pPr>
        <w:tabs>
          <w:tab w:val="left" w:pos="1260"/>
        </w:tabs>
        <w:spacing w:line="360" w:lineRule="auto"/>
        <w:ind w:firstLine="480"/>
        <w:rPr>
          <w:rFonts w:ascii="宋体"/>
          <w:sz w:val="24"/>
        </w:rPr>
      </w:pPr>
      <w:r>
        <w:rPr>
          <w:rFonts w:hint="eastAsia" w:ascii="宋体"/>
          <w:sz w:val="24"/>
        </w:rPr>
        <w:t>4</w:t>
      </w:r>
      <w:r>
        <w:rPr>
          <w:rFonts w:ascii="宋体"/>
          <w:sz w:val="24"/>
        </w:rPr>
        <w:t>.</w:t>
      </w:r>
      <w:r>
        <w:rPr>
          <w:rFonts w:hint="eastAsia" w:ascii="宋体"/>
          <w:sz w:val="24"/>
        </w:rPr>
        <w:t>当存在托管账户净应收额时，基金管理人负责将托管账户净应收额在交收日15:00之前及时从总清算账户划往基金的托管账户，基金托管人在资金到账后应立即通知基金管理人，并将有关收款凭证传真给基金管理人进行账务处理；当存在托管账户净应付额时，基金托管人按基金管理人的划款指令在资金足额前提下将托管账户净应付额在交收日12:00之前及时划往总清算账户,基金托管人在资金划出后立即通知基金管理人，并将有关书面凭证交给基金管理人进行账务处理。</w:t>
      </w:r>
    </w:p>
    <w:p w14:paraId="12A8B6CC">
      <w:pPr>
        <w:tabs>
          <w:tab w:val="left" w:pos="3780"/>
        </w:tabs>
        <w:spacing w:line="360" w:lineRule="auto"/>
        <w:outlineLvl w:val="0"/>
        <w:rPr>
          <w:rFonts w:ascii="宋体"/>
          <w:b/>
          <w:bCs/>
          <w:sz w:val="24"/>
        </w:rPr>
      </w:pPr>
      <w:r>
        <w:rPr>
          <w:rFonts w:hint="eastAsia" w:ascii="宋体" w:hAnsi="宋体"/>
          <w:b/>
          <w:bCs/>
          <w:sz w:val="24"/>
        </w:rPr>
        <w:t>（五）基金收益分配的清算交收安排</w:t>
      </w:r>
    </w:p>
    <w:p w14:paraId="265B38A6">
      <w:pPr>
        <w:tabs>
          <w:tab w:val="left" w:pos="1260"/>
        </w:tabs>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基金管理人决定收益分配方案并通知基金托管人，经基金托管人复核后依照《信息披露办法》的有关规定在规定媒介公告。</w:t>
      </w:r>
      <w:r>
        <w:rPr>
          <w:rFonts w:ascii="宋体" w:hAnsi="宋体"/>
          <w:sz w:val="24"/>
        </w:rPr>
        <w:t xml:space="preserve"> </w:t>
      </w:r>
    </w:p>
    <w:p w14:paraId="29977792">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基金托管人和基金管理人对基金收益分配进行账务处理并核对后，基金管理人应及时向基金托管人发送分发现金红利的划款指令，基金托管人依据划款指令在指定划付日及时将资金划至基金管理人指定账户。</w:t>
      </w:r>
      <w:r>
        <w:rPr>
          <w:rFonts w:ascii="宋体" w:hAnsi="宋体"/>
          <w:sz w:val="24"/>
        </w:rPr>
        <w:t xml:space="preserve"> </w:t>
      </w:r>
    </w:p>
    <w:p w14:paraId="76B0C458">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.基金管理人在下达分红款支付指令时，应给基金托管人留出必需的划款时间。</w:t>
      </w:r>
      <w:bookmarkStart w:id="65" w:name="_Toc125892444"/>
    </w:p>
    <w:p w14:paraId="7F442BC5">
      <w:pPr>
        <w:pStyle w:val="197"/>
      </w:pPr>
      <w:bookmarkStart w:id="66" w:name="_Toc35001433"/>
      <w:r>
        <w:t>八、基金资产净值计算和会计核算</w:t>
      </w:r>
      <w:bookmarkEnd w:id="63"/>
      <w:bookmarkEnd w:id="64"/>
      <w:bookmarkEnd w:id="65"/>
      <w:bookmarkEnd w:id="66"/>
    </w:p>
    <w:p w14:paraId="0BDBD1C8">
      <w:pPr>
        <w:tabs>
          <w:tab w:val="left" w:pos="3780"/>
        </w:tabs>
        <w:spacing w:line="360" w:lineRule="auto"/>
        <w:outlineLvl w:val="0"/>
        <w:rPr>
          <w:rFonts w:ascii="宋体"/>
          <w:b/>
          <w:bCs/>
          <w:sz w:val="24"/>
        </w:rPr>
      </w:pPr>
      <w:bookmarkStart w:id="67" w:name="_Toc77663017"/>
      <w:r>
        <w:rPr>
          <w:rFonts w:ascii="宋体" w:hAnsi="宋体"/>
          <w:b/>
          <w:bCs/>
          <w:sz w:val="24"/>
        </w:rPr>
        <w:t>（一）基金资产净值及基金份额净值的计算与复核</w:t>
      </w:r>
      <w:bookmarkEnd w:id="67"/>
    </w:p>
    <w:p w14:paraId="05E40FEF">
      <w:pPr>
        <w:spacing w:line="360" w:lineRule="auto"/>
        <w:ind w:firstLine="420"/>
        <w:jc w:val="left"/>
        <w:rPr>
          <w:rFonts w:ascii="宋体" w:cs="宋体"/>
          <w:sz w:val="24"/>
        </w:rPr>
      </w:pPr>
      <w:r>
        <w:rPr>
          <w:rFonts w:hint="eastAsia" w:ascii="宋体" w:hAnsi="宋体"/>
          <w:sz w:val="24"/>
        </w:rPr>
        <w:t>基金资产净值是指基金资产总值减去基金负债后的价值。</w:t>
      </w:r>
    </w:p>
    <w:p w14:paraId="515093E5">
      <w:pPr>
        <w:tabs>
          <w:tab w:val="left" w:pos="1260"/>
        </w:tabs>
        <w:spacing w:line="360" w:lineRule="auto"/>
        <w:ind w:firstLine="480"/>
        <w:rPr>
          <w:rFonts w:ascii="宋体"/>
          <w:sz w:val="24"/>
        </w:rPr>
      </w:pPr>
      <w:r>
        <w:rPr>
          <w:rFonts w:hint="eastAsia" w:ascii="宋体" w:hAnsi="宋体"/>
          <w:sz w:val="24"/>
        </w:rPr>
        <w:t>基金管理人应每个工作日对基金资产估值。估值原则应符合《基金合同》、《中国证监会关于证券投资基金估值业务的指导意见》及其他法律、法规的规定。基金资产净值和各类基金份额净值由基金管理人负责计算，基金托管人复核。基金管理人应于每个工作日交易结束后计算当日的基金净值信息，以约定方式发送给基金托管人。基金托管人对净值计算结果复核后，将复核结果反馈给基金管理人，由基金管理人按规定对各类基金份额净值予以公布。</w:t>
      </w:r>
    </w:p>
    <w:p w14:paraId="4B234E9D">
      <w:pPr>
        <w:tabs>
          <w:tab w:val="left" w:pos="1260"/>
        </w:tabs>
        <w:spacing w:line="360" w:lineRule="auto"/>
        <w:ind w:firstLine="480"/>
        <w:rPr>
          <w:rFonts w:ascii="宋体"/>
          <w:sz w:val="24"/>
        </w:rPr>
      </w:pPr>
      <w:r>
        <w:rPr>
          <w:rFonts w:hint="eastAsia" w:ascii="宋体" w:hAnsi="宋体"/>
          <w:sz w:val="24"/>
        </w:rPr>
        <w:t>本基金按以下方法估值：</w:t>
      </w:r>
      <w:r>
        <w:rPr>
          <w:rFonts w:ascii="宋体" w:hAnsi="宋体"/>
          <w:sz w:val="24"/>
        </w:rPr>
        <w:t xml:space="preserve"> </w:t>
      </w:r>
    </w:p>
    <w:p w14:paraId="53783875">
      <w:pPr>
        <w:spacing w:line="360" w:lineRule="auto"/>
        <w:ind w:firstLine="480"/>
        <w:rPr>
          <w:bCs/>
          <w:sz w:val="24"/>
        </w:rPr>
      </w:pPr>
      <w:r>
        <w:rPr>
          <w:bCs/>
          <w:sz w:val="24"/>
        </w:rPr>
        <w:t>1、证券交易所上市的有价证券的估值</w:t>
      </w:r>
    </w:p>
    <w:p w14:paraId="419E13A5">
      <w:pPr>
        <w:spacing w:line="360" w:lineRule="auto"/>
        <w:ind w:firstLine="480"/>
        <w:rPr>
          <w:bCs/>
          <w:sz w:val="24"/>
        </w:rPr>
      </w:pPr>
      <w:r>
        <w:rPr>
          <w:bCs/>
          <w:sz w:val="24"/>
        </w:rPr>
        <w:t>（1）交易所上市的有价证券（包括股票等），以其估值日在证券交易所挂牌的市价（收盘价）估值；估值日无交易的，最近交易日后经济环境未发生重大变化</w:t>
      </w:r>
      <w:r>
        <w:rPr>
          <w:rFonts w:hint="eastAsia"/>
          <w:bCs/>
          <w:sz w:val="24"/>
        </w:rPr>
        <w:t>且</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14:paraId="1BFA4558">
      <w:pPr>
        <w:spacing w:line="360" w:lineRule="auto"/>
        <w:ind w:firstLine="480"/>
        <w:rPr>
          <w:bCs/>
          <w:sz w:val="24"/>
        </w:rPr>
      </w:pPr>
      <w:r>
        <w:rPr>
          <w:rFonts w:hint="eastAsia"/>
          <w:bCs/>
          <w:sz w:val="24"/>
        </w:rPr>
        <w:t>（2）交易所市场上市交易或挂牌转让的固定收益品种（基金合同另有约定的除外），选取估值日第三方估值机构提供的相应品种对应的估值净价估值，具体估值机构由基金管理人与基金托管人共同确定；</w:t>
      </w:r>
    </w:p>
    <w:p w14:paraId="4548A8FB">
      <w:pPr>
        <w:spacing w:line="360" w:lineRule="auto"/>
        <w:ind w:firstLine="480"/>
        <w:rPr>
          <w:bCs/>
          <w:sz w:val="24"/>
        </w:rPr>
      </w:pPr>
      <w:r>
        <w:rPr>
          <w:rFonts w:hint="eastAsia"/>
          <w:bCs/>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35776CDE">
      <w:pPr>
        <w:spacing w:line="360" w:lineRule="auto"/>
        <w:ind w:firstLine="480"/>
        <w:rPr>
          <w:bCs/>
          <w:sz w:val="24"/>
        </w:rPr>
      </w:pPr>
      <w:r>
        <w:rPr>
          <w:rFonts w:hint="eastAsia"/>
          <w:bCs/>
          <w:sz w:val="24"/>
        </w:rPr>
        <w:t>交易所上市实行全价交易的固定收益品种（可转换债券除外），选取第三方估值机构提供的估值全价减去估值全价中所含的固定收益品种（税后）应收利息得到的净价进行估值；</w:t>
      </w:r>
    </w:p>
    <w:p w14:paraId="4C2E4341">
      <w:pPr>
        <w:spacing w:line="360" w:lineRule="auto"/>
        <w:ind w:firstLine="480"/>
        <w:rPr>
          <w:sz w:val="24"/>
        </w:rPr>
      </w:pPr>
      <w:r>
        <w:rPr>
          <w:bCs/>
          <w:sz w:val="24"/>
        </w:rPr>
        <w:t>（</w:t>
      </w:r>
      <w:r>
        <w:rPr>
          <w:rFonts w:hint="eastAsia"/>
          <w:bCs/>
          <w:sz w:val="24"/>
        </w:rPr>
        <w:t>4</w:t>
      </w:r>
      <w:r>
        <w:rPr>
          <w:bCs/>
          <w:sz w:val="24"/>
        </w:rPr>
        <w:t>）交易所上市不存在活跃市场的有价证券，采用估值技术确定公允价值。</w:t>
      </w:r>
    </w:p>
    <w:p w14:paraId="7489F200">
      <w:pPr>
        <w:spacing w:line="360" w:lineRule="auto"/>
        <w:ind w:firstLine="480"/>
        <w:rPr>
          <w:bCs/>
          <w:sz w:val="24"/>
        </w:rPr>
      </w:pPr>
      <w:r>
        <w:rPr>
          <w:bCs/>
          <w:sz w:val="24"/>
        </w:rPr>
        <w:t>2、处于未上市期间的有价证券应区分如下情况处理：</w:t>
      </w:r>
    </w:p>
    <w:p w14:paraId="71E4327D">
      <w:pPr>
        <w:spacing w:line="360" w:lineRule="auto"/>
        <w:ind w:firstLine="480"/>
        <w:rPr>
          <w:bCs/>
          <w:sz w:val="24"/>
        </w:rPr>
      </w:pPr>
      <w:r>
        <w:rPr>
          <w:bCs/>
          <w:sz w:val="24"/>
        </w:rPr>
        <w:t>（1）送股、转增股、配股和公开增发的新股，按估值日在证券交易所挂牌的同一股票的估值方法估值；该日无交易的，以最近一日的市价（收盘价）估值；</w:t>
      </w:r>
    </w:p>
    <w:p w14:paraId="5E64E56B">
      <w:pPr>
        <w:spacing w:line="360" w:lineRule="auto"/>
        <w:ind w:firstLine="480"/>
        <w:rPr>
          <w:bCs/>
          <w:sz w:val="24"/>
        </w:rPr>
      </w:pPr>
      <w:r>
        <w:rPr>
          <w:bCs/>
          <w:sz w:val="24"/>
        </w:rPr>
        <w:t>（2）首次公开发行未上市</w:t>
      </w:r>
      <w:r>
        <w:rPr>
          <w:rFonts w:hint="eastAsia"/>
          <w:bCs/>
          <w:sz w:val="24"/>
        </w:rPr>
        <w:t>或未挂牌转让</w:t>
      </w:r>
      <w:r>
        <w:rPr>
          <w:bCs/>
          <w:sz w:val="24"/>
        </w:rPr>
        <w:t>的股票、债券，采用估值技术确定公允价值，在估值技术难以可靠计量公允价值的情况下，按成本估值</w:t>
      </w:r>
      <w:r>
        <w:rPr>
          <w:rFonts w:hint="eastAsia"/>
          <w:bCs/>
          <w:sz w:val="24"/>
        </w:rPr>
        <w:t>；</w:t>
      </w:r>
    </w:p>
    <w:p w14:paraId="192693BB">
      <w:pPr>
        <w:spacing w:line="360" w:lineRule="auto"/>
        <w:ind w:firstLine="480"/>
        <w:rPr>
          <w:bCs/>
          <w:sz w:val="24"/>
        </w:rPr>
      </w:pPr>
      <w:r>
        <w:rPr>
          <w:rFonts w:hint="eastAsia"/>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D6C5252">
      <w:pPr>
        <w:spacing w:line="360" w:lineRule="auto"/>
        <w:ind w:firstLine="480"/>
        <w:rPr>
          <w:bCs/>
          <w:sz w:val="24"/>
        </w:rPr>
      </w:pPr>
      <w:r>
        <w:rPr>
          <w:bCs/>
          <w:sz w:val="24"/>
        </w:rPr>
        <w:t>3、</w:t>
      </w:r>
      <w:r>
        <w:rPr>
          <w:rFonts w:hint="eastAsia"/>
          <w:bCs/>
          <w:sz w:val="24"/>
        </w:rPr>
        <w:t>本基金投资存托凭证的估值核算，依照境内上市交易的股票执行。</w:t>
      </w:r>
    </w:p>
    <w:p w14:paraId="6E2800FC">
      <w:pPr>
        <w:spacing w:line="360" w:lineRule="auto"/>
        <w:ind w:firstLine="480"/>
        <w:rPr>
          <w:bCs/>
          <w:sz w:val="24"/>
        </w:rPr>
      </w:pPr>
      <w:r>
        <w:rPr>
          <w:rFonts w:hint="eastAsia"/>
          <w:bCs/>
          <w:sz w:val="24"/>
        </w:rPr>
        <w:t>4、银行间的有价证券的估值</w:t>
      </w:r>
    </w:p>
    <w:p w14:paraId="517D85A3">
      <w:pPr>
        <w:spacing w:line="360" w:lineRule="auto"/>
        <w:ind w:firstLine="480"/>
        <w:rPr>
          <w:bCs/>
          <w:sz w:val="24"/>
        </w:rPr>
      </w:pPr>
      <w:r>
        <w:rPr>
          <w:rFonts w:hint="eastAsia"/>
          <w:bCs/>
          <w:sz w:val="24"/>
        </w:rPr>
        <w:t>（1）对银行间市场上不含权的固定收益品种，按照第三方估值机构提供的相应品种当日的估值净价确定公允价值；</w:t>
      </w:r>
    </w:p>
    <w:p w14:paraId="0CE4CD0C">
      <w:pPr>
        <w:spacing w:line="360" w:lineRule="auto"/>
        <w:ind w:firstLine="480"/>
        <w:rPr>
          <w:bCs/>
          <w:sz w:val="24"/>
        </w:rPr>
      </w:pPr>
      <w:r>
        <w:rPr>
          <w:rFonts w:hint="eastAsia"/>
          <w:bCs/>
          <w:sz w:val="24"/>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14:paraId="063FAFC1">
      <w:pPr>
        <w:spacing w:line="360" w:lineRule="auto"/>
        <w:ind w:firstLine="480"/>
        <w:rPr>
          <w:bCs/>
          <w:sz w:val="24"/>
        </w:rPr>
      </w:pPr>
      <w:r>
        <w:rPr>
          <w:rFonts w:hint="eastAsia"/>
          <w:bCs/>
          <w:sz w:val="24"/>
        </w:rPr>
        <w:t>（3）对银行间市场未上市，且第三方估值机构未提供估值价格的债券，在发行利率与二级市场利率不存在明显差异、未上市期间市场利率没有发生大的变动的情况下，建议按成本估值。</w:t>
      </w:r>
    </w:p>
    <w:p w14:paraId="288FE885">
      <w:pPr>
        <w:spacing w:line="360" w:lineRule="auto"/>
        <w:ind w:firstLine="480"/>
        <w:rPr>
          <w:bCs/>
          <w:sz w:val="24"/>
        </w:rPr>
      </w:pPr>
      <w:r>
        <w:rPr>
          <w:bCs/>
          <w:sz w:val="24"/>
        </w:rPr>
        <w:t>5</w:t>
      </w:r>
      <w:r>
        <w:rPr>
          <w:rFonts w:hint="eastAsia"/>
          <w:bCs/>
          <w:sz w:val="24"/>
        </w:rPr>
        <w:t>、资产支持证券的估值</w:t>
      </w:r>
    </w:p>
    <w:p w14:paraId="3D2AFCA6">
      <w:pPr>
        <w:spacing w:line="360" w:lineRule="auto"/>
        <w:ind w:firstLine="480"/>
        <w:rPr>
          <w:bCs/>
          <w:sz w:val="24"/>
        </w:rPr>
      </w:pPr>
      <w:r>
        <w:rPr>
          <w:rFonts w:hint="eastAsia"/>
          <w:bCs/>
          <w:sz w:val="24"/>
        </w:rPr>
        <w:t>（</w:t>
      </w:r>
      <w:r>
        <w:rPr>
          <w:bCs/>
          <w:sz w:val="24"/>
        </w:rPr>
        <w:t>1</w:t>
      </w:r>
      <w:r>
        <w:rPr>
          <w:rFonts w:hint="eastAsia"/>
          <w:bCs/>
          <w:sz w:val="24"/>
        </w:rPr>
        <w:t>）交易所上市的资产支持证券，采用估值技术确定公允价值，在估值技术难以可靠计量公允价值的情况下，按成本估值。</w:t>
      </w:r>
    </w:p>
    <w:p w14:paraId="7C05E3FB">
      <w:pPr>
        <w:spacing w:line="360" w:lineRule="auto"/>
        <w:ind w:firstLine="480"/>
        <w:rPr>
          <w:bCs/>
          <w:sz w:val="24"/>
        </w:rPr>
      </w:pPr>
      <w:r>
        <w:rPr>
          <w:rFonts w:hint="eastAsia"/>
          <w:bCs/>
          <w:sz w:val="24"/>
        </w:rPr>
        <w:t>（</w:t>
      </w:r>
      <w:r>
        <w:rPr>
          <w:bCs/>
          <w:sz w:val="24"/>
        </w:rPr>
        <w:t>2</w:t>
      </w:r>
      <w:r>
        <w:rPr>
          <w:rFonts w:hint="eastAsia"/>
          <w:bCs/>
          <w:sz w:val="24"/>
        </w:rPr>
        <w:t>）对全国银行间市场上的资产支持证券，按照第三方估值机构提供的相应品种当日的估值净价确定公允价值。</w:t>
      </w:r>
    </w:p>
    <w:p w14:paraId="6CFB00FF">
      <w:pPr>
        <w:spacing w:line="360" w:lineRule="auto"/>
        <w:ind w:firstLine="480"/>
        <w:rPr>
          <w:bCs/>
          <w:sz w:val="24"/>
        </w:rPr>
      </w:pPr>
      <w:r>
        <w:rPr>
          <w:bCs/>
          <w:sz w:val="24"/>
        </w:rPr>
        <w:t>6</w:t>
      </w:r>
      <w:r>
        <w:rPr>
          <w:rFonts w:hint="eastAsia"/>
          <w:bCs/>
          <w:sz w:val="24"/>
        </w:rPr>
        <w:t>、同一证券同时在两个或两个以上市场交易的，按证券所处的市场分别估值。</w:t>
      </w:r>
    </w:p>
    <w:p w14:paraId="1779CF37">
      <w:pPr>
        <w:spacing w:line="360" w:lineRule="auto"/>
        <w:ind w:firstLine="480"/>
        <w:rPr>
          <w:bCs/>
          <w:sz w:val="24"/>
        </w:rPr>
      </w:pPr>
      <w:r>
        <w:rPr>
          <w:bCs/>
          <w:sz w:val="24"/>
        </w:rPr>
        <w:t>7</w:t>
      </w:r>
      <w:r>
        <w:rPr>
          <w:rFonts w:hint="eastAsia"/>
          <w:bCs/>
          <w:sz w:val="24"/>
        </w:rPr>
        <w:t>、本基金投资股指期货合约、国债期货合约，一般以估值当日结算价进行估值，估值当日无结算价的，且最近交易日后经济环境未发生重大变化的，采用最近交易日结算价估值。</w:t>
      </w:r>
    </w:p>
    <w:p w14:paraId="574D0A3A">
      <w:pPr>
        <w:spacing w:line="360" w:lineRule="auto"/>
        <w:ind w:firstLine="480"/>
        <w:rPr>
          <w:bCs/>
          <w:sz w:val="24"/>
        </w:rPr>
      </w:pPr>
      <w:r>
        <w:rPr>
          <w:bCs/>
          <w:sz w:val="24"/>
        </w:rPr>
        <w:t>8</w:t>
      </w:r>
      <w:r>
        <w:rPr>
          <w:rFonts w:hint="eastAsia"/>
          <w:bCs/>
          <w:sz w:val="24"/>
        </w:rPr>
        <w:t>、本基金投资股票期权，根据相关法律法规以及监管部门的规定估值。</w:t>
      </w:r>
    </w:p>
    <w:p w14:paraId="2FF8BCA2">
      <w:pPr>
        <w:spacing w:line="360" w:lineRule="auto"/>
        <w:ind w:left="420"/>
        <w:rPr>
          <w:bCs/>
          <w:sz w:val="24"/>
        </w:rPr>
      </w:pPr>
      <w:r>
        <w:rPr>
          <w:bCs/>
          <w:sz w:val="24"/>
        </w:rPr>
        <w:t>9</w:t>
      </w:r>
      <w:r>
        <w:rPr>
          <w:rFonts w:hint="eastAsia"/>
          <w:bCs/>
          <w:sz w:val="24"/>
        </w:rPr>
        <w:t>、本基金投资信用衍生品，按照相关法律法规和行业协会的相关规定进行估值：</w:t>
      </w:r>
    </w:p>
    <w:p w14:paraId="46F7B2BC">
      <w:pPr>
        <w:spacing w:line="360" w:lineRule="auto"/>
        <w:ind w:firstLine="480"/>
        <w:rPr>
          <w:rFonts w:ascii="宋体" w:hAnsi="宋体"/>
          <w:sz w:val="24"/>
        </w:rPr>
      </w:pPr>
      <w:r>
        <w:rPr>
          <w:rFonts w:hint="eastAsia" w:ascii="宋体" w:hAnsi="宋体"/>
          <w:sz w:val="24"/>
        </w:rPr>
        <w:t>（1）对证券交易所或银行间市场上交易的凭证类信用衍生品，根据以下原则确定公允价值：对于存在活跃市场的情况下，应以活跃市场上未经调整的报价作为计量日的公允价值；对于活跃市场报价未能代表计量日公允价值的情况下，应当对市场报价进行调整以确认计量日的公允价值；对于不存在市场活动或市场活动很少的情况下，应当采用估值技术确定其公允价值。</w:t>
      </w:r>
    </w:p>
    <w:p w14:paraId="10829EED">
      <w:pPr>
        <w:spacing w:line="360" w:lineRule="auto"/>
        <w:ind w:left="210" w:firstLine="240"/>
        <w:rPr>
          <w:bCs/>
          <w:sz w:val="24"/>
        </w:rPr>
      </w:pPr>
      <w:r>
        <w:rPr>
          <w:rFonts w:hint="eastAsia" w:ascii="宋体" w:hAnsi="宋体"/>
          <w:sz w:val="24"/>
        </w:rPr>
        <w:t>（2）对证券交易所或银行间市场非上市交易的合约类信用衍生品，且估值基准服务机构未提供估值价格的，建议采用估值技术确定其公允价值。</w:t>
      </w:r>
    </w:p>
    <w:p w14:paraId="0A892691">
      <w:pPr>
        <w:spacing w:line="360" w:lineRule="auto"/>
        <w:ind w:firstLine="480"/>
        <w:rPr>
          <w:bCs/>
          <w:sz w:val="24"/>
        </w:rPr>
      </w:pPr>
      <w:r>
        <w:rPr>
          <w:bCs/>
          <w:sz w:val="24"/>
        </w:rPr>
        <w:t>10</w:t>
      </w:r>
      <w:r>
        <w:rPr>
          <w:rFonts w:hint="eastAsia"/>
          <w:bCs/>
          <w:sz w:val="24"/>
        </w:rPr>
        <w:t>、汇率</w:t>
      </w:r>
    </w:p>
    <w:p w14:paraId="630A3608">
      <w:pPr>
        <w:spacing w:line="360" w:lineRule="auto"/>
        <w:ind w:firstLine="480"/>
        <w:rPr>
          <w:bCs/>
          <w:sz w:val="24"/>
        </w:rPr>
      </w:pPr>
      <w:r>
        <w:rPr>
          <w:rFonts w:hint="eastAsia"/>
          <w:bCs/>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67B738A0">
      <w:pPr>
        <w:spacing w:line="360" w:lineRule="auto"/>
        <w:ind w:firstLine="480"/>
        <w:rPr>
          <w:bCs/>
          <w:sz w:val="24"/>
        </w:rPr>
      </w:pPr>
      <w:r>
        <w:rPr>
          <w:rFonts w:hint="eastAsia"/>
          <w:bCs/>
          <w:sz w:val="24"/>
        </w:rPr>
        <w:t>1</w:t>
      </w:r>
      <w:r>
        <w:rPr>
          <w:bCs/>
          <w:sz w:val="24"/>
        </w:rPr>
        <w:t>1</w:t>
      </w:r>
      <w:r>
        <w:rPr>
          <w:rFonts w:hint="eastAsia"/>
          <w:bCs/>
          <w:sz w:val="24"/>
        </w:rPr>
        <w:t>、本基金参与融资业务，按照相关法律法规和行业协会的相关规定进行估值。</w:t>
      </w:r>
    </w:p>
    <w:p w14:paraId="335E3AE9">
      <w:pPr>
        <w:spacing w:line="360" w:lineRule="auto"/>
        <w:ind w:firstLine="480"/>
        <w:rPr>
          <w:bCs/>
          <w:sz w:val="24"/>
        </w:rPr>
      </w:pPr>
      <w:r>
        <w:rPr>
          <w:bCs/>
          <w:sz w:val="24"/>
        </w:rPr>
        <w:t>12</w:t>
      </w:r>
      <w:r>
        <w:rPr>
          <w:rFonts w:hint="eastAsia"/>
          <w:bCs/>
          <w:sz w:val="24"/>
        </w:rPr>
        <w:t>、当发生大额申购或赎回情形时，基金管理人可以采用摆动定价机制，以确保基金估值的公平性。具体处理原则与操作规范遵循相关法律法规以及监管部门、自律规则的规定。</w:t>
      </w:r>
    </w:p>
    <w:p w14:paraId="02780FB6">
      <w:pPr>
        <w:spacing w:line="360" w:lineRule="auto"/>
        <w:ind w:firstLine="480"/>
        <w:rPr>
          <w:sz w:val="24"/>
        </w:rPr>
      </w:pPr>
      <w:r>
        <w:rPr>
          <w:rFonts w:hint="eastAsia"/>
          <w:bCs/>
          <w:sz w:val="24"/>
        </w:rPr>
        <w:t>1</w:t>
      </w:r>
      <w:r>
        <w:rPr>
          <w:bCs/>
          <w:sz w:val="24"/>
        </w:rPr>
        <w:t>3</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6DEC8003">
      <w:pPr>
        <w:spacing w:line="360" w:lineRule="auto"/>
        <w:ind w:firstLine="480"/>
        <w:rPr>
          <w:bCs/>
          <w:sz w:val="24"/>
        </w:rPr>
      </w:pPr>
      <w:r>
        <w:rPr>
          <w:rFonts w:hint="eastAsia"/>
          <w:bCs/>
          <w:sz w:val="24"/>
        </w:rPr>
        <w:t>1</w:t>
      </w:r>
      <w:r>
        <w:rPr>
          <w:bCs/>
          <w:sz w:val="24"/>
        </w:rPr>
        <w:t>4、相关法律法规以及监管部门有强制规定的，从其规定。如有新增事项，按国家最新规定估值。</w:t>
      </w:r>
    </w:p>
    <w:p w14:paraId="10552C1D">
      <w:pPr>
        <w:spacing w:line="360" w:lineRule="auto"/>
        <w:ind w:firstLine="480"/>
        <w:rPr>
          <w:rStyle w:val="227"/>
          <w:bCs/>
          <w:sz w:val="24"/>
        </w:rPr>
      </w:pPr>
      <w:r>
        <w:rPr>
          <w:rStyle w:val="227"/>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0BD2B9FF">
      <w:pPr>
        <w:tabs>
          <w:tab w:val="left" w:pos="1260"/>
        </w:tabs>
        <w:spacing w:line="360" w:lineRule="auto"/>
        <w:ind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bCs/>
          <w:sz w:val="24"/>
        </w:rPr>
        <w:t>由此给基金份额持有人和基金造成的损失以及因该交易日基金净值计算顺延错误而引起的损失，由基金管理人负责赔付，基金托管人不承担任何责任。</w:t>
      </w:r>
    </w:p>
    <w:p w14:paraId="56656345">
      <w:pPr>
        <w:tabs>
          <w:tab w:val="left" w:pos="3780"/>
        </w:tabs>
        <w:spacing w:line="360" w:lineRule="auto"/>
        <w:outlineLvl w:val="0"/>
        <w:rPr>
          <w:rFonts w:ascii="宋体"/>
          <w:b/>
          <w:bCs/>
          <w:sz w:val="24"/>
        </w:rPr>
      </w:pPr>
      <w:r>
        <w:rPr>
          <w:rFonts w:hint="eastAsia" w:ascii="宋体" w:hAnsi="宋体"/>
          <w:b/>
          <w:bCs/>
          <w:sz w:val="24"/>
        </w:rPr>
        <w:t>（二）估值错误的处理</w:t>
      </w:r>
    </w:p>
    <w:p w14:paraId="192B949A">
      <w:pPr>
        <w:tabs>
          <w:tab w:val="left" w:pos="3780"/>
        </w:tabs>
        <w:spacing w:line="360" w:lineRule="auto"/>
        <w:ind w:firstLine="480"/>
        <w:outlineLvl w:val="0"/>
        <w:rPr>
          <w:rFonts w:ascii="宋体" w:hAnsi="宋体"/>
          <w:sz w:val="24"/>
        </w:rPr>
      </w:pPr>
      <w:r>
        <w:rPr>
          <w:rFonts w:hint="eastAsia"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14:paraId="1E75A2E8">
      <w:pPr>
        <w:tabs>
          <w:tab w:val="left" w:pos="3780"/>
        </w:tabs>
        <w:spacing w:line="360" w:lineRule="auto"/>
        <w:ind w:firstLine="480"/>
        <w:outlineLvl w:val="0"/>
        <w:rPr>
          <w:rFonts w:ascii="宋体" w:hAnsi="宋体"/>
          <w:sz w:val="24"/>
        </w:rPr>
      </w:pPr>
      <w:r>
        <w:rPr>
          <w:rFonts w:hint="eastAsia" w:ascii="宋体" w:hAnsi="宋体"/>
          <w:sz w:val="24"/>
        </w:rPr>
        <w:t>基金合同的当事人应按照以下约定处理：</w:t>
      </w:r>
    </w:p>
    <w:p w14:paraId="7969F934">
      <w:pPr>
        <w:spacing w:line="360" w:lineRule="auto"/>
        <w:ind w:firstLine="480"/>
        <w:rPr>
          <w:bCs/>
          <w:sz w:val="24"/>
        </w:rPr>
      </w:pPr>
      <w:r>
        <w:rPr>
          <w:bCs/>
          <w:sz w:val="24"/>
        </w:rPr>
        <w:t>1、估值错误类型</w:t>
      </w:r>
    </w:p>
    <w:p w14:paraId="6F2E491F">
      <w:pPr>
        <w:spacing w:line="360" w:lineRule="auto"/>
        <w:ind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02CADDE">
      <w:pPr>
        <w:spacing w:line="360" w:lineRule="auto"/>
        <w:ind w:firstLine="480"/>
        <w:rPr>
          <w:bCs/>
          <w:sz w:val="24"/>
        </w:rPr>
      </w:pPr>
      <w:r>
        <w:rPr>
          <w:bCs/>
          <w:sz w:val="24"/>
        </w:rPr>
        <w:t>上述估值错误的主要类型包括但不限于：资料申报差错、数据传输差错、数据计算差错、系统故障差错、下达指令差错等。</w:t>
      </w:r>
    </w:p>
    <w:p w14:paraId="4D8E9727">
      <w:pPr>
        <w:spacing w:line="360" w:lineRule="auto"/>
        <w:ind w:firstLine="480"/>
        <w:rPr>
          <w:bCs/>
          <w:sz w:val="24"/>
        </w:rPr>
      </w:pPr>
      <w:r>
        <w:rPr>
          <w:bCs/>
          <w:sz w:val="24"/>
        </w:rPr>
        <w:t>2、估值错误处理原则</w:t>
      </w:r>
    </w:p>
    <w:p w14:paraId="4CAFE0CE">
      <w:pPr>
        <w:spacing w:line="360" w:lineRule="auto"/>
        <w:ind w:firstLine="48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0112104">
      <w:pPr>
        <w:spacing w:line="360" w:lineRule="auto"/>
        <w:ind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69192C72">
      <w:pPr>
        <w:spacing w:line="360" w:lineRule="auto"/>
        <w:ind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0B5502A">
      <w:pPr>
        <w:spacing w:line="360" w:lineRule="auto"/>
        <w:ind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0F1CECD8">
      <w:pPr>
        <w:spacing w:line="360" w:lineRule="auto"/>
        <w:ind w:firstLine="480"/>
        <w:rPr>
          <w:bCs/>
          <w:sz w:val="24"/>
        </w:rPr>
      </w:pPr>
      <w:r>
        <w:rPr>
          <w:bCs/>
          <w:sz w:val="24"/>
        </w:rPr>
        <w:t>3、估值错误处理程序</w:t>
      </w:r>
    </w:p>
    <w:p w14:paraId="480E69D3">
      <w:pPr>
        <w:spacing w:line="360" w:lineRule="auto"/>
        <w:ind w:firstLine="480"/>
        <w:rPr>
          <w:bCs/>
          <w:sz w:val="24"/>
        </w:rPr>
      </w:pPr>
      <w:r>
        <w:rPr>
          <w:bCs/>
          <w:sz w:val="24"/>
        </w:rPr>
        <w:t>估值错误被发现后，有关的当事人应当及时进行处理，处理的程序如下：</w:t>
      </w:r>
    </w:p>
    <w:p w14:paraId="36144E02">
      <w:pPr>
        <w:spacing w:line="360" w:lineRule="auto"/>
        <w:ind w:firstLine="480"/>
        <w:rPr>
          <w:bCs/>
          <w:sz w:val="24"/>
        </w:rPr>
      </w:pPr>
      <w:r>
        <w:rPr>
          <w:bCs/>
          <w:sz w:val="24"/>
        </w:rPr>
        <w:t>（1）查明估值错误发生的原因，列明所有的当事人，并根据估值错误发生的原因确定估值错误的责任方；</w:t>
      </w:r>
    </w:p>
    <w:p w14:paraId="06D20C59">
      <w:pPr>
        <w:spacing w:line="360" w:lineRule="auto"/>
        <w:ind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5000FE4A">
      <w:pPr>
        <w:spacing w:line="360" w:lineRule="auto"/>
        <w:ind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69D47AA1">
      <w:pPr>
        <w:spacing w:line="360" w:lineRule="auto"/>
        <w:ind w:firstLine="48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720CA27A">
      <w:pPr>
        <w:spacing w:line="360" w:lineRule="auto"/>
        <w:ind w:firstLine="480"/>
        <w:rPr>
          <w:bCs/>
          <w:sz w:val="24"/>
        </w:rPr>
      </w:pPr>
      <w:r>
        <w:rPr>
          <w:bCs/>
          <w:sz w:val="24"/>
        </w:rPr>
        <w:t>4、基金份额净值估值错误处理的方法如下：</w:t>
      </w:r>
    </w:p>
    <w:p w14:paraId="3F73D34D">
      <w:pPr>
        <w:spacing w:line="360" w:lineRule="auto"/>
        <w:ind w:firstLine="480"/>
        <w:rPr>
          <w:bCs/>
          <w:sz w:val="24"/>
        </w:rPr>
      </w:pPr>
      <w:r>
        <w:rPr>
          <w:bCs/>
          <w:sz w:val="24"/>
        </w:rPr>
        <w:t>（1）基金份额净值计算出现错误时，基金管理人应当立即予以纠正，通报基金托管人，并采取合理的措施防止损失进一步扩大。</w:t>
      </w:r>
    </w:p>
    <w:p w14:paraId="7522D837">
      <w:pPr>
        <w:spacing w:line="360" w:lineRule="auto"/>
        <w:ind w:firstLine="48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r>
        <w:rPr>
          <w:rFonts w:hint="eastAsia"/>
          <w:bCs/>
          <w:sz w:val="24"/>
        </w:rPr>
        <w:t>，并报中国证监会备案</w:t>
      </w:r>
      <w:r>
        <w:rPr>
          <w:bCs/>
          <w:sz w:val="24"/>
        </w:rPr>
        <w:t>。</w:t>
      </w:r>
    </w:p>
    <w:p w14:paraId="42BDC6F7">
      <w:pPr>
        <w:spacing w:line="360" w:lineRule="auto"/>
        <w:ind w:firstLine="480"/>
        <w:rPr>
          <w:bCs/>
          <w:sz w:val="24"/>
        </w:rPr>
      </w:pPr>
      <w:r>
        <w:rPr>
          <w:rFonts w:hint="eastAsia"/>
          <w:bCs/>
          <w:sz w:val="24"/>
        </w:rPr>
        <w:t>（3）当基金份额净值计算差错给基金和基金份额持有人造成损失需要进行赔偿时，基金管理人和基金托管人应根据实际情况界定双方承担的责任，经确认后按以下条款进行赔偿：</w:t>
      </w:r>
    </w:p>
    <w:p w14:paraId="14E015CD">
      <w:pPr>
        <w:spacing w:line="360" w:lineRule="auto"/>
        <w:ind w:firstLine="48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2DF530A8">
      <w:pPr>
        <w:spacing w:line="360" w:lineRule="auto"/>
        <w:ind w:firstLine="48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管理费率和托管费率的比例各自承担相应的责任。</w:t>
      </w:r>
    </w:p>
    <w:p w14:paraId="75B9BCF5">
      <w:pPr>
        <w:spacing w:line="360" w:lineRule="auto"/>
        <w:ind w:firstLine="48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04FD862">
      <w:pPr>
        <w:spacing w:line="360" w:lineRule="auto"/>
        <w:ind w:firstLine="480"/>
        <w:rPr>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p>
    <w:p w14:paraId="79010675">
      <w:pPr>
        <w:spacing w:line="360" w:lineRule="auto"/>
        <w:ind w:firstLine="48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如果行业另有通行做法，基金管理人、基金托管人应本着平等和保护基金份额持有人利益的原则进行协商。</w:t>
      </w:r>
    </w:p>
    <w:p w14:paraId="601DD8D9">
      <w:pPr>
        <w:tabs>
          <w:tab w:val="left" w:pos="3780"/>
        </w:tabs>
        <w:spacing w:line="360" w:lineRule="auto"/>
        <w:outlineLvl w:val="0"/>
        <w:rPr>
          <w:rFonts w:ascii="宋体" w:cs="宋体"/>
          <w:b/>
          <w:sz w:val="24"/>
        </w:rPr>
      </w:pPr>
      <w:r>
        <w:rPr>
          <w:rFonts w:hint="eastAsia" w:ascii="宋体" w:cs="宋体"/>
          <w:b/>
          <w:sz w:val="24"/>
        </w:rPr>
        <w:t>（三）基金</w:t>
      </w:r>
      <w:r>
        <w:rPr>
          <w:rFonts w:hint="eastAsia" w:ascii="宋体" w:hAnsi="宋体"/>
          <w:b/>
          <w:bCs/>
          <w:sz w:val="24"/>
        </w:rPr>
        <w:t>会计制度</w:t>
      </w:r>
    </w:p>
    <w:p w14:paraId="6168684F">
      <w:pPr>
        <w:spacing w:line="360" w:lineRule="auto"/>
        <w:ind w:firstLine="420"/>
        <w:jc w:val="left"/>
        <w:rPr>
          <w:rFonts w:ascii="宋体" w:cs="宋体"/>
          <w:sz w:val="20"/>
          <w:szCs w:val="20"/>
        </w:rPr>
      </w:pPr>
      <w:r>
        <w:rPr>
          <w:rFonts w:hint="eastAsia" w:ascii="宋体" w:cs="宋体"/>
          <w:sz w:val="24"/>
        </w:rPr>
        <w:t>按国家有关部门制定的会计制度执行。</w:t>
      </w:r>
    </w:p>
    <w:p w14:paraId="6CC14185">
      <w:pPr>
        <w:tabs>
          <w:tab w:val="left" w:pos="3780"/>
        </w:tabs>
        <w:spacing w:line="360" w:lineRule="auto"/>
        <w:outlineLvl w:val="0"/>
        <w:rPr>
          <w:rFonts w:ascii="宋体"/>
          <w:b/>
          <w:bCs/>
          <w:sz w:val="24"/>
        </w:rPr>
      </w:pPr>
      <w:r>
        <w:rPr>
          <w:rFonts w:hint="eastAsia" w:ascii="宋体" w:hAnsi="宋体"/>
          <w:b/>
          <w:bCs/>
          <w:sz w:val="24"/>
        </w:rPr>
        <w:t>（四）基金账册的建立</w:t>
      </w:r>
    </w:p>
    <w:p w14:paraId="369E2FC4">
      <w:pPr>
        <w:tabs>
          <w:tab w:val="left" w:pos="1260"/>
        </w:tabs>
        <w:spacing w:line="360" w:lineRule="auto"/>
        <w:ind w:firstLine="480"/>
        <w:rPr>
          <w:rFonts w:ascii="宋体"/>
          <w:sz w:val="24"/>
        </w:rPr>
      </w:pPr>
      <w:r>
        <w:rPr>
          <w:rFonts w:hint="eastAsia"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02C8C845">
      <w:pPr>
        <w:tabs>
          <w:tab w:val="left" w:pos="3780"/>
        </w:tabs>
        <w:spacing w:line="360" w:lineRule="auto"/>
        <w:outlineLvl w:val="0"/>
        <w:rPr>
          <w:rFonts w:ascii="宋体"/>
          <w:b/>
          <w:bCs/>
          <w:sz w:val="24"/>
        </w:rPr>
      </w:pPr>
      <w:r>
        <w:rPr>
          <w:rFonts w:hint="eastAsia" w:ascii="宋体" w:hAnsi="宋体"/>
          <w:b/>
          <w:bCs/>
          <w:sz w:val="24"/>
        </w:rPr>
        <w:t>（五）会计数据和财务指标的核对</w:t>
      </w:r>
    </w:p>
    <w:p w14:paraId="779F017B">
      <w:pPr>
        <w:tabs>
          <w:tab w:val="left" w:pos="1260"/>
        </w:tabs>
        <w:spacing w:line="360" w:lineRule="auto"/>
        <w:ind w:firstLine="480"/>
        <w:rPr>
          <w:rFonts w:ascii="宋体"/>
          <w:sz w:val="24"/>
        </w:rPr>
      </w:pPr>
      <w:r>
        <w:rPr>
          <w:rFonts w:hint="eastAsia" w:ascii="宋体" w:hAnsi="宋体"/>
          <w:sz w:val="24"/>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14:paraId="1CB7DC63">
      <w:pPr>
        <w:tabs>
          <w:tab w:val="left" w:pos="3780"/>
        </w:tabs>
        <w:spacing w:line="360" w:lineRule="auto"/>
        <w:outlineLvl w:val="0"/>
        <w:rPr>
          <w:rFonts w:ascii="宋体"/>
          <w:b/>
          <w:bCs/>
          <w:sz w:val="24"/>
        </w:rPr>
      </w:pPr>
      <w:r>
        <w:rPr>
          <w:rFonts w:hint="eastAsia" w:ascii="宋体" w:hAnsi="宋体"/>
          <w:b/>
          <w:bCs/>
          <w:sz w:val="24"/>
        </w:rPr>
        <w:t>（六）基金定期报告的编制和复核</w:t>
      </w:r>
    </w:p>
    <w:p w14:paraId="37728657">
      <w:pPr>
        <w:tabs>
          <w:tab w:val="left" w:pos="1260"/>
        </w:tabs>
        <w:spacing w:line="360" w:lineRule="auto"/>
        <w:ind w:firstLine="480"/>
        <w:rPr>
          <w:rFonts w:ascii="宋体"/>
          <w:sz w:val="24"/>
        </w:rPr>
      </w:pPr>
      <w:r>
        <w:rPr>
          <w:rFonts w:hint="eastAsia" w:ascii="宋体" w:hAnsi="宋体"/>
          <w:sz w:val="24"/>
        </w:rPr>
        <w:t>基金财务报表由基金管理人和基金托管人每月分别独立编制。月度报表的编制，应于每月终了后</w:t>
      </w:r>
      <w:r>
        <w:rPr>
          <w:rFonts w:ascii="宋体" w:hAnsi="宋体"/>
          <w:sz w:val="24"/>
        </w:rPr>
        <w:t>5</w:t>
      </w:r>
      <w:r>
        <w:rPr>
          <w:rFonts w:hint="eastAsia" w:ascii="宋体" w:hAnsi="宋体"/>
          <w:sz w:val="24"/>
        </w:rPr>
        <w:t>个工作日内完成。定期报告文件应按中国证监会的要求公告。季度报表的编制，应于每季度终了后</w:t>
      </w:r>
      <w:r>
        <w:rPr>
          <w:rFonts w:ascii="宋体" w:hAnsi="宋体"/>
          <w:sz w:val="24"/>
        </w:rPr>
        <w:t>15</w:t>
      </w:r>
      <w:r>
        <w:rPr>
          <w:rFonts w:hint="eastAsia" w:ascii="宋体" w:hAnsi="宋体"/>
          <w:sz w:val="24"/>
        </w:rPr>
        <w:t>个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中期报告在基金会计年度前</w:t>
      </w:r>
      <w:r>
        <w:rPr>
          <w:rFonts w:ascii="宋体" w:hAnsi="宋体"/>
          <w:sz w:val="24"/>
        </w:rPr>
        <w:t>6</w:t>
      </w:r>
      <w:r>
        <w:rPr>
          <w:rFonts w:hint="eastAsia" w:ascii="宋体" w:hAnsi="宋体"/>
          <w:sz w:val="24"/>
        </w:rPr>
        <w:t>个月结束后的两个月内公告；年度报告在会计年度结束后三个月内公告。</w:t>
      </w:r>
    </w:p>
    <w:p w14:paraId="3FEB8DD3">
      <w:pPr>
        <w:tabs>
          <w:tab w:val="left" w:pos="1260"/>
        </w:tabs>
        <w:spacing w:line="360" w:lineRule="auto"/>
        <w:ind w:firstLine="480"/>
        <w:rPr>
          <w:rFonts w:ascii="宋体"/>
          <w:sz w:val="24"/>
        </w:rPr>
      </w:pPr>
      <w:r>
        <w:rPr>
          <w:rFonts w:hint="eastAsia" w:ascii="宋体" w:hAnsi="宋体"/>
          <w:sz w:val="24"/>
        </w:rPr>
        <w:t>基金管理人在月初3个工作日内完成上月度报表的编制，经盖章后，以约定方式将有关报表提供基金托管人；基金托管人收到后在</w:t>
      </w:r>
      <w:r>
        <w:rPr>
          <w:rFonts w:ascii="宋体" w:hAnsi="宋体"/>
          <w:sz w:val="24"/>
        </w:rPr>
        <w:t>2</w:t>
      </w:r>
      <w:r>
        <w:rPr>
          <w:rFonts w:hint="eastAsia" w:ascii="宋体" w:hAnsi="宋体"/>
          <w:sz w:val="24"/>
        </w:rPr>
        <w:t>个工作日内进行复核，并将复核结果及时书面或以其他双方约定的方式通知基金管理人。对于季度报告、中期报告、年度报告等定期报告，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2E60D0C1">
      <w:pPr>
        <w:tabs>
          <w:tab w:val="left" w:pos="1260"/>
        </w:tabs>
        <w:spacing w:line="360" w:lineRule="auto"/>
        <w:ind w:firstLine="480"/>
        <w:rPr>
          <w:rFonts w:ascii="宋体" w:hAnsi="宋体"/>
          <w:sz w:val="24"/>
        </w:rPr>
      </w:pPr>
      <w:r>
        <w:rPr>
          <w:rFonts w:hint="eastAsia" w:ascii="宋体" w:hAnsi="宋体"/>
          <w:sz w:val="24"/>
        </w:rPr>
        <w:t>基金托管人在对财务报表、季度报告、中期报告或年度报告复核完毕后，可以出具复核确认书（盖章）或以其他双方约定的方式确认，以备有权</w:t>
      </w:r>
      <w:r>
        <w:rPr>
          <w:rFonts w:ascii="宋体" w:hAnsi="宋体"/>
          <w:sz w:val="24"/>
        </w:rPr>
        <w:t>机构对相关文件审核检查。</w:t>
      </w:r>
      <w:bookmarkStart w:id="68" w:name="_Toc466788859"/>
      <w:bookmarkStart w:id="69" w:name="_Toc523830000"/>
      <w:bookmarkStart w:id="70" w:name="_Toc22454461"/>
      <w:bookmarkStart w:id="71" w:name="_Toc125892445"/>
    </w:p>
    <w:p w14:paraId="08AC9D66">
      <w:pPr>
        <w:tabs>
          <w:tab w:val="left" w:pos="1260"/>
        </w:tabs>
        <w:spacing w:line="360" w:lineRule="auto"/>
        <w:ind w:firstLine="480"/>
        <w:rPr>
          <w:rFonts w:ascii="宋体"/>
          <w:sz w:val="24"/>
        </w:rPr>
      </w:pPr>
    </w:p>
    <w:p w14:paraId="4B32A54B">
      <w:pPr>
        <w:pStyle w:val="197"/>
      </w:pPr>
      <w:bookmarkStart w:id="72" w:name="_Toc35001434"/>
      <w:r>
        <w:t>九、基金收益分配</w:t>
      </w:r>
      <w:bookmarkEnd w:id="68"/>
      <w:bookmarkEnd w:id="69"/>
      <w:bookmarkEnd w:id="70"/>
      <w:bookmarkEnd w:id="71"/>
      <w:bookmarkEnd w:id="72"/>
    </w:p>
    <w:p w14:paraId="65A1BA07">
      <w:pPr>
        <w:tabs>
          <w:tab w:val="left" w:pos="1260"/>
        </w:tabs>
        <w:spacing w:line="360" w:lineRule="auto"/>
        <w:ind w:firstLine="480"/>
        <w:rPr>
          <w:rFonts w:ascii="宋体"/>
          <w:sz w:val="24"/>
        </w:rPr>
      </w:pPr>
      <w:r>
        <w:rPr>
          <w:rFonts w:hint="eastAsia" w:ascii="宋体" w:hAnsi="宋体"/>
          <w:sz w:val="24"/>
        </w:rPr>
        <w:t>基金收益分配是指将本基金的可分配收益根据持有基金份额的数量按比例向基金份额持有人进行分配。</w:t>
      </w:r>
    </w:p>
    <w:p w14:paraId="0740F4F0">
      <w:pPr>
        <w:tabs>
          <w:tab w:val="left" w:pos="3780"/>
        </w:tabs>
        <w:spacing w:line="360" w:lineRule="auto"/>
        <w:outlineLvl w:val="0"/>
        <w:rPr>
          <w:rFonts w:ascii="宋体"/>
          <w:b/>
          <w:bCs/>
          <w:sz w:val="24"/>
        </w:rPr>
      </w:pPr>
      <w:r>
        <w:rPr>
          <w:rFonts w:hint="eastAsia" w:ascii="宋体" w:hAnsi="宋体"/>
          <w:b/>
          <w:bCs/>
          <w:sz w:val="24"/>
        </w:rPr>
        <w:t>（一）基金收益分配应该符合基金合同中收益分配原则的规定，具体规定如下：</w:t>
      </w:r>
    </w:p>
    <w:p w14:paraId="373E90AF">
      <w:pPr>
        <w:spacing w:line="360" w:lineRule="auto"/>
        <w:ind w:firstLine="540"/>
        <w:rPr>
          <w:bCs/>
          <w:sz w:val="24"/>
        </w:rPr>
      </w:pPr>
      <w:r>
        <w:rPr>
          <w:rFonts w:hint="eastAsia"/>
          <w:bCs/>
          <w:sz w:val="24"/>
        </w:rPr>
        <w:t>1、本基金收益分配方式分两种：现金分红与红利再投资，投资者可选择现金红利或将现金红利自动转为相应类别的基金份额进行再投资；若投资者不选择，本基金默认的收益分配方式是现金分红；</w:t>
      </w:r>
      <w:r>
        <w:rPr>
          <w:bCs/>
          <w:sz w:val="24"/>
        </w:rPr>
        <w:t xml:space="preserve"> </w:t>
      </w:r>
    </w:p>
    <w:p w14:paraId="335DA8FA">
      <w:pPr>
        <w:spacing w:line="360" w:lineRule="auto"/>
        <w:ind w:firstLine="540"/>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25C5CBB7">
      <w:pPr>
        <w:spacing w:line="360" w:lineRule="auto"/>
        <w:ind w:firstLine="540"/>
        <w:rPr>
          <w:bCs/>
          <w:sz w:val="24"/>
        </w:rPr>
      </w:pPr>
      <w:r>
        <w:rPr>
          <w:rFonts w:hint="eastAsia"/>
          <w:bCs/>
          <w:sz w:val="24"/>
        </w:rPr>
        <w:t>3、由于本基金A类基金份额不收取销售服务费，C类基金份额收取销售服务费，各基金份额类别对应的可分配收益将有所不同。本基金同一类别每一基金份额享有同等分配权；</w:t>
      </w:r>
    </w:p>
    <w:p w14:paraId="3FE0441E">
      <w:pPr>
        <w:spacing w:line="360" w:lineRule="auto"/>
        <w:ind w:firstLine="540"/>
        <w:rPr>
          <w:bCs/>
          <w:sz w:val="24"/>
        </w:rPr>
      </w:pPr>
      <w:r>
        <w:rPr>
          <w:rFonts w:hint="eastAsia"/>
          <w:bCs/>
          <w:sz w:val="24"/>
        </w:rPr>
        <w:t>4、法律法规或监管机关另有规定的，从其规定。</w:t>
      </w:r>
    </w:p>
    <w:p w14:paraId="4A7E253C">
      <w:pPr>
        <w:tabs>
          <w:tab w:val="left" w:pos="1260"/>
        </w:tabs>
        <w:spacing w:line="360" w:lineRule="auto"/>
        <w:ind w:firstLine="480"/>
        <w:rPr>
          <w:rFonts w:ascii="宋体" w:hAnsi="宋体"/>
          <w:sz w:val="24"/>
        </w:rPr>
      </w:pPr>
      <w:r>
        <w:rPr>
          <w:rFonts w:hint="eastAsia"/>
          <w:bCs/>
          <w:sz w:val="24"/>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1DB51503">
      <w:pPr>
        <w:tabs>
          <w:tab w:val="left" w:pos="3780"/>
        </w:tabs>
        <w:spacing w:line="360" w:lineRule="auto"/>
        <w:outlineLvl w:val="0"/>
        <w:rPr>
          <w:rFonts w:ascii="宋体"/>
          <w:b/>
          <w:bCs/>
          <w:sz w:val="24"/>
        </w:rPr>
      </w:pPr>
      <w:r>
        <w:rPr>
          <w:rFonts w:hint="eastAsia" w:ascii="宋体" w:hAnsi="宋体"/>
          <w:b/>
          <w:bCs/>
          <w:sz w:val="24"/>
        </w:rPr>
        <w:t>（二）基金收益分配方案的确定与公告</w:t>
      </w:r>
    </w:p>
    <w:p w14:paraId="3CAF8896">
      <w:pPr>
        <w:spacing w:line="360" w:lineRule="auto"/>
        <w:ind w:firstLine="540"/>
        <w:rPr>
          <w:bCs/>
          <w:sz w:val="24"/>
        </w:rPr>
      </w:pPr>
      <w:bookmarkStart w:id="73" w:name="_Toc466788861"/>
      <w:bookmarkStart w:id="74" w:name="_Toc22454465"/>
      <w:bookmarkStart w:id="75" w:name="_Toc523830002"/>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规定媒介</w:t>
      </w:r>
      <w:r>
        <w:rPr>
          <w:bCs/>
          <w:sz w:val="24"/>
        </w:rPr>
        <w:t>公告。</w:t>
      </w:r>
      <w:r>
        <w:rPr>
          <w:rFonts w:hint="eastAsia" w:ascii="宋体" w:hAnsi="宋体"/>
          <w:sz w:val="24"/>
        </w:rPr>
        <w:t>基金管理人向基金托管人下达收益分配的付款指令，基金托管人按指令将收益分配的全部资金划入基金管理人的指定账户，并由基金管理人负责分配。</w:t>
      </w:r>
      <w:bookmarkStart w:id="76" w:name="_Toc125892446"/>
      <w:r>
        <w:rPr>
          <w:bCs/>
          <w:sz w:val="24"/>
        </w:rPr>
        <w:t>基金收益分配方案中应载明截止收益分配基准日的可供分配利润、基金收益分配对象、分配时间、分配数额及比例、分配方式等内容。</w:t>
      </w:r>
    </w:p>
    <w:p w14:paraId="06CDEFEA">
      <w:pPr>
        <w:spacing w:line="360" w:lineRule="auto"/>
        <w:ind w:firstLine="540"/>
        <w:rPr>
          <w:bCs/>
          <w:sz w:val="24"/>
        </w:rPr>
      </w:pPr>
    </w:p>
    <w:p w14:paraId="2B37A47A">
      <w:pPr>
        <w:pStyle w:val="197"/>
      </w:pPr>
      <w:bookmarkStart w:id="77" w:name="_Toc35001435"/>
      <w:r>
        <w:t>十、基金信息披露</w:t>
      </w:r>
      <w:bookmarkEnd w:id="73"/>
      <w:bookmarkEnd w:id="74"/>
      <w:bookmarkEnd w:id="75"/>
      <w:bookmarkEnd w:id="76"/>
      <w:bookmarkEnd w:id="77"/>
    </w:p>
    <w:p w14:paraId="03C92B90">
      <w:pPr>
        <w:tabs>
          <w:tab w:val="left" w:pos="3780"/>
        </w:tabs>
        <w:spacing w:line="360" w:lineRule="auto"/>
        <w:outlineLvl w:val="0"/>
        <w:rPr>
          <w:rFonts w:ascii="宋体"/>
          <w:b/>
          <w:bCs/>
          <w:sz w:val="24"/>
        </w:rPr>
      </w:pPr>
      <w:bookmarkStart w:id="78" w:name="_Toc77663026"/>
      <w:bookmarkStart w:id="79" w:name="_Toc22454466"/>
      <w:r>
        <w:rPr>
          <w:rFonts w:ascii="宋体" w:hAnsi="宋体"/>
          <w:b/>
          <w:bCs/>
          <w:sz w:val="24"/>
        </w:rPr>
        <w:t>（一）保密义务</w:t>
      </w:r>
      <w:bookmarkEnd w:id="78"/>
      <w:bookmarkEnd w:id="79"/>
    </w:p>
    <w:p w14:paraId="6229A6BF">
      <w:pPr>
        <w:tabs>
          <w:tab w:val="left" w:pos="1260"/>
        </w:tabs>
        <w:spacing w:line="360" w:lineRule="auto"/>
        <w:ind w:firstLine="480"/>
        <w:rPr>
          <w:rFonts w:ascii="宋体"/>
          <w:sz w:val="24"/>
        </w:rPr>
      </w:pPr>
      <w:r>
        <w:rPr>
          <w:rFonts w:hint="eastAsia" w:ascii="宋体" w:hAnsi="宋体"/>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w:t>
      </w:r>
      <w:bookmarkStart w:id="80" w:name="_Hlk37259054"/>
      <w:r>
        <w:rPr>
          <w:rFonts w:hint="eastAsia" w:ascii="宋体" w:hAnsi="宋体"/>
          <w:sz w:val="24"/>
        </w:rPr>
        <w:t>法律法规另有规定的以及审计需要的除外</w:t>
      </w:r>
      <w:bookmarkEnd w:id="80"/>
      <w:r>
        <w:rPr>
          <w:rFonts w:hint="eastAsia" w:ascii="宋体" w:hAnsi="宋体"/>
          <w:sz w:val="24"/>
        </w:rPr>
        <w:t>。</w:t>
      </w:r>
    </w:p>
    <w:p w14:paraId="0D8254FC">
      <w:pPr>
        <w:tabs>
          <w:tab w:val="left" w:pos="1260"/>
        </w:tabs>
        <w:spacing w:line="360" w:lineRule="auto"/>
        <w:ind w:firstLine="480"/>
        <w:rPr>
          <w:rFonts w:ascii="宋体"/>
          <w:sz w:val="24"/>
        </w:rPr>
      </w:pPr>
      <w:r>
        <w:rPr>
          <w:rFonts w:hint="eastAsia" w:ascii="宋体" w:hAnsi="宋体"/>
          <w:sz w:val="24"/>
        </w:rPr>
        <w:t>如下情况不应视为基金管理人或基金托管人违反保密义务：</w:t>
      </w:r>
    </w:p>
    <w:p w14:paraId="770FDBED">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非因基金管理人和基金托管人的原因导致保密信息被披露、泄露或公开；</w:t>
      </w:r>
    </w:p>
    <w:p w14:paraId="478B30ED">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.基金管理人和基金托管人为遵守和服从法院判决、仲裁裁决或中国证监会等监管机构的命令决定所做出的信息披露或公开。</w:t>
      </w:r>
      <w:bookmarkStart w:id="81" w:name="_Toc22454467"/>
      <w:bookmarkStart w:id="82" w:name="_Toc77663027"/>
    </w:p>
    <w:p w14:paraId="2C3076F5">
      <w:pPr>
        <w:tabs>
          <w:tab w:val="left" w:pos="3780"/>
        </w:tabs>
        <w:spacing w:line="360" w:lineRule="auto"/>
        <w:outlineLvl w:val="0"/>
        <w:rPr>
          <w:rFonts w:ascii="宋体"/>
          <w:b/>
          <w:bCs/>
          <w:sz w:val="24"/>
        </w:rPr>
      </w:pPr>
      <w:r>
        <w:rPr>
          <w:rFonts w:ascii="宋体" w:hAnsi="宋体"/>
          <w:b/>
          <w:bCs/>
          <w:sz w:val="24"/>
        </w:rPr>
        <w:t>（二）基金管理人和基金托管人在基金信息披露中的职责和信息披露程序</w:t>
      </w:r>
      <w:bookmarkEnd w:id="81"/>
      <w:bookmarkEnd w:id="82"/>
    </w:p>
    <w:p w14:paraId="01A88F85">
      <w:pPr>
        <w:tabs>
          <w:tab w:val="left" w:pos="1260"/>
        </w:tabs>
        <w:spacing w:line="360" w:lineRule="auto"/>
        <w:ind w:firstLine="480"/>
        <w:rPr>
          <w:rFonts w:ascii="宋体"/>
          <w:sz w:val="24"/>
        </w:rPr>
      </w:pPr>
      <w:r>
        <w:rPr>
          <w:rFonts w:hint="eastAsia" w:ascii="宋体" w:hAnsi="宋体"/>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14726D18">
      <w:pPr>
        <w:tabs>
          <w:tab w:val="left" w:pos="1260"/>
        </w:tabs>
        <w:spacing w:line="360" w:lineRule="auto"/>
        <w:ind w:firstLine="480"/>
        <w:rPr>
          <w:rFonts w:ascii="宋体"/>
          <w:sz w:val="24"/>
        </w:rPr>
      </w:pPr>
      <w:r>
        <w:rPr>
          <w:rFonts w:hint="eastAsia" w:ascii="宋体" w:hAnsi="宋体"/>
          <w:sz w:val="24"/>
        </w:rPr>
        <w:t>本基金信息披露的文件，包括《基金合同》规定的定期报告、临时报告、基金净值信息、澄清公告、清算报告、基金份额持有人大会决议、投资股指期货、国债期货、股票期权的信息披露、投资资产支持证券的信息披露、投资港股通标的股票的信息披露、投资流通受限证券的信息披露、参与融资业务的信息披露、投资信用衍生品的信息披露、实施侧袋机制期间的信息披露及中国证监会规定的其他必要的公告文件，由基金管理人拟定并公布。</w:t>
      </w:r>
    </w:p>
    <w:p w14:paraId="156CED0F">
      <w:pPr>
        <w:tabs>
          <w:tab w:val="left" w:pos="1260"/>
        </w:tabs>
        <w:spacing w:line="360" w:lineRule="auto"/>
        <w:ind w:firstLine="480"/>
        <w:rPr>
          <w:rFonts w:ascii="宋体"/>
          <w:sz w:val="24"/>
        </w:rPr>
      </w:pPr>
      <w:r>
        <w:rPr>
          <w:rFonts w:hint="eastAsia" w:ascii="宋体" w:hAnsi="宋体"/>
          <w:sz w:val="24"/>
        </w:rPr>
        <w:t>基金托管人应按本协议第八条第（六）款的规定对相关报告进行复核。基金年度报告中的财务会计报告经符合《证券法》规定的会计师事务所审计后方可披露。</w:t>
      </w:r>
    </w:p>
    <w:p w14:paraId="32C28623">
      <w:pPr>
        <w:tabs>
          <w:tab w:val="left" w:pos="1260"/>
        </w:tabs>
        <w:spacing w:line="360" w:lineRule="auto"/>
        <w:ind w:firstLine="480"/>
        <w:rPr>
          <w:rFonts w:ascii="宋体"/>
          <w:sz w:val="24"/>
        </w:rPr>
      </w:pPr>
      <w:r>
        <w:rPr>
          <w:rFonts w:ascii="宋体" w:hAnsi="宋体"/>
          <w:sz w:val="24"/>
        </w:rPr>
        <w:t>本基金的信息披露公告，必须在证监会规定媒介发布。</w:t>
      </w:r>
      <w:bookmarkStart w:id="83" w:name="_Toc466788862"/>
    </w:p>
    <w:p w14:paraId="7E9D55A4">
      <w:pPr>
        <w:tabs>
          <w:tab w:val="left" w:pos="3780"/>
        </w:tabs>
        <w:spacing w:line="360" w:lineRule="auto"/>
        <w:outlineLvl w:val="0"/>
        <w:rPr>
          <w:rFonts w:ascii="宋体"/>
          <w:b/>
          <w:bCs/>
          <w:sz w:val="24"/>
        </w:rPr>
      </w:pPr>
      <w:r>
        <w:rPr>
          <w:rFonts w:hint="eastAsia" w:ascii="宋体" w:hAnsi="宋体"/>
          <w:b/>
          <w:bCs/>
          <w:sz w:val="24"/>
        </w:rPr>
        <w:t>（三）暂停或延迟信息披露的情形</w:t>
      </w:r>
    </w:p>
    <w:p w14:paraId="457E3601">
      <w:pPr>
        <w:tabs>
          <w:tab w:val="left" w:pos="3780"/>
        </w:tabs>
        <w:spacing w:line="360" w:lineRule="auto"/>
        <w:ind w:firstLine="480"/>
        <w:outlineLvl w:val="0"/>
        <w:rPr>
          <w:rFonts w:ascii="宋体" w:hAnsi="宋体"/>
          <w:sz w:val="24"/>
        </w:rPr>
      </w:pPr>
      <w:r>
        <w:rPr>
          <w:rFonts w:hint="eastAsia" w:ascii="宋体" w:hAnsi="宋体"/>
          <w:sz w:val="24"/>
        </w:rPr>
        <w:t>1、不可抗力；</w:t>
      </w:r>
    </w:p>
    <w:p w14:paraId="5AFD4E4E">
      <w:pPr>
        <w:tabs>
          <w:tab w:val="left" w:pos="3780"/>
        </w:tabs>
        <w:spacing w:line="360" w:lineRule="auto"/>
        <w:ind w:firstLine="480"/>
        <w:outlineLvl w:val="0"/>
        <w:rPr>
          <w:rFonts w:ascii="宋体" w:hAnsi="宋体"/>
          <w:sz w:val="24"/>
        </w:rPr>
      </w:pPr>
      <w:r>
        <w:rPr>
          <w:rFonts w:hint="eastAsia" w:ascii="宋体" w:hAnsi="宋体"/>
          <w:sz w:val="24"/>
        </w:rPr>
        <w:t>2、基金投资所涉及的证券、期货交易所或外汇市场遇法定节假日或因其他原因暂停营业时；</w:t>
      </w:r>
    </w:p>
    <w:p w14:paraId="5D236170">
      <w:pPr>
        <w:tabs>
          <w:tab w:val="left" w:pos="3780"/>
        </w:tabs>
        <w:spacing w:line="360" w:lineRule="auto"/>
        <w:ind w:firstLine="480"/>
        <w:outlineLvl w:val="0"/>
        <w:rPr>
          <w:rFonts w:ascii="宋体" w:hAnsi="宋体"/>
          <w:sz w:val="24"/>
        </w:rPr>
      </w:pPr>
      <w:r>
        <w:rPr>
          <w:rFonts w:ascii="宋体" w:hAnsi="宋体"/>
          <w:sz w:val="24"/>
        </w:rPr>
        <w:t>3</w:t>
      </w:r>
      <w:r>
        <w:rPr>
          <w:rFonts w:hint="eastAsia" w:ascii="宋体" w:hAnsi="宋体"/>
          <w:sz w:val="24"/>
        </w:rPr>
        <w:t>、法律法规规定、中国证监会或基金合同认定的其他情形。</w:t>
      </w:r>
    </w:p>
    <w:p w14:paraId="5E5FDB03">
      <w:pPr>
        <w:tabs>
          <w:tab w:val="left" w:pos="3780"/>
        </w:tabs>
        <w:spacing w:line="360" w:lineRule="auto"/>
        <w:outlineLvl w:val="0"/>
        <w:rPr>
          <w:rFonts w:ascii="宋体"/>
          <w:b/>
          <w:bCs/>
          <w:sz w:val="24"/>
        </w:rPr>
      </w:pPr>
      <w:r>
        <w:rPr>
          <w:rFonts w:hint="eastAsia" w:ascii="宋体" w:hAnsi="宋体"/>
          <w:b/>
          <w:bCs/>
          <w:sz w:val="24"/>
        </w:rPr>
        <w:t>（四）基金托管人报告</w:t>
      </w:r>
    </w:p>
    <w:p w14:paraId="499DDEC3">
      <w:pPr>
        <w:tabs>
          <w:tab w:val="left" w:pos="1260"/>
        </w:tabs>
        <w:spacing w:line="360" w:lineRule="auto"/>
        <w:ind w:firstLine="480"/>
        <w:rPr>
          <w:rFonts w:ascii="宋体" w:hAnsi="宋体"/>
          <w:sz w:val="24"/>
        </w:rPr>
      </w:pPr>
      <w:r>
        <w:rPr>
          <w:rFonts w:hint="eastAsia" w:ascii="宋体" w:hAnsi="宋体"/>
          <w:sz w:val="24"/>
        </w:rPr>
        <w:t>基金托管人应按《基金法》和中国证监会的有关规定出具基金托管情况报告。基金托管人报告说明该半年度</w:t>
      </w:r>
      <w:r>
        <w:rPr>
          <w:rFonts w:ascii="宋体" w:hAnsi="宋体"/>
          <w:sz w:val="24"/>
        </w:rPr>
        <w:t>/年度基金托管人和基金管理人履行《基金合同》的情况，是基金中期报告和年度报告的组成部分。</w:t>
      </w:r>
      <w:bookmarkStart w:id="84" w:name="_Toc125892447"/>
    </w:p>
    <w:p w14:paraId="134A449C">
      <w:pPr>
        <w:tabs>
          <w:tab w:val="left" w:pos="1260"/>
        </w:tabs>
        <w:spacing w:line="360" w:lineRule="auto"/>
        <w:ind w:firstLine="480"/>
        <w:rPr>
          <w:rFonts w:ascii="宋体"/>
          <w:sz w:val="24"/>
        </w:rPr>
      </w:pPr>
    </w:p>
    <w:p w14:paraId="3385F95C">
      <w:pPr>
        <w:pStyle w:val="197"/>
      </w:pPr>
      <w:bookmarkStart w:id="85" w:name="_Toc35001436"/>
      <w:r>
        <w:t>十一、基金费用</w:t>
      </w:r>
      <w:bookmarkEnd w:id="84"/>
      <w:bookmarkEnd w:id="85"/>
    </w:p>
    <w:p w14:paraId="2295220B">
      <w:pPr>
        <w:tabs>
          <w:tab w:val="left" w:pos="1260"/>
        </w:tabs>
        <w:spacing w:line="360" w:lineRule="auto"/>
        <w:ind w:firstLine="482"/>
        <w:rPr>
          <w:rFonts w:ascii="宋体"/>
          <w:b/>
          <w:sz w:val="24"/>
        </w:rPr>
      </w:pPr>
      <w:r>
        <w:rPr>
          <w:rFonts w:hint="eastAsia" w:ascii="宋体" w:hAnsi="宋体"/>
          <w:b/>
          <w:sz w:val="24"/>
        </w:rPr>
        <w:t>（一）基金管理人的管理费</w:t>
      </w:r>
    </w:p>
    <w:p w14:paraId="05AC7173">
      <w:pPr>
        <w:tabs>
          <w:tab w:val="left" w:pos="1260"/>
        </w:tabs>
        <w:spacing w:line="360" w:lineRule="auto"/>
        <w:ind w:firstLine="480"/>
        <w:rPr>
          <w:rFonts w:ascii="宋体" w:hAnsi="宋体"/>
          <w:sz w:val="24"/>
        </w:rPr>
      </w:pPr>
      <w:r>
        <w:rPr>
          <w:rFonts w:hint="eastAsia" w:ascii="宋体" w:hAnsi="宋体"/>
          <w:sz w:val="24"/>
        </w:rPr>
        <w:t>本基金的管理费按前一日基金资产净值的</w:t>
      </w:r>
      <w:r>
        <w:rPr>
          <w:rFonts w:hint="eastAsia" w:ascii="宋体" w:hAnsi="宋体"/>
          <w:sz w:val="24"/>
          <w:lang w:eastAsia="zh-CN"/>
        </w:rPr>
        <w:t>1.20%</w:t>
      </w:r>
      <w:r>
        <w:rPr>
          <w:rFonts w:hint="eastAsia" w:ascii="宋体" w:hAnsi="宋体"/>
          <w:sz w:val="24"/>
        </w:rPr>
        <w:t>年费率计提。管理费的计算方法如下：</w:t>
      </w:r>
    </w:p>
    <w:p w14:paraId="2668EFA2">
      <w:pPr>
        <w:tabs>
          <w:tab w:val="left" w:pos="1260"/>
        </w:tabs>
        <w:spacing w:line="360" w:lineRule="auto"/>
        <w:ind w:firstLine="480"/>
        <w:rPr>
          <w:rFonts w:ascii="宋体" w:hAnsi="宋体"/>
          <w:sz w:val="24"/>
        </w:rPr>
      </w:pPr>
      <w:r>
        <w:rPr>
          <w:rFonts w:hint="eastAsia" w:ascii="宋体" w:hAnsi="宋体"/>
          <w:sz w:val="24"/>
        </w:rPr>
        <w:t>H＝E×</w:t>
      </w:r>
      <w:r>
        <w:rPr>
          <w:rFonts w:hint="eastAsia" w:ascii="宋体" w:hAnsi="宋体"/>
          <w:sz w:val="24"/>
          <w:lang w:eastAsia="zh-CN"/>
        </w:rPr>
        <w:t>1.20%</w:t>
      </w:r>
      <w:r>
        <w:rPr>
          <w:rFonts w:hint="eastAsia" w:ascii="宋体" w:hAnsi="宋体"/>
          <w:sz w:val="24"/>
        </w:rPr>
        <w:t>÷当年天数</w:t>
      </w:r>
    </w:p>
    <w:p w14:paraId="4A391A3F">
      <w:pPr>
        <w:tabs>
          <w:tab w:val="left" w:pos="1260"/>
        </w:tabs>
        <w:spacing w:line="360" w:lineRule="auto"/>
        <w:ind w:firstLine="480"/>
        <w:rPr>
          <w:rFonts w:ascii="宋体" w:hAnsi="宋体"/>
          <w:sz w:val="24"/>
        </w:rPr>
      </w:pPr>
      <w:r>
        <w:rPr>
          <w:rFonts w:hint="eastAsia" w:ascii="宋体" w:hAnsi="宋体"/>
          <w:sz w:val="24"/>
        </w:rPr>
        <w:t>H为每日应计提的基金管理费</w:t>
      </w:r>
    </w:p>
    <w:p w14:paraId="3E8901A0">
      <w:pPr>
        <w:tabs>
          <w:tab w:val="left" w:pos="1260"/>
        </w:tabs>
        <w:spacing w:line="360" w:lineRule="auto"/>
        <w:ind w:firstLine="480"/>
        <w:rPr>
          <w:rFonts w:ascii="宋体" w:hAnsi="宋体"/>
          <w:sz w:val="24"/>
        </w:rPr>
      </w:pPr>
      <w:r>
        <w:rPr>
          <w:rFonts w:hint="eastAsia" w:ascii="宋体" w:hAnsi="宋体"/>
          <w:sz w:val="24"/>
        </w:rPr>
        <w:t>E为前一日的基金资产净值</w:t>
      </w:r>
    </w:p>
    <w:p w14:paraId="50FC03F2">
      <w:pPr>
        <w:tabs>
          <w:tab w:val="left" w:pos="1260"/>
        </w:tabs>
        <w:spacing w:line="360" w:lineRule="auto"/>
        <w:ind w:firstLine="480"/>
        <w:rPr>
          <w:rFonts w:ascii="宋体" w:hAnsi="宋体"/>
          <w:sz w:val="24"/>
        </w:rPr>
      </w:pPr>
      <w:r>
        <w:rPr>
          <w:bCs/>
          <w:sz w:val="24"/>
        </w:rPr>
        <w:t>基金管理费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bookmarkStart w:id="86" w:name="_Hlk31992115"/>
      <w:r>
        <w:rPr>
          <w:rFonts w:hint="eastAsia" w:ascii="宋体" w:hAnsi="宋体"/>
          <w:bCs/>
          <w:sz w:val="24"/>
        </w:rPr>
        <w:t>由基金托管人根据与基金管理人核对一致的财务数据，自动在月初5个工作日内按照指定的账户路径进行资金支付，基金管理人无需再出具资金划拨指令</w:t>
      </w:r>
      <w:bookmarkEnd w:id="86"/>
      <w:r>
        <w:rPr>
          <w:rFonts w:hint="eastAsia" w:ascii="宋体" w:hAnsi="宋体"/>
          <w:bCs/>
          <w:sz w:val="24"/>
        </w:rPr>
        <w:t>。若遇法定节假日、公休假或不可抗力等，支付日期顺延。费用自动扣划后，基金管理人应进行核对，如发现数据不符，及时联系基金托管人协商解决。</w:t>
      </w:r>
    </w:p>
    <w:p w14:paraId="0316DD93">
      <w:pPr>
        <w:tabs>
          <w:tab w:val="left" w:pos="1260"/>
        </w:tabs>
        <w:spacing w:line="360" w:lineRule="auto"/>
        <w:ind w:firstLine="482"/>
        <w:rPr>
          <w:rFonts w:ascii="宋体"/>
          <w:b/>
          <w:sz w:val="24"/>
        </w:rPr>
      </w:pPr>
      <w:r>
        <w:rPr>
          <w:rFonts w:hint="eastAsia" w:ascii="宋体" w:hAnsi="宋体"/>
          <w:b/>
          <w:sz w:val="24"/>
        </w:rPr>
        <w:t>（二）基金托管人的托管费</w:t>
      </w:r>
    </w:p>
    <w:p w14:paraId="12B3029B">
      <w:pPr>
        <w:spacing w:line="360" w:lineRule="auto"/>
        <w:ind w:firstLine="480"/>
        <w:rPr>
          <w:rFonts w:ascii="宋体" w:hAnsi="宋体"/>
          <w:sz w:val="24"/>
        </w:rPr>
      </w:pPr>
      <w:r>
        <w:rPr>
          <w:rFonts w:hint="eastAsia" w:ascii="宋体" w:hAnsi="宋体"/>
          <w:sz w:val="24"/>
        </w:rPr>
        <w:t>本基金的托管费按前一日基金资产净值的</w:t>
      </w:r>
      <w:r>
        <w:rPr>
          <w:rFonts w:hint="eastAsia" w:ascii="宋体" w:hAnsi="宋体"/>
          <w:sz w:val="24"/>
          <w:lang w:eastAsia="zh-CN"/>
        </w:rPr>
        <w:t>0.20%</w:t>
      </w:r>
      <w:r>
        <w:rPr>
          <w:rFonts w:hint="eastAsia" w:ascii="宋体" w:hAnsi="宋体"/>
          <w:sz w:val="24"/>
        </w:rPr>
        <w:t>年费率计提。托管费的计算方法如下：</w:t>
      </w:r>
    </w:p>
    <w:p w14:paraId="2923FCE6">
      <w:pPr>
        <w:spacing w:line="360" w:lineRule="auto"/>
        <w:ind w:firstLine="480"/>
        <w:rPr>
          <w:rFonts w:ascii="宋体" w:hAnsi="宋体"/>
          <w:sz w:val="24"/>
        </w:rPr>
      </w:pPr>
      <w:r>
        <w:rPr>
          <w:rFonts w:hint="eastAsia" w:ascii="宋体" w:hAnsi="宋体"/>
          <w:sz w:val="24"/>
        </w:rPr>
        <w:t>H＝E×</w:t>
      </w:r>
      <w:r>
        <w:rPr>
          <w:rFonts w:hint="eastAsia" w:ascii="宋体" w:hAnsi="宋体"/>
          <w:sz w:val="24"/>
          <w:lang w:eastAsia="zh-CN"/>
        </w:rPr>
        <w:t>0.20%</w:t>
      </w:r>
      <w:r>
        <w:rPr>
          <w:rFonts w:hint="eastAsia" w:ascii="宋体" w:hAnsi="宋体"/>
          <w:sz w:val="24"/>
        </w:rPr>
        <w:t>÷当年天数</w:t>
      </w:r>
    </w:p>
    <w:p w14:paraId="634E7633">
      <w:pPr>
        <w:spacing w:line="360" w:lineRule="auto"/>
        <w:ind w:firstLine="480"/>
        <w:rPr>
          <w:rFonts w:ascii="宋体" w:hAnsi="宋体"/>
          <w:sz w:val="24"/>
        </w:rPr>
      </w:pPr>
      <w:r>
        <w:rPr>
          <w:rFonts w:hint="eastAsia" w:ascii="宋体" w:hAnsi="宋体"/>
          <w:sz w:val="24"/>
        </w:rPr>
        <w:t>H为每日应计提的基金托管费</w:t>
      </w:r>
    </w:p>
    <w:p w14:paraId="51AE1CEE">
      <w:pPr>
        <w:spacing w:line="360" w:lineRule="auto"/>
        <w:ind w:firstLine="480"/>
        <w:rPr>
          <w:rFonts w:ascii="宋体" w:hAnsi="宋体"/>
          <w:sz w:val="24"/>
        </w:rPr>
      </w:pPr>
      <w:r>
        <w:rPr>
          <w:rFonts w:hint="eastAsia" w:ascii="宋体" w:hAnsi="宋体"/>
          <w:sz w:val="24"/>
        </w:rPr>
        <w:t>E为前一日的基金资产净值</w:t>
      </w:r>
    </w:p>
    <w:p w14:paraId="07F9F138">
      <w:pPr>
        <w:spacing w:line="360" w:lineRule="auto"/>
        <w:ind w:firstLine="480"/>
        <w:rPr>
          <w:rFonts w:ascii="宋体" w:hAnsi="宋体"/>
          <w:sz w:val="24"/>
        </w:rPr>
      </w:pPr>
      <w:r>
        <w:rPr>
          <w:rFonts w:hint="eastAsia"/>
          <w:bCs/>
          <w:sz w:val="24"/>
        </w:rPr>
        <w:t>基金托管费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r>
        <w:rPr>
          <w:rFonts w:hint="eastAsia" w:ascii="宋体" w:hAnsi="宋体"/>
          <w:bCs/>
          <w:sz w:val="24"/>
        </w:rPr>
        <w:t>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187A1EBF">
      <w:pPr>
        <w:spacing w:line="360" w:lineRule="auto"/>
        <w:ind w:firstLine="482"/>
        <w:rPr>
          <w:rFonts w:ascii="宋体" w:hAnsi="宋体"/>
          <w:b/>
          <w:sz w:val="24"/>
        </w:rPr>
      </w:pPr>
      <w:r>
        <w:rPr>
          <w:rFonts w:hint="eastAsia" w:ascii="宋体" w:hAnsi="宋体"/>
          <w:b/>
          <w:sz w:val="24"/>
        </w:rPr>
        <w:t>（三）C类份额的销售服务费</w:t>
      </w:r>
    </w:p>
    <w:p w14:paraId="55E2C7F4">
      <w:pPr>
        <w:spacing w:line="360" w:lineRule="auto"/>
        <w:ind w:firstLine="480"/>
        <w:rPr>
          <w:rFonts w:ascii="宋体" w:hAnsi="宋体"/>
          <w:sz w:val="24"/>
        </w:rPr>
      </w:pPr>
      <w:r>
        <w:rPr>
          <w:rFonts w:hint="eastAsia" w:ascii="宋体" w:hAnsi="宋体"/>
          <w:sz w:val="24"/>
        </w:rPr>
        <w:t>本基金A类基金份额不收取销售服务费，C类基金份额的销售服务费年费率为0.</w:t>
      </w:r>
      <w:r>
        <w:rPr>
          <w:rFonts w:ascii="宋体" w:hAnsi="宋体"/>
          <w:sz w:val="24"/>
        </w:rPr>
        <w:t>6</w:t>
      </w:r>
      <w:r>
        <w:rPr>
          <w:rFonts w:hint="eastAsia" w:ascii="宋体" w:hAnsi="宋体"/>
          <w:sz w:val="24"/>
        </w:rPr>
        <w:t>0%。</w:t>
      </w:r>
    </w:p>
    <w:p w14:paraId="698F2351">
      <w:pPr>
        <w:spacing w:line="360" w:lineRule="auto"/>
        <w:ind w:firstLine="480"/>
        <w:rPr>
          <w:rFonts w:ascii="宋体" w:hAnsi="宋体"/>
          <w:sz w:val="24"/>
        </w:rPr>
      </w:pPr>
      <w:r>
        <w:rPr>
          <w:rFonts w:hint="eastAsia" w:ascii="宋体" w:hAnsi="宋体"/>
          <w:sz w:val="24"/>
        </w:rPr>
        <w:t>本基金销售服务费按前一日C类基金份额资产净值的0.</w:t>
      </w:r>
      <w:r>
        <w:rPr>
          <w:rFonts w:ascii="宋体" w:hAnsi="宋体"/>
          <w:sz w:val="24"/>
        </w:rPr>
        <w:t>6</w:t>
      </w:r>
      <w:r>
        <w:rPr>
          <w:rFonts w:hint="eastAsia" w:ascii="宋体" w:hAnsi="宋体"/>
          <w:sz w:val="24"/>
        </w:rPr>
        <w:t xml:space="preserve">0%年费率计提。计算方法如下： </w:t>
      </w:r>
    </w:p>
    <w:p w14:paraId="038B07CE">
      <w:pPr>
        <w:spacing w:line="360" w:lineRule="auto"/>
        <w:ind w:firstLine="480"/>
        <w:rPr>
          <w:rFonts w:ascii="宋体" w:hAnsi="宋体"/>
          <w:sz w:val="24"/>
        </w:rPr>
      </w:pPr>
      <w:r>
        <w:rPr>
          <w:rFonts w:hint="eastAsia" w:ascii="宋体" w:hAnsi="宋体"/>
          <w:sz w:val="24"/>
        </w:rPr>
        <w:t>H＝E×0</w:t>
      </w:r>
      <w:r>
        <w:rPr>
          <w:rFonts w:ascii="宋体" w:hAnsi="宋体"/>
          <w:sz w:val="24"/>
        </w:rPr>
        <w:t>.60</w:t>
      </w:r>
      <w:r>
        <w:rPr>
          <w:rFonts w:hint="eastAsia" w:ascii="宋体" w:hAnsi="宋体"/>
          <w:sz w:val="24"/>
        </w:rPr>
        <w:t>%÷当年天数</w:t>
      </w:r>
    </w:p>
    <w:p w14:paraId="6ED52FEA">
      <w:pPr>
        <w:spacing w:line="360" w:lineRule="auto"/>
        <w:ind w:firstLine="480"/>
        <w:rPr>
          <w:rFonts w:ascii="宋体" w:hAnsi="宋体"/>
          <w:sz w:val="24"/>
        </w:rPr>
      </w:pPr>
      <w:r>
        <w:rPr>
          <w:rFonts w:hint="eastAsia" w:ascii="宋体" w:hAnsi="宋体"/>
          <w:sz w:val="24"/>
        </w:rPr>
        <w:t>H为C类基金份额每日应计提的销售服务费</w:t>
      </w:r>
    </w:p>
    <w:p w14:paraId="3B22CF8D">
      <w:pPr>
        <w:spacing w:line="360" w:lineRule="auto"/>
        <w:ind w:firstLine="480"/>
        <w:rPr>
          <w:rFonts w:ascii="宋体" w:hAnsi="宋体"/>
          <w:sz w:val="24"/>
        </w:rPr>
      </w:pPr>
      <w:r>
        <w:rPr>
          <w:rFonts w:hint="eastAsia" w:ascii="宋体" w:hAnsi="宋体"/>
          <w:sz w:val="24"/>
        </w:rPr>
        <w:t>E为C类基金份额前一日基金资产净值</w:t>
      </w:r>
    </w:p>
    <w:p w14:paraId="23263CBB">
      <w:pPr>
        <w:spacing w:line="360" w:lineRule="auto"/>
        <w:ind w:firstLine="480"/>
        <w:rPr>
          <w:rFonts w:ascii="宋体" w:hAnsi="宋体"/>
          <w:bCs/>
          <w:sz w:val="24"/>
        </w:rPr>
      </w:pPr>
      <w:r>
        <w:rPr>
          <w:rFonts w:hint="eastAsia"/>
          <w:bCs/>
          <w:sz w:val="24"/>
        </w:rPr>
        <w:t>基金销售服务费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r>
        <w:rPr>
          <w:rFonts w:hint="eastAsia" w:ascii="宋体" w:hAnsi="宋体"/>
          <w:bCs/>
          <w:sz w:val="24"/>
        </w:rPr>
        <w:t>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1E50DC61">
      <w:pPr>
        <w:spacing w:line="360" w:lineRule="auto"/>
        <w:ind w:firstLine="480"/>
        <w:rPr>
          <w:rFonts w:ascii="宋体" w:hAnsi="宋体"/>
          <w:sz w:val="24"/>
        </w:rPr>
      </w:pPr>
      <w:r>
        <w:rPr>
          <w:rFonts w:hint="eastAsia"/>
          <w:bCs/>
          <w:sz w:val="24"/>
        </w:rPr>
        <w:t>销售服务费由登记机构代收，登记机构收到后按相关合同规定支付给基金销售机构等。</w:t>
      </w:r>
    </w:p>
    <w:p w14:paraId="5F32CA12">
      <w:pPr>
        <w:spacing w:line="360" w:lineRule="auto"/>
        <w:ind w:firstLine="482"/>
        <w:jc w:val="left"/>
        <w:rPr>
          <w:rFonts w:ascii="宋体" w:hAnsi="宋体"/>
          <w:sz w:val="24"/>
        </w:rPr>
      </w:pPr>
      <w:r>
        <w:rPr>
          <w:rFonts w:hint="eastAsia" w:ascii="宋体" w:hAnsi="宋体"/>
          <w:b/>
          <w:sz w:val="24"/>
        </w:rPr>
        <w:t>（四）</w:t>
      </w:r>
      <w:r>
        <w:rPr>
          <w:rFonts w:hint="eastAsia" w:ascii="宋体" w:hAnsi="宋体"/>
          <w:sz w:val="24"/>
        </w:rPr>
        <w:t>从基金资产中列支基金管理人的管理费、基金托管人的托管费、基金销售服务费之外的其他基金费用，应当依据有关法律法规、《基金合同》的规定；基金管理人和基金托管人因未履行或未完全履行义务导致的费用支出或基金财产的损失，以及处理与基金运作无关的事项发生的费用等不列入基金费用。基金合同生效之前的律师费、会计师费和信息披露费用等不得从基金财产中列支；基金托管人对不符合《基金法》、《运作办法》等有关规定以及《基金合同》的其他费用有权拒绝执行。如果基金托管人发现基金管理人违反有关法律法规的有关</w:t>
      </w:r>
      <w:r>
        <w:rPr>
          <w:rFonts w:ascii="宋体" w:hAnsi="宋体"/>
          <w:sz w:val="24"/>
        </w:rPr>
        <w:t>规定和《基金合同》、本协议的约定，从基金财产中列支费用，有权要求基金管理人做出书面解释，如果基金托管人认为基金管理人无正当或合理的理由，可以拒绝支付。</w:t>
      </w:r>
      <w:bookmarkStart w:id="87" w:name="_Toc125892448"/>
    </w:p>
    <w:p w14:paraId="18DE86AA">
      <w:pPr>
        <w:spacing w:line="360" w:lineRule="auto"/>
        <w:ind w:firstLine="482"/>
        <w:jc w:val="left"/>
        <w:rPr>
          <w:rFonts w:ascii="宋体" w:hAnsi="宋体"/>
          <w:b/>
          <w:sz w:val="24"/>
        </w:rPr>
      </w:pPr>
      <w:r>
        <w:rPr>
          <w:rFonts w:hint="eastAsia" w:ascii="宋体" w:hAnsi="宋体"/>
          <w:b/>
          <w:sz w:val="24"/>
        </w:rPr>
        <w:t>（六）实施侧袋机制期间的基金费用</w:t>
      </w:r>
    </w:p>
    <w:p w14:paraId="7783A6F2">
      <w:pPr>
        <w:spacing w:line="360" w:lineRule="auto"/>
        <w:ind w:firstLine="480"/>
        <w:jc w:val="left"/>
        <w:rPr>
          <w:rFonts w:ascii="宋体" w:hAnsi="宋体"/>
          <w:sz w:val="24"/>
        </w:rPr>
      </w:pPr>
      <w:r>
        <w:rPr>
          <w:rFonts w:hint="eastAsia" w:ascii="宋体" w:hAnsi="宋体"/>
          <w:sz w:val="24"/>
        </w:rPr>
        <w:t>本基金实施侧袋机制的，与侧袋账户有关的费用可以从侧袋账户中列支，但应待侧袋账户资产变现后方可列支，有关费用可酌情收取或减免，但不得收取管理费，详见招募说明书的规定。</w:t>
      </w:r>
    </w:p>
    <w:p w14:paraId="64BA099E">
      <w:pPr>
        <w:spacing w:line="360" w:lineRule="auto"/>
        <w:ind w:firstLine="480"/>
        <w:jc w:val="left"/>
        <w:rPr>
          <w:rFonts w:ascii="宋体" w:hAnsi="宋体"/>
          <w:sz w:val="24"/>
        </w:rPr>
      </w:pPr>
    </w:p>
    <w:p w14:paraId="303125E0">
      <w:pPr>
        <w:pStyle w:val="197"/>
      </w:pPr>
      <w:bookmarkStart w:id="88" w:name="_Toc35001437"/>
      <w:r>
        <w:t>十二、基金份额持有人名册的保管</w:t>
      </w:r>
      <w:bookmarkEnd w:id="87"/>
      <w:bookmarkEnd w:id="88"/>
    </w:p>
    <w:p w14:paraId="2AFB77EE">
      <w:pPr>
        <w:tabs>
          <w:tab w:val="left" w:pos="1260"/>
        </w:tabs>
        <w:spacing w:line="360" w:lineRule="auto"/>
        <w:ind w:firstLine="480"/>
        <w:rPr>
          <w:rFonts w:ascii="宋体"/>
          <w:sz w:val="24"/>
        </w:rPr>
      </w:pPr>
      <w:r>
        <w:rPr>
          <w:rFonts w:hint="eastAsia" w:ascii="宋体" w:hAnsi="宋体"/>
          <w:sz w:val="24"/>
        </w:rPr>
        <w:t>基金管理人可委托基金登记机构登记和保管基金份额持有人名册。基金份额持有人名册的内容包括但不限于基金份额持有人的名称和持有的基金份额。</w:t>
      </w:r>
    </w:p>
    <w:p w14:paraId="3077A92C">
      <w:pPr>
        <w:tabs>
          <w:tab w:val="left" w:pos="1260"/>
        </w:tabs>
        <w:spacing w:line="360" w:lineRule="auto"/>
        <w:ind w:firstLine="480"/>
        <w:rPr>
          <w:rFonts w:ascii="宋体"/>
          <w:sz w:val="24"/>
        </w:rPr>
      </w:pPr>
      <w:r>
        <w:rPr>
          <w:rFonts w:hint="eastAsia" w:ascii="宋体" w:hAnsi="宋体"/>
          <w:sz w:val="24"/>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保存期限自基金账户销户之日起不少于20年，法律法规或监管机构另有规定除外。</w:t>
      </w:r>
    </w:p>
    <w:p w14:paraId="5AAAFA6A">
      <w:pPr>
        <w:tabs>
          <w:tab w:val="left" w:pos="1260"/>
        </w:tabs>
        <w:spacing w:line="360" w:lineRule="auto"/>
        <w:ind w:firstLine="480"/>
        <w:rPr>
          <w:rFonts w:ascii="宋体"/>
          <w:sz w:val="24"/>
        </w:rPr>
      </w:pPr>
      <w:r>
        <w:rPr>
          <w:rFonts w:hint="eastAsia" w:ascii="宋体" w:hAnsi="宋体"/>
          <w:sz w:val="24"/>
        </w:rPr>
        <w:t>基金管理人应根据基金托管人的要求定期和不定期向基金托管人提供基金份额持有人名册。</w:t>
      </w:r>
    </w:p>
    <w:p w14:paraId="27517F69">
      <w:pPr>
        <w:tabs>
          <w:tab w:val="left" w:pos="1260"/>
        </w:tabs>
        <w:spacing w:line="360" w:lineRule="auto"/>
        <w:ind w:firstLine="482"/>
        <w:rPr>
          <w:rFonts w:ascii="宋体"/>
          <w:sz w:val="24"/>
        </w:rPr>
      </w:pPr>
      <w:r>
        <w:rPr>
          <w:rFonts w:hint="eastAsia" w:ascii="宋体" w:hAnsi="宋体"/>
          <w:b/>
          <w:sz w:val="24"/>
        </w:rPr>
        <w:t>（一）</w:t>
      </w:r>
      <w:r>
        <w:rPr>
          <w:rFonts w:hint="eastAsia" w:ascii="宋体" w:hAnsi="宋体"/>
          <w:sz w:val="24"/>
        </w:rPr>
        <w:t>基金管理人于《基金合同》生效日及《基金合同》终止日后</w:t>
      </w:r>
      <w:r>
        <w:rPr>
          <w:rFonts w:ascii="宋体" w:hAnsi="宋体"/>
          <w:sz w:val="24"/>
        </w:rPr>
        <w:t>10</w:t>
      </w:r>
      <w:r>
        <w:rPr>
          <w:rFonts w:hint="eastAsia" w:ascii="宋体" w:hAnsi="宋体"/>
          <w:sz w:val="24"/>
        </w:rPr>
        <w:t>个工作日内向基金托管人提供由登记机构编制的基金份额持有人名册；</w:t>
      </w:r>
    </w:p>
    <w:p w14:paraId="1646E28D">
      <w:pPr>
        <w:tabs>
          <w:tab w:val="left" w:pos="1260"/>
        </w:tabs>
        <w:spacing w:line="360" w:lineRule="auto"/>
        <w:ind w:firstLine="482"/>
        <w:rPr>
          <w:rFonts w:ascii="宋体"/>
          <w:sz w:val="24"/>
        </w:rPr>
      </w:pPr>
      <w:r>
        <w:rPr>
          <w:rFonts w:hint="eastAsia" w:ascii="宋体" w:hAnsi="宋体"/>
          <w:b/>
          <w:sz w:val="24"/>
        </w:rPr>
        <w:t>（二）</w:t>
      </w:r>
      <w:r>
        <w:rPr>
          <w:rFonts w:hint="eastAsia" w:ascii="宋体" w:hAnsi="宋体"/>
          <w:sz w:val="24"/>
        </w:rPr>
        <w:t>基金管理人于基金份额持有人大会权益登记日后</w:t>
      </w:r>
      <w:r>
        <w:rPr>
          <w:rFonts w:ascii="宋体" w:hAnsi="宋体"/>
          <w:sz w:val="24"/>
        </w:rPr>
        <w:t>5</w:t>
      </w:r>
      <w:r>
        <w:rPr>
          <w:rFonts w:hint="eastAsia" w:ascii="宋体" w:hAnsi="宋体"/>
          <w:sz w:val="24"/>
        </w:rPr>
        <w:t>个工作日内向基金托管人提供由登记机构编制的基金份额持有人名册；</w:t>
      </w:r>
    </w:p>
    <w:p w14:paraId="64FF09A4">
      <w:pPr>
        <w:tabs>
          <w:tab w:val="left" w:pos="1260"/>
        </w:tabs>
        <w:spacing w:line="360" w:lineRule="auto"/>
        <w:ind w:firstLine="482"/>
        <w:rPr>
          <w:rFonts w:ascii="宋体"/>
          <w:sz w:val="24"/>
        </w:rPr>
      </w:pPr>
      <w:r>
        <w:rPr>
          <w:rFonts w:hint="eastAsia" w:ascii="宋体" w:hAnsi="宋体"/>
          <w:b/>
          <w:sz w:val="24"/>
        </w:rPr>
        <w:t>（三）</w:t>
      </w:r>
      <w:r>
        <w:rPr>
          <w:rFonts w:hint="eastAsia" w:ascii="宋体" w:hAnsi="宋体"/>
          <w:sz w:val="24"/>
        </w:rPr>
        <w:t>基金管理人于每年最后一个交易日后</w:t>
      </w:r>
      <w:r>
        <w:rPr>
          <w:rFonts w:ascii="宋体" w:hAnsi="宋体"/>
          <w:sz w:val="24"/>
        </w:rPr>
        <w:t>10</w:t>
      </w:r>
      <w:r>
        <w:rPr>
          <w:rFonts w:hint="eastAsia" w:ascii="宋体" w:hAnsi="宋体"/>
          <w:sz w:val="24"/>
        </w:rPr>
        <w:t>个工作日内向基金托管人提供由登记机构编制的基金份额持有人名册；</w:t>
      </w:r>
    </w:p>
    <w:p w14:paraId="6B661B7A">
      <w:pPr>
        <w:tabs>
          <w:tab w:val="left" w:pos="1260"/>
        </w:tabs>
        <w:spacing w:line="360" w:lineRule="auto"/>
        <w:ind w:firstLine="482"/>
        <w:rPr>
          <w:rFonts w:ascii="宋体"/>
          <w:sz w:val="24"/>
        </w:rPr>
      </w:pPr>
      <w:r>
        <w:rPr>
          <w:rFonts w:hint="eastAsia" w:ascii="宋体" w:hAnsi="宋体"/>
          <w:b/>
          <w:sz w:val="24"/>
        </w:rPr>
        <w:t>（四）</w:t>
      </w:r>
      <w:r>
        <w:rPr>
          <w:rFonts w:hint="eastAsia" w:ascii="宋体" w:hAnsi="宋体"/>
          <w:sz w:val="24"/>
        </w:rPr>
        <w:t>除上述约定时间外，如果确因业务需要，基金托管人与基金管理人商议一致后，由基金管理人向基金托管人提供由登记机构编制的基金份额持有人名册。</w:t>
      </w:r>
    </w:p>
    <w:p w14:paraId="4C8B7F98">
      <w:pPr>
        <w:tabs>
          <w:tab w:val="left" w:pos="1260"/>
        </w:tabs>
        <w:spacing w:line="360" w:lineRule="auto"/>
        <w:ind w:firstLine="480"/>
        <w:rPr>
          <w:rFonts w:ascii="宋体"/>
          <w:sz w:val="24"/>
        </w:rPr>
      </w:pPr>
      <w:r>
        <w:rPr>
          <w:rFonts w:hint="eastAsia" w:ascii="宋体" w:hAnsi="宋体"/>
          <w:sz w:val="24"/>
        </w:rPr>
        <w:t>基金托管人以电子版形式妥善保管基金份额持有人名册，并定期刻成光盘备份，保存期限为</w:t>
      </w:r>
      <w:r>
        <w:rPr>
          <w:rFonts w:ascii="宋体" w:hAnsi="宋体"/>
          <w:sz w:val="24"/>
        </w:rPr>
        <w:t>20</w:t>
      </w:r>
      <w:r>
        <w:rPr>
          <w:rFonts w:hint="eastAsia" w:ascii="宋体" w:hAnsi="宋体"/>
          <w:sz w:val="24"/>
        </w:rPr>
        <w:t>年，法律法规或监管机构另有规定除外。基金托管人不得</w:t>
      </w:r>
      <w:r>
        <w:rPr>
          <w:rFonts w:ascii="宋体" w:hAnsi="宋体"/>
          <w:sz w:val="24"/>
        </w:rPr>
        <w:t>将所保管的基金份额持有人名册用于基金托管业务以外的其他用途，并应遵守保密义务。</w:t>
      </w:r>
      <w:bookmarkStart w:id="89" w:name="_Toc125892449"/>
      <w:bookmarkStart w:id="90" w:name="_Toc523830003"/>
      <w:bookmarkStart w:id="91" w:name="_Toc22454468"/>
      <w:r>
        <w:rPr>
          <w:rFonts w:hint="eastAsia" w:ascii="宋体" w:hAnsi="宋体"/>
          <w:sz w:val="24"/>
        </w:rPr>
        <w:t>若基金管理人或基金托管人由于自身原因无法妥善保管基金份额持有人名册，应按有关法规规定各自承担相应的责任。</w:t>
      </w:r>
    </w:p>
    <w:p w14:paraId="17518E47">
      <w:pPr>
        <w:pStyle w:val="197"/>
      </w:pPr>
      <w:bookmarkStart w:id="92" w:name="_Toc35001438"/>
      <w:r>
        <w:t>十三、基金有关文件档案的保存</w:t>
      </w:r>
      <w:bookmarkEnd w:id="83"/>
      <w:bookmarkEnd w:id="89"/>
      <w:bookmarkEnd w:id="90"/>
      <w:bookmarkEnd w:id="91"/>
      <w:bookmarkEnd w:id="92"/>
    </w:p>
    <w:p w14:paraId="002B0D70">
      <w:pPr>
        <w:tabs>
          <w:tab w:val="left" w:pos="1260"/>
        </w:tabs>
        <w:spacing w:line="360" w:lineRule="auto"/>
        <w:ind w:firstLine="480"/>
        <w:rPr>
          <w:rFonts w:ascii="宋体"/>
          <w:sz w:val="24"/>
        </w:rPr>
      </w:pPr>
      <w:r>
        <w:rPr>
          <w:rFonts w:hint="eastAsia" w:ascii="宋体" w:hAnsi="宋体"/>
          <w:sz w:val="24"/>
        </w:rPr>
        <w:t>基金管理人应保存基金财产管理业务活动的记录、账册、报表和其他相关资料，基金托管人应保存基金托管业务活动的记录、账册、报表和其他相关资料。</w:t>
      </w:r>
    </w:p>
    <w:p w14:paraId="7F1FDE37">
      <w:pPr>
        <w:tabs>
          <w:tab w:val="left" w:pos="1260"/>
        </w:tabs>
        <w:spacing w:line="360" w:lineRule="auto"/>
        <w:ind w:firstLine="480"/>
        <w:rPr>
          <w:rFonts w:ascii="宋体"/>
          <w:sz w:val="24"/>
        </w:rPr>
      </w:pPr>
      <w:r>
        <w:rPr>
          <w:rFonts w:hint="eastAsia" w:ascii="宋体" w:hAnsi="宋体"/>
          <w:sz w:val="24"/>
        </w:rPr>
        <w:t>基金管理人和基金托管人应按各自职责完整保存原始凭证、记账凭证、基金账册、会计报告、交易记录和重要合同等，保存期限不少于</w:t>
      </w:r>
      <w:r>
        <w:rPr>
          <w:rFonts w:ascii="宋体" w:hAnsi="宋体"/>
          <w:sz w:val="24"/>
        </w:rPr>
        <w:t>20</w:t>
      </w:r>
      <w:r>
        <w:rPr>
          <w:rFonts w:hint="eastAsia" w:ascii="宋体" w:hAnsi="宋体"/>
          <w:sz w:val="24"/>
        </w:rPr>
        <w:t>年，法律法规或监管机构另有规定除外。</w:t>
      </w:r>
    </w:p>
    <w:p w14:paraId="1443BA8B">
      <w:pPr>
        <w:tabs>
          <w:tab w:val="left" w:pos="1260"/>
        </w:tabs>
        <w:spacing w:line="360" w:lineRule="auto"/>
        <w:ind w:firstLine="480"/>
        <w:rPr>
          <w:rFonts w:ascii="宋体"/>
          <w:sz w:val="24"/>
        </w:rPr>
      </w:pPr>
      <w:r>
        <w:rPr>
          <w:rFonts w:hint="eastAsia" w:ascii="宋体" w:hAnsi="宋体"/>
          <w:sz w:val="24"/>
        </w:rPr>
        <w:t>基金管理人签署重大合同文本后，应及时将合同文本正本送达基金托管人处。基金管理人应及时将与本基金账务处理、资金划拨等有关的合同、协议传真给基金托管人。</w:t>
      </w:r>
    </w:p>
    <w:p w14:paraId="450299FD">
      <w:pPr>
        <w:tabs>
          <w:tab w:val="left" w:pos="1260"/>
        </w:tabs>
        <w:spacing w:line="360" w:lineRule="auto"/>
        <w:ind w:firstLine="480"/>
        <w:rPr>
          <w:rFonts w:ascii="宋体"/>
          <w:sz w:val="24"/>
        </w:rPr>
      </w:pPr>
      <w:r>
        <w:rPr>
          <w:rFonts w:ascii="宋体" w:hAnsi="宋体"/>
          <w:sz w:val="24"/>
        </w:rPr>
        <w:t>基金管理人或基金托管人变更后，未变更的一方有义务协助接任人接收基金的有关文件。</w:t>
      </w:r>
      <w:bookmarkStart w:id="93" w:name="_Toc466788864"/>
      <w:bookmarkStart w:id="94" w:name="_Toc22454470"/>
      <w:bookmarkStart w:id="95" w:name="_Toc125892450"/>
      <w:bookmarkStart w:id="96" w:name="_Toc523830005"/>
    </w:p>
    <w:p w14:paraId="3315D285">
      <w:pPr>
        <w:pStyle w:val="197"/>
      </w:pPr>
      <w:bookmarkStart w:id="97" w:name="_Toc35001439"/>
      <w:r>
        <w:t>十四、基金管理人和基金托管人的更换</w:t>
      </w:r>
      <w:bookmarkEnd w:id="93"/>
      <w:bookmarkEnd w:id="94"/>
      <w:bookmarkEnd w:id="95"/>
      <w:bookmarkEnd w:id="96"/>
      <w:bookmarkEnd w:id="97"/>
    </w:p>
    <w:p w14:paraId="64E7C7E6">
      <w:pPr>
        <w:tabs>
          <w:tab w:val="left" w:pos="3780"/>
        </w:tabs>
        <w:spacing w:line="360" w:lineRule="auto"/>
        <w:outlineLvl w:val="0"/>
        <w:rPr>
          <w:rFonts w:ascii="宋体"/>
          <w:b/>
          <w:bCs/>
          <w:sz w:val="24"/>
        </w:rPr>
      </w:pPr>
      <w:bookmarkStart w:id="98" w:name="_Toc22454471"/>
      <w:bookmarkStart w:id="99" w:name="_Toc77663031"/>
      <w:r>
        <w:rPr>
          <w:rFonts w:hint="eastAsia" w:ascii="宋体" w:hAnsi="宋体"/>
          <w:b/>
          <w:bCs/>
          <w:sz w:val="24"/>
        </w:rPr>
        <w:t>（一）基金管理人的更换</w:t>
      </w:r>
    </w:p>
    <w:p w14:paraId="11637C7E">
      <w:pPr>
        <w:tabs>
          <w:tab w:val="left" w:pos="1260"/>
        </w:tabs>
        <w:spacing w:line="360" w:lineRule="auto"/>
        <w:ind w:firstLine="480"/>
        <w:rPr>
          <w:rFonts w:ascii="宋体"/>
          <w:sz w:val="24"/>
        </w:rPr>
      </w:pPr>
      <w:r>
        <w:rPr>
          <w:rFonts w:hint="eastAsia" w:ascii="宋体" w:hAnsi="宋体"/>
          <w:sz w:val="24"/>
        </w:rPr>
        <w:t>1.基金管理人职责终止的条件</w:t>
      </w:r>
    </w:p>
    <w:p w14:paraId="1B0E5845">
      <w:pPr>
        <w:spacing w:line="360" w:lineRule="auto"/>
        <w:ind w:firstLine="480"/>
        <w:rPr>
          <w:rFonts w:ascii="宋体"/>
          <w:sz w:val="24"/>
        </w:rPr>
      </w:pPr>
      <w:r>
        <w:rPr>
          <w:rFonts w:hint="eastAsia" w:ascii="宋体" w:hAnsi="宋体"/>
          <w:sz w:val="24"/>
        </w:rPr>
        <w:t>有下列情形之一的，基金管理人职责终止：</w:t>
      </w:r>
    </w:p>
    <w:p w14:paraId="54ED5610">
      <w:pPr>
        <w:spacing w:line="360" w:lineRule="auto"/>
        <w:ind w:firstLine="480"/>
        <w:rPr>
          <w:bCs/>
          <w:sz w:val="24"/>
        </w:rPr>
      </w:pPr>
      <w:r>
        <w:rPr>
          <w:rFonts w:hint="eastAsia"/>
          <w:bCs/>
          <w:sz w:val="24"/>
        </w:rPr>
        <w:t>（1）被依法取消基金管理资格；</w:t>
      </w:r>
    </w:p>
    <w:p w14:paraId="5C9550FE">
      <w:pPr>
        <w:spacing w:line="360" w:lineRule="auto"/>
        <w:ind w:firstLine="480"/>
        <w:rPr>
          <w:bCs/>
          <w:sz w:val="24"/>
        </w:rPr>
      </w:pPr>
      <w:r>
        <w:rPr>
          <w:rFonts w:hint="eastAsia"/>
          <w:bCs/>
          <w:sz w:val="24"/>
        </w:rPr>
        <w:t>（2）被基金份额持有人大会解任；</w:t>
      </w:r>
    </w:p>
    <w:p w14:paraId="6E0FD4BA">
      <w:pPr>
        <w:spacing w:line="360" w:lineRule="auto"/>
        <w:ind w:firstLine="480"/>
        <w:rPr>
          <w:bCs/>
          <w:sz w:val="24"/>
        </w:rPr>
      </w:pPr>
      <w:r>
        <w:rPr>
          <w:rFonts w:hint="eastAsia"/>
          <w:bCs/>
          <w:sz w:val="24"/>
        </w:rPr>
        <w:t>（3）依法解散、被依法撤销或被依法宣告破产；</w:t>
      </w:r>
    </w:p>
    <w:p w14:paraId="47F36B6E">
      <w:pPr>
        <w:spacing w:line="360" w:lineRule="auto"/>
        <w:ind w:firstLine="480"/>
        <w:rPr>
          <w:bCs/>
          <w:sz w:val="24"/>
        </w:rPr>
      </w:pPr>
      <w:r>
        <w:rPr>
          <w:rFonts w:hint="eastAsia"/>
          <w:bCs/>
          <w:sz w:val="24"/>
        </w:rPr>
        <w:t>（4）法律法规及中国证监会规定的和《基金合同》约定的其他情形。</w:t>
      </w:r>
    </w:p>
    <w:p w14:paraId="418BBD55">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基金管理人的更换程序</w:t>
      </w:r>
    </w:p>
    <w:p w14:paraId="5AF9F16B">
      <w:pPr>
        <w:spacing w:line="360" w:lineRule="auto"/>
        <w:ind w:firstLine="480"/>
        <w:rPr>
          <w:rFonts w:ascii="宋体"/>
          <w:sz w:val="24"/>
        </w:rPr>
      </w:pPr>
      <w:r>
        <w:rPr>
          <w:rFonts w:hint="eastAsia" w:ascii="宋体" w:hAnsi="宋体"/>
          <w:sz w:val="24"/>
        </w:rPr>
        <w:t>原基金管理人职责终止后，基金份额持有人大会需在六个月内选任新基金管理人。在新基金管理人产生前，中国证监会可指定临时基金管理人。</w:t>
      </w:r>
    </w:p>
    <w:p w14:paraId="20F8A93E">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（1）提名：新任基金管理人由基金托管人或由单独或合计持有10%以上（含10%）基金份额的基金份额持有人提名；</w:t>
      </w:r>
    </w:p>
    <w:p w14:paraId="5A014B8A">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29965B67">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（3）临时基金管理人：新任基金管理人产生之前，由中国证监会指定临时基金管理人；</w:t>
      </w:r>
    </w:p>
    <w:p w14:paraId="777C07AD">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（4）备案：基金份额持有人大会</w:t>
      </w:r>
      <w:r>
        <w:rPr>
          <w:rFonts w:ascii="宋体" w:hAnsi="宋体"/>
          <w:bCs/>
          <w:sz w:val="24"/>
          <w:szCs w:val="20"/>
        </w:rPr>
        <w:t>更换</w:t>
      </w:r>
      <w:r>
        <w:rPr>
          <w:rFonts w:hint="eastAsia" w:ascii="宋体" w:hAnsi="宋体"/>
          <w:bCs/>
          <w:sz w:val="24"/>
          <w:szCs w:val="20"/>
        </w:rPr>
        <w:t>基金管理人的决议须报中国证监会备案；</w:t>
      </w:r>
    </w:p>
    <w:p w14:paraId="4715F5A4">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（5）公告：基金管理人更换后，由基金托管人在更换基金管理人的基金份额持有人大会决议生效后按规定在规定媒介公告；</w:t>
      </w:r>
    </w:p>
    <w:p w14:paraId="4032F481">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367538AB">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（7）审计：基金管理人职责终止的，应当按照法律法规规定聘请会计师事务所对基金财产进行审计，并将审计结果予以公告，同时报中国证监会备案，审计费用在基金财产中列支；</w:t>
      </w:r>
    </w:p>
    <w:p w14:paraId="5A18ECF1">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（8）基金名称变更：基金管理人更换后，如果原任或新任基金管理人要求，应按其要求替换或删除基金名称中与原基金管理人有关的名称字样。</w:t>
      </w:r>
    </w:p>
    <w:p w14:paraId="4ED85DEB">
      <w:pPr>
        <w:tabs>
          <w:tab w:val="left" w:pos="3780"/>
        </w:tabs>
        <w:spacing w:line="360" w:lineRule="auto"/>
        <w:outlineLvl w:val="0"/>
        <w:rPr>
          <w:rFonts w:ascii="宋体"/>
          <w:b/>
          <w:bCs/>
          <w:sz w:val="24"/>
        </w:rPr>
      </w:pPr>
      <w:r>
        <w:rPr>
          <w:rFonts w:hint="eastAsia" w:ascii="宋体" w:hAnsi="宋体"/>
          <w:b/>
          <w:bCs/>
          <w:sz w:val="24"/>
        </w:rPr>
        <w:t>（二）基金托管人的更换</w:t>
      </w:r>
    </w:p>
    <w:p w14:paraId="73D95871">
      <w:pPr>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基金托管人职责终止的条件</w:t>
      </w:r>
    </w:p>
    <w:p w14:paraId="64769A4A">
      <w:pPr>
        <w:spacing w:line="360" w:lineRule="auto"/>
        <w:ind w:firstLine="480"/>
        <w:rPr>
          <w:rFonts w:ascii="宋体" w:hAnsi="宋体"/>
          <w:sz w:val="24"/>
        </w:rPr>
      </w:pPr>
      <w:r>
        <w:rPr>
          <w:rFonts w:hint="eastAsia" w:ascii="宋体" w:hAnsi="宋体"/>
          <w:sz w:val="24"/>
        </w:rPr>
        <w:t>有下列情形之一的，基金托管人职责终止：</w:t>
      </w:r>
    </w:p>
    <w:p w14:paraId="5A0BADA9">
      <w:pPr>
        <w:spacing w:line="360" w:lineRule="auto"/>
        <w:ind w:firstLine="480"/>
        <w:rPr>
          <w:rFonts w:ascii="宋体" w:hAnsi="宋体"/>
          <w:sz w:val="24"/>
        </w:rPr>
      </w:pPr>
      <w:r>
        <w:rPr>
          <w:rFonts w:hint="eastAsia" w:ascii="宋体" w:hAnsi="宋体"/>
          <w:sz w:val="24"/>
        </w:rPr>
        <w:t>（1）被依法取消基金托管资格；</w:t>
      </w:r>
    </w:p>
    <w:p w14:paraId="7773A153">
      <w:pPr>
        <w:spacing w:line="360" w:lineRule="auto"/>
        <w:ind w:firstLine="480"/>
        <w:rPr>
          <w:rFonts w:ascii="宋体" w:hAnsi="宋体"/>
          <w:sz w:val="24"/>
        </w:rPr>
      </w:pPr>
      <w:r>
        <w:rPr>
          <w:rFonts w:hint="eastAsia" w:ascii="宋体" w:hAnsi="宋体"/>
          <w:sz w:val="24"/>
        </w:rPr>
        <w:t>（2）被基金份额持有人大会解任；</w:t>
      </w:r>
    </w:p>
    <w:p w14:paraId="79B0A444">
      <w:pPr>
        <w:spacing w:line="360" w:lineRule="auto"/>
        <w:ind w:firstLine="480"/>
        <w:rPr>
          <w:rFonts w:ascii="宋体" w:hAnsi="宋体"/>
          <w:sz w:val="24"/>
        </w:rPr>
      </w:pPr>
      <w:r>
        <w:rPr>
          <w:rFonts w:hint="eastAsia" w:ascii="宋体" w:hAnsi="宋体"/>
          <w:sz w:val="24"/>
        </w:rPr>
        <w:t>（3）依法解散、被依法撤销或被依法宣告破产；</w:t>
      </w:r>
    </w:p>
    <w:p w14:paraId="601ADFD5">
      <w:pPr>
        <w:spacing w:line="360" w:lineRule="auto"/>
        <w:ind w:firstLine="480"/>
        <w:rPr>
          <w:rFonts w:ascii="宋体" w:hAnsi="宋体"/>
          <w:sz w:val="24"/>
        </w:rPr>
      </w:pPr>
      <w:r>
        <w:rPr>
          <w:rFonts w:hint="eastAsia" w:ascii="宋体" w:hAnsi="宋体"/>
          <w:sz w:val="24"/>
        </w:rPr>
        <w:t>（4）法律法规及中国证监会规定的和《基金合同》约定的其他情形。</w:t>
      </w:r>
    </w:p>
    <w:p w14:paraId="2B715F9A">
      <w:pPr>
        <w:spacing w:line="360" w:lineRule="auto"/>
        <w:ind w:firstLine="480"/>
        <w:rPr>
          <w:rFonts w:ascii="宋体" w:hAnsi="宋体"/>
          <w:sz w:val="24"/>
        </w:rPr>
      </w:pPr>
      <w:r>
        <w:rPr>
          <w:rFonts w:hint="eastAsia" w:ascii="宋体" w:hAnsi="宋体"/>
          <w:sz w:val="24"/>
        </w:rPr>
        <w:t>2</w:t>
      </w:r>
      <w:r>
        <w:rPr>
          <w:rFonts w:ascii="宋体" w:hAnsi="宋体"/>
          <w:sz w:val="24"/>
        </w:rPr>
        <w:t>.基金托管人的更换程序</w:t>
      </w:r>
      <w:bookmarkEnd w:id="98"/>
      <w:bookmarkEnd w:id="99"/>
    </w:p>
    <w:p w14:paraId="394742FC">
      <w:pPr>
        <w:tabs>
          <w:tab w:val="left" w:pos="3780"/>
        </w:tabs>
        <w:spacing w:line="360" w:lineRule="auto"/>
        <w:ind w:firstLine="480"/>
        <w:outlineLvl w:val="0"/>
        <w:rPr>
          <w:rFonts w:ascii="宋体" w:hAnsi="宋体"/>
          <w:sz w:val="24"/>
        </w:rPr>
      </w:pPr>
      <w:r>
        <w:rPr>
          <w:rFonts w:hint="eastAsia" w:ascii="宋体" w:hAnsi="宋体"/>
          <w:sz w:val="24"/>
        </w:rPr>
        <w:t>（1）提名：新任基金托管人由基金管理人或由单独或合计持有10%以上（含10%）基金份额的基金份额持有人提名；</w:t>
      </w:r>
    </w:p>
    <w:p w14:paraId="74B7DBD5">
      <w:pPr>
        <w:tabs>
          <w:tab w:val="left" w:pos="3780"/>
        </w:tabs>
        <w:spacing w:line="360" w:lineRule="auto"/>
        <w:ind w:firstLine="480"/>
        <w:outlineLvl w:val="0"/>
        <w:rPr>
          <w:rFonts w:ascii="宋体" w:hAnsi="宋体"/>
          <w:sz w:val="24"/>
        </w:rPr>
      </w:pPr>
      <w:r>
        <w:rPr>
          <w:rFonts w:hint="eastAsia" w:ascii="宋体" w:hAnsi="宋体"/>
          <w:sz w:val="24"/>
        </w:rPr>
        <w:t>（2）决议：基金份额持有人大会在基金托管人职责终止后6个月内对被提名的基金托管人形成决议，该决议需经参加大会的基金份额持有人所持表决权的三分之二以上（含三分之二）表决通过，</w:t>
      </w:r>
      <w:r>
        <w:rPr>
          <w:rFonts w:ascii="宋体" w:hAnsi="宋体"/>
          <w:sz w:val="24"/>
        </w:rPr>
        <w:t>决议</w:t>
      </w:r>
      <w:r>
        <w:rPr>
          <w:rFonts w:hint="eastAsia" w:ascii="宋体" w:hAnsi="宋体"/>
          <w:sz w:val="24"/>
        </w:rPr>
        <w:t>自表决通过之日起生效；</w:t>
      </w:r>
    </w:p>
    <w:p w14:paraId="6191A3BD">
      <w:pPr>
        <w:tabs>
          <w:tab w:val="left" w:pos="3780"/>
        </w:tabs>
        <w:spacing w:line="360" w:lineRule="auto"/>
        <w:ind w:firstLine="480"/>
        <w:outlineLvl w:val="0"/>
        <w:rPr>
          <w:rFonts w:ascii="宋体" w:hAnsi="宋体"/>
          <w:sz w:val="24"/>
        </w:rPr>
      </w:pPr>
      <w:r>
        <w:rPr>
          <w:rFonts w:hint="eastAsia" w:ascii="宋体" w:hAnsi="宋体"/>
          <w:sz w:val="24"/>
        </w:rPr>
        <w:t>（3）临时基金托管人：新任基金托管人产生之前，由中国证监会指定临时基金托管人；</w:t>
      </w:r>
    </w:p>
    <w:p w14:paraId="1E7A8391">
      <w:pPr>
        <w:tabs>
          <w:tab w:val="left" w:pos="3780"/>
        </w:tabs>
        <w:spacing w:line="360" w:lineRule="auto"/>
        <w:ind w:firstLine="480"/>
        <w:outlineLvl w:val="0"/>
        <w:rPr>
          <w:rFonts w:ascii="宋体" w:hAnsi="宋体"/>
          <w:sz w:val="24"/>
        </w:rPr>
      </w:pPr>
      <w:r>
        <w:rPr>
          <w:rFonts w:hint="eastAsia" w:ascii="宋体" w:hAnsi="宋体"/>
          <w:sz w:val="24"/>
        </w:rPr>
        <w:t>（4）备案：基金份额持有人大会更换基金托管人的决议须报中国证监会备案；</w:t>
      </w:r>
    </w:p>
    <w:p w14:paraId="5D5FAEB1">
      <w:pPr>
        <w:tabs>
          <w:tab w:val="left" w:pos="3780"/>
        </w:tabs>
        <w:spacing w:line="360" w:lineRule="auto"/>
        <w:ind w:firstLine="480"/>
        <w:outlineLvl w:val="0"/>
        <w:rPr>
          <w:rFonts w:ascii="宋体" w:hAnsi="宋体"/>
          <w:sz w:val="24"/>
        </w:rPr>
      </w:pPr>
      <w:r>
        <w:rPr>
          <w:rFonts w:hint="eastAsia" w:ascii="宋体" w:hAnsi="宋体"/>
          <w:sz w:val="24"/>
        </w:rPr>
        <w:t>（5）公告：基金托管人更换后，由基金管理人在更换基金托管人的基金份额持有人大会决议生效后按规定在规定媒介公告；</w:t>
      </w:r>
    </w:p>
    <w:p w14:paraId="7771BB59">
      <w:pPr>
        <w:tabs>
          <w:tab w:val="left" w:pos="3780"/>
        </w:tabs>
        <w:spacing w:line="360" w:lineRule="auto"/>
        <w:ind w:firstLine="480"/>
        <w:outlineLvl w:val="0"/>
        <w:rPr>
          <w:rFonts w:ascii="宋体" w:hAnsi="宋体"/>
          <w:sz w:val="24"/>
        </w:rPr>
      </w:pPr>
      <w:r>
        <w:rPr>
          <w:rFonts w:hint="eastAsia" w:ascii="宋体" w:hAnsi="宋体"/>
          <w:sz w:val="24"/>
        </w:rPr>
        <w:t>（6）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w:t>
      </w:r>
    </w:p>
    <w:p w14:paraId="3D07CB5F">
      <w:pPr>
        <w:tabs>
          <w:tab w:val="left" w:pos="3780"/>
        </w:tabs>
        <w:spacing w:line="360" w:lineRule="auto"/>
        <w:ind w:firstLine="480"/>
        <w:outlineLvl w:val="0"/>
        <w:rPr>
          <w:rFonts w:ascii="宋体" w:hAnsi="宋体"/>
          <w:sz w:val="24"/>
        </w:rPr>
      </w:pPr>
      <w:r>
        <w:rPr>
          <w:rFonts w:hint="eastAsia" w:ascii="宋体" w:hAnsi="宋体"/>
          <w:sz w:val="24"/>
        </w:rPr>
        <w:t>（7）审计：基金托管人职责终止的，应当按照法律法规规定聘请会计师事务所对基金财产进行审计，并将审计结果予以公告，同时报中国证监会备案，审计费用在基金财产中列支。</w:t>
      </w:r>
    </w:p>
    <w:p w14:paraId="47E04A08">
      <w:pPr>
        <w:tabs>
          <w:tab w:val="left" w:pos="3780"/>
        </w:tabs>
        <w:spacing w:line="360" w:lineRule="auto"/>
        <w:outlineLvl w:val="0"/>
        <w:rPr>
          <w:rFonts w:ascii="宋体" w:hAnsi="宋体"/>
          <w:b/>
          <w:bCs/>
          <w:sz w:val="24"/>
        </w:rPr>
      </w:pPr>
      <w:r>
        <w:rPr>
          <w:rFonts w:ascii="宋体" w:hAnsi="宋体"/>
          <w:b/>
          <w:bCs/>
          <w:sz w:val="24"/>
        </w:rPr>
        <w:t>（三）基金管理人与基金托管人同时更换</w:t>
      </w:r>
      <w:bookmarkStart w:id="100" w:name="_Toc466788866"/>
      <w:bookmarkStart w:id="101" w:name="_Toc125892451"/>
      <w:bookmarkStart w:id="102" w:name="_Toc22454478"/>
      <w:bookmarkStart w:id="103" w:name="_Toc523830007"/>
    </w:p>
    <w:p w14:paraId="2C8AD39E">
      <w:pPr>
        <w:tabs>
          <w:tab w:val="left" w:pos="3780"/>
        </w:tabs>
        <w:spacing w:line="360" w:lineRule="auto"/>
        <w:ind w:firstLine="480"/>
        <w:outlineLvl w:val="0"/>
        <w:rPr>
          <w:rFonts w:hAnsi="宋体"/>
          <w:sz w:val="24"/>
        </w:rPr>
      </w:pPr>
      <w:r>
        <w:rPr>
          <w:rFonts w:hint="eastAsia" w:ascii="宋体" w:hAnsi="宋体"/>
          <w:bCs/>
          <w:sz w:val="24"/>
        </w:rPr>
        <w:t>（1）</w:t>
      </w:r>
      <w:r>
        <w:rPr>
          <w:rFonts w:hint="eastAsia" w:ascii="宋体" w:hAnsi="宋体"/>
          <w:sz w:val="24"/>
        </w:rPr>
        <w:t>提名：如果基金管理人和基金托管人同时更换，由单独或合计持有基金总份额10%以上（含10%）的基金份额</w:t>
      </w:r>
      <w:r>
        <w:rPr>
          <w:rFonts w:hint="eastAsia" w:hAnsi="宋体"/>
          <w:sz w:val="24"/>
        </w:rPr>
        <w:t>持有人提名新的基金管理人和基金托管人；</w:t>
      </w:r>
    </w:p>
    <w:p w14:paraId="152E2D45">
      <w:pPr>
        <w:tabs>
          <w:tab w:val="left" w:pos="3780"/>
        </w:tabs>
        <w:spacing w:line="360" w:lineRule="auto"/>
        <w:ind w:firstLine="480"/>
        <w:outlineLvl w:val="0"/>
        <w:rPr>
          <w:rFonts w:hAnsi="宋体"/>
          <w:sz w:val="24"/>
        </w:rPr>
      </w:pPr>
      <w:r>
        <w:rPr>
          <w:rFonts w:hint="eastAsia" w:hAnsi="宋体"/>
          <w:sz w:val="24"/>
        </w:rPr>
        <w:t>（2）基金管理人和基金托管人的更换分别按上述程序进行；</w:t>
      </w:r>
    </w:p>
    <w:p w14:paraId="2750FC5B">
      <w:pPr>
        <w:tabs>
          <w:tab w:val="left" w:pos="3780"/>
        </w:tabs>
        <w:spacing w:line="360" w:lineRule="auto"/>
        <w:ind w:firstLine="480"/>
        <w:outlineLvl w:val="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）公告：新任基金管理人和新任基金托管人应在更换基金管理人和基金托管人的基金份额持有人大会决议生效后按规定在规定媒介上联合公告。</w:t>
      </w:r>
    </w:p>
    <w:p w14:paraId="142B2F86">
      <w:pPr>
        <w:tabs>
          <w:tab w:val="left" w:pos="3780"/>
        </w:tabs>
        <w:spacing w:line="360" w:lineRule="auto"/>
        <w:ind w:firstLine="480"/>
        <w:outlineLvl w:val="0"/>
        <w:rPr>
          <w:rFonts w:ascii="宋体" w:hAnsi="宋体"/>
          <w:sz w:val="24"/>
        </w:rPr>
      </w:pPr>
      <w:r>
        <w:rPr>
          <w:rFonts w:hint="eastAsia" w:ascii="宋体" w:hAnsi="宋体"/>
          <w:sz w:val="24"/>
        </w:rPr>
        <w:t>（四）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基金合同的规定收取基金管理费或基金托管费。</w:t>
      </w:r>
    </w:p>
    <w:p w14:paraId="3DCC32FB">
      <w:pPr>
        <w:tabs>
          <w:tab w:val="left" w:pos="3780"/>
        </w:tabs>
        <w:spacing w:line="360" w:lineRule="auto"/>
        <w:ind w:firstLine="480"/>
        <w:outlineLvl w:val="0"/>
        <w:rPr>
          <w:rFonts w:ascii="宋体" w:hAnsi="宋体"/>
          <w:sz w:val="24"/>
        </w:rPr>
      </w:pPr>
      <w:r>
        <w:rPr>
          <w:rFonts w:hint="eastAsia" w:ascii="宋体" w:hAnsi="宋体"/>
          <w:sz w:val="24"/>
        </w:rPr>
        <w:t>（五）本部分关于基金管理人、基金托管人更换条件和程序的约定，凡是直接引用法律法规</w:t>
      </w:r>
      <w:r>
        <w:rPr>
          <w:rFonts w:hint="eastAsia" w:ascii="宋体" w:hAnsi="宋体"/>
          <w:bCs/>
          <w:sz w:val="24"/>
        </w:rPr>
        <w:t>或监管规则</w:t>
      </w:r>
      <w:r>
        <w:rPr>
          <w:rFonts w:hint="eastAsia" w:ascii="宋体" w:hAnsi="宋体"/>
          <w:sz w:val="24"/>
        </w:rPr>
        <w:t>的部分，如将来法律法规</w:t>
      </w:r>
      <w:r>
        <w:rPr>
          <w:rFonts w:hint="eastAsia" w:ascii="宋体" w:hAnsi="宋体"/>
          <w:bCs/>
          <w:sz w:val="24"/>
        </w:rPr>
        <w:t>或监管规则</w:t>
      </w:r>
      <w:r>
        <w:rPr>
          <w:rFonts w:hint="eastAsia" w:ascii="宋体" w:hAnsi="宋体"/>
          <w:sz w:val="24"/>
        </w:rPr>
        <w:t>修改导致相关内容被取消或变更的，基金管理人与基金托管人根据新颁布的法律法规协商一致并提前公告后，可直接对相应内容进行修改和调整，无需召开基金份额持有人大会审议。</w:t>
      </w:r>
    </w:p>
    <w:p w14:paraId="1ABF8789">
      <w:pPr>
        <w:pStyle w:val="197"/>
      </w:pPr>
      <w:bookmarkStart w:id="104" w:name="_Toc35001440"/>
      <w:r>
        <w:t>十五、禁止行为</w:t>
      </w:r>
      <w:bookmarkEnd w:id="100"/>
      <w:bookmarkEnd w:id="101"/>
      <w:bookmarkEnd w:id="102"/>
      <w:bookmarkEnd w:id="103"/>
      <w:bookmarkEnd w:id="104"/>
    </w:p>
    <w:p w14:paraId="4D52FE10">
      <w:pPr>
        <w:spacing w:line="360" w:lineRule="auto"/>
        <w:ind w:firstLine="480"/>
        <w:rPr>
          <w:rFonts w:ascii="宋体"/>
          <w:sz w:val="24"/>
        </w:rPr>
      </w:pPr>
      <w:r>
        <w:rPr>
          <w:rFonts w:hint="eastAsia" w:ascii="宋体" w:hAnsi="宋体"/>
          <w:sz w:val="24"/>
        </w:rPr>
        <w:t>本协议项下的基金管理人和基金托管人禁止行为如下：</w:t>
      </w:r>
    </w:p>
    <w:p w14:paraId="5FF6C778">
      <w:pPr>
        <w:tabs>
          <w:tab w:val="left" w:pos="3780"/>
        </w:tabs>
        <w:spacing w:line="360" w:lineRule="auto"/>
        <w:ind w:firstLine="482"/>
        <w:outlineLvl w:val="0"/>
        <w:rPr>
          <w:rFonts w:ascii="宋体"/>
          <w:b/>
          <w:bCs/>
          <w:sz w:val="24"/>
        </w:rPr>
      </w:pPr>
      <w:r>
        <w:rPr>
          <w:rFonts w:hint="eastAsia" w:ascii="宋体" w:hAnsi="宋体"/>
          <w:b/>
          <w:bCs/>
          <w:sz w:val="24"/>
        </w:rPr>
        <w:t>（一）《基金法》禁止的行为。</w:t>
      </w:r>
    </w:p>
    <w:p w14:paraId="443D819E">
      <w:pPr>
        <w:tabs>
          <w:tab w:val="left" w:pos="3780"/>
        </w:tabs>
        <w:spacing w:line="360" w:lineRule="auto"/>
        <w:ind w:firstLine="482"/>
        <w:outlineLvl w:val="0"/>
        <w:rPr>
          <w:rFonts w:ascii="宋体"/>
          <w:b/>
          <w:bCs/>
          <w:sz w:val="24"/>
        </w:rPr>
      </w:pPr>
      <w:r>
        <w:rPr>
          <w:rFonts w:hint="eastAsia" w:ascii="宋体" w:hAnsi="宋体"/>
          <w:b/>
          <w:bCs/>
          <w:sz w:val="24"/>
        </w:rPr>
        <w:t>（二）除非法律法规及中国证监会另有规定，托管协议当事人不得用基金财产从事《基金法》禁止的投资或活动。</w:t>
      </w:r>
    </w:p>
    <w:p w14:paraId="5E78FE49">
      <w:pPr>
        <w:tabs>
          <w:tab w:val="left" w:pos="3780"/>
        </w:tabs>
        <w:spacing w:line="360" w:lineRule="auto"/>
        <w:ind w:firstLine="482"/>
        <w:outlineLvl w:val="0"/>
        <w:rPr>
          <w:rFonts w:ascii="宋体"/>
          <w:b/>
          <w:bCs/>
          <w:sz w:val="24"/>
        </w:rPr>
      </w:pPr>
      <w:r>
        <w:rPr>
          <w:rFonts w:hint="eastAsia" w:ascii="宋体" w:hAnsi="宋体"/>
          <w:b/>
          <w:bCs/>
          <w:sz w:val="24"/>
        </w:rPr>
        <w:t>（三）除《基金法》及其他有关法规、《基金合同》及中国证监会另有规定，基金管理人、基金托管人不得利用基金财产或职务之便为自身和任何第三人谋取利益。</w:t>
      </w:r>
    </w:p>
    <w:p w14:paraId="045CC363">
      <w:pPr>
        <w:tabs>
          <w:tab w:val="left" w:pos="3780"/>
        </w:tabs>
        <w:spacing w:line="360" w:lineRule="auto"/>
        <w:ind w:firstLine="482"/>
        <w:outlineLvl w:val="0"/>
        <w:rPr>
          <w:rFonts w:ascii="宋体"/>
          <w:b/>
          <w:bCs/>
          <w:sz w:val="24"/>
        </w:rPr>
      </w:pPr>
      <w:r>
        <w:rPr>
          <w:rFonts w:hint="eastAsia" w:ascii="宋体" w:hAnsi="宋体"/>
          <w:b/>
          <w:bCs/>
          <w:sz w:val="24"/>
        </w:rPr>
        <w:t>（四）基金管理人与基金托管人对基金运作过程中任何尚未按有关法规规定的方式公开披露的信息，不得对他人泄露。</w:t>
      </w:r>
    </w:p>
    <w:p w14:paraId="01453036">
      <w:pPr>
        <w:tabs>
          <w:tab w:val="left" w:pos="3780"/>
        </w:tabs>
        <w:spacing w:line="360" w:lineRule="auto"/>
        <w:ind w:firstLine="482"/>
        <w:outlineLvl w:val="0"/>
        <w:rPr>
          <w:rFonts w:ascii="宋体"/>
          <w:b/>
          <w:bCs/>
          <w:sz w:val="24"/>
        </w:rPr>
      </w:pPr>
      <w:r>
        <w:rPr>
          <w:rFonts w:hint="eastAsia" w:ascii="宋体" w:hAnsi="宋体"/>
          <w:b/>
          <w:bCs/>
          <w:sz w:val="24"/>
        </w:rPr>
        <w:t>（五）基金管理人不得在资金头寸不足的情况下，向基金托管人发送划款指令。</w:t>
      </w:r>
    </w:p>
    <w:p w14:paraId="72043996">
      <w:pPr>
        <w:tabs>
          <w:tab w:val="left" w:pos="3780"/>
        </w:tabs>
        <w:spacing w:line="360" w:lineRule="auto"/>
        <w:ind w:firstLine="482"/>
        <w:outlineLvl w:val="0"/>
        <w:rPr>
          <w:rFonts w:ascii="宋体"/>
          <w:b/>
          <w:bCs/>
          <w:sz w:val="24"/>
        </w:rPr>
      </w:pPr>
      <w:r>
        <w:rPr>
          <w:rFonts w:hint="eastAsia" w:ascii="宋体" w:hAnsi="宋体"/>
          <w:b/>
          <w:bCs/>
          <w:sz w:val="24"/>
        </w:rPr>
        <w:t>（六）在资金头寸充足且为基金托管人执行指令留出足够时间的情况下，基金托管人对基金管理人符合法律法规、《基金合同》、本协议的指令不得拖延或拒绝执行。</w:t>
      </w:r>
    </w:p>
    <w:p w14:paraId="462B33C6">
      <w:pPr>
        <w:tabs>
          <w:tab w:val="left" w:pos="3780"/>
        </w:tabs>
        <w:spacing w:line="360" w:lineRule="auto"/>
        <w:ind w:firstLine="482"/>
        <w:outlineLvl w:val="0"/>
        <w:rPr>
          <w:rFonts w:ascii="宋体"/>
          <w:b/>
          <w:bCs/>
          <w:sz w:val="24"/>
        </w:rPr>
      </w:pPr>
      <w:r>
        <w:rPr>
          <w:rFonts w:hint="eastAsia" w:ascii="宋体" w:hAnsi="宋体"/>
          <w:b/>
          <w:bCs/>
          <w:sz w:val="24"/>
        </w:rPr>
        <w:t>（七）除根据基金管理人指令或《基金合同》另有规定的，基金托管人不得动用或处分基金财产。</w:t>
      </w:r>
    </w:p>
    <w:p w14:paraId="60EA2670">
      <w:pPr>
        <w:tabs>
          <w:tab w:val="left" w:pos="3780"/>
        </w:tabs>
        <w:spacing w:line="360" w:lineRule="auto"/>
        <w:ind w:firstLine="482"/>
        <w:outlineLvl w:val="0"/>
        <w:rPr>
          <w:rFonts w:ascii="宋体"/>
          <w:b/>
          <w:bCs/>
          <w:sz w:val="24"/>
        </w:rPr>
      </w:pPr>
      <w:r>
        <w:rPr>
          <w:rFonts w:hint="eastAsia" w:ascii="宋体" w:hAnsi="宋体"/>
          <w:b/>
          <w:bCs/>
          <w:sz w:val="24"/>
        </w:rPr>
        <w:t>（八）基金管理人与基金托管人不得为同一机构，不得相互出资或者持有股份。基金托管人、基金管理人应在行政上、财务上互相独立，其高级基金管理人员或其他从业人员不得相互兼职。</w:t>
      </w:r>
    </w:p>
    <w:p w14:paraId="6D56CCED">
      <w:pPr>
        <w:tabs>
          <w:tab w:val="left" w:pos="3780"/>
        </w:tabs>
        <w:spacing w:line="360" w:lineRule="auto"/>
        <w:ind w:firstLine="482"/>
        <w:outlineLvl w:val="0"/>
        <w:rPr>
          <w:rFonts w:ascii="宋体"/>
          <w:b/>
          <w:bCs/>
          <w:sz w:val="24"/>
        </w:rPr>
      </w:pPr>
      <w:r>
        <w:rPr>
          <w:rFonts w:hint="eastAsia" w:ascii="宋体" w:hAnsi="宋体"/>
          <w:b/>
          <w:bCs/>
          <w:sz w:val="24"/>
        </w:rPr>
        <w:t>（九）《基金合同》投资限制中禁止投资的行为。</w:t>
      </w:r>
    </w:p>
    <w:p w14:paraId="2169A140">
      <w:pPr>
        <w:tabs>
          <w:tab w:val="left" w:pos="3780"/>
        </w:tabs>
        <w:spacing w:line="360" w:lineRule="auto"/>
        <w:ind w:firstLine="482"/>
        <w:outlineLvl w:val="0"/>
        <w:rPr>
          <w:rFonts w:ascii="宋体"/>
          <w:b/>
          <w:bCs/>
          <w:sz w:val="24"/>
        </w:rPr>
      </w:pPr>
      <w:r>
        <w:rPr>
          <w:rFonts w:hint="eastAsia" w:ascii="宋体" w:hAnsi="宋体"/>
          <w:b/>
          <w:bCs/>
          <w:sz w:val="24"/>
        </w:rPr>
        <w:t>（十）法律法规、《基金合同》和本协议禁止的其他行为。</w:t>
      </w:r>
    </w:p>
    <w:p w14:paraId="10432E0D">
      <w:pPr>
        <w:spacing w:line="360" w:lineRule="auto"/>
        <w:ind w:firstLine="480"/>
        <w:rPr>
          <w:rFonts w:ascii="宋体" w:hAnsi="宋体"/>
          <w:sz w:val="24"/>
        </w:rPr>
      </w:pPr>
      <w:r>
        <w:rPr>
          <w:rFonts w:hint="eastAsia" w:ascii="宋体" w:hAnsi="宋体"/>
          <w:sz w:val="24"/>
        </w:rPr>
        <w:t>法律法规和监管部门取消或变更上述禁止性规定的，则本基金不受上述相关限制或以变更后的规定为准。</w:t>
      </w:r>
    </w:p>
    <w:p w14:paraId="5887F7BF">
      <w:pPr>
        <w:pStyle w:val="197"/>
      </w:pPr>
      <w:bookmarkStart w:id="105" w:name="_Toc35001441"/>
      <w:bookmarkStart w:id="106" w:name="_Toc125892452"/>
      <w:bookmarkStart w:id="107" w:name="_Toc523830008"/>
      <w:bookmarkStart w:id="108" w:name="_Toc466788867"/>
      <w:bookmarkStart w:id="109" w:name="_Toc22454479"/>
      <w:r>
        <w:t>十六、基金托管协议的变更、终止与基金财产的清算</w:t>
      </w:r>
      <w:bookmarkEnd w:id="105"/>
      <w:bookmarkEnd w:id="106"/>
    </w:p>
    <w:p w14:paraId="0D3E3184">
      <w:pPr>
        <w:tabs>
          <w:tab w:val="left" w:pos="3780"/>
        </w:tabs>
        <w:spacing w:line="360" w:lineRule="auto"/>
        <w:outlineLvl w:val="0"/>
        <w:rPr>
          <w:rFonts w:ascii="宋体"/>
          <w:b/>
          <w:bCs/>
          <w:sz w:val="24"/>
        </w:rPr>
      </w:pPr>
      <w:bookmarkStart w:id="110" w:name="_Toc510842757"/>
      <w:r>
        <w:rPr>
          <w:rFonts w:ascii="宋体" w:hAnsi="宋体"/>
          <w:b/>
          <w:bCs/>
          <w:sz w:val="24"/>
        </w:rPr>
        <w:t>（一）基金托管协议的变更</w:t>
      </w:r>
      <w:bookmarkEnd w:id="110"/>
    </w:p>
    <w:p w14:paraId="2957AD89">
      <w:pPr>
        <w:spacing w:line="360" w:lineRule="auto"/>
        <w:ind w:firstLine="480"/>
        <w:rPr>
          <w:rFonts w:ascii="宋体"/>
          <w:sz w:val="24"/>
        </w:rPr>
      </w:pPr>
      <w:r>
        <w:rPr>
          <w:rFonts w:hint="eastAsia" w:ascii="宋体" w:hAnsi="宋体"/>
          <w:sz w:val="24"/>
        </w:rPr>
        <w:t>本协议双方当事人经协商一致，可以对协议进行修改。修改后的新协议，其内容不得与《基金合同》的规定有任何冲突。修改后的新协议，应报中国证监会备案。</w:t>
      </w:r>
    </w:p>
    <w:p w14:paraId="046D0E9E">
      <w:pPr>
        <w:tabs>
          <w:tab w:val="left" w:pos="3780"/>
        </w:tabs>
        <w:spacing w:line="360" w:lineRule="auto"/>
        <w:outlineLvl w:val="0"/>
        <w:rPr>
          <w:rFonts w:ascii="宋体"/>
          <w:b/>
          <w:bCs/>
          <w:sz w:val="24"/>
        </w:rPr>
      </w:pPr>
      <w:r>
        <w:rPr>
          <w:rFonts w:hint="eastAsia" w:ascii="宋体" w:hAnsi="宋体"/>
          <w:b/>
          <w:bCs/>
          <w:sz w:val="24"/>
        </w:rPr>
        <w:t>（二）基金托管协议的终止</w:t>
      </w:r>
    </w:p>
    <w:p w14:paraId="31970B83">
      <w:pPr>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《基金合同》终止；</w:t>
      </w:r>
    </w:p>
    <w:p w14:paraId="0F7817D1">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基金托管人解散、依法被撤销、破产，被依法取消基金托管资格或因其他事由造成其他基金托管人接管基金财产；</w:t>
      </w:r>
    </w:p>
    <w:p w14:paraId="6F0F1594">
      <w:pPr>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基金管理人解散、依法被撤销、破产，被依法取消基金管理资格或因其他事由造成其他基金管理人接管基金管理权；</w:t>
      </w:r>
    </w:p>
    <w:p w14:paraId="010BBB94">
      <w:pPr>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发生《基金法》、《销售办法》、《运作办法》或其他法律法规规定的终止事项。</w:t>
      </w:r>
    </w:p>
    <w:p w14:paraId="22E707BD">
      <w:pPr>
        <w:tabs>
          <w:tab w:val="left" w:pos="3780"/>
        </w:tabs>
        <w:spacing w:line="360" w:lineRule="auto"/>
        <w:outlineLvl w:val="0"/>
        <w:rPr>
          <w:b/>
          <w:sz w:val="24"/>
        </w:rPr>
      </w:pPr>
      <w:r>
        <w:rPr>
          <w:rFonts w:hint="eastAsia"/>
          <w:b/>
          <w:sz w:val="24"/>
        </w:rPr>
        <w:t>（三）基金财产的清算</w:t>
      </w:r>
    </w:p>
    <w:p w14:paraId="7E2DACF8">
      <w:pPr>
        <w:spacing w:line="360" w:lineRule="auto"/>
        <w:ind w:firstLine="480"/>
        <w:rPr>
          <w:rFonts w:ascii="宋体" w:hAnsi="宋体"/>
          <w:sz w:val="24"/>
        </w:rPr>
      </w:pPr>
      <w:r>
        <w:rPr>
          <w:rFonts w:hint="eastAsia" w:ascii="宋体" w:hAnsi="宋体"/>
          <w:sz w:val="24"/>
        </w:rPr>
        <w:t>1、基金财产清算小组：自出现《基金合同》终止事由之日起30个工作日内成立基金财产清算小组，基金管理人组织基金财产清算小组并在中国证监会的监督下进行基金清算。</w:t>
      </w:r>
    </w:p>
    <w:p w14:paraId="1B4F1031">
      <w:pPr>
        <w:spacing w:line="360" w:lineRule="auto"/>
        <w:ind w:firstLine="480"/>
        <w:rPr>
          <w:rFonts w:ascii="宋体" w:hAnsi="宋体"/>
          <w:sz w:val="24"/>
        </w:rPr>
      </w:pPr>
      <w:r>
        <w:rPr>
          <w:rFonts w:hint="eastAsia" w:ascii="宋体" w:hAnsi="宋体"/>
          <w:sz w:val="24"/>
        </w:rPr>
        <w:t>2、在基金财产清算小组接管基金财产之前，基金管理人和基金托管人应按照《基金合同》和托管协议的规定继续履行保护基金财产安全的职责。</w:t>
      </w:r>
    </w:p>
    <w:p w14:paraId="6A32D2EE">
      <w:pPr>
        <w:spacing w:line="360" w:lineRule="auto"/>
        <w:ind w:firstLine="480"/>
        <w:rPr>
          <w:rFonts w:ascii="宋体" w:hAnsi="宋体"/>
          <w:sz w:val="24"/>
        </w:rPr>
      </w:pPr>
      <w:r>
        <w:rPr>
          <w:rFonts w:hint="eastAsia" w:ascii="宋体" w:hAnsi="宋体"/>
          <w:sz w:val="24"/>
        </w:rPr>
        <w:t>3、基金财产清算小组组成：基金财产清算小组成员由基金管理人、基金托管人、符合《证券法》规定的注册会计师、律师以及中国证监会指定的人员组成。基金财产清算小组可以聘用必要的工作人员。</w:t>
      </w:r>
    </w:p>
    <w:p w14:paraId="67EDC9BF">
      <w:pPr>
        <w:spacing w:line="360" w:lineRule="auto"/>
        <w:ind w:firstLine="480"/>
        <w:rPr>
          <w:rFonts w:ascii="宋体" w:hAnsi="宋体"/>
          <w:sz w:val="24"/>
        </w:rPr>
      </w:pPr>
      <w:r>
        <w:rPr>
          <w:rFonts w:hint="eastAsia" w:ascii="宋体" w:hAnsi="宋体"/>
          <w:sz w:val="24"/>
        </w:rPr>
        <w:t>4、基金财产清算小组职责：基金财产清算小组负责基金财产的保管、清理、估价、变现和分配。基金财产清算小组可以依法进行必要的民事活动。</w:t>
      </w:r>
    </w:p>
    <w:p w14:paraId="210CDA65">
      <w:pPr>
        <w:spacing w:line="360" w:lineRule="auto"/>
        <w:ind w:firstLine="480"/>
        <w:rPr>
          <w:rFonts w:ascii="宋体" w:hAnsi="宋体"/>
          <w:sz w:val="24"/>
        </w:rPr>
      </w:pPr>
      <w:r>
        <w:rPr>
          <w:rFonts w:hint="eastAsia" w:ascii="宋体" w:hAnsi="宋体"/>
          <w:sz w:val="24"/>
        </w:rPr>
        <w:t>5、在基金财产清算过程中，基金管理人和基金托管人应各自履行职责，继续忠实、勤勉、尽责地履行基金合同和托管协议规定的义务，维护基金份额持有人的合法权益。</w:t>
      </w:r>
    </w:p>
    <w:p w14:paraId="77812A55">
      <w:pPr>
        <w:spacing w:line="360" w:lineRule="auto"/>
        <w:ind w:firstLine="480"/>
        <w:rPr>
          <w:rFonts w:ascii="宋体" w:hAnsi="宋体"/>
          <w:sz w:val="24"/>
        </w:rPr>
      </w:pPr>
      <w:r>
        <w:rPr>
          <w:rFonts w:hint="eastAsia" w:ascii="宋体" w:hAnsi="宋体"/>
          <w:sz w:val="24"/>
        </w:rPr>
        <w:t>6、基金财产清算程序：</w:t>
      </w:r>
    </w:p>
    <w:p w14:paraId="4414BE30">
      <w:pPr>
        <w:spacing w:line="360" w:lineRule="auto"/>
        <w:ind w:firstLine="480"/>
        <w:rPr>
          <w:rFonts w:ascii="宋体" w:hAnsi="宋体"/>
          <w:sz w:val="24"/>
        </w:rPr>
      </w:pPr>
      <w:r>
        <w:rPr>
          <w:rFonts w:hint="eastAsia" w:ascii="宋体" w:hAnsi="宋体"/>
          <w:sz w:val="24"/>
        </w:rPr>
        <w:t>（1）《基金合同》终止情形出现时，由基金财产清算小组统一接管基金；</w:t>
      </w:r>
    </w:p>
    <w:p w14:paraId="64CE5750">
      <w:pPr>
        <w:spacing w:line="360" w:lineRule="auto"/>
        <w:ind w:firstLine="480"/>
        <w:rPr>
          <w:rFonts w:ascii="宋体" w:hAnsi="宋体"/>
          <w:sz w:val="24"/>
        </w:rPr>
      </w:pPr>
      <w:r>
        <w:rPr>
          <w:rFonts w:hint="eastAsia" w:ascii="宋体" w:hAnsi="宋体"/>
          <w:sz w:val="24"/>
        </w:rPr>
        <w:t>（2）对基金财产和债权债务进行清理和确认；</w:t>
      </w:r>
    </w:p>
    <w:p w14:paraId="7DECD129">
      <w:pPr>
        <w:spacing w:line="360" w:lineRule="auto"/>
        <w:ind w:firstLine="480"/>
        <w:rPr>
          <w:rFonts w:ascii="宋体" w:hAnsi="宋体"/>
          <w:sz w:val="24"/>
        </w:rPr>
      </w:pPr>
      <w:r>
        <w:rPr>
          <w:rFonts w:hint="eastAsia" w:ascii="宋体" w:hAnsi="宋体"/>
          <w:sz w:val="24"/>
        </w:rPr>
        <w:t>（3）对基金财产进行估值和变现；</w:t>
      </w:r>
    </w:p>
    <w:p w14:paraId="7F483179">
      <w:pPr>
        <w:spacing w:line="360" w:lineRule="auto"/>
        <w:ind w:firstLine="480"/>
        <w:rPr>
          <w:rFonts w:ascii="宋体" w:hAnsi="宋体"/>
          <w:sz w:val="24"/>
        </w:rPr>
      </w:pPr>
      <w:r>
        <w:rPr>
          <w:rFonts w:hint="eastAsia" w:ascii="宋体" w:hAnsi="宋体"/>
          <w:sz w:val="24"/>
        </w:rPr>
        <w:t>（4）制作清算报告；</w:t>
      </w:r>
    </w:p>
    <w:p w14:paraId="30BAFF5A">
      <w:pPr>
        <w:spacing w:line="360" w:lineRule="auto"/>
        <w:ind w:firstLine="480"/>
        <w:rPr>
          <w:rFonts w:ascii="宋体" w:hAnsi="宋体"/>
          <w:sz w:val="24"/>
        </w:rPr>
      </w:pPr>
      <w:r>
        <w:rPr>
          <w:rFonts w:hint="eastAsia" w:ascii="宋体" w:hAnsi="宋体"/>
          <w:sz w:val="24"/>
        </w:rPr>
        <w:t>（5）聘请会计师事务所对清算报告进行外部审计，聘请律师事务所对清算报告出具法律意见书；</w:t>
      </w:r>
    </w:p>
    <w:p w14:paraId="2F5EE9C0">
      <w:pPr>
        <w:spacing w:line="360" w:lineRule="auto"/>
        <w:ind w:firstLine="480"/>
        <w:rPr>
          <w:rFonts w:ascii="宋体" w:hAnsi="宋体"/>
          <w:sz w:val="24"/>
        </w:rPr>
      </w:pPr>
      <w:r>
        <w:rPr>
          <w:rFonts w:hint="eastAsia" w:ascii="宋体" w:hAnsi="宋体"/>
          <w:sz w:val="24"/>
        </w:rPr>
        <w:t>（6）将清算报告报中国证监会备案并公告；</w:t>
      </w:r>
    </w:p>
    <w:p w14:paraId="53BDE0B6">
      <w:pPr>
        <w:spacing w:line="360" w:lineRule="auto"/>
        <w:ind w:firstLine="480"/>
        <w:rPr>
          <w:rFonts w:ascii="宋体" w:hAnsi="宋体"/>
          <w:sz w:val="24"/>
        </w:rPr>
      </w:pPr>
      <w:r>
        <w:rPr>
          <w:rFonts w:hint="eastAsia" w:ascii="宋体" w:hAnsi="宋体"/>
          <w:sz w:val="24"/>
        </w:rPr>
        <w:t>（7）对基金剩余财产进行分配。</w:t>
      </w:r>
    </w:p>
    <w:p w14:paraId="77350723">
      <w:pPr>
        <w:spacing w:line="360" w:lineRule="auto"/>
        <w:ind w:firstLine="480"/>
        <w:rPr>
          <w:rFonts w:ascii="宋体" w:hAnsi="宋体"/>
          <w:sz w:val="24"/>
        </w:rPr>
      </w:pPr>
      <w:r>
        <w:rPr>
          <w:rFonts w:hint="eastAsia" w:ascii="宋体" w:hAnsi="宋体"/>
          <w:sz w:val="24"/>
        </w:rPr>
        <w:t>7、基金财产清算的期限为6个月，但因本基金所持证券的流动性受到限制而不能及时变现的，清算期限可相应顺延。</w:t>
      </w:r>
    </w:p>
    <w:p w14:paraId="48BC2F66">
      <w:pPr>
        <w:spacing w:line="360" w:lineRule="auto"/>
        <w:ind w:firstLine="480"/>
        <w:rPr>
          <w:rFonts w:ascii="宋体" w:hAnsi="宋体"/>
          <w:sz w:val="24"/>
        </w:rPr>
      </w:pPr>
      <w:r>
        <w:rPr>
          <w:rFonts w:hint="eastAsia" w:ascii="宋体" w:hAnsi="宋体"/>
          <w:sz w:val="24"/>
        </w:rPr>
        <w:t>8、清算费用</w:t>
      </w:r>
    </w:p>
    <w:p w14:paraId="7BB6B016">
      <w:pPr>
        <w:spacing w:line="360" w:lineRule="auto"/>
        <w:ind w:firstLine="480"/>
        <w:rPr>
          <w:rFonts w:ascii="宋体" w:hAnsi="宋体"/>
          <w:sz w:val="24"/>
        </w:rPr>
      </w:pPr>
      <w:r>
        <w:rPr>
          <w:rFonts w:hint="eastAsia" w:ascii="宋体" w:hAnsi="宋体"/>
          <w:sz w:val="24"/>
        </w:rPr>
        <w:t>清算费用是指基金财产清算小组在进行基金清算过程中发生的所有合理费用，清算费用由基金财产清算小组优先从基金剩余财产中支付。</w:t>
      </w:r>
    </w:p>
    <w:p w14:paraId="47C867C5">
      <w:pPr>
        <w:spacing w:line="360" w:lineRule="auto"/>
        <w:ind w:firstLine="480"/>
        <w:rPr>
          <w:rFonts w:ascii="宋体" w:hAnsi="宋体"/>
          <w:sz w:val="24"/>
        </w:rPr>
      </w:pPr>
      <w:r>
        <w:rPr>
          <w:rFonts w:hint="eastAsia" w:ascii="宋体" w:hAnsi="宋体"/>
          <w:sz w:val="24"/>
        </w:rPr>
        <w:t>9、基金财产清算剩余资产的分配</w:t>
      </w:r>
    </w:p>
    <w:p w14:paraId="32F74767">
      <w:pPr>
        <w:spacing w:line="360" w:lineRule="auto"/>
        <w:ind w:firstLine="480"/>
        <w:rPr>
          <w:rFonts w:ascii="宋体" w:hAnsi="宋体"/>
          <w:sz w:val="24"/>
        </w:rPr>
      </w:pPr>
      <w:r>
        <w:rPr>
          <w:rFonts w:hint="eastAsia"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14:paraId="58A68E28">
      <w:pPr>
        <w:spacing w:line="360" w:lineRule="auto"/>
        <w:ind w:firstLine="480"/>
        <w:rPr>
          <w:rFonts w:ascii="宋体"/>
          <w:sz w:val="24"/>
        </w:rPr>
      </w:pPr>
      <w:r>
        <w:rPr>
          <w:rFonts w:hint="eastAsia" w:ascii="宋体" w:hAnsi="宋体"/>
          <w:sz w:val="24"/>
        </w:rPr>
        <w:t>10、基金财产清算的公告</w:t>
      </w:r>
    </w:p>
    <w:p w14:paraId="335318E4">
      <w:pPr>
        <w:spacing w:line="360" w:lineRule="auto"/>
        <w:ind w:firstLine="480"/>
        <w:rPr>
          <w:rFonts w:ascii="宋体" w:hAnsi="宋体"/>
          <w:sz w:val="24"/>
        </w:rPr>
      </w:pPr>
      <w:r>
        <w:rPr>
          <w:rFonts w:hint="eastAsia" w:ascii="宋体" w:hAnsi="宋体"/>
          <w:sz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w:t>
      </w:r>
    </w:p>
    <w:p w14:paraId="749AEDCE">
      <w:pPr>
        <w:spacing w:line="360" w:lineRule="auto"/>
        <w:ind w:firstLine="480"/>
        <w:rPr>
          <w:rFonts w:ascii="宋体"/>
          <w:sz w:val="24"/>
        </w:rPr>
      </w:pPr>
      <w:r>
        <w:rPr>
          <w:rFonts w:hint="eastAsia" w:ascii="宋体" w:hAnsi="宋体"/>
          <w:sz w:val="24"/>
        </w:rPr>
        <w:t>11、基金财产清算账册及文件的保存</w:t>
      </w:r>
    </w:p>
    <w:p w14:paraId="026AD2F0">
      <w:pPr>
        <w:spacing w:line="360" w:lineRule="auto"/>
        <w:ind w:firstLine="480"/>
        <w:rPr>
          <w:rFonts w:ascii="宋体" w:hAnsi="宋体"/>
          <w:sz w:val="24"/>
        </w:rPr>
      </w:pPr>
      <w:bookmarkStart w:id="111" w:name="_Toc125892453"/>
      <w:r>
        <w:rPr>
          <w:rFonts w:hint="eastAsia" w:ascii="宋体" w:hAnsi="宋体"/>
          <w:sz w:val="24"/>
        </w:rPr>
        <w:t>基金财产清算账册及有关文件由基金托管人保存</w:t>
      </w:r>
      <w:r>
        <w:rPr>
          <w:rFonts w:ascii="宋体" w:hAnsi="宋体"/>
          <w:sz w:val="24"/>
        </w:rPr>
        <w:t>20</w:t>
      </w:r>
      <w:r>
        <w:rPr>
          <w:rFonts w:hint="eastAsia" w:ascii="宋体" w:hAnsi="宋体"/>
          <w:sz w:val="24"/>
        </w:rPr>
        <w:t>年以上，法律法规或监管规则另有规定的，从其规定。</w:t>
      </w:r>
    </w:p>
    <w:p w14:paraId="0F46B504">
      <w:pPr>
        <w:spacing w:line="360" w:lineRule="auto"/>
        <w:ind w:firstLine="480"/>
        <w:rPr>
          <w:rFonts w:ascii="宋体"/>
          <w:sz w:val="24"/>
        </w:rPr>
      </w:pPr>
      <w:r>
        <w:rPr>
          <w:rFonts w:hint="eastAsia" w:ascii="宋体"/>
          <w:sz w:val="24"/>
        </w:rPr>
        <w:t>12、基金合并</w:t>
      </w:r>
    </w:p>
    <w:p w14:paraId="3AC48EBC">
      <w:pPr>
        <w:spacing w:line="360" w:lineRule="auto"/>
        <w:ind w:firstLine="480"/>
        <w:rPr>
          <w:rFonts w:ascii="宋体"/>
          <w:sz w:val="24"/>
        </w:rPr>
      </w:pPr>
      <w:r>
        <w:rPr>
          <w:rFonts w:hint="eastAsia" w:ascii="宋体"/>
          <w:sz w:val="24"/>
        </w:rPr>
        <w:t>本基金与其他基金的合并应当按照法律法规规定的程序进行。</w:t>
      </w:r>
    </w:p>
    <w:p w14:paraId="27091379">
      <w:pPr>
        <w:pStyle w:val="197"/>
      </w:pPr>
      <w:bookmarkStart w:id="112" w:name="_Toc35001442"/>
      <w:r>
        <w:t>十七、违约责任</w:t>
      </w:r>
      <w:bookmarkEnd w:id="107"/>
      <w:bookmarkEnd w:id="108"/>
      <w:bookmarkEnd w:id="109"/>
      <w:bookmarkEnd w:id="111"/>
      <w:bookmarkEnd w:id="112"/>
    </w:p>
    <w:p w14:paraId="5ADB890F">
      <w:pPr>
        <w:tabs>
          <w:tab w:val="left" w:pos="3780"/>
        </w:tabs>
        <w:spacing w:line="360" w:lineRule="auto"/>
        <w:ind w:firstLine="482"/>
        <w:outlineLvl w:val="0"/>
        <w:rPr>
          <w:b/>
          <w:sz w:val="24"/>
        </w:rPr>
      </w:pPr>
      <w:r>
        <w:rPr>
          <w:rFonts w:hint="eastAsia"/>
          <w:b/>
          <w:sz w:val="24"/>
        </w:rPr>
        <w:t>（一）基金管理人或基金托管人不履行本协议或履行本协议不符合约定的，应当承担违约责任。</w:t>
      </w:r>
    </w:p>
    <w:p w14:paraId="26A03B88">
      <w:pPr>
        <w:tabs>
          <w:tab w:val="left" w:pos="3780"/>
        </w:tabs>
        <w:spacing w:line="360" w:lineRule="auto"/>
        <w:ind w:firstLine="482"/>
        <w:outlineLvl w:val="0"/>
        <w:rPr>
          <w:b/>
          <w:sz w:val="24"/>
        </w:rPr>
      </w:pPr>
      <w:r>
        <w:rPr>
          <w:rFonts w:hint="eastAsia"/>
          <w:b/>
          <w:sz w:val="24"/>
        </w:rPr>
        <w:t>（二）</w:t>
      </w:r>
      <w:bookmarkStart w:id="113" w:name="OLE_LINK3"/>
      <w:r>
        <w:rPr>
          <w:rFonts w:hint="eastAsia"/>
          <w:b/>
          <w:sz w:val="24"/>
        </w:rPr>
        <w:t>基金管理人、基金托管人在履行各自职责的过程中，违反《基金法》等法律法规的规定或者本托管协议</w:t>
      </w:r>
      <w:r>
        <w:rPr>
          <w:rFonts w:hint="eastAsia" w:ascii="宋体" w:hAnsi="宋体"/>
          <w:b/>
          <w:bCs/>
          <w:sz w:val="24"/>
        </w:rPr>
        <w:t>约定</w:t>
      </w:r>
      <w:r>
        <w:rPr>
          <w:rFonts w:hint="eastAsia"/>
          <w:b/>
          <w:sz w:val="24"/>
        </w:rPr>
        <w:t>，给基金财产或者基金份额持有人造成损害的，应当分别对各自的行为依法承担赔偿责任；因共同行为给基金财产或者基金份额持有人造成损害的，应当承担连带赔偿责任，对损失的赔偿，仅限于直接损失，一方承担连带责任后有权根据另一方过错程度向另一方追偿。</w:t>
      </w:r>
      <w:bookmarkEnd w:id="113"/>
      <w:r>
        <w:rPr>
          <w:rFonts w:hint="eastAsia"/>
          <w:b/>
          <w:sz w:val="24"/>
        </w:rPr>
        <w:t>但是发生下列情况，当事人免责：</w:t>
      </w:r>
    </w:p>
    <w:p w14:paraId="2CB15D39">
      <w:pPr>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基金管理人和</w:t>
      </w:r>
      <w:r>
        <w:rPr>
          <w:rFonts w:ascii="宋体" w:hAnsi="宋体"/>
          <w:sz w:val="24"/>
        </w:rPr>
        <w:t>/</w:t>
      </w:r>
      <w:r>
        <w:rPr>
          <w:rFonts w:hint="eastAsia" w:ascii="宋体" w:hAnsi="宋体"/>
          <w:sz w:val="24"/>
        </w:rPr>
        <w:t>或基金托管人按照中国证监会的规定或当时有效的法律法规作为或不作为而造成的损失等；</w:t>
      </w:r>
    </w:p>
    <w:p w14:paraId="6FF27C2A">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基金管理人由于按照《基金合同》规定的投资原则行使或不行使其投资权而造成的损失等；</w:t>
      </w:r>
    </w:p>
    <w:p w14:paraId="5E6AC4E8">
      <w:pPr>
        <w:spacing w:line="360" w:lineRule="auto"/>
        <w:ind w:firstLine="480"/>
        <w:rPr>
          <w:rFonts w:ascii="宋体"/>
          <w:sz w:val="24"/>
        </w:rPr>
      </w:pPr>
      <w:r>
        <w:rPr>
          <w:rFonts w:hint="eastAsia" w:ascii="宋体" w:hAnsi="宋体"/>
          <w:sz w:val="24"/>
        </w:rPr>
        <w:t>3</w:t>
      </w:r>
      <w:r>
        <w:rPr>
          <w:rFonts w:ascii="宋体" w:hAnsi="宋体"/>
          <w:sz w:val="24"/>
        </w:rPr>
        <w:t>.不可抗力</w:t>
      </w:r>
      <w:r>
        <w:rPr>
          <w:rFonts w:hint="eastAsia" w:ascii="宋体" w:hAnsi="宋体"/>
          <w:sz w:val="24"/>
        </w:rPr>
        <w:t>。</w:t>
      </w:r>
    </w:p>
    <w:p w14:paraId="389E9DAC">
      <w:pPr>
        <w:spacing w:line="360" w:lineRule="auto"/>
        <w:ind w:firstLine="480"/>
        <w:rPr>
          <w:rFonts w:ascii="宋体"/>
          <w:sz w:val="24"/>
        </w:rPr>
      </w:pPr>
      <w:r>
        <w:rPr>
          <w:rFonts w:hint="eastAsia" w:ascii="宋体" w:hAnsi="宋体"/>
          <w:sz w:val="24"/>
        </w:rPr>
        <w:t>如果由于本协议一方当事人（“违约方”）的违约行为给基金资产或基金投资者造成损失，而另一方当事人（“守约方”）赔偿了基金资产或基金投资者的损失，则守约方有权向违约方追索由此遭受的所有直接损失。</w:t>
      </w:r>
    </w:p>
    <w:p w14:paraId="511F3BE0">
      <w:pPr>
        <w:spacing w:line="360" w:lineRule="auto"/>
        <w:ind w:firstLine="480"/>
        <w:rPr>
          <w:rFonts w:ascii="宋体"/>
          <w:sz w:val="24"/>
        </w:rPr>
      </w:pPr>
      <w:r>
        <w:rPr>
          <w:rFonts w:hint="eastAsia" w:ascii="宋体" w:hAnsi="宋体"/>
          <w:sz w:val="24"/>
        </w:rPr>
        <w:t>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14:paraId="205B2497">
      <w:pPr>
        <w:spacing w:line="360" w:lineRule="auto"/>
        <w:ind w:firstLine="480"/>
        <w:rPr>
          <w:rFonts w:ascii="宋体"/>
          <w:sz w:val="24"/>
        </w:rPr>
      </w:pPr>
      <w:r>
        <w:rPr>
          <w:rFonts w:hint="eastAsia" w:ascii="宋体" w:hAnsi="宋体"/>
          <w:sz w:val="24"/>
        </w:rPr>
        <w:t>由于基金管理人、基金托管人不可控制的因素导致业务出现差错，基金管理人和基金托管人虽然已经采取必要、适当、合理的措施进行检查，但是未能发现该错误的，由此造成基金资产或基金投资者损失，基金管理人和基金托管人免除赔偿责任。但基金管理人和基金托管人应当积极采取必要的措施消除或减轻由此造成的影响。</w:t>
      </w:r>
    </w:p>
    <w:p w14:paraId="68A4714E">
      <w:pPr>
        <w:tabs>
          <w:tab w:val="left" w:pos="3780"/>
        </w:tabs>
        <w:spacing w:line="360" w:lineRule="auto"/>
        <w:ind w:firstLine="482"/>
        <w:outlineLvl w:val="0"/>
        <w:rPr>
          <w:b/>
          <w:sz w:val="24"/>
        </w:rPr>
      </w:pPr>
      <w:r>
        <w:rPr>
          <w:rFonts w:hint="eastAsia"/>
          <w:b/>
          <w:sz w:val="24"/>
        </w:rPr>
        <w:t>（三）托管</w:t>
      </w:r>
      <w:r>
        <w:rPr>
          <w:rFonts w:hint="eastAsia" w:ascii="宋体" w:hAnsi="宋体"/>
          <w:b/>
          <w:bCs/>
          <w:sz w:val="24"/>
        </w:rPr>
        <w:t>协议</w:t>
      </w:r>
      <w:r>
        <w:rPr>
          <w:rFonts w:hint="eastAsia"/>
          <w:b/>
          <w:sz w:val="24"/>
        </w:rPr>
        <w:t>当事人违反托管协议，给另一方当事人造成损失的，应承担赔偿责任。</w:t>
      </w:r>
    </w:p>
    <w:p w14:paraId="08A9D4AF">
      <w:pPr>
        <w:tabs>
          <w:tab w:val="left" w:pos="3780"/>
        </w:tabs>
        <w:spacing w:line="360" w:lineRule="auto"/>
        <w:ind w:firstLine="482"/>
        <w:outlineLvl w:val="0"/>
        <w:rPr>
          <w:b/>
          <w:sz w:val="24"/>
        </w:rPr>
      </w:pPr>
      <w:r>
        <w:rPr>
          <w:rFonts w:hint="eastAsia"/>
          <w:b/>
          <w:sz w:val="24"/>
        </w:rPr>
        <w:t>（四）违约行为虽已发生，但本托管协议能够继续履行的，在最大限度地保护基金份额持有人</w:t>
      </w:r>
      <w:r>
        <w:rPr>
          <w:rFonts w:hint="eastAsia" w:ascii="宋体" w:hAnsi="宋体"/>
          <w:b/>
          <w:bCs/>
          <w:sz w:val="24"/>
        </w:rPr>
        <w:t>利益</w:t>
      </w:r>
      <w:r>
        <w:rPr>
          <w:b/>
          <w:sz w:val="24"/>
        </w:rPr>
        <w:t>的前提下，基金管理人和基金托管人应当继续履行本协议。</w:t>
      </w:r>
      <w:bookmarkStart w:id="114" w:name="_Toc523830010"/>
      <w:bookmarkStart w:id="115" w:name="_Toc466788868"/>
      <w:bookmarkStart w:id="116" w:name="_Toc22454480"/>
      <w:bookmarkStart w:id="117" w:name="_Toc125892454"/>
    </w:p>
    <w:p w14:paraId="0675F4F1">
      <w:pPr>
        <w:tabs>
          <w:tab w:val="left" w:pos="3780"/>
        </w:tabs>
        <w:spacing w:line="360" w:lineRule="auto"/>
        <w:ind w:firstLine="482"/>
        <w:outlineLvl w:val="0"/>
        <w:rPr>
          <w:b/>
          <w:sz w:val="24"/>
        </w:rPr>
      </w:pPr>
      <w:r>
        <w:rPr>
          <w:rFonts w:hint="eastAsia"/>
          <w:b/>
          <w:sz w:val="24"/>
        </w:rPr>
        <w:t>（五）本协议所指损失均为直接损失。</w:t>
      </w:r>
    </w:p>
    <w:p w14:paraId="64390A5A">
      <w:pPr>
        <w:pStyle w:val="197"/>
      </w:pPr>
      <w:bookmarkStart w:id="118" w:name="_Toc35001443"/>
      <w:r>
        <w:t>十八、争议</w:t>
      </w:r>
      <w:bookmarkEnd w:id="114"/>
      <w:bookmarkEnd w:id="115"/>
      <w:bookmarkEnd w:id="116"/>
      <w:r>
        <w:t>解决方式</w:t>
      </w:r>
      <w:bookmarkEnd w:id="117"/>
      <w:bookmarkEnd w:id="118"/>
    </w:p>
    <w:p w14:paraId="3BAC7A7C">
      <w:pPr>
        <w:spacing w:line="360" w:lineRule="auto"/>
        <w:ind w:firstLine="482"/>
        <w:rPr>
          <w:rFonts w:ascii="宋体" w:hAnsi="宋体"/>
          <w:b/>
          <w:i/>
          <w:sz w:val="24"/>
        </w:rPr>
      </w:pPr>
      <w:bookmarkStart w:id="119" w:name="_Toc22454481"/>
      <w:bookmarkStart w:id="120" w:name="_Toc125892455"/>
      <w:bookmarkStart w:id="121" w:name="_Toc523830011"/>
      <w:bookmarkStart w:id="122" w:name="_Toc466788869"/>
      <w:r>
        <w:rPr>
          <w:rFonts w:hint="eastAsia" w:ascii="宋体" w:hAnsi="宋体"/>
          <w:b/>
          <w:i/>
          <w:sz w:val="24"/>
        </w:rPr>
        <w:t>对于因本协议的订立、内容、履行和解释或与本协议有关的争议，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仲裁裁决另有规定的，仲裁费用、律师费用由败诉方承担。</w:t>
      </w:r>
    </w:p>
    <w:p w14:paraId="711A3C30">
      <w:pPr>
        <w:spacing w:line="360" w:lineRule="auto"/>
        <w:ind w:firstLine="482"/>
        <w:rPr>
          <w:rFonts w:ascii="宋体" w:hAnsi="宋体"/>
          <w:b/>
          <w:i/>
          <w:sz w:val="24"/>
        </w:rPr>
      </w:pPr>
      <w:r>
        <w:rPr>
          <w:rFonts w:hint="eastAsia" w:ascii="宋体" w:hAnsi="宋体"/>
          <w:b/>
          <w:i/>
          <w:sz w:val="24"/>
        </w:rPr>
        <w:t>争议处理期间，当事人应恪守各自的职责，继续忠实、勤勉、尽责地履行基金合同规定的义务，维护基金份额持有人的合法权益。</w:t>
      </w:r>
    </w:p>
    <w:p w14:paraId="3896DC7D">
      <w:pPr>
        <w:spacing w:line="360" w:lineRule="auto"/>
        <w:ind w:firstLine="482"/>
        <w:rPr>
          <w:rFonts w:ascii="宋体"/>
          <w:b/>
          <w:i/>
          <w:sz w:val="24"/>
        </w:rPr>
      </w:pPr>
      <w:r>
        <w:rPr>
          <w:rFonts w:hint="eastAsia" w:ascii="宋体" w:hAnsi="宋体"/>
          <w:b/>
          <w:i/>
          <w:sz w:val="24"/>
        </w:rPr>
        <w:t>本协议受中国法律（为本协议之目的，在此不包括香港、澳门特别行政区和台湾地区的有关规定）管辖。</w:t>
      </w:r>
    </w:p>
    <w:p w14:paraId="1590D3BD">
      <w:pPr>
        <w:pStyle w:val="197"/>
      </w:pPr>
      <w:bookmarkStart w:id="123" w:name="_Toc35001444"/>
      <w:r>
        <w:t>十九、基金托管协议的效力</w:t>
      </w:r>
      <w:bookmarkEnd w:id="119"/>
      <w:bookmarkEnd w:id="120"/>
      <w:bookmarkEnd w:id="121"/>
      <w:bookmarkEnd w:id="122"/>
      <w:bookmarkEnd w:id="123"/>
    </w:p>
    <w:p w14:paraId="3AC71DD5">
      <w:pPr>
        <w:tabs>
          <w:tab w:val="left" w:pos="3780"/>
        </w:tabs>
        <w:spacing w:line="360" w:lineRule="auto"/>
        <w:ind w:firstLine="482"/>
        <w:outlineLvl w:val="0"/>
        <w:rPr>
          <w:b/>
          <w:sz w:val="24"/>
        </w:rPr>
      </w:pPr>
      <w:r>
        <w:rPr>
          <w:rFonts w:hint="eastAsia"/>
          <w:b/>
          <w:sz w:val="24"/>
        </w:rPr>
        <w:t>（一）基金管理人在向中国证监会申请发售基金份额时提交的基金托管协议草案，应经托管协议当事人双方盖章以及双方法定代表人或授权代表签字或</w:t>
      </w:r>
      <w:r>
        <w:rPr>
          <w:b/>
          <w:sz w:val="24"/>
        </w:rPr>
        <w:t>盖章</w:t>
      </w:r>
      <w:r>
        <w:rPr>
          <w:rFonts w:hint="eastAsia"/>
          <w:b/>
          <w:sz w:val="24"/>
        </w:rPr>
        <w:t>，协议当事人双方根据中国证监会的意见修改托管协议草案。托管协议以报中国证监会备案的文本为正式文本。</w:t>
      </w:r>
    </w:p>
    <w:p w14:paraId="6F28FFA0">
      <w:pPr>
        <w:tabs>
          <w:tab w:val="left" w:pos="3780"/>
        </w:tabs>
        <w:spacing w:line="360" w:lineRule="auto"/>
        <w:ind w:firstLine="482"/>
        <w:outlineLvl w:val="0"/>
        <w:rPr>
          <w:b/>
          <w:sz w:val="24"/>
        </w:rPr>
      </w:pPr>
      <w:r>
        <w:rPr>
          <w:rFonts w:hint="eastAsia"/>
          <w:b/>
          <w:sz w:val="24"/>
        </w:rPr>
        <w:t>（二）基金托管协议自《基金合同》成立之日起成立，自《基金合同》生效之日起生效。基金</w:t>
      </w:r>
      <w:r>
        <w:rPr>
          <w:rFonts w:hint="eastAsia" w:ascii="宋体" w:hAnsi="宋体"/>
          <w:b/>
          <w:bCs/>
          <w:sz w:val="24"/>
        </w:rPr>
        <w:t>托管</w:t>
      </w:r>
      <w:r>
        <w:rPr>
          <w:rFonts w:hint="eastAsia"/>
          <w:b/>
          <w:sz w:val="24"/>
        </w:rPr>
        <w:t>协议的有效期自其生效之日起至基金财产清算结果报中国证监会备案并公告之日止。</w:t>
      </w:r>
    </w:p>
    <w:p w14:paraId="36B7BE07">
      <w:pPr>
        <w:tabs>
          <w:tab w:val="left" w:pos="3780"/>
        </w:tabs>
        <w:spacing w:line="360" w:lineRule="auto"/>
        <w:ind w:firstLine="482"/>
        <w:outlineLvl w:val="0"/>
        <w:rPr>
          <w:b/>
          <w:sz w:val="24"/>
        </w:rPr>
      </w:pPr>
      <w:r>
        <w:rPr>
          <w:rFonts w:hint="eastAsia"/>
          <w:b/>
          <w:sz w:val="24"/>
        </w:rPr>
        <w:t>（三）基金托管</w:t>
      </w:r>
      <w:r>
        <w:rPr>
          <w:rFonts w:hint="eastAsia" w:ascii="宋体" w:hAnsi="宋体"/>
          <w:b/>
          <w:bCs/>
          <w:sz w:val="24"/>
        </w:rPr>
        <w:t>协议</w:t>
      </w:r>
      <w:r>
        <w:rPr>
          <w:rFonts w:hint="eastAsia"/>
          <w:b/>
          <w:sz w:val="24"/>
        </w:rPr>
        <w:t>自生效之日起对托管协议当事人具有同等的法律约束力。</w:t>
      </w:r>
    </w:p>
    <w:p w14:paraId="2065D35D">
      <w:pPr>
        <w:tabs>
          <w:tab w:val="left" w:pos="3780"/>
        </w:tabs>
        <w:spacing w:line="360" w:lineRule="auto"/>
        <w:ind w:firstLine="482"/>
        <w:outlineLvl w:val="0"/>
        <w:rPr>
          <w:b/>
          <w:sz w:val="24"/>
        </w:rPr>
      </w:pPr>
      <w:r>
        <w:rPr>
          <w:rFonts w:hint="eastAsia"/>
          <w:b/>
          <w:sz w:val="24"/>
        </w:rPr>
        <w:t>（四）本协议正本一式陆份，除上报有关监管机构一式贰份外，基金管理人、基金托管人各持有贰份，每份具有同等的法律效力。</w:t>
      </w:r>
    </w:p>
    <w:p w14:paraId="380DBE19">
      <w:pPr>
        <w:pStyle w:val="197"/>
      </w:pPr>
      <w:bookmarkStart w:id="124" w:name="_Toc35001445"/>
      <w:r>
        <w:t>二十、其他事项</w:t>
      </w:r>
      <w:bookmarkEnd w:id="124"/>
    </w:p>
    <w:p w14:paraId="7C28435A">
      <w:pPr>
        <w:spacing w:line="360" w:lineRule="auto"/>
        <w:ind w:firstLine="480"/>
        <w:rPr>
          <w:rFonts w:ascii="宋体" w:hAnsi="宋体"/>
          <w:sz w:val="24"/>
        </w:rPr>
      </w:pPr>
      <w:r>
        <w:rPr>
          <w:rFonts w:hint="eastAsia" w:ascii="宋体" w:hAnsi="宋体"/>
          <w:sz w:val="24"/>
        </w:rPr>
        <w:t>本协议未尽事宜，当事人依据基金合同、有关法律法规等规定协商办理。</w:t>
      </w:r>
    </w:p>
    <w:p w14:paraId="5100BC88">
      <w:pPr>
        <w:pStyle w:val="197"/>
        <w:rPr>
          <w:rFonts w:hint="eastAsia"/>
        </w:rPr>
      </w:pPr>
      <w:bookmarkStart w:id="125" w:name="_Toc22454484"/>
      <w:bookmarkStart w:id="126" w:name="_Toc35001446"/>
      <w:bookmarkStart w:id="127" w:name="_Toc523830014"/>
      <w:r>
        <w:t>二十一、基金托管协议的签订</w:t>
      </w:r>
      <w:bookmarkEnd w:id="125"/>
      <w:bookmarkEnd w:id="126"/>
      <w:bookmarkEnd w:id="127"/>
    </w:p>
    <w:sectPr>
      <w:footerReference r:id="rId6" w:type="default"/>
      <w:pgSz w:w="12240" w:h="15840"/>
      <w:pgMar w:top="1440" w:right="1800" w:bottom="1440" w:left="1800" w:header="720" w:footer="720"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6F98">
    <w:pPr>
      <w:pStyle w:val="199"/>
      <w:rPr>
        <w:rStyle w:val="27"/>
      </w:rPr>
    </w:pPr>
    <w:r>
      <w:rPr>
        <w:rStyle w:val="27"/>
      </w:rPr>
      <w:fldChar w:fldCharType="begin"/>
    </w:r>
    <w:r>
      <w:rPr>
        <w:rStyle w:val="27"/>
      </w:rPr>
      <w:instrText xml:space="preserve">PAGE  </w:instrText>
    </w:r>
    <w:r>
      <w:rPr>
        <w:rStyle w:val="27"/>
      </w:rPr>
      <w:fldChar w:fldCharType="end"/>
    </w:r>
  </w:p>
  <w:p w14:paraId="38157F7E">
    <w:pPr>
      <w:pStyle w:val="19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47CD8">
    <w:pPr>
      <w:pStyle w:val="19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C0954">
    <w:pPr>
      <w:pStyle w:val="199"/>
      <w:jc w:val="center"/>
    </w:pPr>
  </w:p>
  <w:p w14:paraId="35CF4367">
    <w:pPr>
      <w:pStyle w:val="19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8F11A">
    <w:pPr>
      <w:pStyle w:val="200"/>
      <w:ind w:left="7470" w:right="360" w:hanging="7470"/>
      <w:jc w:val="right"/>
    </w:pPr>
    <w:r>
      <w:rPr>
        <w:rFonts w:hint="eastAsia" w:ascii="宋体" w:hAnsi="宋体"/>
        <w:szCs w:val="21"/>
      </w:rPr>
      <w:t>博时移动互联主题混合型证券投资基金</w:t>
    </w:r>
    <w:r>
      <w:rPr>
        <w:rFonts w:hint="eastAsia"/>
      </w:rPr>
      <w:t>托管协议</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167496"/>
    <w:multiLevelType w:val="multilevel"/>
    <w:tmpl w:val="4E167496"/>
    <w:lvl w:ilvl="0" w:tentative="0">
      <w:start w:val="1"/>
      <w:numFmt w:val="decimal"/>
      <w:pStyle w:val="218"/>
      <w:lvlText w:val="(%1)"/>
      <w:lvlJc w:val="left"/>
      <w:pPr>
        <w:tabs>
          <w:tab w:val="left" w:pos="1941"/>
        </w:tabs>
        <w:ind w:left="1941" w:hanging="681"/>
      </w:pPr>
      <w:rPr>
        <w:rFonts w:hint="default" w:ascii="Arial" w:hAnsi="Arial" w:cs="Times New Roman"/>
        <w:b w:val="0"/>
        <w:i w:val="0"/>
        <w:sz w:val="20"/>
      </w:rPr>
    </w:lvl>
    <w:lvl w:ilvl="1" w:tentative="0">
      <w:start w:val="1"/>
      <w:numFmt w:val="lowerLetter"/>
      <w:lvlText w:val="%2."/>
      <w:lvlJc w:val="left"/>
      <w:pPr>
        <w:tabs>
          <w:tab w:val="left" w:pos="1620"/>
        </w:tabs>
        <w:ind w:left="1620" w:hanging="360"/>
      </w:pPr>
      <w:rPr>
        <w:rFonts w:hint="default" w:cs="Times New Roman"/>
      </w:rPr>
    </w:lvl>
    <w:lvl w:ilvl="2" w:tentative="0">
      <w:start w:val="1"/>
      <w:numFmt w:val="lowerRoman"/>
      <w:lvlText w:val="%3."/>
      <w:lvlJc w:val="right"/>
      <w:pPr>
        <w:tabs>
          <w:tab w:val="left" w:pos="2340"/>
        </w:tabs>
        <w:ind w:left="2340" w:hanging="180"/>
      </w:pPr>
      <w:rPr>
        <w:rFonts w:hint="default" w:cs="Times New Roman"/>
      </w:rPr>
    </w:lvl>
    <w:lvl w:ilvl="3" w:tentative="0">
      <w:start w:val="1"/>
      <w:numFmt w:val="decimal"/>
      <w:lvlText w:val="%4."/>
      <w:lvlJc w:val="left"/>
      <w:pPr>
        <w:tabs>
          <w:tab w:val="left" w:pos="3060"/>
        </w:tabs>
        <w:ind w:left="3060" w:hanging="360"/>
      </w:pPr>
      <w:rPr>
        <w:rFonts w:hint="default" w:cs="Times New Roman"/>
      </w:rPr>
    </w:lvl>
    <w:lvl w:ilvl="4" w:tentative="0">
      <w:start w:val="1"/>
      <w:numFmt w:val="lowerLetter"/>
      <w:lvlText w:val="%5."/>
      <w:lvlJc w:val="left"/>
      <w:pPr>
        <w:tabs>
          <w:tab w:val="left" w:pos="3780"/>
        </w:tabs>
        <w:ind w:left="3780" w:hanging="360"/>
      </w:pPr>
      <w:rPr>
        <w:rFonts w:hint="default" w:cs="Times New Roman"/>
      </w:rPr>
    </w:lvl>
    <w:lvl w:ilvl="5" w:tentative="0">
      <w:start w:val="1"/>
      <w:numFmt w:val="lowerRoman"/>
      <w:lvlText w:val="%6."/>
      <w:lvlJc w:val="right"/>
      <w:pPr>
        <w:tabs>
          <w:tab w:val="left" w:pos="4500"/>
        </w:tabs>
        <w:ind w:left="4500" w:hanging="180"/>
      </w:pPr>
      <w:rPr>
        <w:rFonts w:hint="default" w:cs="Times New Roman"/>
      </w:rPr>
    </w:lvl>
    <w:lvl w:ilvl="6" w:tentative="0">
      <w:start w:val="1"/>
      <w:numFmt w:val="decimal"/>
      <w:lvlText w:val="%7."/>
      <w:lvlJc w:val="left"/>
      <w:pPr>
        <w:tabs>
          <w:tab w:val="left" w:pos="5220"/>
        </w:tabs>
        <w:ind w:left="5220" w:hanging="360"/>
      </w:pPr>
      <w:rPr>
        <w:rFonts w:hint="default" w:cs="Times New Roman"/>
      </w:rPr>
    </w:lvl>
    <w:lvl w:ilvl="7" w:tentative="0">
      <w:start w:val="1"/>
      <w:numFmt w:val="lowerLetter"/>
      <w:lvlText w:val="%8."/>
      <w:lvlJc w:val="left"/>
      <w:pPr>
        <w:tabs>
          <w:tab w:val="left" w:pos="5940"/>
        </w:tabs>
        <w:ind w:left="5940" w:hanging="360"/>
      </w:pPr>
      <w:rPr>
        <w:rFonts w:hint="default" w:cs="Times New Roman"/>
      </w:rPr>
    </w:lvl>
    <w:lvl w:ilvl="8" w:tentative="0">
      <w:start w:val="1"/>
      <w:numFmt w:val="lowerRoman"/>
      <w:lvlText w:val="%9."/>
      <w:lvlJc w:val="right"/>
      <w:pPr>
        <w:tabs>
          <w:tab w:val="left" w:pos="6660"/>
        </w:tabs>
        <w:ind w:left="6660" w:hanging="180"/>
      </w:pPr>
      <w:rPr>
        <w:rFonts w:hint="default"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characterSpacingControl w:val="doNotCompress"/>
  <w:compat>
    <w:useFELayout/>
    <w:compatSetting w:name="compatibilityMode" w:uri="http://schemas.microsoft.com/office/word" w:val="12"/>
  </w:compat>
  <w:rsids>
    <w:rsidRoot w:val="00867A1F"/>
    <w:rsid w:val="00000BD9"/>
    <w:rsid w:val="000A0B54"/>
    <w:rsid w:val="00170E9D"/>
    <w:rsid w:val="001B056D"/>
    <w:rsid w:val="002356A8"/>
    <w:rsid w:val="00313DE0"/>
    <w:rsid w:val="003A5712"/>
    <w:rsid w:val="003C1DF4"/>
    <w:rsid w:val="004004E9"/>
    <w:rsid w:val="00473F16"/>
    <w:rsid w:val="004C65EF"/>
    <w:rsid w:val="005E376E"/>
    <w:rsid w:val="007930AF"/>
    <w:rsid w:val="008228EA"/>
    <w:rsid w:val="00867A1F"/>
    <w:rsid w:val="00897F8B"/>
    <w:rsid w:val="008B76DD"/>
    <w:rsid w:val="008C22D2"/>
    <w:rsid w:val="008D299E"/>
    <w:rsid w:val="0092302A"/>
    <w:rsid w:val="00AF3867"/>
    <w:rsid w:val="00BC1D9F"/>
    <w:rsid w:val="00BD29F1"/>
    <w:rsid w:val="00C45CEF"/>
    <w:rsid w:val="00DC7181"/>
    <w:rsid w:val="00E24F98"/>
    <w:rsid w:val="00EB6EFF"/>
    <w:rsid w:val="00EE01F9"/>
    <w:rsid w:val="00FA2F5E"/>
    <w:rsid w:val="00FF15C1"/>
    <w:rsid w:val="1E256DCE"/>
    <w:rsid w:val="4D86780D"/>
    <w:rsid w:val="510E0BE5"/>
    <w:rsid w:val="78DA1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uiPriority="99"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4"/>
      <w:lang w:val="en-US" w:eastAsia="zh-CN" w:bidi="ar-SA"/>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semiHidden/>
    <w:qFormat/>
    <w:uiPriority w:val="99"/>
    <w:pPr>
      <w:ind w:left="2520"/>
    </w:pPr>
  </w:style>
  <w:style w:type="paragraph" w:styleId="3">
    <w:name w:val="Document Map"/>
    <w:basedOn w:val="1"/>
    <w:link w:val="211"/>
    <w:semiHidden/>
    <w:qFormat/>
    <w:uiPriority w:val="99"/>
    <w:pPr>
      <w:shd w:val="clear" w:color="auto" w:fill="000080"/>
    </w:pPr>
  </w:style>
  <w:style w:type="paragraph" w:styleId="4">
    <w:name w:val="annotation text"/>
    <w:basedOn w:val="1"/>
    <w:link w:val="212"/>
    <w:semiHidden/>
    <w:qFormat/>
    <w:uiPriority w:val="99"/>
    <w:pPr>
      <w:jc w:val="left"/>
    </w:pPr>
  </w:style>
  <w:style w:type="paragraph" w:styleId="5">
    <w:name w:val="Body Text"/>
    <w:basedOn w:val="1"/>
    <w:link w:val="216"/>
    <w:qFormat/>
    <w:uiPriority w:val="99"/>
    <w:pPr>
      <w:tabs>
        <w:tab w:val="left" w:pos="3780"/>
      </w:tabs>
      <w:spacing w:line="360" w:lineRule="auto"/>
      <w:outlineLvl w:val="0"/>
    </w:pPr>
    <w:rPr>
      <w:rFonts w:ascii="宋体" w:hAnsi="宋体"/>
      <w:b/>
      <w:bCs/>
      <w:color w:val="FF0000"/>
      <w:sz w:val="24"/>
    </w:rPr>
  </w:style>
  <w:style w:type="paragraph" w:styleId="6">
    <w:name w:val="Body Text Indent"/>
    <w:basedOn w:val="1"/>
    <w:link w:val="205"/>
    <w:qFormat/>
    <w:uiPriority w:val="99"/>
    <w:pPr>
      <w:spacing w:line="360" w:lineRule="auto"/>
      <w:ind w:firstLine="420"/>
    </w:pPr>
    <w:rPr>
      <w:szCs w:val="20"/>
    </w:rPr>
  </w:style>
  <w:style w:type="paragraph" w:styleId="7">
    <w:name w:val="toc 5"/>
    <w:basedOn w:val="1"/>
    <w:next w:val="1"/>
    <w:semiHidden/>
    <w:qFormat/>
    <w:uiPriority w:val="99"/>
    <w:pPr>
      <w:ind w:left="1680"/>
    </w:pPr>
  </w:style>
  <w:style w:type="paragraph" w:styleId="8">
    <w:name w:val="toc 3"/>
    <w:basedOn w:val="1"/>
    <w:next w:val="1"/>
    <w:semiHidden/>
    <w:qFormat/>
    <w:uiPriority w:val="99"/>
    <w:pPr>
      <w:ind w:left="840"/>
    </w:pPr>
  </w:style>
  <w:style w:type="paragraph" w:styleId="9">
    <w:name w:val="toc 8"/>
    <w:basedOn w:val="1"/>
    <w:next w:val="1"/>
    <w:semiHidden/>
    <w:qFormat/>
    <w:uiPriority w:val="99"/>
    <w:pPr>
      <w:ind w:left="2940"/>
    </w:pPr>
  </w:style>
  <w:style w:type="paragraph" w:styleId="10">
    <w:name w:val="Body Text Indent 2"/>
    <w:basedOn w:val="1"/>
    <w:link w:val="215"/>
    <w:qFormat/>
    <w:uiPriority w:val="99"/>
    <w:pPr>
      <w:tabs>
        <w:tab w:val="left" w:pos="1260"/>
      </w:tabs>
      <w:spacing w:line="360" w:lineRule="auto"/>
      <w:ind w:firstLine="480"/>
    </w:pPr>
    <w:rPr>
      <w:rFonts w:ascii="宋体" w:hAnsi="宋体"/>
      <w:sz w:val="24"/>
    </w:rPr>
  </w:style>
  <w:style w:type="paragraph" w:styleId="11">
    <w:name w:val="Balloon Text"/>
    <w:basedOn w:val="1"/>
    <w:link w:val="209"/>
    <w:semiHidden/>
    <w:qFormat/>
    <w:uiPriority w:val="99"/>
    <w:rPr>
      <w:sz w:val="18"/>
      <w:szCs w:val="18"/>
    </w:rPr>
  </w:style>
  <w:style w:type="paragraph" w:styleId="12">
    <w:name w:val="footer"/>
    <w:basedOn w:val="1"/>
    <w:link w:val="230"/>
    <w:unhideWhenUsed/>
    <w:qFormat/>
    <w:uiPriority w:val="99"/>
    <w:pPr>
      <w:tabs>
        <w:tab w:val="center" w:pos="4153"/>
        <w:tab w:val="right" w:pos="8306"/>
      </w:tabs>
      <w:snapToGrid w:val="0"/>
      <w:jc w:val="left"/>
    </w:pPr>
    <w:rPr>
      <w:sz w:val="18"/>
      <w:szCs w:val="18"/>
    </w:rPr>
  </w:style>
  <w:style w:type="paragraph" w:styleId="13">
    <w:name w:val="header"/>
    <w:basedOn w:val="1"/>
    <w:link w:val="229"/>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right" w:leader="dot" w:pos="8455"/>
      </w:tabs>
      <w:spacing w:before="120" w:line="360" w:lineRule="auto"/>
      <w:ind w:firstLine="425"/>
      <w:jc w:val="left"/>
    </w:pPr>
    <w:rPr>
      <w:b/>
      <w:caps/>
      <w:sz w:val="20"/>
      <w:szCs w:val="20"/>
    </w:rPr>
  </w:style>
  <w:style w:type="paragraph" w:styleId="15">
    <w:name w:val="toc 4"/>
    <w:basedOn w:val="1"/>
    <w:next w:val="1"/>
    <w:semiHidden/>
    <w:qFormat/>
    <w:uiPriority w:val="99"/>
    <w:pPr>
      <w:ind w:left="1260"/>
    </w:pPr>
  </w:style>
  <w:style w:type="paragraph" w:styleId="16">
    <w:name w:val="Subtitle"/>
    <w:basedOn w:val="1"/>
    <w:next w:val="1"/>
    <w:link w:val="82"/>
    <w:qFormat/>
    <w:uiPriority w:val="11"/>
    <w:pPr>
      <w:spacing w:before="200" w:after="200"/>
    </w:pPr>
    <w:rPr>
      <w:sz w:val="24"/>
    </w:rPr>
  </w:style>
  <w:style w:type="paragraph" w:styleId="17">
    <w:name w:val="footnote text"/>
    <w:basedOn w:val="1"/>
    <w:link w:val="195"/>
    <w:semiHidden/>
    <w:unhideWhenUsed/>
    <w:qFormat/>
    <w:uiPriority w:val="99"/>
    <w:pPr>
      <w:spacing w:after="40"/>
    </w:pPr>
    <w:rPr>
      <w:sz w:val="18"/>
    </w:rPr>
  </w:style>
  <w:style w:type="paragraph" w:styleId="18">
    <w:name w:val="toc 6"/>
    <w:basedOn w:val="1"/>
    <w:next w:val="1"/>
    <w:semiHidden/>
    <w:qFormat/>
    <w:uiPriority w:val="99"/>
    <w:pPr>
      <w:ind w:left="2100"/>
    </w:pPr>
  </w:style>
  <w:style w:type="paragraph" w:styleId="19">
    <w:name w:val="toc 2"/>
    <w:basedOn w:val="1"/>
    <w:next w:val="1"/>
    <w:semiHidden/>
    <w:qFormat/>
    <w:uiPriority w:val="99"/>
    <w:pPr>
      <w:ind w:left="420"/>
    </w:pPr>
  </w:style>
  <w:style w:type="paragraph" w:styleId="20">
    <w:name w:val="toc 9"/>
    <w:basedOn w:val="1"/>
    <w:next w:val="1"/>
    <w:semiHidden/>
    <w:qFormat/>
    <w:uiPriority w:val="99"/>
    <w:pPr>
      <w:ind w:left="3360"/>
    </w:pPr>
  </w:style>
  <w:style w:type="paragraph" w:styleId="21">
    <w:name w:val="Body Text 2"/>
    <w:basedOn w:val="1"/>
    <w:link w:val="217"/>
    <w:qFormat/>
    <w:uiPriority w:val="99"/>
    <w:pPr>
      <w:tabs>
        <w:tab w:val="left" w:pos="3780"/>
      </w:tabs>
      <w:spacing w:line="300" w:lineRule="auto"/>
      <w:outlineLvl w:val="0"/>
    </w:pPr>
    <w:rPr>
      <w:rFonts w:ascii="宋体" w:hAnsi="宋体"/>
      <w:b/>
      <w:bCs/>
      <w:sz w:val="24"/>
    </w:rPr>
  </w:style>
  <w:style w:type="paragraph" w:styleId="22">
    <w:name w:val="Title"/>
    <w:basedOn w:val="1"/>
    <w:next w:val="1"/>
    <w:link w:val="81"/>
    <w:qFormat/>
    <w:uiPriority w:val="10"/>
    <w:pPr>
      <w:spacing w:before="300" w:after="200"/>
      <w:contextualSpacing/>
    </w:pPr>
    <w:rPr>
      <w:sz w:val="28"/>
      <w:szCs w:val="48"/>
    </w:rPr>
  </w:style>
  <w:style w:type="paragraph" w:styleId="23">
    <w:name w:val="annotation subject"/>
    <w:basedOn w:val="4"/>
    <w:next w:val="4"/>
    <w:link w:val="213"/>
    <w:semiHidden/>
    <w:qFormat/>
    <w:uiPriority w:val="99"/>
    <w:rPr>
      <w:b/>
      <w:bCs/>
    </w:rPr>
  </w:style>
  <w:style w:type="table" w:styleId="25">
    <w:name w:val="Table Grid"/>
    <w:basedOn w:val="2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27">
    <w:name w:val="page number"/>
    <w:basedOn w:val="26"/>
    <w:qFormat/>
    <w:uiPriority w:val="99"/>
    <w:rPr>
      <w:rFonts w:cs="Times New Roman"/>
    </w:rPr>
  </w:style>
  <w:style w:type="character" w:styleId="28">
    <w:name w:val="Hyperlink"/>
    <w:basedOn w:val="26"/>
    <w:qFormat/>
    <w:uiPriority w:val="99"/>
    <w:rPr>
      <w:rFonts w:cs="Times New Roman"/>
      <w:color w:val="0000FF"/>
      <w:u w:val="single"/>
    </w:rPr>
  </w:style>
  <w:style w:type="character" w:styleId="29">
    <w:name w:val="annotation reference"/>
    <w:basedOn w:val="26"/>
    <w:semiHidden/>
    <w:qFormat/>
    <w:uiPriority w:val="99"/>
    <w:rPr>
      <w:rFonts w:cs="Times New Roman"/>
      <w:sz w:val="21"/>
    </w:rPr>
  </w:style>
  <w:style w:type="character" w:styleId="30">
    <w:name w:val="footnote reference"/>
    <w:basedOn w:val="26"/>
    <w:unhideWhenUsed/>
    <w:qFormat/>
    <w:uiPriority w:val="99"/>
    <w:rPr>
      <w:vertAlign w:val="superscript"/>
    </w:rPr>
  </w:style>
  <w:style w:type="paragraph" w:customStyle="1" w:styleId="31">
    <w:name w:val="标题 11"/>
    <w:basedOn w:val="1"/>
    <w:next w:val="1"/>
    <w:link w:val="64"/>
    <w:qFormat/>
    <w:uiPriority w:val="9"/>
    <w:pPr>
      <w:keepNext/>
      <w:keepLines/>
      <w:spacing w:before="480" w:after="200"/>
      <w:outlineLvl w:val="0"/>
    </w:pPr>
    <w:rPr>
      <w:rFonts w:ascii="Arial" w:hAnsi="Arial" w:eastAsia="Arial" w:cs="Arial"/>
      <w:sz w:val="40"/>
      <w:szCs w:val="40"/>
    </w:rPr>
  </w:style>
  <w:style w:type="paragraph" w:customStyle="1" w:styleId="32">
    <w:name w:val="标题 21"/>
    <w:basedOn w:val="1"/>
    <w:next w:val="1"/>
    <w:link w:val="65"/>
    <w:unhideWhenUsed/>
    <w:qFormat/>
    <w:uiPriority w:val="9"/>
    <w:pPr>
      <w:keepNext/>
      <w:keepLines/>
      <w:spacing w:before="360" w:after="200"/>
      <w:outlineLvl w:val="1"/>
    </w:pPr>
    <w:rPr>
      <w:rFonts w:ascii="Arial" w:hAnsi="Arial" w:eastAsia="Arial" w:cs="Arial"/>
      <w:sz w:val="34"/>
    </w:rPr>
  </w:style>
  <w:style w:type="paragraph" w:customStyle="1" w:styleId="33">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34">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5">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36">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37">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38">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39">
    <w:name w:val="标题 91"/>
    <w:basedOn w:val="1"/>
    <w:next w:val="1"/>
    <w:unhideWhenUsed/>
    <w:qFormat/>
    <w:uiPriority w:val="9"/>
    <w:pPr>
      <w:keepNext/>
      <w:keepLines/>
      <w:spacing w:before="320" w:after="200"/>
      <w:outlineLvl w:val="8"/>
    </w:pPr>
    <w:rPr>
      <w:rFonts w:ascii="Arial" w:hAnsi="Arial" w:eastAsia="Arial" w:cs="Arial"/>
      <w:i/>
      <w:iCs/>
      <w:szCs w:val="21"/>
    </w:rPr>
  </w:style>
  <w:style w:type="character" w:customStyle="1" w:styleId="40">
    <w:name w:val="Title Char"/>
    <w:basedOn w:val="26"/>
    <w:qFormat/>
    <w:uiPriority w:val="10"/>
    <w:rPr>
      <w:sz w:val="48"/>
      <w:szCs w:val="48"/>
    </w:rPr>
  </w:style>
  <w:style w:type="character" w:customStyle="1" w:styleId="41">
    <w:name w:val="Subtitle Char"/>
    <w:basedOn w:val="26"/>
    <w:qFormat/>
    <w:uiPriority w:val="11"/>
    <w:rPr>
      <w:sz w:val="24"/>
      <w:szCs w:val="24"/>
    </w:rPr>
  </w:style>
  <w:style w:type="character" w:customStyle="1" w:styleId="42">
    <w:name w:val="Quote Char"/>
    <w:qFormat/>
    <w:uiPriority w:val="29"/>
    <w:rPr>
      <w:i/>
    </w:rPr>
  </w:style>
  <w:style w:type="character" w:customStyle="1" w:styleId="43">
    <w:name w:val="Intense Quote Char"/>
    <w:qFormat/>
    <w:uiPriority w:val="30"/>
    <w:rPr>
      <w:i/>
    </w:rPr>
  </w:style>
  <w:style w:type="table" w:customStyle="1" w:styleId="44">
    <w:name w:val="无格式表格 11"/>
    <w:basedOn w:val="2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auto" w:fill="FFFFFF" w:themeFill="text1" w:themeFillTint="00"/>
      </w:tcPr>
    </w:tblStylePr>
    <w:tblStylePr w:type="band2Vert">
      <w:pPr>
        <w:snapToGrid/>
      </w:pPr>
    </w:tblStylePr>
    <w:tblStylePr w:type="band1Horz">
      <w:pPr>
        <w:snapToGrid/>
      </w:pPr>
      <w:tcPr>
        <w:shd w:val="clear" w:color="auto"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5">
    <w:name w:val="无格式表格 21"/>
    <w:basedOn w:val="2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6">
    <w:name w:val="无格式表格 31"/>
    <w:basedOn w:val="24"/>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auto" w:fill="FFFFFF" w:themeFill="text1" w:themeFillTint="00"/>
      </w:tcPr>
    </w:tblStylePr>
    <w:tblStylePr w:type="band2Vert">
      <w:pPr>
        <w:snapToGrid/>
      </w:pPr>
    </w:tblStylePr>
    <w:tblStylePr w:type="band1Horz">
      <w:pPr>
        <w:snapToGrid/>
      </w:pPr>
      <w:rPr>
        <w:rFonts w:ascii="Arial" w:hAnsi="Arial"/>
        <w:color w:val="404040"/>
        <w:sz w:val="22"/>
      </w:rPr>
      <w:tcPr>
        <w:shd w:val="clear" w:color="auto"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7">
    <w:name w:val="无格式表格 41"/>
    <w:basedOn w:val="24"/>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FFFFF" w:themeFill="text1" w:themeFillTint="00"/>
      </w:tcPr>
    </w:tblStylePr>
    <w:tblStylePr w:type="band2Vert">
      <w:pPr>
        <w:snapToGrid/>
      </w:pPr>
    </w:tblStylePr>
    <w:tblStylePr w:type="band1Horz">
      <w:pPr>
        <w:snapToGrid/>
      </w:pPr>
      <w:rPr>
        <w:rFonts w:ascii="Arial" w:hAnsi="Arial"/>
        <w:color w:val="404040"/>
        <w:sz w:val="22"/>
      </w:rPr>
      <w:tcPr>
        <w:shd w:val="clear" w:color="auto"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8">
    <w:name w:val="无格式表格 51"/>
    <w:basedOn w:val="24"/>
    <w:qFormat/>
    <w:uiPriority w:val="99"/>
    <w:tblStylePr w:type="firstRow">
      <w:pPr>
        <w:snapToGrid/>
      </w:pPr>
      <w:rPr>
        <w:i/>
        <w:color w:val="404040"/>
      </w:rPr>
      <w:tcPr>
        <w:tcBorders>
          <w:left w:val="nil"/>
          <w:bottom w:val="single" w:color="404040" w:sz="4" w:space="0"/>
          <w:right w:val="nil"/>
        </w:tcBorders>
        <w:shd w:val="clear" w:color="auto" w:fill="FFFFFF"/>
      </w:tcPr>
    </w:tblStylePr>
    <w:tblStylePr w:type="lastRow">
      <w:pPr>
        <w:snapToGrid/>
      </w:pPr>
      <w:rPr>
        <w:i/>
        <w:color w:val="404040"/>
      </w:rPr>
      <w:tcPr>
        <w:tcBorders>
          <w:top w:val="single" w:color="404040" w:sz="4" w:space="0"/>
          <w:left w:val="nil"/>
          <w:right w:val="nil"/>
        </w:tcBorders>
        <w:shd w:val="clear" w:color="auto" w:fill="FFFFFF"/>
      </w:tcPr>
    </w:tblStylePr>
    <w:tblStylePr w:type="firstCol">
      <w:pPr>
        <w:snapToGrid/>
        <w:jc w:val="right"/>
      </w:pPr>
      <w:rPr>
        <w:i/>
        <w:color w:val="404040"/>
      </w:rPr>
      <w:tcPr>
        <w:tcBorders>
          <w:right w:val="single" w:color="404040" w:sz="4" w:space="0"/>
        </w:tcBorders>
        <w:shd w:val="clear" w:color="auto" w:fill="FFFFFF"/>
      </w:tcPr>
    </w:tblStylePr>
    <w:tblStylePr w:type="lastCol">
      <w:pPr>
        <w:snapToGrid/>
      </w:pPr>
      <w:rPr>
        <w:i/>
        <w:color w:val="404040"/>
      </w:rPr>
      <w:tcPr>
        <w:tcBorders>
          <w:left w:val="single" w:color="404040" w:sz="4" w:space="0"/>
        </w:tcBorders>
        <w:shd w:val="clear" w:color="auto" w:fill="FFFFFF"/>
      </w:tcPr>
    </w:tblStylePr>
    <w:tblStylePr w:type="band1Vert">
      <w:pPr>
        <w:snapToGrid/>
      </w:pPr>
      <w:rPr>
        <w:rFonts w:ascii="Arial" w:hAnsi="Arial"/>
        <w:color w:val="404040"/>
        <w:sz w:val="22"/>
      </w:rPr>
      <w:tcPr>
        <w:shd w:val="clear" w:color="auto" w:fill="FFFFFF" w:themeFill="text1" w:themeFillTint="00"/>
      </w:tcPr>
    </w:tblStylePr>
    <w:tblStylePr w:type="band2Vert">
      <w:pPr>
        <w:snapToGrid/>
      </w:pPr>
    </w:tblStylePr>
    <w:tblStylePr w:type="band1Horz">
      <w:pPr>
        <w:snapToGrid/>
      </w:pPr>
      <w:rPr>
        <w:rFonts w:ascii="Arial" w:hAnsi="Arial"/>
        <w:color w:val="404040"/>
        <w:sz w:val="22"/>
      </w:rPr>
      <w:tcPr>
        <w:shd w:val="clear" w:color="auto"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9">
    <w:name w:val="网格表 1 浅色1"/>
    <w:basedOn w:val="2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0">
    <w:name w:val="网格表 21"/>
    <w:basedOn w:val="2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auto" w:fill="FFFFFF"/>
      </w:tcPr>
    </w:tblStylePr>
    <w:tblStylePr w:type="lastRow">
      <w:pPr>
        <w:snapToGrid/>
      </w:pPr>
      <w:rPr>
        <w:b/>
        <w:color w:val="404040"/>
      </w:rPr>
      <w:tcPr>
        <w:tcBorders>
          <w:top w:val="single" w:color="696969" w:themeColor="text1" w:themeTint="95"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1">
    <w:name w:val="网格表 31"/>
    <w:basedOn w:val="2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网格表 41"/>
    <w:basedOn w:val="2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网格表 5 深色1"/>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rFonts w:ascii="Arial" w:hAnsi="Arial"/>
        <w:b/>
        <w:color w:val="FFFFFF"/>
        <w:sz w:val="22"/>
      </w:rPr>
      <w:tcPr>
        <w:tcBorders>
          <w:top w:val="single" w:color="FFFFFF" w:themeColor="light1" w:sz="4" w:space="0"/>
        </w:tcBorders>
        <w:shd w:val="clear" w:color="auto" w:fill="000000" w:themeFill="text1"/>
      </w:tcPr>
    </w:tblStylePr>
    <w:tblStylePr w:type="firstCol">
      <w:pPr>
        <w:snapToGrid/>
      </w:pPr>
      <w:rPr>
        <w:rFonts w:ascii="Arial" w:hAnsi="Arial"/>
        <w:b/>
        <w:color w:val="FFFFFF"/>
        <w:sz w:val="22"/>
      </w:rPr>
      <w:tcPr>
        <w:shd w:val="clear" w:color="auto" w:fill="000000" w:themeFill="text1"/>
      </w:tcPr>
    </w:tblStylePr>
    <w:tblStylePr w:type="lastCol">
      <w:pPr>
        <w:snapToGrid/>
      </w:pPr>
      <w:rPr>
        <w:rFonts w:ascii="Arial" w:hAnsi="Arial"/>
        <w:b/>
        <w:color w:val="FFFFFF"/>
        <w:sz w:val="22"/>
      </w:rPr>
      <w:tcPr>
        <w:shd w:val="clear" w:color="auto" w:fill="000000" w:themeFill="text1"/>
      </w:tcPr>
    </w:tblStylePr>
    <w:tblStylePr w:type="band1Vert">
      <w:pPr>
        <w:snapToGrid/>
      </w:pPr>
      <w:tcPr>
        <w:shd w:val="clear" w:color="auto" w:fill="898989" w:themeFill="text1" w:themeFillTint="75"/>
      </w:tcPr>
    </w:tblStylePr>
    <w:tblStylePr w:type="band2Vert">
      <w:pPr>
        <w:snapToGrid/>
      </w:pPr>
    </w:tblStylePr>
    <w:tblStylePr w:type="band1Horz">
      <w:pPr>
        <w:snapToGrid/>
      </w:pPr>
      <w:tcPr>
        <w:shd w:val="clear" w:color="auto"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网格表 6 彩色1"/>
    <w:basedOn w:val="2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7E7E7E" w:themeColor="text1" w:themeShade="95" w:themeTint="80"/>
      </w:rPr>
      <w:tcPr>
        <w:tcBorders>
          <w:bottom w:val="single" w:color="7E7E7E" w:themeColor="text1" w:themeTint="80" w:sz="12" w:space="0"/>
        </w:tcBorders>
      </w:tcPr>
    </w:tblStylePr>
    <w:tblStylePr w:type="lastRow">
      <w:pPr>
        <w:snapToGrid/>
      </w:pPr>
      <w:rPr>
        <w:b/>
        <w:color w:val="7E7E7E" w:themeColor="text1" w:themeShade="95" w:themeTint="80"/>
      </w:rPr>
    </w:tblStylePr>
    <w:tblStylePr w:type="firstCol">
      <w:pPr>
        <w:snapToGrid/>
      </w:pPr>
      <w:rPr>
        <w:b/>
        <w:color w:val="7E7E7E" w:themeColor="text1" w:themeShade="95" w:themeTint="80"/>
      </w:rPr>
    </w:tblStylePr>
    <w:tblStylePr w:type="lastCol">
      <w:pPr>
        <w:snapToGrid/>
      </w:pPr>
      <w:rPr>
        <w:b/>
        <w:color w:val="7E7E7E" w:themeColor="text1" w:themeShade="95" w:themeTint="80"/>
      </w:rPr>
    </w:tblStylePr>
    <w:tblStylePr w:type="band1Vert">
      <w:pPr>
        <w:snapToGrid/>
      </w:pPr>
      <w:tcPr>
        <w:shd w:val="clear" w:color="auto" w:fill="CACACA" w:themeFill="text1" w:themeFillTint="34"/>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CACACA" w:themeFill="text1" w:themeFillTint="34"/>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网格表 7 彩色1"/>
    <w:basedOn w:val="2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auto" w:fill="FFFFFF" w:themeFill="light1"/>
      </w:tcPr>
    </w:tblStylePr>
    <w:tblStylePr w:type="lastRow">
      <w:pPr>
        <w:snapToGrid/>
      </w:pPr>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auto" w:fill="FFFFFF" w:themeFill="light1"/>
      </w:tcPr>
    </w:tblStylePr>
    <w:tblStylePr w:type="firstCol">
      <w:pPr>
        <w:snapToGrid/>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auto" w:fill="FFFFFF"/>
      </w:tcPr>
    </w:tblStylePr>
    <w:tblStylePr w:type="lastCol">
      <w:pPr>
        <w:snapToGrid/>
      </w:pPr>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auto" w:fill="FFFFFF"/>
      </w:tcPr>
    </w:tblStylePr>
    <w:tblStylePr w:type="band1Vert">
      <w:pPr>
        <w:snapToGrid/>
      </w:pPr>
      <w:tcPr>
        <w:shd w:val="clear" w:color="auto" w:fill="FFFFFF" w:themeFill="text1" w:themeFillTint="00"/>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FFFFFF" w:themeFill="text1" w:themeFillTint="00"/>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清单表 1 浅色1"/>
    <w:basedOn w:val="24"/>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BEBEBE" w:themeFill="text1" w:themeFillTint="40"/>
      </w:tcPr>
    </w:tblStylePr>
    <w:tblStylePr w:type="band2Vert">
      <w:pPr>
        <w:snapToGrid/>
      </w:pPr>
    </w:tblStylePr>
    <w:tblStylePr w:type="band1Horz">
      <w:pPr>
        <w:snapToGrid/>
      </w:p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清单表 21"/>
    <w:basedOn w:val="2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BEBEBE" w:themeFill="text1" w:themeFillTint="40"/>
      </w:tcPr>
    </w:tblStylePr>
    <w:tblStylePr w:type="band2Vert">
      <w:pPr>
        <w:snapToGrid/>
      </w:pPr>
    </w:tblStylePr>
    <w:tblStylePr w:type="band1Horz">
      <w:pPr>
        <w:snapToGrid/>
      </w:pPr>
      <w:rPr>
        <w:rFonts w:ascii="Arial" w:hAnsi="Arial"/>
        <w:color w:val="404040"/>
        <w:sz w:val="22"/>
      </w:r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清单表 31"/>
    <w:basedOn w:val="2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清单表 41"/>
    <w:basedOn w:val="2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BEBEBE" w:themeFill="text1" w:themeFillTint="40"/>
      </w:tcPr>
    </w:tblStylePr>
    <w:tblStylePr w:type="band2Vert">
      <w:pPr>
        <w:snapToGrid/>
      </w:pPr>
    </w:tblStylePr>
    <w:tblStylePr w:type="band1Horz">
      <w:pPr>
        <w:snapToGrid/>
      </w:pPr>
      <w:rPr>
        <w:rFonts w:ascii="Arial" w:hAnsi="Arial"/>
        <w:color w:val="404040"/>
        <w:sz w:val="22"/>
      </w:r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清单表 5 深色1"/>
    <w:basedOn w:val="2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auto"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auto"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清单表 6 彩色1"/>
    <w:basedOn w:val="24"/>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rPr>
      <w:tcPr>
        <w:tcBorders>
          <w:bottom w:val="single" w:color="7E7E7E" w:themeColor="text1" w:themeTint="80" w:sz="4" w:space="0"/>
        </w:tcBorders>
      </w:tcPr>
    </w:tblStylePr>
    <w:tblStylePr w:type="lastRow">
      <w:pPr>
        <w:snapToGrid/>
      </w:pPr>
      <w:rPr>
        <w:b/>
        <w:color w:val="000000" w:themeColor="text1"/>
      </w:rPr>
      <w:tcPr>
        <w:tcBorders>
          <w:top w:val="single" w:color="7E7E7E" w:themeColor="text1" w:themeTint="80" w:sz="4" w:space="0"/>
        </w:tcBorders>
      </w:tcPr>
    </w:tblStylePr>
    <w:tblStylePr w:type="firstCol">
      <w:pPr>
        <w:snapToGrid/>
      </w:pPr>
      <w:rPr>
        <w:b/>
        <w:color w:val="000000" w:themeColor="text1"/>
      </w:rPr>
    </w:tblStylePr>
    <w:tblStylePr w:type="lastCol">
      <w:pPr>
        <w:snapToGrid/>
      </w:pPr>
      <w:rPr>
        <w:b/>
        <w:color w:val="000000" w:themeColor="text1"/>
      </w:rPr>
    </w:tblStylePr>
    <w:tblStylePr w:type="band1Vert">
      <w:pPr>
        <w:snapToGrid/>
      </w:pPr>
      <w:tcPr>
        <w:shd w:val="clear" w:color="auto" w:fill="BEBEBE" w:themeFill="text1" w:themeFillTint="40"/>
      </w:tcPr>
    </w:tblStylePr>
    <w:tblStylePr w:type="band2Vert">
      <w:pPr>
        <w:snapToGrid/>
      </w:pPr>
    </w:tblStylePr>
    <w:tblStylePr w:type="band1Horz">
      <w:pPr>
        <w:snapToGrid/>
      </w:pPr>
      <w:rPr>
        <w:rFonts w:ascii="Arial" w:hAnsi="Arial"/>
        <w:color w:val="000000" w:themeColor="text1"/>
        <w:sz w:val="22"/>
      </w:rPr>
      <w:tcPr>
        <w:shd w:val="clear" w:color="auto" w:fill="BEBEBE" w:themeFill="text1" w:themeFillTint="40"/>
      </w:tcPr>
    </w:tblStylePr>
    <w:tblStylePr w:type="band2Horz">
      <w:pPr>
        <w:snapToGrid/>
      </w:pPr>
      <w:rPr>
        <w:rFonts w:ascii="Arial" w:hAnsi="Arial"/>
        <w:color w:val="000000" w:themeColor="text1"/>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清单表 7 彩色1"/>
    <w:basedOn w:val="24"/>
    <w:qFormat/>
    <w:uiPriority w:val="99"/>
    <w:tblPr>
      <w:tblBorders>
        <w:right w:val="single" w:color="7E7E7E" w:themeColor="text1" w:themeTint="80" w:sz="4" w:space="0"/>
      </w:tblBorders>
    </w:tblPr>
    <w:tblStylePr w:type="firstRow">
      <w:pPr>
        <w:snapToGrid/>
      </w:pPr>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auto" w:fill="FFFFFF" w:themeFill="light1"/>
      </w:tcPr>
    </w:tblStylePr>
    <w:tblStylePr w:type="lastRow">
      <w:pPr>
        <w:snapToGrid/>
      </w:pPr>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auto" w:fill="FFFFFF" w:themeFill="light1"/>
      </w:tcPr>
    </w:tblStylePr>
    <w:tblStylePr w:type="firstCol">
      <w:pPr>
        <w:snapToGrid/>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auto" w:fill="FFFFFF"/>
      </w:tcPr>
    </w:tblStylePr>
    <w:tblStylePr w:type="lastCol">
      <w:pPr>
        <w:snapToGrid/>
      </w:pPr>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auto" w:fill="FFFFFF"/>
      </w:tcPr>
    </w:tblStylePr>
    <w:tblStylePr w:type="band1Vert">
      <w:pPr>
        <w:snapToGrid/>
      </w:pPr>
      <w:tcPr>
        <w:shd w:val="clear" w:color="auto" w:fill="BEBEBE" w:themeFill="text1" w:themeFillTint="40"/>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BEBEBE" w:themeFill="text1" w:themeFillTint="40"/>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63">
    <w:name w:val="Footnote Text Char"/>
    <w:qFormat/>
    <w:uiPriority w:val="99"/>
    <w:rPr>
      <w:sz w:val="18"/>
    </w:rPr>
  </w:style>
  <w:style w:type="character" w:customStyle="1" w:styleId="64">
    <w:name w:val="Heading 1 Char"/>
    <w:basedOn w:val="26"/>
    <w:link w:val="31"/>
    <w:qFormat/>
    <w:uiPriority w:val="9"/>
    <w:rPr>
      <w:rFonts w:ascii="Arial" w:hAnsi="Arial" w:eastAsia="Arial" w:cs="Arial"/>
      <w:sz w:val="40"/>
      <w:szCs w:val="40"/>
    </w:rPr>
  </w:style>
  <w:style w:type="character" w:customStyle="1" w:styleId="65">
    <w:name w:val="Heading 2 Char"/>
    <w:basedOn w:val="26"/>
    <w:link w:val="32"/>
    <w:qFormat/>
    <w:uiPriority w:val="9"/>
    <w:rPr>
      <w:rFonts w:ascii="Arial" w:hAnsi="Arial" w:eastAsia="Arial" w:cs="Arial"/>
      <w:sz w:val="34"/>
    </w:rPr>
  </w:style>
  <w:style w:type="paragraph" w:customStyle="1" w:styleId="66">
    <w:name w:val="标题 311"/>
    <w:basedOn w:val="1"/>
    <w:next w:val="1"/>
    <w:link w:val="67"/>
    <w:unhideWhenUsed/>
    <w:qFormat/>
    <w:uiPriority w:val="9"/>
    <w:pPr>
      <w:keepNext/>
      <w:keepLines/>
      <w:spacing w:before="320" w:after="200"/>
      <w:outlineLvl w:val="2"/>
    </w:pPr>
    <w:rPr>
      <w:rFonts w:ascii="Arial" w:hAnsi="Arial" w:eastAsia="Arial" w:cs="Arial"/>
      <w:sz w:val="28"/>
      <w:szCs w:val="30"/>
    </w:rPr>
  </w:style>
  <w:style w:type="character" w:customStyle="1" w:styleId="67">
    <w:name w:val="Heading 3 Char"/>
    <w:basedOn w:val="26"/>
    <w:link w:val="66"/>
    <w:qFormat/>
    <w:uiPriority w:val="9"/>
    <w:rPr>
      <w:rFonts w:ascii="Arial" w:hAnsi="Arial" w:eastAsia="Arial" w:cs="Arial"/>
      <w:sz w:val="30"/>
      <w:szCs w:val="30"/>
    </w:rPr>
  </w:style>
  <w:style w:type="paragraph" w:customStyle="1" w:styleId="68">
    <w:name w:val="标题 411"/>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character" w:customStyle="1" w:styleId="69">
    <w:name w:val="Heading 4 Char"/>
    <w:basedOn w:val="26"/>
    <w:link w:val="68"/>
    <w:qFormat/>
    <w:uiPriority w:val="9"/>
    <w:rPr>
      <w:rFonts w:ascii="Arial" w:hAnsi="Arial" w:eastAsia="Arial" w:cs="Arial"/>
      <w:b/>
      <w:bCs/>
      <w:sz w:val="26"/>
      <w:szCs w:val="26"/>
    </w:rPr>
  </w:style>
  <w:style w:type="paragraph" w:customStyle="1" w:styleId="70">
    <w:name w:val="标题 511"/>
    <w:basedOn w:val="1"/>
    <w:next w:val="1"/>
    <w:link w:val="71"/>
    <w:unhideWhenUsed/>
    <w:qFormat/>
    <w:uiPriority w:val="9"/>
    <w:pPr>
      <w:keepNext/>
      <w:keepLines/>
      <w:spacing w:before="320" w:after="200"/>
      <w:outlineLvl w:val="4"/>
    </w:pPr>
    <w:rPr>
      <w:rFonts w:ascii="Arial" w:hAnsi="Arial" w:eastAsia="Arial" w:cs="Arial"/>
      <w:b/>
      <w:bCs/>
      <w:sz w:val="24"/>
    </w:rPr>
  </w:style>
  <w:style w:type="character" w:customStyle="1" w:styleId="71">
    <w:name w:val="Heading 5 Char"/>
    <w:basedOn w:val="26"/>
    <w:link w:val="70"/>
    <w:qFormat/>
    <w:uiPriority w:val="9"/>
    <w:rPr>
      <w:rFonts w:ascii="Arial" w:hAnsi="Arial" w:eastAsia="Arial" w:cs="Arial"/>
      <w:b/>
      <w:bCs/>
      <w:sz w:val="24"/>
      <w:szCs w:val="24"/>
    </w:rPr>
  </w:style>
  <w:style w:type="paragraph" w:customStyle="1" w:styleId="72">
    <w:name w:val="标题 611"/>
    <w:basedOn w:val="1"/>
    <w:next w:val="1"/>
    <w:link w:val="73"/>
    <w:unhideWhenUsed/>
    <w:qFormat/>
    <w:uiPriority w:val="9"/>
    <w:pPr>
      <w:keepNext/>
      <w:keepLines/>
      <w:spacing w:before="320" w:after="200"/>
      <w:outlineLvl w:val="5"/>
    </w:pPr>
    <w:rPr>
      <w:rFonts w:ascii="Arial" w:hAnsi="Arial" w:eastAsia="Arial" w:cs="Arial"/>
      <w:b/>
      <w:bCs/>
      <w:sz w:val="22"/>
      <w:szCs w:val="22"/>
    </w:rPr>
  </w:style>
  <w:style w:type="character" w:customStyle="1" w:styleId="73">
    <w:name w:val="Heading 6 Char"/>
    <w:basedOn w:val="26"/>
    <w:link w:val="72"/>
    <w:qFormat/>
    <w:uiPriority w:val="9"/>
    <w:rPr>
      <w:rFonts w:ascii="Arial" w:hAnsi="Arial" w:eastAsia="Arial" w:cs="Arial"/>
      <w:b/>
      <w:bCs/>
      <w:sz w:val="22"/>
      <w:szCs w:val="22"/>
    </w:rPr>
  </w:style>
  <w:style w:type="paragraph" w:customStyle="1" w:styleId="74">
    <w:name w:val="标题 711"/>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5">
    <w:name w:val="Heading 7 Char"/>
    <w:basedOn w:val="26"/>
    <w:link w:val="74"/>
    <w:qFormat/>
    <w:uiPriority w:val="9"/>
    <w:rPr>
      <w:rFonts w:ascii="Arial" w:hAnsi="Arial" w:eastAsia="Arial" w:cs="Arial"/>
      <w:b/>
      <w:bCs/>
      <w:i/>
      <w:iCs/>
      <w:sz w:val="22"/>
      <w:szCs w:val="22"/>
    </w:rPr>
  </w:style>
  <w:style w:type="paragraph" w:customStyle="1" w:styleId="76">
    <w:name w:val="标题 811"/>
    <w:basedOn w:val="1"/>
    <w:next w:val="1"/>
    <w:link w:val="77"/>
    <w:unhideWhenUsed/>
    <w:qFormat/>
    <w:uiPriority w:val="9"/>
    <w:pPr>
      <w:keepNext/>
      <w:keepLines/>
      <w:spacing w:before="320" w:after="200"/>
      <w:outlineLvl w:val="7"/>
    </w:pPr>
    <w:rPr>
      <w:rFonts w:ascii="Arial" w:hAnsi="Arial" w:eastAsia="Arial" w:cs="Arial"/>
      <w:i/>
      <w:iCs/>
      <w:sz w:val="22"/>
      <w:szCs w:val="22"/>
    </w:rPr>
  </w:style>
  <w:style w:type="character" w:customStyle="1" w:styleId="77">
    <w:name w:val="Heading 8 Char"/>
    <w:basedOn w:val="26"/>
    <w:link w:val="76"/>
    <w:qFormat/>
    <w:uiPriority w:val="9"/>
    <w:rPr>
      <w:rFonts w:ascii="Arial" w:hAnsi="Arial" w:eastAsia="Arial" w:cs="Arial"/>
      <w:i/>
      <w:iCs/>
      <w:sz w:val="22"/>
      <w:szCs w:val="22"/>
    </w:rPr>
  </w:style>
  <w:style w:type="paragraph" w:customStyle="1" w:styleId="78">
    <w:name w:val="标题 911"/>
    <w:basedOn w:val="1"/>
    <w:next w:val="1"/>
    <w:link w:val="79"/>
    <w:unhideWhenUsed/>
    <w:qFormat/>
    <w:uiPriority w:val="9"/>
    <w:pPr>
      <w:keepNext/>
      <w:keepLines/>
      <w:spacing w:before="320" w:after="200"/>
      <w:outlineLvl w:val="8"/>
    </w:pPr>
    <w:rPr>
      <w:rFonts w:ascii="Arial" w:hAnsi="Arial" w:eastAsia="Arial" w:cs="Arial"/>
      <w:i/>
      <w:iCs/>
      <w:szCs w:val="21"/>
    </w:rPr>
  </w:style>
  <w:style w:type="character" w:customStyle="1" w:styleId="79">
    <w:name w:val="Heading 9 Char"/>
    <w:basedOn w:val="26"/>
    <w:link w:val="78"/>
    <w:qFormat/>
    <w:uiPriority w:val="9"/>
    <w:rPr>
      <w:rFonts w:ascii="Arial" w:hAnsi="Arial" w:eastAsia="Arial" w:cs="Arial"/>
      <w:i/>
      <w:iCs/>
      <w:sz w:val="21"/>
      <w:szCs w:val="21"/>
    </w:rPr>
  </w:style>
  <w:style w:type="paragraph" w:styleId="80">
    <w:name w:val="No Spacing"/>
    <w:qFormat/>
    <w:uiPriority w:val="1"/>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Cs w:val="22"/>
      <w:lang w:val="en-US" w:eastAsia="zh-CN" w:bidi="ar-SA"/>
    </w:rPr>
  </w:style>
  <w:style w:type="character" w:customStyle="1" w:styleId="81">
    <w:name w:val="标题 字符"/>
    <w:basedOn w:val="26"/>
    <w:link w:val="22"/>
    <w:qFormat/>
    <w:uiPriority w:val="10"/>
    <w:rPr>
      <w:sz w:val="48"/>
      <w:szCs w:val="48"/>
    </w:rPr>
  </w:style>
  <w:style w:type="character" w:customStyle="1" w:styleId="82">
    <w:name w:val="副标题 字符"/>
    <w:basedOn w:val="26"/>
    <w:link w:val="16"/>
    <w:qFormat/>
    <w:uiPriority w:val="11"/>
    <w:rPr>
      <w:sz w:val="24"/>
      <w:szCs w:val="24"/>
    </w:rPr>
  </w:style>
  <w:style w:type="paragraph" w:styleId="83">
    <w:name w:val="Quote"/>
    <w:basedOn w:val="1"/>
    <w:next w:val="1"/>
    <w:link w:val="84"/>
    <w:qFormat/>
    <w:uiPriority w:val="29"/>
    <w:pPr>
      <w:ind w:left="720" w:right="720"/>
    </w:pPr>
    <w:rPr>
      <w:i/>
    </w:rPr>
  </w:style>
  <w:style w:type="character" w:customStyle="1" w:styleId="84">
    <w:name w:val="引用 字符"/>
    <w:link w:val="83"/>
    <w:qFormat/>
    <w:uiPriority w:val="29"/>
    <w:rPr>
      <w:i/>
    </w:rPr>
  </w:style>
  <w:style w:type="paragraph" w:styleId="85">
    <w:name w:val="Intense Quote"/>
    <w:basedOn w:val="1"/>
    <w:next w:val="1"/>
    <w:link w:val="8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6">
    <w:name w:val="明显引用 字符"/>
    <w:link w:val="85"/>
    <w:qFormat/>
    <w:uiPriority w:val="30"/>
    <w:rPr>
      <w:i/>
    </w:rPr>
  </w:style>
  <w:style w:type="character" w:customStyle="1" w:styleId="87">
    <w:name w:val="Header Char"/>
    <w:basedOn w:val="26"/>
    <w:qFormat/>
    <w:uiPriority w:val="99"/>
  </w:style>
  <w:style w:type="character" w:customStyle="1" w:styleId="88">
    <w:name w:val="Footer Char"/>
    <w:basedOn w:val="26"/>
    <w:qFormat/>
    <w:uiPriority w:val="99"/>
  </w:style>
  <w:style w:type="table" w:customStyle="1" w:styleId="89">
    <w:name w:val="Table Grid Light"/>
    <w:basedOn w:val="2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1 Light - Accent 1"/>
    <w:basedOn w:val="2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1 Light - Accent 2"/>
    <w:basedOn w:val="2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1 Light - Accent 3"/>
    <w:basedOn w:val="2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1 Light - Accent 4"/>
    <w:basedOn w:val="2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Grid Table 1 Light - Accent 5"/>
    <w:basedOn w:val="2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1 Light - Accent 6"/>
    <w:basedOn w:val="2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2 - Accent 1"/>
    <w:basedOn w:val="2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auto" w:fill="FFFFFF"/>
      </w:tcPr>
    </w:tblStylePr>
    <w:tblStylePr w:type="lastRow">
      <w:pPr>
        <w:snapToGrid/>
      </w:pPr>
      <w:rPr>
        <w:b/>
        <w:color w:val="404040"/>
      </w:rPr>
      <w:tcPr>
        <w:tcBorders>
          <w:top w:val="single" w:color="5D8BC2" w:themeColor="accent1" w:themeTint="EA"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BE5F1" w:themeFill="accent1" w:themeFillTint="34"/>
      </w:tcPr>
    </w:tblStylePr>
    <w:tblStylePr w:type="band2Vert">
      <w:pPr>
        <w:snapToGrid/>
      </w:pPr>
    </w:tblStylePr>
    <w:tblStylePr w:type="band1Horz">
      <w:pPr>
        <w:snapToGrid/>
      </w:pPr>
      <w:rPr>
        <w:rFonts w:ascii="Arial" w:hAnsi="Arial"/>
        <w:color w:val="404040"/>
        <w:sz w:val="22"/>
      </w:rPr>
      <w:tcPr>
        <w:shd w:val="clear" w:color="auto"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2 - Accent 2"/>
    <w:basedOn w:val="2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auto" w:fill="FFFFFF"/>
      </w:tcPr>
    </w:tblStylePr>
    <w:tblStylePr w:type="lastRow">
      <w:pPr>
        <w:snapToGrid/>
      </w:pPr>
      <w:rPr>
        <w:b/>
        <w:color w:val="404040"/>
      </w:rPr>
      <w:tcPr>
        <w:tcBorders>
          <w:top w:val="single" w:color="D99795" w:themeColor="accent2" w:themeTint="97"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2DCDC" w:themeFill="accent2" w:themeFillTint="32"/>
      </w:tcPr>
    </w:tblStylePr>
    <w:tblStylePr w:type="band2Vert">
      <w:pPr>
        <w:snapToGrid/>
      </w:pPr>
    </w:tblStylePr>
    <w:tblStylePr w:type="band1Horz">
      <w:pPr>
        <w:snapToGrid/>
      </w:pPr>
      <w:rPr>
        <w:rFonts w:ascii="Arial" w:hAnsi="Arial"/>
        <w:color w:val="404040"/>
        <w:sz w:val="22"/>
      </w:rPr>
      <w:tcPr>
        <w:shd w:val="clear" w:color="auto"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2 - Accent 3"/>
    <w:basedOn w:val="2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auto" w:fill="FFFFFF"/>
      </w:tcPr>
    </w:tblStylePr>
    <w:tblStylePr w:type="lastRow">
      <w:pPr>
        <w:snapToGrid/>
      </w:pPr>
      <w:rPr>
        <w:b/>
        <w:color w:val="404040"/>
      </w:rPr>
      <w:tcPr>
        <w:tcBorders>
          <w:top w:val="single" w:color="9BBB59" w:themeColor="accent3" w:themeTint="FE"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AF1DD" w:themeFill="accent3" w:themeFillTint="34"/>
      </w:tcPr>
    </w:tblStylePr>
    <w:tblStylePr w:type="band2Vert">
      <w:pPr>
        <w:snapToGrid/>
      </w:pPr>
    </w:tblStylePr>
    <w:tblStylePr w:type="band1Horz">
      <w:pPr>
        <w:snapToGrid/>
      </w:pPr>
      <w:rPr>
        <w:rFonts w:ascii="Arial" w:hAnsi="Arial"/>
        <w:color w:val="404040"/>
        <w:sz w:val="22"/>
      </w:rPr>
      <w:tcPr>
        <w:shd w:val="clear" w:color="auto"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Grid Table 2 - Accent 4"/>
    <w:basedOn w:val="2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auto" w:fill="FFFFFF"/>
      </w:tcPr>
    </w:tblStylePr>
    <w:tblStylePr w:type="lastRow">
      <w:pPr>
        <w:snapToGrid/>
      </w:pPr>
      <w:rPr>
        <w:b/>
        <w:color w:val="404040"/>
      </w:rPr>
      <w:tcPr>
        <w:tcBorders>
          <w:top w:val="single" w:color="B2A1C6" w:themeColor="accent4" w:themeTint="9A"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5DFEC" w:themeFill="accent4" w:themeFillTint="34"/>
      </w:tcPr>
    </w:tblStylePr>
    <w:tblStylePr w:type="band2Vert">
      <w:pPr>
        <w:snapToGrid/>
      </w:pPr>
    </w:tblStylePr>
    <w:tblStylePr w:type="band1Horz">
      <w:pPr>
        <w:snapToGrid/>
      </w:pPr>
      <w:rPr>
        <w:rFonts w:ascii="Arial" w:hAnsi="Arial"/>
        <w:color w:val="404040"/>
        <w:sz w:val="22"/>
      </w:rPr>
      <w:tcPr>
        <w:shd w:val="clear" w:color="auto"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2 - Accent 5"/>
    <w:basedOn w:val="2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auto" w:fill="FFFFFF"/>
      </w:tcPr>
    </w:tblStylePr>
    <w:tblStylePr w:type="lastRow">
      <w:pPr>
        <w:snapToGrid/>
      </w:pPr>
      <w:rPr>
        <w:b/>
        <w:color w:val="404040"/>
      </w:rPr>
      <w:tcPr>
        <w:tcBorders>
          <w:top w:val="single" w:color="4BACC6" w:themeColor="accent5"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AEEF3" w:themeFill="accent5" w:themeFillTint="34"/>
      </w:tcPr>
    </w:tblStylePr>
    <w:tblStylePr w:type="band2Vert">
      <w:pPr>
        <w:snapToGrid/>
      </w:pPr>
    </w:tblStylePr>
    <w:tblStylePr w:type="band1Horz">
      <w:pPr>
        <w:snapToGrid/>
      </w:pPr>
      <w:rPr>
        <w:rFonts w:ascii="Arial" w:hAnsi="Arial"/>
        <w:color w:val="404040"/>
        <w:sz w:val="22"/>
      </w:rPr>
      <w:tcPr>
        <w:shd w:val="clear" w:color="auto"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Grid Table 2 - Accent 6"/>
    <w:basedOn w:val="2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auto" w:fill="FFFFFF"/>
      </w:tcPr>
    </w:tblStylePr>
    <w:tblStylePr w:type="lastRow">
      <w:pPr>
        <w:snapToGrid/>
      </w:pPr>
      <w:rPr>
        <w:b/>
        <w:color w:val="404040"/>
      </w:rPr>
      <w:tcPr>
        <w:tcBorders>
          <w:top w:val="single" w:color="F79646" w:themeColor="accent6"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DE9D9" w:themeFill="accent6" w:themeFillTint="34"/>
      </w:tcPr>
    </w:tblStylePr>
    <w:tblStylePr w:type="band2Vert">
      <w:pPr>
        <w:snapToGrid/>
      </w:pPr>
    </w:tblStylePr>
    <w:tblStylePr w:type="band1Horz">
      <w:pPr>
        <w:snapToGrid/>
      </w:pPr>
      <w:rPr>
        <w:rFonts w:ascii="Arial" w:hAnsi="Arial"/>
        <w:color w:val="404040"/>
        <w:sz w:val="22"/>
      </w:rPr>
      <w:tcPr>
        <w:shd w:val="clear" w:color="auto"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3 - Accent 1"/>
    <w:basedOn w:val="2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DBE5F1" w:themeFill="accent1" w:themeFillTint="34"/>
      </w:tcPr>
    </w:tblStylePr>
    <w:tblStylePr w:type="band2Vert">
      <w:pPr>
        <w:snapToGrid/>
      </w:pPr>
    </w:tblStylePr>
    <w:tblStylePr w:type="band1Horz">
      <w:pPr>
        <w:snapToGrid/>
      </w:pPr>
      <w:rPr>
        <w:rFonts w:ascii="Arial" w:hAnsi="Arial"/>
        <w:color w:val="404040"/>
        <w:sz w:val="22"/>
      </w:rPr>
      <w:tcPr>
        <w:shd w:val="clear" w:color="auto"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3 - Accent 2"/>
    <w:basedOn w:val="2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F2DCDC" w:themeFill="accent2" w:themeFillTint="32"/>
      </w:tcPr>
    </w:tblStylePr>
    <w:tblStylePr w:type="band2Vert">
      <w:pPr>
        <w:snapToGrid/>
      </w:pPr>
    </w:tblStylePr>
    <w:tblStylePr w:type="band1Horz">
      <w:pPr>
        <w:snapToGrid/>
      </w:pPr>
      <w:rPr>
        <w:rFonts w:ascii="Arial" w:hAnsi="Arial"/>
        <w:color w:val="404040"/>
        <w:sz w:val="22"/>
      </w:rPr>
      <w:tcPr>
        <w:shd w:val="clear" w:color="auto"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3 - Accent 3"/>
    <w:basedOn w:val="2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EAF1DD" w:themeFill="accent3" w:themeFillTint="34"/>
      </w:tcPr>
    </w:tblStylePr>
    <w:tblStylePr w:type="band2Vert">
      <w:pPr>
        <w:snapToGrid/>
      </w:pPr>
    </w:tblStylePr>
    <w:tblStylePr w:type="band1Horz">
      <w:pPr>
        <w:snapToGrid/>
      </w:pPr>
      <w:rPr>
        <w:rFonts w:ascii="Arial" w:hAnsi="Arial"/>
        <w:color w:val="404040"/>
        <w:sz w:val="22"/>
      </w:rPr>
      <w:tcPr>
        <w:shd w:val="clear" w:color="auto"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3 - Accent 4"/>
    <w:basedOn w:val="2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E5DFEC" w:themeFill="accent4" w:themeFillTint="34"/>
      </w:tcPr>
    </w:tblStylePr>
    <w:tblStylePr w:type="band2Vert">
      <w:pPr>
        <w:snapToGrid/>
      </w:pPr>
    </w:tblStylePr>
    <w:tblStylePr w:type="band1Horz">
      <w:pPr>
        <w:snapToGrid/>
      </w:pPr>
      <w:rPr>
        <w:rFonts w:ascii="Arial" w:hAnsi="Arial"/>
        <w:color w:val="404040"/>
        <w:sz w:val="22"/>
      </w:rPr>
      <w:tcPr>
        <w:shd w:val="clear" w:color="auto"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Grid Table 3 - Accent 5"/>
    <w:basedOn w:val="2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DAEEF3" w:themeFill="accent5" w:themeFillTint="34"/>
      </w:tcPr>
    </w:tblStylePr>
    <w:tblStylePr w:type="band2Vert">
      <w:pPr>
        <w:snapToGrid/>
      </w:pPr>
    </w:tblStylePr>
    <w:tblStylePr w:type="band1Horz">
      <w:pPr>
        <w:snapToGrid/>
      </w:pPr>
      <w:rPr>
        <w:rFonts w:ascii="Arial" w:hAnsi="Arial"/>
        <w:color w:val="404040"/>
        <w:sz w:val="22"/>
      </w:rPr>
      <w:tcPr>
        <w:shd w:val="clear" w:color="auto"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3 - Accent 6"/>
    <w:basedOn w:val="2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FDE9D9" w:themeFill="accent6" w:themeFillTint="34"/>
      </w:tcPr>
    </w:tblStylePr>
    <w:tblStylePr w:type="band2Vert">
      <w:pPr>
        <w:snapToGrid/>
      </w:pPr>
    </w:tblStylePr>
    <w:tblStylePr w:type="band1Horz">
      <w:pPr>
        <w:snapToGrid/>
      </w:pPr>
      <w:rPr>
        <w:rFonts w:ascii="Arial" w:hAnsi="Arial"/>
        <w:color w:val="404040"/>
        <w:sz w:val="22"/>
      </w:rPr>
      <w:tcPr>
        <w:shd w:val="clear" w:color="auto"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4 - Accent 1"/>
    <w:basedOn w:val="2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CE6F2" w:themeFill="accent1" w:themeFillTint="32"/>
      </w:tcPr>
    </w:tblStylePr>
    <w:tblStylePr w:type="band2Vert">
      <w:pPr>
        <w:snapToGrid/>
      </w:pPr>
    </w:tblStylePr>
    <w:tblStylePr w:type="band1Horz">
      <w:pPr>
        <w:snapToGrid/>
      </w:pPr>
      <w:rPr>
        <w:rFonts w:ascii="Arial" w:hAnsi="Arial"/>
        <w:color w:val="404040"/>
        <w:sz w:val="22"/>
      </w:rPr>
      <w:tcPr>
        <w:shd w:val="clear" w:color="auto"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4 - Accent 2"/>
    <w:basedOn w:val="2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2DCDC" w:themeFill="accent2" w:themeFillTint="32"/>
      </w:tcPr>
    </w:tblStylePr>
    <w:tblStylePr w:type="band2Vert">
      <w:pPr>
        <w:snapToGrid/>
      </w:pPr>
    </w:tblStylePr>
    <w:tblStylePr w:type="band1Horz">
      <w:pPr>
        <w:snapToGrid/>
      </w:pPr>
      <w:rPr>
        <w:rFonts w:ascii="Arial" w:hAnsi="Arial"/>
        <w:color w:val="404040"/>
        <w:sz w:val="22"/>
      </w:rPr>
      <w:tcPr>
        <w:shd w:val="clear" w:color="auto"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4 - Accent 3"/>
    <w:basedOn w:val="2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AF1DD" w:themeFill="accent3" w:themeFillTint="34"/>
      </w:tcPr>
    </w:tblStylePr>
    <w:tblStylePr w:type="band2Vert">
      <w:pPr>
        <w:snapToGrid/>
      </w:pPr>
    </w:tblStylePr>
    <w:tblStylePr w:type="band1Horz">
      <w:pPr>
        <w:snapToGrid/>
      </w:pPr>
      <w:rPr>
        <w:rFonts w:ascii="Arial" w:hAnsi="Arial"/>
        <w:color w:val="404040"/>
        <w:sz w:val="22"/>
      </w:rPr>
      <w:tcPr>
        <w:shd w:val="clear" w:color="auto"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4 - Accent 4"/>
    <w:basedOn w:val="2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5DFEC" w:themeFill="accent4" w:themeFillTint="34"/>
      </w:tcPr>
    </w:tblStylePr>
    <w:tblStylePr w:type="band2Vert">
      <w:pPr>
        <w:snapToGrid/>
      </w:pPr>
    </w:tblStylePr>
    <w:tblStylePr w:type="band1Horz">
      <w:pPr>
        <w:snapToGrid/>
      </w:pPr>
      <w:rPr>
        <w:rFonts w:ascii="Arial" w:hAnsi="Arial"/>
        <w:color w:val="404040"/>
        <w:sz w:val="22"/>
      </w:rPr>
      <w:tcPr>
        <w:shd w:val="clear" w:color="auto"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4 - Accent 5"/>
    <w:basedOn w:val="2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AEEF3" w:themeFill="accent5" w:themeFillTint="34"/>
      </w:tcPr>
    </w:tblStylePr>
    <w:tblStylePr w:type="band2Vert">
      <w:pPr>
        <w:snapToGrid/>
      </w:pPr>
    </w:tblStylePr>
    <w:tblStylePr w:type="band1Horz">
      <w:pPr>
        <w:snapToGrid/>
      </w:pPr>
      <w:rPr>
        <w:rFonts w:ascii="Arial" w:hAnsi="Arial"/>
        <w:color w:val="404040"/>
        <w:sz w:val="22"/>
      </w:rPr>
      <w:tcPr>
        <w:shd w:val="clear" w:color="auto"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Grid Table 4 - Accent 6"/>
    <w:basedOn w:val="2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DE9D9" w:themeFill="accent6" w:themeFillTint="34"/>
      </w:tcPr>
    </w:tblStylePr>
    <w:tblStylePr w:type="band2Vert">
      <w:pPr>
        <w:snapToGrid/>
      </w:pPr>
    </w:tblStylePr>
    <w:tblStylePr w:type="band1Horz">
      <w:pPr>
        <w:snapToGrid/>
      </w:pPr>
      <w:rPr>
        <w:rFonts w:ascii="Arial" w:hAnsi="Arial"/>
        <w:color w:val="404040"/>
        <w:sz w:val="22"/>
      </w:rPr>
      <w:tcPr>
        <w:shd w:val="clear" w:color="auto"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Grid Table 5 Dark- Accent 1"/>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4F81BD" w:themeFill="accent1"/>
      </w:tcPr>
    </w:tblStylePr>
    <w:tblStylePr w:type="lastRow">
      <w:pPr>
        <w:snapToGrid/>
      </w:pPr>
      <w:rPr>
        <w:rFonts w:ascii="Arial" w:hAnsi="Arial"/>
        <w:b/>
        <w:color w:val="FFFFFF"/>
        <w:sz w:val="22"/>
      </w:rPr>
      <w:tcPr>
        <w:tcBorders>
          <w:top w:val="single" w:color="FFFFFF" w:themeColor="light1" w:sz="4" w:space="0"/>
        </w:tcBorders>
        <w:shd w:val="clear" w:color="auto" w:fill="4F81BD" w:themeFill="accent1"/>
      </w:tcPr>
    </w:tblStylePr>
    <w:tblStylePr w:type="firstCol">
      <w:pPr>
        <w:snapToGrid/>
      </w:pPr>
      <w:rPr>
        <w:rFonts w:ascii="Arial" w:hAnsi="Arial"/>
        <w:b/>
        <w:color w:val="FFFFFF"/>
        <w:sz w:val="22"/>
      </w:rPr>
      <w:tcPr>
        <w:shd w:val="clear" w:color="auto" w:fill="4F81BD" w:themeFill="accent1"/>
      </w:tcPr>
    </w:tblStylePr>
    <w:tblStylePr w:type="lastCol">
      <w:pPr>
        <w:snapToGrid/>
      </w:pPr>
      <w:rPr>
        <w:rFonts w:ascii="Arial" w:hAnsi="Arial"/>
        <w:b/>
        <w:color w:val="FFFFFF"/>
        <w:sz w:val="22"/>
      </w:rPr>
      <w:tcPr>
        <w:shd w:val="clear" w:color="auto" w:fill="4F81BD" w:themeFill="accent1"/>
      </w:tcPr>
    </w:tblStylePr>
    <w:tblStylePr w:type="band1Vert">
      <w:pPr>
        <w:snapToGrid/>
      </w:pPr>
      <w:tcPr>
        <w:shd w:val="clear" w:color="auto" w:fill="AEC5E0" w:themeFill="accent1" w:themeFillTint="75"/>
      </w:tcPr>
    </w:tblStylePr>
    <w:tblStylePr w:type="band2Vert">
      <w:pPr>
        <w:snapToGrid/>
      </w:pPr>
    </w:tblStylePr>
    <w:tblStylePr w:type="band1Horz">
      <w:pPr>
        <w:snapToGrid/>
      </w:pPr>
      <w:tcPr>
        <w:shd w:val="clear" w:color="auto"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Grid Table 5 Dark - Accent 2"/>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C0504D" w:themeFill="accent2"/>
      </w:tcPr>
    </w:tblStylePr>
    <w:tblStylePr w:type="lastRow">
      <w:pPr>
        <w:snapToGrid/>
      </w:pPr>
      <w:rPr>
        <w:rFonts w:ascii="Arial" w:hAnsi="Arial"/>
        <w:b/>
        <w:color w:val="FFFFFF"/>
        <w:sz w:val="22"/>
      </w:rPr>
      <w:tcPr>
        <w:tcBorders>
          <w:top w:val="single" w:color="FFFFFF" w:themeColor="light1" w:sz="4" w:space="0"/>
        </w:tcBorders>
        <w:shd w:val="clear" w:color="auto" w:fill="C0504D" w:themeFill="accent2"/>
      </w:tcPr>
    </w:tblStylePr>
    <w:tblStylePr w:type="firstCol">
      <w:pPr>
        <w:snapToGrid/>
      </w:pPr>
      <w:rPr>
        <w:rFonts w:ascii="Arial" w:hAnsi="Arial"/>
        <w:b/>
        <w:color w:val="FFFFFF"/>
        <w:sz w:val="22"/>
      </w:rPr>
      <w:tcPr>
        <w:shd w:val="clear" w:color="auto" w:fill="C0504D" w:themeFill="accent2"/>
      </w:tcPr>
    </w:tblStylePr>
    <w:tblStylePr w:type="lastCol">
      <w:pPr>
        <w:snapToGrid/>
      </w:pPr>
      <w:rPr>
        <w:rFonts w:ascii="Arial" w:hAnsi="Arial"/>
        <w:b/>
        <w:color w:val="FFFFFF"/>
        <w:sz w:val="22"/>
      </w:rPr>
      <w:tcPr>
        <w:shd w:val="clear" w:color="auto" w:fill="C0504D" w:themeFill="accent2"/>
      </w:tcPr>
    </w:tblStylePr>
    <w:tblStylePr w:type="band1Vert">
      <w:pPr>
        <w:snapToGrid/>
      </w:pPr>
      <w:tcPr>
        <w:shd w:val="clear" w:color="auto" w:fill="E2AEAD" w:themeFill="accent2" w:themeFillTint="75"/>
      </w:tcPr>
    </w:tblStylePr>
    <w:tblStylePr w:type="band2Vert">
      <w:pPr>
        <w:snapToGrid/>
      </w:pPr>
    </w:tblStylePr>
    <w:tblStylePr w:type="band1Horz">
      <w:pPr>
        <w:snapToGrid/>
      </w:pPr>
      <w:tcPr>
        <w:shd w:val="clear" w:color="auto"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Grid Table 5 Dark - Accent 3"/>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9BBB59" w:themeFill="accent3"/>
      </w:tcPr>
    </w:tblStylePr>
    <w:tblStylePr w:type="lastRow">
      <w:pPr>
        <w:snapToGrid/>
      </w:pPr>
      <w:rPr>
        <w:rFonts w:ascii="Arial" w:hAnsi="Arial"/>
        <w:b/>
        <w:color w:val="FFFFFF"/>
        <w:sz w:val="22"/>
      </w:rPr>
      <w:tcPr>
        <w:tcBorders>
          <w:top w:val="single" w:color="FFFFFF" w:themeColor="light1" w:sz="4" w:space="0"/>
        </w:tcBorders>
        <w:shd w:val="clear" w:color="auto" w:fill="9BBB59" w:themeFill="accent3"/>
      </w:tcPr>
    </w:tblStylePr>
    <w:tblStylePr w:type="firstCol">
      <w:pPr>
        <w:snapToGrid/>
      </w:pPr>
      <w:rPr>
        <w:rFonts w:ascii="Arial" w:hAnsi="Arial"/>
        <w:b/>
        <w:color w:val="FFFFFF"/>
        <w:sz w:val="22"/>
      </w:rPr>
      <w:tcPr>
        <w:shd w:val="clear" w:color="auto" w:fill="9BBB59" w:themeFill="accent3"/>
      </w:tcPr>
    </w:tblStylePr>
    <w:tblStylePr w:type="lastCol">
      <w:pPr>
        <w:snapToGrid/>
      </w:pPr>
      <w:rPr>
        <w:rFonts w:ascii="Arial" w:hAnsi="Arial"/>
        <w:b/>
        <w:color w:val="FFFFFF"/>
        <w:sz w:val="22"/>
      </w:rPr>
      <w:tcPr>
        <w:shd w:val="clear" w:color="auto" w:fill="9BBB59" w:themeFill="accent3"/>
      </w:tcPr>
    </w:tblStylePr>
    <w:tblStylePr w:type="band1Vert">
      <w:pPr>
        <w:snapToGrid/>
      </w:pPr>
      <w:tcPr>
        <w:shd w:val="clear" w:color="auto" w:fill="D1DFB2" w:themeFill="accent3" w:themeFillTint="75"/>
      </w:tcPr>
    </w:tblStylePr>
    <w:tblStylePr w:type="band2Vert">
      <w:pPr>
        <w:snapToGrid/>
      </w:pPr>
    </w:tblStylePr>
    <w:tblStylePr w:type="band1Horz">
      <w:pPr>
        <w:snapToGrid/>
      </w:pPr>
      <w:tcPr>
        <w:shd w:val="clear" w:color="auto"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Grid Table 5 Dark- Accent 4"/>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8064A2" w:themeFill="accent4"/>
      </w:tcPr>
    </w:tblStylePr>
    <w:tblStylePr w:type="lastRow">
      <w:pPr>
        <w:snapToGrid/>
      </w:pPr>
      <w:rPr>
        <w:rFonts w:ascii="Arial" w:hAnsi="Arial"/>
        <w:b/>
        <w:color w:val="FFFFFF"/>
        <w:sz w:val="22"/>
      </w:rPr>
      <w:tcPr>
        <w:tcBorders>
          <w:top w:val="single" w:color="FFFFFF" w:themeColor="light1" w:sz="4" w:space="0"/>
        </w:tcBorders>
        <w:shd w:val="clear" w:color="auto" w:fill="8064A2" w:themeFill="accent4"/>
      </w:tcPr>
    </w:tblStylePr>
    <w:tblStylePr w:type="firstCol">
      <w:pPr>
        <w:snapToGrid/>
      </w:pPr>
      <w:rPr>
        <w:rFonts w:ascii="Arial" w:hAnsi="Arial"/>
        <w:b/>
        <w:color w:val="FFFFFF"/>
        <w:sz w:val="22"/>
      </w:rPr>
      <w:tcPr>
        <w:shd w:val="clear" w:color="auto" w:fill="8064A2" w:themeFill="accent4"/>
      </w:tcPr>
    </w:tblStylePr>
    <w:tblStylePr w:type="lastCol">
      <w:pPr>
        <w:snapToGrid/>
      </w:pPr>
      <w:rPr>
        <w:rFonts w:ascii="Arial" w:hAnsi="Arial"/>
        <w:b/>
        <w:color w:val="FFFFFF"/>
        <w:sz w:val="22"/>
      </w:rPr>
      <w:tcPr>
        <w:shd w:val="clear" w:color="auto" w:fill="8064A2" w:themeFill="accent4"/>
      </w:tcPr>
    </w:tblStylePr>
    <w:tblStylePr w:type="band1Vert">
      <w:pPr>
        <w:snapToGrid/>
      </w:pPr>
      <w:tcPr>
        <w:shd w:val="clear" w:color="auto" w:fill="C4B7D4" w:themeFill="accent4" w:themeFillTint="75"/>
      </w:tcPr>
    </w:tblStylePr>
    <w:tblStylePr w:type="band2Vert">
      <w:pPr>
        <w:snapToGrid/>
      </w:pPr>
    </w:tblStylePr>
    <w:tblStylePr w:type="band1Horz">
      <w:pPr>
        <w:snapToGrid/>
      </w:pPr>
      <w:tcPr>
        <w:shd w:val="clear" w:color="auto"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Grid Table 5 Dark - Accent 5"/>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4BACC6" w:themeFill="accent5"/>
      </w:tcPr>
    </w:tblStylePr>
    <w:tblStylePr w:type="lastRow">
      <w:pPr>
        <w:snapToGrid/>
      </w:pPr>
      <w:rPr>
        <w:rFonts w:ascii="Arial" w:hAnsi="Arial"/>
        <w:b/>
        <w:color w:val="FFFFFF"/>
        <w:sz w:val="22"/>
      </w:rPr>
      <w:tcPr>
        <w:tcBorders>
          <w:top w:val="single" w:color="FFFFFF" w:themeColor="light1" w:sz="4" w:space="0"/>
        </w:tcBorders>
        <w:shd w:val="clear" w:color="auto" w:fill="4BACC6" w:themeFill="accent5"/>
      </w:tcPr>
    </w:tblStylePr>
    <w:tblStylePr w:type="firstCol">
      <w:pPr>
        <w:snapToGrid/>
      </w:pPr>
      <w:rPr>
        <w:rFonts w:ascii="Arial" w:hAnsi="Arial"/>
        <w:b/>
        <w:color w:val="FFFFFF"/>
        <w:sz w:val="22"/>
      </w:rPr>
      <w:tcPr>
        <w:shd w:val="clear" w:color="auto" w:fill="4BACC6" w:themeFill="accent5"/>
      </w:tcPr>
    </w:tblStylePr>
    <w:tblStylePr w:type="lastCol">
      <w:pPr>
        <w:snapToGrid/>
      </w:pPr>
      <w:rPr>
        <w:rFonts w:ascii="Arial" w:hAnsi="Arial"/>
        <w:b/>
        <w:color w:val="FFFFFF"/>
        <w:sz w:val="22"/>
      </w:rPr>
      <w:tcPr>
        <w:shd w:val="clear" w:color="auto" w:fill="4BACC6" w:themeFill="accent5"/>
      </w:tcPr>
    </w:tblStylePr>
    <w:tblStylePr w:type="band1Vert">
      <w:pPr>
        <w:snapToGrid/>
      </w:pPr>
      <w:tcPr>
        <w:shd w:val="clear" w:color="auto" w:fill="ACD8E4" w:themeFill="accent5" w:themeFillTint="75"/>
      </w:tcPr>
    </w:tblStylePr>
    <w:tblStylePr w:type="band2Vert">
      <w:pPr>
        <w:snapToGrid/>
      </w:pPr>
    </w:tblStylePr>
    <w:tblStylePr w:type="band1Horz">
      <w:pPr>
        <w:snapToGrid/>
      </w:pPr>
      <w:tcPr>
        <w:shd w:val="clear" w:color="auto"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Grid Table 5 Dark - Accent 6"/>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F79646" w:themeFill="accent6"/>
      </w:tcPr>
    </w:tblStylePr>
    <w:tblStylePr w:type="lastRow">
      <w:pPr>
        <w:snapToGrid/>
      </w:pPr>
      <w:rPr>
        <w:rFonts w:ascii="Arial" w:hAnsi="Arial"/>
        <w:b/>
        <w:color w:val="FFFFFF"/>
        <w:sz w:val="22"/>
      </w:rPr>
      <w:tcPr>
        <w:tcBorders>
          <w:top w:val="single" w:color="FFFFFF" w:themeColor="light1" w:sz="4" w:space="0"/>
        </w:tcBorders>
        <w:shd w:val="clear" w:color="auto" w:fill="F79646" w:themeFill="accent6"/>
      </w:tcPr>
    </w:tblStylePr>
    <w:tblStylePr w:type="firstCol">
      <w:pPr>
        <w:snapToGrid/>
      </w:pPr>
      <w:rPr>
        <w:rFonts w:ascii="Arial" w:hAnsi="Arial"/>
        <w:b/>
        <w:color w:val="FFFFFF"/>
        <w:sz w:val="22"/>
      </w:rPr>
      <w:tcPr>
        <w:shd w:val="clear" w:color="auto" w:fill="F79646" w:themeFill="accent6"/>
      </w:tcPr>
    </w:tblStylePr>
    <w:tblStylePr w:type="lastCol">
      <w:pPr>
        <w:snapToGrid/>
      </w:pPr>
      <w:rPr>
        <w:rFonts w:ascii="Arial" w:hAnsi="Arial"/>
        <w:b/>
        <w:color w:val="FFFFFF"/>
        <w:sz w:val="22"/>
      </w:rPr>
      <w:tcPr>
        <w:shd w:val="clear" w:color="auto" w:fill="F79646" w:themeFill="accent6"/>
      </w:tcPr>
    </w:tblStylePr>
    <w:tblStylePr w:type="band1Vert">
      <w:pPr>
        <w:snapToGrid/>
      </w:pPr>
      <w:tcPr>
        <w:shd w:val="clear" w:color="auto" w:fill="FBCEAA" w:themeFill="accent6" w:themeFillTint="75"/>
      </w:tcPr>
    </w:tblStylePr>
    <w:tblStylePr w:type="band2Vert">
      <w:pPr>
        <w:snapToGrid/>
      </w:pPr>
    </w:tblStylePr>
    <w:tblStylePr w:type="band1Horz">
      <w:pPr>
        <w:snapToGrid/>
      </w:pPr>
      <w:tcPr>
        <w:shd w:val="clear" w:color="auto"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Grid Table 6 Colorful - Accent 1"/>
    <w:basedOn w:val="2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6BFDD" w:themeColor="accent1" w:themeShade="95" w:themeTint="80"/>
      </w:rPr>
      <w:tcPr>
        <w:tcBorders>
          <w:bottom w:val="single" w:color="A6BFDD" w:themeColor="accent1" w:themeTint="80" w:sz="12" w:space="0"/>
        </w:tcBorders>
      </w:tcPr>
    </w:tblStylePr>
    <w:tblStylePr w:type="lastRow">
      <w:pPr>
        <w:snapToGrid/>
      </w:pPr>
      <w:rPr>
        <w:b/>
        <w:color w:val="A6BFDD" w:themeColor="accent1" w:themeShade="95" w:themeTint="80"/>
      </w:rPr>
    </w:tblStylePr>
    <w:tblStylePr w:type="firstCol">
      <w:pPr>
        <w:snapToGrid/>
      </w:pPr>
      <w:rPr>
        <w:b/>
        <w:color w:val="A6BFDD" w:themeColor="accent1" w:themeShade="95" w:themeTint="80"/>
      </w:rPr>
    </w:tblStylePr>
    <w:tblStylePr w:type="lastCol">
      <w:pPr>
        <w:snapToGrid/>
      </w:pPr>
      <w:rPr>
        <w:b/>
        <w:color w:val="A6BFDD" w:themeColor="accent1" w:themeShade="95" w:themeTint="80"/>
      </w:rPr>
    </w:tblStylePr>
    <w:tblStylePr w:type="band1Vert">
      <w:pPr>
        <w:snapToGrid/>
      </w:pPr>
      <w:tcPr>
        <w:shd w:val="clear" w:color="auto" w:fill="DBE5F1" w:themeFill="accent1" w:themeFillTint="34"/>
      </w:tcPr>
    </w:tblStylePr>
    <w:tblStylePr w:type="band2Vert">
      <w:pPr>
        <w:snapToGrid/>
      </w:pPr>
    </w:tblStylePr>
    <w:tblStylePr w:type="band1Horz">
      <w:pPr>
        <w:snapToGrid/>
      </w:pPr>
      <w:rPr>
        <w:rFonts w:ascii="Arial" w:hAnsi="Arial"/>
        <w:color w:val="A6BFDD" w:themeColor="accent1" w:themeShade="95" w:themeTint="80"/>
        <w:sz w:val="22"/>
      </w:rPr>
      <w:tcPr>
        <w:shd w:val="clear" w:color="auto" w:fill="DBE5F1" w:themeFill="accent1" w:themeFillTint="34"/>
      </w:tcPr>
    </w:tblStylePr>
    <w:tblStylePr w:type="band2Horz">
      <w:pPr>
        <w:snapToGrid/>
      </w:pPr>
      <w:rPr>
        <w:rFonts w:ascii="Arial" w:hAnsi="Arial"/>
        <w:color w:val="A6BFDD" w:themeColor="accen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Grid Table 6 Colorful - Accent 2"/>
    <w:basedOn w:val="2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99795" w:themeColor="accent2" w:themeShade="95" w:themeTint="97"/>
      </w:rPr>
      <w:tcPr>
        <w:tcBorders>
          <w:bottom w:val="single" w:color="D99795" w:themeColor="accent2" w:themeTint="97" w:sz="12" w:space="0"/>
        </w:tcBorders>
      </w:tcPr>
    </w:tblStylePr>
    <w:tblStylePr w:type="lastRow">
      <w:pPr>
        <w:snapToGrid/>
      </w:pPr>
      <w:rPr>
        <w:b/>
        <w:color w:val="D99795" w:themeColor="accent2" w:themeShade="95" w:themeTint="97"/>
      </w:rPr>
    </w:tblStylePr>
    <w:tblStylePr w:type="firstCol">
      <w:pPr>
        <w:snapToGrid/>
      </w:pPr>
      <w:rPr>
        <w:b/>
        <w:color w:val="D99795" w:themeColor="accent2" w:themeShade="95" w:themeTint="97"/>
      </w:rPr>
    </w:tblStylePr>
    <w:tblStylePr w:type="lastCol">
      <w:pPr>
        <w:snapToGrid/>
      </w:pPr>
      <w:rPr>
        <w:b/>
        <w:color w:val="D99795" w:themeColor="accent2" w:themeShade="95" w:themeTint="97"/>
      </w:rPr>
    </w:tblStylePr>
    <w:tblStylePr w:type="band1Vert">
      <w:pPr>
        <w:snapToGrid/>
      </w:pPr>
      <w:tcPr>
        <w:shd w:val="clear" w:color="auto" w:fill="F2DCDC" w:themeFill="accent2" w:themeFillTint="32"/>
      </w:tcPr>
    </w:tblStylePr>
    <w:tblStylePr w:type="band2Vert">
      <w:pPr>
        <w:snapToGrid/>
      </w:pPr>
    </w:tblStylePr>
    <w:tblStylePr w:type="band1Horz">
      <w:pPr>
        <w:snapToGrid/>
      </w:pPr>
      <w:rPr>
        <w:rFonts w:ascii="Arial" w:hAnsi="Arial"/>
        <w:color w:val="D99795" w:themeColor="accent2" w:themeShade="95" w:themeTint="97"/>
        <w:sz w:val="22"/>
      </w:rPr>
      <w:tcPr>
        <w:shd w:val="clear" w:color="auto" w:fill="F2DCDC" w:themeFill="accent2" w:themeFillTint="32"/>
      </w:tcPr>
    </w:tblStylePr>
    <w:tblStylePr w:type="band2Horz">
      <w:pPr>
        <w:snapToGrid/>
      </w:pPr>
      <w:rPr>
        <w:rFonts w:ascii="Arial" w:hAnsi="Arial"/>
        <w:color w:val="D9979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Grid Table 6 Colorful - Accent 3"/>
    <w:basedOn w:val="2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themeShade="95" w:themeTint="FE"/>
      </w:rPr>
      <w:tcPr>
        <w:tcBorders>
          <w:bottom w:val="single" w:color="9BBB59" w:themeColor="accent3" w:themeTint="FE" w:sz="12" w:space="0"/>
        </w:tcBorders>
      </w:tcPr>
    </w:tblStylePr>
    <w:tblStylePr w:type="lastRow">
      <w:pPr>
        <w:snapToGrid/>
      </w:pPr>
      <w:rPr>
        <w:b/>
        <w:color w:val="9BBB59" w:themeColor="accent3" w:themeShade="95" w:themeTint="FE"/>
      </w:rPr>
    </w:tblStylePr>
    <w:tblStylePr w:type="firstCol">
      <w:pPr>
        <w:snapToGrid/>
      </w:pPr>
      <w:rPr>
        <w:b/>
        <w:color w:val="9BBB59" w:themeColor="accent3" w:themeShade="95" w:themeTint="FE"/>
      </w:rPr>
    </w:tblStylePr>
    <w:tblStylePr w:type="lastCol">
      <w:pPr>
        <w:snapToGrid/>
      </w:pPr>
      <w:rPr>
        <w:b/>
        <w:color w:val="9BBB59" w:themeColor="accent3" w:themeShade="95" w:themeTint="FE"/>
      </w:rPr>
    </w:tblStylePr>
    <w:tblStylePr w:type="band1Vert">
      <w:pPr>
        <w:snapToGrid/>
      </w:pPr>
      <w:tcPr>
        <w:shd w:val="clear" w:color="auto" w:fill="EAF1DD" w:themeFill="accent3" w:themeFillTint="34"/>
      </w:tcPr>
    </w:tblStylePr>
    <w:tblStylePr w:type="band2Vert">
      <w:pPr>
        <w:snapToGrid/>
      </w:pPr>
    </w:tblStylePr>
    <w:tblStylePr w:type="band1Horz">
      <w:pPr>
        <w:snapToGrid/>
      </w:pPr>
      <w:rPr>
        <w:rFonts w:ascii="Arial" w:hAnsi="Arial"/>
        <w:color w:val="9BBB59" w:themeColor="accent3" w:themeShade="95" w:themeTint="FE"/>
        <w:sz w:val="22"/>
      </w:rPr>
      <w:tcPr>
        <w:shd w:val="clear" w:color="auto" w:fill="EAF1DD" w:themeFill="accent3" w:themeFillTint="34"/>
      </w:tcPr>
    </w:tblStylePr>
    <w:tblStylePr w:type="band2Horz">
      <w:pPr>
        <w:snapToGrid/>
      </w:pPr>
      <w:rPr>
        <w:rFonts w:ascii="Arial" w:hAnsi="Arial"/>
        <w:color w:val="9BBB59" w:themeColor="accent3" w:themeShade="95" w:themeTint="FE"/>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Grid Table 6 Colorful - Accent 4"/>
    <w:basedOn w:val="2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2A1C6" w:themeColor="accent4" w:themeShade="95" w:themeTint="9A"/>
      </w:rPr>
      <w:tcPr>
        <w:tcBorders>
          <w:bottom w:val="single" w:color="B2A1C6" w:themeColor="accent4" w:themeTint="9A" w:sz="12" w:space="0"/>
        </w:tcBorders>
      </w:tcPr>
    </w:tblStylePr>
    <w:tblStylePr w:type="lastRow">
      <w:pPr>
        <w:snapToGrid/>
      </w:pPr>
      <w:rPr>
        <w:b/>
        <w:color w:val="B2A1C6" w:themeColor="accent4" w:themeShade="95" w:themeTint="9A"/>
      </w:rPr>
    </w:tblStylePr>
    <w:tblStylePr w:type="firstCol">
      <w:pPr>
        <w:snapToGrid/>
      </w:pPr>
      <w:rPr>
        <w:b/>
        <w:color w:val="B2A1C6" w:themeColor="accent4" w:themeShade="95" w:themeTint="9A"/>
      </w:rPr>
    </w:tblStylePr>
    <w:tblStylePr w:type="lastCol">
      <w:pPr>
        <w:snapToGrid/>
      </w:pPr>
      <w:rPr>
        <w:b/>
        <w:color w:val="B2A1C6" w:themeColor="accent4" w:themeShade="95" w:themeTint="9A"/>
      </w:rPr>
    </w:tblStylePr>
    <w:tblStylePr w:type="band1Vert">
      <w:pPr>
        <w:snapToGrid/>
      </w:pPr>
      <w:tcPr>
        <w:shd w:val="clear" w:color="auto" w:fill="E5DFEC" w:themeFill="accent4" w:themeFillTint="34"/>
      </w:tcPr>
    </w:tblStylePr>
    <w:tblStylePr w:type="band2Vert">
      <w:pPr>
        <w:snapToGrid/>
      </w:pPr>
    </w:tblStylePr>
    <w:tblStylePr w:type="band1Horz">
      <w:pPr>
        <w:snapToGrid/>
      </w:pPr>
      <w:rPr>
        <w:rFonts w:ascii="Arial" w:hAnsi="Arial"/>
        <w:color w:val="B2A1C6" w:themeColor="accent4" w:themeShade="95" w:themeTint="9A"/>
        <w:sz w:val="22"/>
      </w:rPr>
      <w:tcPr>
        <w:shd w:val="clear" w:color="auto" w:fill="E5DFEC" w:themeFill="accent4" w:themeFillTint="34"/>
      </w:tcPr>
    </w:tblStylePr>
    <w:tblStylePr w:type="band2Horz">
      <w:pPr>
        <w:snapToGrid/>
      </w:pPr>
      <w:rPr>
        <w:rFonts w:ascii="Arial" w:hAnsi="Arial"/>
        <w:color w:val="B2A1C6"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Grid Table 6 Colorful - Accent 5"/>
    <w:basedOn w:val="2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9" w:themeColor="accent5" w:themeShade="95"/>
      </w:rPr>
      <w:tcPr>
        <w:tcBorders>
          <w:bottom w:val="single" w:color="4BACC6" w:themeColor="accent5" w:sz="12" w:space="0"/>
        </w:tcBorders>
      </w:tcPr>
    </w:tblStylePr>
    <w:tblStylePr w:type="lastRow">
      <w:pPr>
        <w:snapToGrid/>
      </w:pPr>
      <w:rPr>
        <w:b/>
        <w:color w:val="266779" w:themeColor="accent5" w:themeShade="95"/>
      </w:rPr>
    </w:tblStylePr>
    <w:tblStylePr w:type="firstCol">
      <w:pPr>
        <w:snapToGrid/>
      </w:pPr>
      <w:rPr>
        <w:b/>
        <w:color w:val="266779" w:themeColor="accent5" w:themeShade="95"/>
      </w:rPr>
    </w:tblStylePr>
    <w:tblStylePr w:type="lastCol">
      <w:pPr>
        <w:snapToGrid/>
      </w:pPr>
      <w:rPr>
        <w:b/>
        <w:color w:val="266779" w:themeColor="accent5" w:themeShade="95"/>
      </w:rPr>
    </w:tblStylePr>
    <w:tblStylePr w:type="band1Vert">
      <w:pPr>
        <w:snapToGrid/>
      </w:pPr>
      <w:tcPr>
        <w:shd w:val="clear" w:color="auto" w:fill="DAEEF3" w:themeFill="accent5" w:themeFillTint="34"/>
      </w:tcPr>
    </w:tblStylePr>
    <w:tblStylePr w:type="band2Vert">
      <w:pPr>
        <w:snapToGrid/>
      </w:pPr>
    </w:tblStylePr>
    <w:tblStylePr w:type="band1Horz">
      <w:pPr>
        <w:snapToGrid/>
      </w:pPr>
      <w:rPr>
        <w:rFonts w:ascii="Arial" w:hAnsi="Arial"/>
        <w:color w:val="266779" w:themeColor="accent5" w:themeShade="95"/>
        <w:sz w:val="22"/>
      </w:rPr>
      <w:tcPr>
        <w:shd w:val="clear" w:color="auto" w:fill="DAEEF3" w:themeFill="accent5" w:themeFillTint="34"/>
      </w:tcPr>
    </w:tblStylePr>
    <w:tblStylePr w:type="band2Horz">
      <w:pPr>
        <w:snapToGrid/>
      </w:pPr>
      <w:rPr>
        <w:rFonts w:ascii="Arial" w:hAnsi="Arial"/>
        <w:color w:val="266779"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Grid Table 6 Colorful - Accent 6"/>
    <w:basedOn w:val="2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9" w:themeColor="accent5" w:themeShade="95"/>
      </w:rPr>
      <w:tcPr>
        <w:tcBorders>
          <w:bottom w:val="single" w:color="F79646" w:themeColor="accent6" w:sz="12" w:space="0"/>
        </w:tcBorders>
      </w:tcPr>
    </w:tblStylePr>
    <w:tblStylePr w:type="lastRow">
      <w:pPr>
        <w:snapToGrid/>
      </w:pPr>
      <w:rPr>
        <w:b/>
        <w:color w:val="266779" w:themeColor="accent5" w:themeShade="95"/>
      </w:rPr>
    </w:tblStylePr>
    <w:tblStylePr w:type="firstCol">
      <w:pPr>
        <w:snapToGrid/>
      </w:pPr>
      <w:rPr>
        <w:b/>
        <w:color w:val="266779" w:themeColor="accent5" w:themeShade="95"/>
      </w:rPr>
    </w:tblStylePr>
    <w:tblStylePr w:type="lastCol">
      <w:pPr>
        <w:snapToGrid/>
      </w:pPr>
      <w:rPr>
        <w:b/>
        <w:color w:val="266779" w:themeColor="accent5" w:themeShade="95"/>
      </w:rPr>
    </w:tblStylePr>
    <w:tblStylePr w:type="band1Vert">
      <w:pPr>
        <w:snapToGrid/>
      </w:pPr>
      <w:tcPr>
        <w:shd w:val="clear" w:color="auto" w:fill="FDE9D9" w:themeFill="accent6" w:themeFillTint="34"/>
      </w:tcPr>
    </w:tblStylePr>
    <w:tblStylePr w:type="band2Vert">
      <w:pPr>
        <w:snapToGrid/>
      </w:pPr>
    </w:tblStylePr>
    <w:tblStylePr w:type="band1Horz">
      <w:pPr>
        <w:snapToGrid/>
      </w:pPr>
      <w:rPr>
        <w:rFonts w:ascii="Arial" w:hAnsi="Arial"/>
        <w:color w:val="266779" w:themeColor="accent5" w:themeShade="95"/>
        <w:sz w:val="22"/>
      </w:rPr>
      <w:tcPr>
        <w:shd w:val="clear" w:color="auto" w:fill="FDE9D9" w:themeFill="accent6" w:themeFillTint="34"/>
      </w:tcPr>
    </w:tblStylePr>
    <w:tblStylePr w:type="band2Horz">
      <w:pPr>
        <w:snapToGrid/>
      </w:pPr>
      <w:rPr>
        <w:rFonts w:ascii="Arial" w:hAnsi="Arial"/>
        <w:color w:val="266779"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Grid Table 7 Colorful - Accent 1"/>
    <w:basedOn w:val="2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auto" w:fill="FFFFFF" w:themeFill="light1"/>
      </w:tcPr>
    </w:tblStylePr>
    <w:tblStylePr w:type="lastRow">
      <w:pPr>
        <w:snapToGrid/>
      </w:pPr>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auto" w:fill="FFFFFF" w:themeFill="light1"/>
      </w:tcPr>
    </w:tblStylePr>
    <w:tblStylePr w:type="firstCol">
      <w:pPr>
        <w:snapToGrid/>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auto" w:fill="FFFFFF"/>
      </w:tcPr>
    </w:tblStylePr>
    <w:tblStylePr w:type="lastCol">
      <w:pPr>
        <w:snapToGrid/>
      </w:pPr>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auto" w:fill="FFFFFF"/>
      </w:tcPr>
    </w:tblStylePr>
    <w:tblStylePr w:type="band1Vert">
      <w:pPr>
        <w:snapToGrid/>
      </w:pPr>
      <w:tcPr>
        <w:shd w:val="clear" w:color="auto" w:fill="DBE5F1" w:themeFill="accent1" w:themeFillTint="34"/>
      </w:tcPr>
    </w:tblStylePr>
    <w:tblStylePr w:type="band2Vert">
      <w:pPr>
        <w:snapToGrid/>
      </w:pPr>
    </w:tblStylePr>
    <w:tblStylePr w:type="band1Horz">
      <w:pPr>
        <w:snapToGrid/>
      </w:pPr>
      <w:rPr>
        <w:rFonts w:ascii="Arial" w:hAnsi="Arial"/>
        <w:color w:val="A6BFDD" w:themeColor="accent1" w:themeShade="95" w:themeTint="80"/>
        <w:sz w:val="22"/>
      </w:rPr>
      <w:tcPr>
        <w:shd w:val="clear" w:color="auto" w:fill="DBE5F1" w:themeFill="accent1" w:themeFillTint="34"/>
      </w:tcPr>
    </w:tblStylePr>
    <w:tblStylePr w:type="band2Horz">
      <w:pPr>
        <w:snapToGrid/>
      </w:pPr>
      <w:rPr>
        <w:rFonts w:ascii="Arial" w:hAnsi="Arial"/>
        <w:color w:val="A6BFDD" w:themeColor="accen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Grid Table 7 Colorful - Accent 2"/>
    <w:basedOn w:val="2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auto" w:fill="FFFFFF" w:themeFill="light1"/>
      </w:tcPr>
    </w:tblStylePr>
    <w:tblStylePr w:type="lastRow">
      <w:pPr>
        <w:snapToGrid/>
      </w:pPr>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auto" w:fill="FFFFFF" w:themeFill="light1"/>
      </w:tcPr>
    </w:tblStylePr>
    <w:tblStylePr w:type="firstCol">
      <w:pPr>
        <w:snapToGrid/>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auto" w:fill="FFFFFF"/>
      </w:tcPr>
    </w:tblStylePr>
    <w:tblStylePr w:type="lastCol">
      <w:pPr>
        <w:snapToGrid/>
      </w:pPr>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auto" w:fill="FFFFFF"/>
      </w:tcPr>
    </w:tblStylePr>
    <w:tblStylePr w:type="band1Vert">
      <w:pPr>
        <w:snapToGrid/>
      </w:pPr>
      <w:tcPr>
        <w:shd w:val="clear" w:color="auto" w:fill="F2DCDC" w:themeFill="accent2" w:themeFillTint="32"/>
      </w:tcPr>
    </w:tblStylePr>
    <w:tblStylePr w:type="band2Vert">
      <w:pPr>
        <w:snapToGrid/>
      </w:pPr>
    </w:tblStylePr>
    <w:tblStylePr w:type="band1Horz">
      <w:pPr>
        <w:snapToGrid/>
      </w:pPr>
      <w:rPr>
        <w:rFonts w:ascii="Arial" w:hAnsi="Arial"/>
        <w:color w:val="D99795" w:themeColor="accent2" w:themeShade="95" w:themeTint="97"/>
        <w:sz w:val="22"/>
      </w:rPr>
      <w:tcPr>
        <w:shd w:val="clear" w:color="auto" w:fill="F2DCDC" w:themeFill="accent2" w:themeFillTint="32"/>
      </w:tcPr>
    </w:tblStylePr>
    <w:tblStylePr w:type="band2Horz">
      <w:pPr>
        <w:snapToGrid/>
      </w:pPr>
      <w:rPr>
        <w:rFonts w:ascii="Arial" w:hAnsi="Arial"/>
        <w:color w:val="D9979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Grid Table 7 Colorful - Accent 3"/>
    <w:basedOn w:val="2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auto" w:fill="FFFFFF" w:themeFill="light1"/>
      </w:tcPr>
    </w:tblStylePr>
    <w:tblStylePr w:type="lastRow">
      <w:pPr>
        <w:snapToGrid/>
      </w:pPr>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auto" w:fill="FFFFFF" w:themeFill="light1"/>
      </w:tcPr>
    </w:tblStylePr>
    <w:tblStylePr w:type="firstCol">
      <w:pPr>
        <w:snapToGrid/>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auto" w:fill="FFFFFF"/>
      </w:tcPr>
    </w:tblStylePr>
    <w:tblStylePr w:type="lastCol">
      <w:pPr>
        <w:snapToGrid/>
      </w:pPr>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auto" w:fill="FFFFFF"/>
      </w:tcPr>
    </w:tblStylePr>
    <w:tblStylePr w:type="band1Vert">
      <w:pPr>
        <w:snapToGrid/>
      </w:pPr>
      <w:tcPr>
        <w:shd w:val="clear" w:color="auto" w:fill="EAF1DD" w:themeFill="accent3" w:themeFillTint="34"/>
      </w:tcPr>
    </w:tblStylePr>
    <w:tblStylePr w:type="band2Vert">
      <w:pPr>
        <w:snapToGrid/>
      </w:pPr>
    </w:tblStylePr>
    <w:tblStylePr w:type="band1Horz">
      <w:pPr>
        <w:snapToGrid/>
      </w:pPr>
      <w:rPr>
        <w:rFonts w:ascii="Arial" w:hAnsi="Arial"/>
        <w:color w:val="9BBB59" w:themeColor="accent3" w:themeShade="95" w:themeTint="FE"/>
        <w:sz w:val="22"/>
      </w:rPr>
      <w:tcPr>
        <w:shd w:val="clear" w:color="auto" w:fill="EAF1DD" w:themeFill="accent3" w:themeFillTint="34"/>
      </w:tcPr>
    </w:tblStylePr>
    <w:tblStylePr w:type="band2Horz">
      <w:pPr>
        <w:snapToGrid/>
      </w:pPr>
      <w:rPr>
        <w:rFonts w:ascii="Arial" w:hAnsi="Arial"/>
        <w:color w:val="9BBB59" w:themeColor="accent3" w:themeShade="95" w:themeTint="FE"/>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Grid Table 7 Colorful - Accent 4"/>
    <w:basedOn w:val="2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auto" w:fill="FFFFFF" w:themeFill="light1"/>
      </w:tcPr>
    </w:tblStylePr>
    <w:tblStylePr w:type="lastRow">
      <w:pPr>
        <w:snapToGrid/>
      </w:pPr>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auto" w:fill="FFFFFF" w:themeFill="light1"/>
      </w:tcPr>
    </w:tblStylePr>
    <w:tblStylePr w:type="firstCol">
      <w:pPr>
        <w:snapToGrid/>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auto" w:fill="FFFFFF"/>
      </w:tcPr>
    </w:tblStylePr>
    <w:tblStylePr w:type="lastCol">
      <w:pPr>
        <w:snapToGrid/>
      </w:pPr>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auto" w:fill="FFFFFF"/>
      </w:tcPr>
    </w:tblStylePr>
    <w:tblStylePr w:type="band1Vert">
      <w:pPr>
        <w:snapToGrid/>
      </w:pPr>
      <w:tcPr>
        <w:shd w:val="clear" w:color="auto" w:fill="E5DFEC" w:themeFill="accent4" w:themeFillTint="34"/>
      </w:tcPr>
    </w:tblStylePr>
    <w:tblStylePr w:type="band2Vert">
      <w:pPr>
        <w:snapToGrid/>
      </w:pPr>
    </w:tblStylePr>
    <w:tblStylePr w:type="band1Horz">
      <w:pPr>
        <w:snapToGrid/>
      </w:pPr>
      <w:rPr>
        <w:rFonts w:ascii="Arial" w:hAnsi="Arial"/>
        <w:color w:val="B2A1C6" w:themeColor="accent4" w:themeShade="95" w:themeTint="9A"/>
        <w:sz w:val="22"/>
      </w:rPr>
      <w:tcPr>
        <w:shd w:val="clear" w:color="auto" w:fill="E5DFEC" w:themeFill="accent4" w:themeFillTint="34"/>
      </w:tcPr>
    </w:tblStylePr>
    <w:tblStylePr w:type="band2Horz">
      <w:pPr>
        <w:snapToGrid/>
      </w:pPr>
      <w:rPr>
        <w:rFonts w:ascii="Arial" w:hAnsi="Arial"/>
        <w:color w:val="B2A1C6"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Grid Table 7 Colorful - Accent 5"/>
    <w:basedOn w:val="2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9" w:themeColor="accent5" w:themeShade="95"/>
        <w:sz w:val="22"/>
      </w:rPr>
      <w:tcPr>
        <w:tcBorders>
          <w:top w:val="nil"/>
          <w:left w:val="nil"/>
          <w:bottom w:val="single" w:color="99D0DE" w:themeColor="accent5" w:themeTint="90" w:sz="4" w:space="0"/>
          <w:right w:val="nil"/>
        </w:tcBorders>
        <w:shd w:val="clear" w:color="auto" w:fill="FFFFFF" w:themeFill="light1"/>
      </w:tcPr>
    </w:tblStylePr>
    <w:tblStylePr w:type="lastRow">
      <w:pPr>
        <w:snapToGrid/>
      </w:pPr>
      <w:rPr>
        <w:rFonts w:ascii="Arial" w:hAnsi="Arial"/>
        <w:b/>
        <w:color w:val="266779" w:themeColor="accent5" w:themeShade="95"/>
        <w:sz w:val="22"/>
      </w:rPr>
      <w:tcPr>
        <w:tcBorders>
          <w:top w:val="single" w:color="99D0DE" w:themeColor="accent5" w:themeTint="90" w:sz="4" w:space="0"/>
          <w:left w:val="nil"/>
          <w:bottom w:val="nil"/>
          <w:right w:val="nil"/>
        </w:tcBorders>
        <w:shd w:val="clear" w:color="auto" w:fill="FFFFFF" w:themeFill="light1"/>
      </w:tcPr>
    </w:tblStylePr>
    <w:tblStylePr w:type="firstCol">
      <w:pPr>
        <w:snapToGrid/>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auto" w:fill="FFFFFF"/>
      </w:tcPr>
    </w:tblStylePr>
    <w:tblStylePr w:type="lastCol">
      <w:pPr>
        <w:snapToGrid/>
      </w:pPr>
      <w:rPr>
        <w:rFonts w:ascii="Arial" w:hAnsi="Arial"/>
        <w:i/>
        <w:color w:val="266779" w:themeColor="accent5" w:themeShade="95"/>
        <w:sz w:val="22"/>
      </w:rPr>
      <w:tcPr>
        <w:tcBorders>
          <w:top w:val="nil"/>
          <w:left w:val="single" w:color="99D0DE" w:themeColor="accent5" w:themeTint="90" w:sz="4" w:space="0"/>
          <w:bottom w:val="nil"/>
          <w:right w:val="nil"/>
        </w:tcBorders>
        <w:shd w:val="clear" w:color="auto" w:fill="FFFFFF"/>
      </w:tcPr>
    </w:tblStylePr>
    <w:tblStylePr w:type="band1Vert">
      <w:pPr>
        <w:snapToGrid/>
      </w:pPr>
      <w:tcPr>
        <w:shd w:val="clear" w:color="auto" w:fill="DAEEF3" w:themeFill="accent5" w:themeFillTint="34"/>
      </w:tcPr>
    </w:tblStylePr>
    <w:tblStylePr w:type="band2Vert">
      <w:pPr>
        <w:snapToGrid/>
      </w:pPr>
    </w:tblStylePr>
    <w:tblStylePr w:type="band1Horz">
      <w:pPr>
        <w:snapToGrid/>
      </w:pPr>
      <w:rPr>
        <w:rFonts w:ascii="Arial" w:hAnsi="Arial"/>
        <w:color w:val="266779" w:themeColor="accent5" w:themeShade="95"/>
        <w:sz w:val="22"/>
      </w:rPr>
      <w:tcPr>
        <w:shd w:val="clear" w:color="auto" w:fill="DAEEF3" w:themeFill="accent5" w:themeFillTint="34"/>
      </w:tcPr>
    </w:tblStylePr>
    <w:tblStylePr w:type="band2Horz">
      <w:pPr>
        <w:snapToGrid/>
      </w:pPr>
      <w:rPr>
        <w:rFonts w:ascii="Arial" w:hAnsi="Arial"/>
        <w:color w:val="266779"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Grid Table 7 Colorful - Accent 6"/>
    <w:basedOn w:val="2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15407" w:themeColor="accent6" w:themeShade="95"/>
        <w:sz w:val="22"/>
      </w:rPr>
      <w:tcPr>
        <w:tcBorders>
          <w:top w:val="nil"/>
          <w:left w:val="nil"/>
          <w:bottom w:val="single" w:color="FAC396" w:themeColor="accent6" w:themeTint="90" w:sz="4" w:space="0"/>
          <w:right w:val="nil"/>
        </w:tcBorders>
        <w:shd w:val="clear" w:color="auto" w:fill="FFFFFF" w:themeFill="light1"/>
      </w:tcPr>
    </w:tblStylePr>
    <w:tblStylePr w:type="lastRow">
      <w:pPr>
        <w:snapToGrid/>
      </w:pPr>
      <w:rPr>
        <w:rFonts w:ascii="Arial" w:hAnsi="Arial"/>
        <w:b/>
        <w:color w:val="B15407" w:themeColor="accent6" w:themeShade="95"/>
        <w:sz w:val="22"/>
      </w:rPr>
      <w:tcPr>
        <w:tcBorders>
          <w:top w:val="single" w:color="FAC396" w:themeColor="accent6" w:themeTint="90" w:sz="4" w:space="0"/>
          <w:left w:val="nil"/>
          <w:bottom w:val="nil"/>
          <w:right w:val="nil"/>
        </w:tcBorders>
        <w:shd w:val="clear" w:color="auto" w:fill="FFFFFF" w:themeFill="light1"/>
      </w:tcPr>
    </w:tblStylePr>
    <w:tblStylePr w:type="firstCol">
      <w:pPr>
        <w:snapToGrid/>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auto" w:fill="FFFFFF"/>
      </w:tcPr>
    </w:tblStylePr>
    <w:tblStylePr w:type="lastCol">
      <w:pPr>
        <w:snapToGrid/>
      </w:pPr>
      <w:rPr>
        <w:rFonts w:ascii="Arial" w:hAnsi="Arial"/>
        <w:i/>
        <w:color w:val="B15407" w:themeColor="accent6" w:themeShade="95"/>
        <w:sz w:val="22"/>
      </w:rPr>
      <w:tcPr>
        <w:tcBorders>
          <w:top w:val="nil"/>
          <w:left w:val="single" w:color="FAC396" w:themeColor="accent6" w:themeTint="90" w:sz="4" w:space="0"/>
          <w:bottom w:val="nil"/>
          <w:right w:val="nil"/>
        </w:tcBorders>
        <w:shd w:val="clear" w:color="auto" w:fill="FFFFFF"/>
      </w:tcPr>
    </w:tblStylePr>
    <w:tblStylePr w:type="band1Vert">
      <w:pPr>
        <w:snapToGrid/>
      </w:pPr>
      <w:tcPr>
        <w:shd w:val="clear" w:color="auto" w:fill="FDE9D9" w:themeFill="accent6" w:themeFillTint="34"/>
      </w:tcPr>
    </w:tblStylePr>
    <w:tblStylePr w:type="band2Vert">
      <w:pPr>
        <w:snapToGrid/>
      </w:pPr>
    </w:tblStylePr>
    <w:tblStylePr w:type="band1Horz">
      <w:pPr>
        <w:snapToGrid/>
      </w:pPr>
      <w:rPr>
        <w:rFonts w:ascii="Arial" w:hAnsi="Arial"/>
        <w:color w:val="B15407" w:themeColor="accent6" w:themeShade="95"/>
        <w:sz w:val="22"/>
      </w:rPr>
      <w:tcPr>
        <w:shd w:val="clear" w:color="auto" w:fill="FDE9D9" w:themeFill="accent6" w:themeFillTint="34"/>
      </w:tcPr>
    </w:tblStylePr>
    <w:tblStylePr w:type="band2Horz">
      <w:pPr>
        <w:snapToGrid/>
      </w:pPr>
      <w:rPr>
        <w:rFonts w:ascii="Arial" w:hAnsi="Arial"/>
        <w:color w:val="B15407" w:themeColor="accent6"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1 Light - Accent 1"/>
    <w:basedOn w:val="24"/>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2DFEE" w:themeFill="accent1" w:themeFillTint="40"/>
      </w:tcPr>
    </w:tblStylePr>
    <w:tblStylePr w:type="band2Vert">
      <w:pPr>
        <w:snapToGrid/>
      </w:pPr>
    </w:tblStylePr>
    <w:tblStylePr w:type="band1Horz">
      <w:pPr>
        <w:snapToGrid/>
      </w:pPr>
      <w:tcPr>
        <w:shd w:val="clear" w:color="auto"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1 Light - Accent 2"/>
    <w:basedOn w:val="24"/>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EFD3D2" w:themeFill="accent2" w:themeFillTint="40"/>
      </w:tcPr>
    </w:tblStylePr>
    <w:tblStylePr w:type="band2Vert">
      <w:pPr>
        <w:snapToGrid/>
      </w:pPr>
    </w:tblStylePr>
    <w:tblStylePr w:type="band1Horz">
      <w:pPr>
        <w:snapToGrid/>
      </w:pPr>
      <w:tcPr>
        <w:shd w:val="clear" w:color="auto"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1 Light - Accent 3"/>
    <w:basedOn w:val="24"/>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E5EDD5" w:themeFill="accent3" w:themeFillTint="40"/>
      </w:tcPr>
    </w:tblStylePr>
    <w:tblStylePr w:type="band2Vert">
      <w:pPr>
        <w:snapToGrid/>
      </w:pPr>
    </w:tblStylePr>
    <w:tblStylePr w:type="band1Horz">
      <w:pPr>
        <w:snapToGrid/>
      </w:pPr>
      <w:tcPr>
        <w:shd w:val="clear" w:color="auto"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1 Light - Accent 4"/>
    <w:basedOn w:val="24"/>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FD8E7" w:themeFill="accent4" w:themeFillTint="40"/>
      </w:tcPr>
    </w:tblStylePr>
    <w:tblStylePr w:type="band2Vert">
      <w:pPr>
        <w:snapToGrid/>
      </w:pPr>
    </w:tblStylePr>
    <w:tblStylePr w:type="band1Horz">
      <w:pPr>
        <w:snapToGrid/>
      </w:pPr>
      <w:tcPr>
        <w:shd w:val="clear" w:color="auto"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List Table 1 Light - Accent 5"/>
    <w:basedOn w:val="24"/>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1EAF0" w:themeFill="accent5" w:themeFillTint="40"/>
      </w:tcPr>
    </w:tblStylePr>
    <w:tblStylePr w:type="band2Vert">
      <w:pPr>
        <w:snapToGrid/>
      </w:pPr>
    </w:tblStylePr>
    <w:tblStylePr w:type="band1Horz">
      <w:pPr>
        <w:snapToGrid/>
      </w:pPr>
      <w:tcPr>
        <w:shd w:val="clear" w:color="auto"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1 Light - Accent 6"/>
    <w:basedOn w:val="24"/>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FCE4D0" w:themeFill="accent6" w:themeFillTint="40"/>
      </w:tcPr>
    </w:tblStylePr>
    <w:tblStylePr w:type="band2Vert">
      <w:pPr>
        <w:snapToGrid/>
      </w:pPr>
    </w:tblStylePr>
    <w:tblStylePr w:type="band1Horz">
      <w:pPr>
        <w:snapToGrid/>
      </w:pPr>
      <w:tcPr>
        <w:shd w:val="clear" w:color="auto"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2 - Accent 1"/>
    <w:basedOn w:val="2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2DFEE" w:themeFill="accent1" w:themeFillTint="40"/>
      </w:tcPr>
    </w:tblStylePr>
    <w:tblStylePr w:type="band2Vert">
      <w:pPr>
        <w:snapToGrid/>
      </w:pPr>
    </w:tblStylePr>
    <w:tblStylePr w:type="band1Horz">
      <w:pPr>
        <w:snapToGrid/>
      </w:pPr>
      <w:rPr>
        <w:rFonts w:ascii="Arial" w:hAnsi="Arial"/>
        <w:color w:val="404040"/>
        <w:sz w:val="22"/>
      </w:rPr>
      <w:tcPr>
        <w:shd w:val="clear" w:color="auto"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2 - Accent 2"/>
    <w:basedOn w:val="2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EFD3D2" w:themeFill="accent2" w:themeFillTint="40"/>
      </w:tcPr>
    </w:tblStylePr>
    <w:tblStylePr w:type="band2Vert">
      <w:pPr>
        <w:snapToGrid/>
      </w:pPr>
    </w:tblStylePr>
    <w:tblStylePr w:type="band1Horz">
      <w:pPr>
        <w:snapToGrid/>
      </w:pPr>
      <w:rPr>
        <w:rFonts w:ascii="Arial" w:hAnsi="Arial"/>
        <w:color w:val="404040"/>
        <w:sz w:val="22"/>
      </w:rPr>
      <w:tcPr>
        <w:shd w:val="clear" w:color="auto"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2 - Accent 3"/>
    <w:basedOn w:val="2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E5EDD5" w:themeFill="accent3" w:themeFillTint="40"/>
      </w:tcPr>
    </w:tblStylePr>
    <w:tblStylePr w:type="band2Vert">
      <w:pPr>
        <w:snapToGrid/>
      </w:pPr>
    </w:tblStylePr>
    <w:tblStylePr w:type="band1Horz">
      <w:pPr>
        <w:snapToGrid/>
      </w:pPr>
      <w:rPr>
        <w:rFonts w:ascii="Arial" w:hAnsi="Arial"/>
        <w:color w:val="404040"/>
        <w:sz w:val="22"/>
      </w:rPr>
      <w:tcPr>
        <w:shd w:val="clear" w:color="auto"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2 - Accent 4"/>
    <w:basedOn w:val="2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FD8E7" w:themeFill="accent4" w:themeFillTint="40"/>
      </w:tcPr>
    </w:tblStylePr>
    <w:tblStylePr w:type="band2Vert">
      <w:pPr>
        <w:snapToGrid/>
      </w:pPr>
    </w:tblStylePr>
    <w:tblStylePr w:type="band1Horz">
      <w:pPr>
        <w:snapToGrid/>
      </w:pPr>
      <w:rPr>
        <w:rFonts w:ascii="Arial" w:hAnsi="Arial"/>
        <w:color w:val="404040"/>
        <w:sz w:val="22"/>
      </w:rPr>
      <w:tcPr>
        <w:shd w:val="clear" w:color="auto"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2 - Accent 5"/>
    <w:basedOn w:val="2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1EAF0" w:themeFill="accent5" w:themeFillTint="40"/>
      </w:tcPr>
    </w:tblStylePr>
    <w:tblStylePr w:type="band2Vert">
      <w:pPr>
        <w:snapToGrid/>
      </w:pPr>
    </w:tblStylePr>
    <w:tblStylePr w:type="band1Horz">
      <w:pPr>
        <w:snapToGrid/>
      </w:pPr>
      <w:rPr>
        <w:rFonts w:ascii="Arial" w:hAnsi="Arial"/>
        <w:color w:val="404040"/>
        <w:sz w:val="22"/>
      </w:rPr>
      <w:tcPr>
        <w:shd w:val="clear" w:color="auto"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st Table 2 - Accent 6"/>
    <w:basedOn w:val="2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FCE4D0" w:themeFill="accent6" w:themeFillTint="40"/>
      </w:tcPr>
    </w:tblStylePr>
    <w:tblStylePr w:type="band2Vert">
      <w:pPr>
        <w:snapToGrid/>
      </w:pPr>
    </w:tblStylePr>
    <w:tblStylePr w:type="band1Horz">
      <w:pPr>
        <w:snapToGrid/>
      </w:pPr>
      <w:rPr>
        <w:rFonts w:ascii="Arial" w:hAnsi="Arial"/>
        <w:color w:val="404040"/>
        <w:sz w:val="22"/>
      </w:rPr>
      <w:tcPr>
        <w:shd w:val="clear" w:color="auto"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3 - Accent 1"/>
    <w:basedOn w:val="2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auto"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3 - Accent 2"/>
    <w:basedOn w:val="2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auto"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3 - Accent 3"/>
    <w:basedOn w:val="2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auto"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3 - Accent 4"/>
    <w:basedOn w:val="2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auto"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st Table 3 - Accent 5"/>
    <w:basedOn w:val="2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auto"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3 - Accent 6"/>
    <w:basedOn w:val="2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auto"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4 - Accent 1"/>
    <w:basedOn w:val="2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auto"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2DFEE" w:themeFill="accent1" w:themeFillTint="40"/>
      </w:tcPr>
    </w:tblStylePr>
    <w:tblStylePr w:type="band2Vert">
      <w:pPr>
        <w:snapToGrid/>
      </w:pPr>
    </w:tblStylePr>
    <w:tblStylePr w:type="band1Horz">
      <w:pPr>
        <w:snapToGrid/>
      </w:pPr>
      <w:rPr>
        <w:rFonts w:ascii="Arial" w:hAnsi="Arial"/>
        <w:color w:val="404040"/>
        <w:sz w:val="22"/>
      </w:rPr>
      <w:tcPr>
        <w:shd w:val="clear" w:color="auto"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4 - Accent 2"/>
    <w:basedOn w:val="2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auto"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FD3D2" w:themeFill="accent2" w:themeFillTint="40"/>
      </w:tcPr>
    </w:tblStylePr>
    <w:tblStylePr w:type="band2Vert">
      <w:pPr>
        <w:snapToGrid/>
      </w:pPr>
    </w:tblStylePr>
    <w:tblStylePr w:type="band1Horz">
      <w:pPr>
        <w:snapToGrid/>
      </w:pPr>
      <w:rPr>
        <w:rFonts w:ascii="Arial" w:hAnsi="Arial"/>
        <w:color w:val="404040"/>
        <w:sz w:val="22"/>
      </w:rPr>
      <w:tcPr>
        <w:shd w:val="clear" w:color="auto"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4 - Accent 3"/>
    <w:basedOn w:val="2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auto"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5EDD5" w:themeFill="accent3" w:themeFillTint="40"/>
      </w:tcPr>
    </w:tblStylePr>
    <w:tblStylePr w:type="band2Vert">
      <w:pPr>
        <w:snapToGrid/>
      </w:pPr>
    </w:tblStylePr>
    <w:tblStylePr w:type="band1Horz">
      <w:pPr>
        <w:snapToGrid/>
      </w:pPr>
      <w:rPr>
        <w:rFonts w:ascii="Arial" w:hAnsi="Arial"/>
        <w:color w:val="404040"/>
        <w:sz w:val="22"/>
      </w:rPr>
      <w:tcPr>
        <w:shd w:val="clear" w:color="auto"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4 - Accent 4"/>
    <w:basedOn w:val="2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auto"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FD8E7" w:themeFill="accent4" w:themeFillTint="40"/>
      </w:tcPr>
    </w:tblStylePr>
    <w:tblStylePr w:type="band2Vert">
      <w:pPr>
        <w:snapToGrid/>
      </w:pPr>
    </w:tblStylePr>
    <w:tblStylePr w:type="band1Horz">
      <w:pPr>
        <w:snapToGrid/>
      </w:pPr>
      <w:rPr>
        <w:rFonts w:ascii="Arial" w:hAnsi="Arial"/>
        <w:color w:val="404040"/>
        <w:sz w:val="22"/>
      </w:rPr>
      <w:tcPr>
        <w:shd w:val="clear" w:color="auto"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4 - Accent 5"/>
    <w:basedOn w:val="2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auto"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1EAF0" w:themeFill="accent5" w:themeFillTint="40"/>
      </w:tcPr>
    </w:tblStylePr>
    <w:tblStylePr w:type="band2Vert">
      <w:pPr>
        <w:snapToGrid/>
      </w:pPr>
    </w:tblStylePr>
    <w:tblStylePr w:type="band1Horz">
      <w:pPr>
        <w:snapToGrid/>
      </w:pPr>
      <w:rPr>
        <w:rFonts w:ascii="Arial" w:hAnsi="Arial"/>
        <w:color w:val="404040"/>
        <w:sz w:val="22"/>
      </w:rPr>
      <w:tcPr>
        <w:shd w:val="clear" w:color="auto"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List Table 4 - Accent 6"/>
    <w:basedOn w:val="2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auto"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CE4D0" w:themeFill="accent6" w:themeFillTint="40"/>
      </w:tcPr>
    </w:tblStylePr>
    <w:tblStylePr w:type="band2Vert">
      <w:pPr>
        <w:snapToGrid/>
      </w:pPr>
    </w:tblStylePr>
    <w:tblStylePr w:type="band1Horz">
      <w:pPr>
        <w:snapToGrid/>
      </w:pPr>
      <w:rPr>
        <w:rFonts w:ascii="Arial" w:hAnsi="Arial"/>
        <w:color w:val="404040"/>
        <w:sz w:val="22"/>
      </w:rPr>
      <w:tcPr>
        <w:shd w:val="clear" w:color="auto"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5 Dark - Accent 1"/>
    <w:basedOn w:val="2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rPr>
      <w:tcPr>
        <w:tcBorders>
          <w:top w:val="single" w:color="4F81BD" w:themeColor="accent1" w:sz="32" w:space="0"/>
          <w:bottom w:val="single" w:color="FFFFFF" w:themeColor="light1" w:sz="12" w:space="0"/>
        </w:tcBorders>
        <w:shd w:val="clear" w:color="auto" w:fill="4F81BD" w:themeFill="accent1"/>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auto"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4F81BD" w:themeFill="accent1"/>
      </w:tcPr>
    </w:tblStylePr>
    <w:tblStylePr w:type="band2Horz">
      <w:pPr>
        <w:snapToGrid/>
      </w:pPr>
      <w:tcPr>
        <w:tcBorders>
          <w:top w:val="single" w:color="FFFFFF" w:themeColor="light1" w:sz="4" w:space="0"/>
          <w:bottom w:val="single" w:color="FFFFFF" w:themeColor="light1" w:sz="4" w:space="0"/>
        </w:tcBorders>
        <w:shd w:val="clear" w:color="auto"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5 Dark - Accent 2"/>
    <w:basedOn w:val="2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auto"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auto"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5 Dark - Accent 3"/>
    <w:basedOn w:val="2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auto"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auto"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5 Dark - Accent 4"/>
    <w:basedOn w:val="2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auto"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auto"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5 Dark - Accent 5"/>
    <w:basedOn w:val="2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auto"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auto"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5 Dark - Accent 6"/>
    <w:basedOn w:val="2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auto"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auto"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st Table 6 Colorful - Accent 1"/>
    <w:basedOn w:val="24"/>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5"/>
      </w:rPr>
      <w:tcPr>
        <w:tcBorders>
          <w:bottom w:val="single" w:color="4F81BD" w:themeColor="accent1" w:sz="4" w:space="0"/>
        </w:tcBorders>
      </w:tcPr>
    </w:tblStylePr>
    <w:tblStylePr w:type="lastRow">
      <w:pPr>
        <w:snapToGrid/>
      </w:pPr>
      <w:rPr>
        <w:b/>
        <w:color w:val="2A4B71" w:themeColor="accent1" w:themeShade="95"/>
      </w:rPr>
      <w:tcPr>
        <w:tcBorders>
          <w:top w:val="single" w:color="4F81BD" w:themeColor="accent1" w:sz="4" w:space="0"/>
        </w:tcBorders>
      </w:tcPr>
    </w:tblStylePr>
    <w:tblStylePr w:type="firstCol">
      <w:pPr>
        <w:snapToGrid/>
      </w:pPr>
      <w:rPr>
        <w:b/>
        <w:color w:val="2A4B71" w:themeColor="accent1" w:themeShade="95"/>
      </w:rPr>
    </w:tblStylePr>
    <w:tblStylePr w:type="lastCol">
      <w:pPr>
        <w:snapToGrid/>
      </w:pPr>
      <w:rPr>
        <w:b/>
        <w:color w:val="2A4B71" w:themeColor="accent1" w:themeShade="95"/>
      </w:rPr>
    </w:tblStylePr>
    <w:tblStylePr w:type="band1Vert">
      <w:pPr>
        <w:snapToGrid/>
      </w:pPr>
      <w:tcPr>
        <w:shd w:val="clear" w:color="auto" w:fill="D2DFEE" w:themeFill="accent1" w:themeFillTint="40"/>
      </w:tcPr>
    </w:tblStylePr>
    <w:tblStylePr w:type="band2Vert">
      <w:pPr>
        <w:snapToGrid/>
      </w:pPr>
    </w:tblStylePr>
    <w:tblStylePr w:type="band1Horz">
      <w:pPr>
        <w:snapToGrid/>
      </w:pPr>
      <w:rPr>
        <w:rFonts w:ascii="Arial" w:hAnsi="Arial"/>
        <w:color w:val="2A4B71" w:themeColor="accent1" w:themeShade="95"/>
        <w:sz w:val="22"/>
      </w:rPr>
      <w:tcPr>
        <w:shd w:val="clear" w:color="auto" w:fill="D2DFEE" w:themeFill="accent1" w:themeFillTint="40"/>
      </w:tcPr>
    </w:tblStylePr>
    <w:tblStylePr w:type="band2Horz">
      <w:pPr>
        <w:snapToGrid/>
      </w:pPr>
      <w:rPr>
        <w:rFonts w:ascii="Arial" w:hAnsi="Arial"/>
        <w:color w:val="2A4B71" w:themeColor="accent1"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st Table 6 Colorful - Accent 2"/>
    <w:basedOn w:val="24"/>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99795" w:themeColor="accent2" w:themeShade="95" w:themeTint="97"/>
      </w:rPr>
      <w:tcPr>
        <w:tcBorders>
          <w:bottom w:val="single" w:color="D99795" w:themeColor="accent2" w:themeTint="97" w:sz="4" w:space="0"/>
        </w:tcBorders>
      </w:tcPr>
    </w:tblStylePr>
    <w:tblStylePr w:type="lastRow">
      <w:pPr>
        <w:snapToGrid/>
      </w:pPr>
      <w:rPr>
        <w:b/>
        <w:color w:val="D99795" w:themeColor="accent2" w:themeShade="95" w:themeTint="97"/>
      </w:rPr>
      <w:tcPr>
        <w:tcBorders>
          <w:top w:val="single" w:color="D99795" w:themeColor="accent2" w:themeTint="97" w:sz="4" w:space="0"/>
        </w:tcBorders>
      </w:tcPr>
    </w:tblStylePr>
    <w:tblStylePr w:type="firstCol">
      <w:pPr>
        <w:snapToGrid/>
      </w:pPr>
      <w:rPr>
        <w:b/>
        <w:color w:val="D99795" w:themeColor="accent2" w:themeShade="95" w:themeTint="97"/>
      </w:rPr>
    </w:tblStylePr>
    <w:tblStylePr w:type="lastCol">
      <w:pPr>
        <w:snapToGrid/>
      </w:pPr>
      <w:rPr>
        <w:b/>
        <w:color w:val="D99795" w:themeColor="accent2" w:themeShade="95" w:themeTint="97"/>
      </w:rPr>
    </w:tblStylePr>
    <w:tblStylePr w:type="band1Vert">
      <w:pPr>
        <w:snapToGrid/>
      </w:pPr>
      <w:tcPr>
        <w:shd w:val="clear" w:color="auto" w:fill="EFD3D2" w:themeFill="accent2" w:themeFillTint="40"/>
      </w:tcPr>
    </w:tblStylePr>
    <w:tblStylePr w:type="band2Vert">
      <w:pPr>
        <w:snapToGrid/>
      </w:pPr>
    </w:tblStylePr>
    <w:tblStylePr w:type="band1Horz">
      <w:pPr>
        <w:snapToGrid/>
      </w:pPr>
      <w:rPr>
        <w:rFonts w:ascii="Arial" w:hAnsi="Arial"/>
        <w:color w:val="D99795" w:themeColor="accent2" w:themeShade="95" w:themeTint="97"/>
        <w:sz w:val="22"/>
      </w:rPr>
      <w:tcPr>
        <w:shd w:val="clear" w:color="auto" w:fill="EFD3D2" w:themeFill="accent2" w:themeFillTint="40"/>
      </w:tcPr>
    </w:tblStylePr>
    <w:tblStylePr w:type="band2Horz">
      <w:pPr>
        <w:snapToGrid/>
      </w:pPr>
      <w:rPr>
        <w:rFonts w:ascii="Arial" w:hAnsi="Arial"/>
        <w:color w:val="D9979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st Table 6 Colorful - Accent 3"/>
    <w:basedOn w:val="24"/>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C" w:themeColor="accent3" w:themeShade="95" w:themeTint="98"/>
      </w:rPr>
      <w:tcPr>
        <w:tcBorders>
          <w:bottom w:val="single" w:color="C3D69C" w:themeColor="accent3" w:themeTint="98" w:sz="4" w:space="0"/>
        </w:tcBorders>
      </w:tcPr>
    </w:tblStylePr>
    <w:tblStylePr w:type="lastRow">
      <w:pPr>
        <w:snapToGrid/>
      </w:pPr>
      <w:rPr>
        <w:b/>
        <w:color w:val="C3D69C" w:themeColor="accent3" w:themeShade="95" w:themeTint="98"/>
      </w:rPr>
      <w:tcPr>
        <w:tcBorders>
          <w:top w:val="single" w:color="C3D69C" w:themeColor="accent3" w:themeTint="98" w:sz="4" w:space="0"/>
        </w:tcBorders>
      </w:tcPr>
    </w:tblStylePr>
    <w:tblStylePr w:type="firstCol">
      <w:pPr>
        <w:snapToGrid/>
      </w:pPr>
      <w:rPr>
        <w:b/>
        <w:color w:val="C3D69C" w:themeColor="accent3" w:themeShade="95" w:themeTint="98"/>
      </w:rPr>
    </w:tblStylePr>
    <w:tblStylePr w:type="lastCol">
      <w:pPr>
        <w:snapToGrid/>
      </w:pPr>
      <w:rPr>
        <w:b/>
        <w:color w:val="C3D69C" w:themeColor="accent3" w:themeShade="95" w:themeTint="98"/>
      </w:rPr>
    </w:tblStylePr>
    <w:tblStylePr w:type="band1Vert">
      <w:pPr>
        <w:snapToGrid/>
      </w:pPr>
      <w:tcPr>
        <w:shd w:val="clear" w:color="auto" w:fill="E5EDD5" w:themeFill="accent3" w:themeFillTint="40"/>
      </w:tcPr>
    </w:tblStylePr>
    <w:tblStylePr w:type="band2Vert">
      <w:pPr>
        <w:snapToGrid/>
      </w:pPr>
    </w:tblStylePr>
    <w:tblStylePr w:type="band1Horz">
      <w:pPr>
        <w:snapToGrid/>
      </w:pPr>
      <w:rPr>
        <w:rFonts w:ascii="Arial" w:hAnsi="Arial"/>
        <w:color w:val="C3D69C" w:themeColor="accent3" w:themeShade="95" w:themeTint="98"/>
        <w:sz w:val="22"/>
      </w:rPr>
      <w:tcPr>
        <w:shd w:val="clear" w:color="auto" w:fill="E5EDD5" w:themeFill="accent3" w:themeFillTint="40"/>
      </w:tcPr>
    </w:tblStylePr>
    <w:tblStylePr w:type="band2Horz">
      <w:pPr>
        <w:snapToGrid/>
      </w:pPr>
      <w:rPr>
        <w:rFonts w:ascii="Arial" w:hAnsi="Arial"/>
        <w:color w:val="C3D69C" w:themeColor="accent3"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st Table 6 Colorful - Accent 4"/>
    <w:basedOn w:val="24"/>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2A1C6" w:themeColor="accent4" w:themeShade="95" w:themeTint="9A"/>
      </w:rPr>
      <w:tcPr>
        <w:tcBorders>
          <w:bottom w:val="single" w:color="B2A1C6" w:themeColor="accent4" w:themeTint="9A" w:sz="4" w:space="0"/>
        </w:tcBorders>
      </w:tcPr>
    </w:tblStylePr>
    <w:tblStylePr w:type="lastRow">
      <w:pPr>
        <w:snapToGrid/>
      </w:pPr>
      <w:rPr>
        <w:b/>
        <w:color w:val="B2A1C6" w:themeColor="accent4" w:themeShade="95" w:themeTint="9A"/>
      </w:rPr>
      <w:tcPr>
        <w:tcBorders>
          <w:top w:val="single" w:color="B2A1C6" w:themeColor="accent4" w:themeTint="9A" w:sz="4" w:space="0"/>
        </w:tcBorders>
      </w:tcPr>
    </w:tblStylePr>
    <w:tblStylePr w:type="firstCol">
      <w:pPr>
        <w:snapToGrid/>
      </w:pPr>
      <w:rPr>
        <w:b/>
        <w:color w:val="B2A1C6" w:themeColor="accent4" w:themeShade="95" w:themeTint="9A"/>
      </w:rPr>
    </w:tblStylePr>
    <w:tblStylePr w:type="lastCol">
      <w:pPr>
        <w:snapToGrid/>
      </w:pPr>
      <w:rPr>
        <w:b/>
        <w:color w:val="B2A1C6" w:themeColor="accent4" w:themeShade="95" w:themeTint="9A"/>
      </w:rPr>
    </w:tblStylePr>
    <w:tblStylePr w:type="band1Vert">
      <w:pPr>
        <w:snapToGrid/>
      </w:pPr>
      <w:tcPr>
        <w:shd w:val="clear" w:color="auto" w:fill="DFD8E7" w:themeFill="accent4" w:themeFillTint="40"/>
      </w:tcPr>
    </w:tblStylePr>
    <w:tblStylePr w:type="band2Vert">
      <w:pPr>
        <w:snapToGrid/>
      </w:pPr>
    </w:tblStylePr>
    <w:tblStylePr w:type="band1Horz">
      <w:pPr>
        <w:snapToGrid/>
      </w:pPr>
      <w:rPr>
        <w:rFonts w:ascii="Arial" w:hAnsi="Arial"/>
        <w:color w:val="B2A1C6" w:themeColor="accent4" w:themeShade="95" w:themeTint="9A"/>
        <w:sz w:val="22"/>
      </w:rPr>
      <w:tcPr>
        <w:shd w:val="clear" w:color="auto" w:fill="DFD8E7" w:themeFill="accent4" w:themeFillTint="40"/>
      </w:tcPr>
    </w:tblStylePr>
    <w:tblStylePr w:type="band2Horz">
      <w:pPr>
        <w:snapToGrid/>
      </w:pPr>
      <w:rPr>
        <w:rFonts w:ascii="Arial" w:hAnsi="Arial"/>
        <w:color w:val="B2A1C6"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st Table 6 Colorful - Accent 5"/>
    <w:basedOn w:val="24"/>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2CCDC" w:themeColor="accent5" w:themeShade="95" w:themeTint="9A"/>
      </w:rPr>
      <w:tcPr>
        <w:tcBorders>
          <w:bottom w:val="single" w:color="92CCDC" w:themeColor="accent5" w:themeTint="9A" w:sz="4" w:space="0"/>
        </w:tcBorders>
      </w:tcPr>
    </w:tblStylePr>
    <w:tblStylePr w:type="lastRow">
      <w:pPr>
        <w:snapToGrid/>
      </w:pPr>
      <w:rPr>
        <w:b/>
        <w:color w:val="92CCDC" w:themeColor="accent5" w:themeShade="95" w:themeTint="9A"/>
      </w:rPr>
      <w:tcPr>
        <w:tcBorders>
          <w:top w:val="single" w:color="92CCDC" w:themeColor="accent5" w:themeTint="9A" w:sz="4" w:space="0"/>
        </w:tcBorders>
      </w:tcPr>
    </w:tblStylePr>
    <w:tblStylePr w:type="firstCol">
      <w:pPr>
        <w:snapToGrid/>
      </w:pPr>
      <w:rPr>
        <w:b/>
        <w:color w:val="92CCDC" w:themeColor="accent5" w:themeShade="95" w:themeTint="9A"/>
      </w:rPr>
    </w:tblStylePr>
    <w:tblStylePr w:type="lastCol">
      <w:pPr>
        <w:snapToGrid/>
      </w:pPr>
      <w:rPr>
        <w:b/>
        <w:color w:val="92CCDC" w:themeColor="accent5" w:themeShade="95" w:themeTint="9A"/>
      </w:rPr>
    </w:tblStylePr>
    <w:tblStylePr w:type="band1Vert">
      <w:pPr>
        <w:snapToGrid/>
      </w:pPr>
      <w:tcPr>
        <w:shd w:val="clear" w:color="auto" w:fill="D1EAF0" w:themeFill="accent5" w:themeFillTint="40"/>
      </w:tcPr>
    </w:tblStylePr>
    <w:tblStylePr w:type="band2Vert">
      <w:pPr>
        <w:snapToGrid/>
      </w:pPr>
    </w:tblStylePr>
    <w:tblStylePr w:type="band1Horz">
      <w:pPr>
        <w:snapToGrid/>
      </w:pPr>
      <w:rPr>
        <w:rFonts w:ascii="Arial" w:hAnsi="Arial"/>
        <w:color w:val="92CCDC" w:themeColor="accent5" w:themeShade="95" w:themeTint="9A"/>
        <w:sz w:val="22"/>
      </w:rPr>
      <w:tcPr>
        <w:shd w:val="clear" w:color="auto" w:fill="D1EAF0" w:themeFill="accent5" w:themeFillTint="40"/>
      </w:tcPr>
    </w:tblStylePr>
    <w:tblStylePr w:type="band2Horz">
      <w:pPr>
        <w:snapToGrid/>
      </w:pPr>
      <w:rPr>
        <w:rFonts w:ascii="Arial" w:hAnsi="Arial"/>
        <w:color w:val="92CCDC" w:themeColor="accent5"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st Table 6 Colorful - Accent 6"/>
    <w:basedOn w:val="24"/>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Shade="95" w:themeTint="98"/>
      </w:rPr>
      <w:tcPr>
        <w:tcBorders>
          <w:bottom w:val="single" w:color="FAC090" w:themeColor="accent6" w:themeTint="98" w:sz="4" w:space="0"/>
        </w:tcBorders>
      </w:tcPr>
    </w:tblStylePr>
    <w:tblStylePr w:type="lastRow">
      <w:pPr>
        <w:snapToGrid/>
      </w:pPr>
      <w:rPr>
        <w:b/>
        <w:color w:val="FAC090" w:themeColor="accent6" w:themeShade="95" w:themeTint="98"/>
      </w:rPr>
      <w:tcPr>
        <w:tcBorders>
          <w:top w:val="single" w:color="FAC090" w:themeColor="accent6" w:themeTint="98" w:sz="4" w:space="0"/>
        </w:tcBorders>
      </w:tcPr>
    </w:tblStylePr>
    <w:tblStylePr w:type="firstCol">
      <w:pPr>
        <w:snapToGrid/>
      </w:pPr>
      <w:rPr>
        <w:b/>
        <w:color w:val="FAC090" w:themeColor="accent6" w:themeShade="95" w:themeTint="98"/>
      </w:rPr>
    </w:tblStylePr>
    <w:tblStylePr w:type="lastCol">
      <w:pPr>
        <w:snapToGrid/>
      </w:pPr>
      <w:rPr>
        <w:b/>
        <w:color w:val="FAC090" w:themeColor="accent6" w:themeShade="95" w:themeTint="98"/>
      </w:rPr>
    </w:tblStylePr>
    <w:tblStylePr w:type="band1Vert">
      <w:pPr>
        <w:snapToGrid/>
      </w:pPr>
      <w:tcPr>
        <w:shd w:val="clear" w:color="auto" w:fill="FCE4D0" w:themeFill="accent6" w:themeFillTint="40"/>
      </w:tcPr>
    </w:tblStylePr>
    <w:tblStylePr w:type="band2Vert">
      <w:pPr>
        <w:snapToGrid/>
      </w:pPr>
    </w:tblStylePr>
    <w:tblStylePr w:type="band1Horz">
      <w:pPr>
        <w:snapToGrid/>
      </w:pPr>
      <w:rPr>
        <w:rFonts w:ascii="Arial" w:hAnsi="Arial"/>
        <w:color w:val="FAC090" w:themeColor="accent6" w:themeShade="95" w:themeTint="98"/>
        <w:sz w:val="22"/>
      </w:rPr>
      <w:tcPr>
        <w:shd w:val="clear" w:color="auto" w:fill="FCE4D0" w:themeFill="accent6" w:themeFillTint="40"/>
      </w:tcPr>
    </w:tblStylePr>
    <w:tblStylePr w:type="band2Horz">
      <w:pPr>
        <w:snapToGrid/>
      </w:pPr>
      <w:rPr>
        <w:rFonts w:ascii="Arial" w:hAnsi="Arial"/>
        <w:color w:val="FAC090" w:themeColor="accent6"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st Table 7 Colorful - Accent 1"/>
    <w:basedOn w:val="24"/>
    <w:qFormat/>
    <w:uiPriority w:val="99"/>
    <w:tblPr>
      <w:tblBorders>
        <w:right w:val="single" w:color="4F81BD" w:themeColor="accent1" w:sz="4" w:space="0"/>
      </w:tblBorders>
    </w:tblPr>
    <w:tblStylePr w:type="firstRow">
      <w:pPr>
        <w:snapToGrid/>
      </w:pPr>
      <w:rPr>
        <w:rFonts w:ascii="Arial" w:hAnsi="Arial"/>
        <w:i/>
        <w:color w:val="2A4B71" w:themeColor="accent1" w:themeShade="95"/>
        <w:sz w:val="22"/>
      </w:rPr>
      <w:tcPr>
        <w:tcBorders>
          <w:top w:val="nil"/>
          <w:left w:val="nil"/>
          <w:bottom w:val="single" w:color="4F81BD" w:themeColor="accent1" w:sz="4" w:space="0"/>
          <w:right w:val="nil"/>
        </w:tcBorders>
        <w:shd w:val="clear" w:color="auto" w:fill="FFFFFF" w:themeFill="light1"/>
      </w:tcPr>
    </w:tblStylePr>
    <w:tblStylePr w:type="lastRow">
      <w:pPr>
        <w:snapToGrid/>
      </w:pPr>
      <w:rPr>
        <w:rFonts w:ascii="Arial" w:hAnsi="Arial"/>
        <w:i/>
        <w:color w:val="2A4B71" w:themeColor="accent1" w:themeShade="95"/>
        <w:sz w:val="22"/>
      </w:rPr>
      <w:tcPr>
        <w:tcBorders>
          <w:top w:val="single" w:color="4F81BD" w:themeColor="accent1" w:sz="4" w:space="0"/>
          <w:left w:val="nil"/>
          <w:bottom w:val="nil"/>
          <w:right w:val="nil"/>
        </w:tcBorders>
        <w:shd w:val="clear" w:color="auto" w:fill="FFFFFF" w:themeFill="light1"/>
      </w:tcPr>
    </w:tblStylePr>
    <w:tblStylePr w:type="firstCol">
      <w:pPr>
        <w:snapToGrid/>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auto" w:fill="FFFFFF"/>
      </w:tcPr>
    </w:tblStylePr>
    <w:tblStylePr w:type="lastCol">
      <w:pPr>
        <w:snapToGrid/>
      </w:pPr>
      <w:rPr>
        <w:rFonts w:ascii="Arial" w:hAnsi="Arial"/>
        <w:i/>
        <w:color w:val="2A4B71" w:themeColor="accent1" w:themeShade="95"/>
        <w:sz w:val="22"/>
      </w:rPr>
      <w:tcPr>
        <w:tcBorders>
          <w:top w:val="nil"/>
          <w:left w:val="single" w:color="4F81BD" w:themeColor="accent1" w:sz="4" w:space="0"/>
          <w:bottom w:val="nil"/>
          <w:right w:val="nil"/>
        </w:tcBorders>
        <w:shd w:val="clear" w:color="auto" w:fill="FFFFFF"/>
      </w:tcPr>
    </w:tblStylePr>
    <w:tblStylePr w:type="band1Vert">
      <w:pPr>
        <w:snapToGrid/>
      </w:pPr>
      <w:tcPr>
        <w:shd w:val="clear" w:color="auto" w:fill="D2DFEE" w:themeFill="accent1" w:themeFillTint="40"/>
      </w:tcPr>
    </w:tblStylePr>
    <w:tblStylePr w:type="band2Vert">
      <w:pPr>
        <w:snapToGrid/>
      </w:pPr>
    </w:tblStylePr>
    <w:tblStylePr w:type="band1Horz">
      <w:pPr>
        <w:snapToGrid/>
      </w:pPr>
      <w:rPr>
        <w:rFonts w:ascii="Arial" w:hAnsi="Arial"/>
        <w:color w:val="2A4B71" w:themeColor="accent1" w:themeShade="95"/>
        <w:sz w:val="22"/>
      </w:rPr>
      <w:tcPr>
        <w:shd w:val="clear" w:color="auto" w:fill="D2DFEE" w:themeFill="accent1" w:themeFillTint="40"/>
      </w:tcPr>
    </w:tblStylePr>
    <w:tblStylePr w:type="band2Horz">
      <w:pPr>
        <w:snapToGrid/>
      </w:pPr>
      <w:rPr>
        <w:rFonts w:ascii="Arial" w:hAnsi="Arial"/>
        <w:color w:val="2A4B71" w:themeColor="accent1"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List Table 7 Colorful - Accent 2"/>
    <w:basedOn w:val="24"/>
    <w:qFormat/>
    <w:uiPriority w:val="99"/>
    <w:tblPr>
      <w:tblBorders>
        <w:right w:val="single" w:color="D99795" w:themeColor="accent2" w:themeTint="97" w:sz="4" w:space="0"/>
      </w:tblBorders>
    </w:tblPr>
    <w:tblStylePr w:type="firstRow">
      <w:pPr>
        <w:snapToGrid/>
      </w:pPr>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auto" w:fill="FFFFFF" w:themeFill="light1"/>
      </w:tcPr>
    </w:tblStylePr>
    <w:tblStylePr w:type="lastRow">
      <w:pPr>
        <w:snapToGrid/>
      </w:pPr>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auto" w:fill="FFFFFF" w:themeFill="light1"/>
      </w:tcPr>
    </w:tblStylePr>
    <w:tblStylePr w:type="firstCol">
      <w:pPr>
        <w:snapToGrid/>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auto" w:fill="FFFFFF"/>
      </w:tcPr>
    </w:tblStylePr>
    <w:tblStylePr w:type="lastCol">
      <w:pPr>
        <w:snapToGrid/>
      </w:pPr>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auto" w:fill="FFFFFF"/>
      </w:tcPr>
    </w:tblStylePr>
    <w:tblStylePr w:type="band1Vert">
      <w:pPr>
        <w:snapToGrid/>
      </w:pPr>
      <w:tcPr>
        <w:shd w:val="clear" w:color="auto" w:fill="EFD3D2" w:themeFill="accent2" w:themeFillTint="40"/>
      </w:tcPr>
    </w:tblStylePr>
    <w:tblStylePr w:type="band2Vert">
      <w:pPr>
        <w:snapToGrid/>
      </w:pPr>
    </w:tblStylePr>
    <w:tblStylePr w:type="band1Horz">
      <w:pPr>
        <w:snapToGrid/>
      </w:pPr>
      <w:rPr>
        <w:rFonts w:ascii="Arial" w:hAnsi="Arial"/>
        <w:color w:val="D99795" w:themeColor="accent2" w:themeShade="95" w:themeTint="97"/>
        <w:sz w:val="22"/>
      </w:rPr>
      <w:tcPr>
        <w:shd w:val="clear" w:color="auto" w:fill="EFD3D2" w:themeFill="accent2" w:themeFillTint="40"/>
      </w:tcPr>
    </w:tblStylePr>
    <w:tblStylePr w:type="band2Horz">
      <w:pPr>
        <w:snapToGrid/>
      </w:pPr>
      <w:rPr>
        <w:rFonts w:ascii="Arial" w:hAnsi="Arial"/>
        <w:color w:val="D9979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List Table 7 Colorful - Accent 3"/>
    <w:basedOn w:val="24"/>
    <w:qFormat/>
    <w:uiPriority w:val="99"/>
    <w:tblPr>
      <w:tblBorders>
        <w:right w:val="single" w:color="C3D69C" w:themeColor="accent3" w:themeTint="98" w:sz="4" w:space="0"/>
      </w:tblBorders>
    </w:tblPr>
    <w:tblStylePr w:type="firstRow">
      <w:pPr>
        <w:snapToGrid/>
      </w:pPr>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auto" w:fill="FFFFFF" w:themeFill="light1"/>
      </w:tcPr>
    </w:tblStylePr>
    <w:tblStylePr w:type="lastRow">
      <w:pPr>
        <w:snapToGrid/>
      </w:pPr>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auto" w:fill="FFFFFF" w:themeFill="light1"/>
      </w:tcPr>
    </w:tblStylePr>
    <w:tblStylePr w:type="firstCol">
      <w:pPr>
        <w:snapToGrid/>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auto" w:fill="FFFFFF"/>
      </w:tcPr>
    </w:tblStylePr>
    <w:tblStylePr w:type="lastCol">
      <w:pPr>
        <w:snapToGrid/>
      </w:pPr>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auto" w:fill="FFFFFF"/>
      </w:tcPr>
    </w:tblStylePr>
    <w:tblStylePr w:type="band1Vert">
      <w:pPr>
        <w:snapToGrid/>
      </w:pPr>
      <w:tcPr>
        <w:shd w:val="clear" w:color="auto" w:fill="E5EDD5" w:themeFill="accent3" w:themeFillTint="40"/>
      </w:tcPr>
    </w:tblStylePr>
    <w:tblStylePr w:type="band2Vert">
      <w:pPr>
        <w:snapToGrid/>
      </w:pPr>
    </w:tblStylePr>
    <w:tblStylePr w:type="band1Horz">
      <w:pPr>
        <w:snapToGrid/>
      </w:pPr>
      <w:rPr>
        <w:rFonts w:ascii="Arial" w:hAnsi="Arial"/>
        <w:color w:val="C3D69C" w:themeColor="accent3" w:themeShade="95" w:themeTint="98"/>
        <w:sz w:val="22"/>
      </w:rPr>
      <w:tcPr>
        <w:shd w:val="clear" w:color="auto" w:fill="E5EDD5" w:themeFill="accent3" w:themeFillTint="40"/>
      </w:tcPr>
    </w:tblStylePr>
    <w:tblStylePr w:type="band2Horz">
      <w:pPr>
        <w:snapToGrid/>
      </w:pPr>
      <w:rPr>
        <w:rFonts w:ascii="Arial" w:hAnsi="Arial"/>
        <w:color w:val="C3D69C" w:themeColor="accent3"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List Table 7 Colorful - Accent 4"/>
    <w:basedOn w:val="24"/>
    <w:qFormat/>
    <w:uiPriority w:val="99"/>
    <w:tblPr>
      <w:tblBorders>
        <w:right w:val="single" w:color="B2A1C6" w:themeColor="accent4" w:themeTint="9A" w:sz="4" w:space="0"/>
      </w:tblBorders>
    </w:tblPr>
    <w:tblStylePr w:type="firstRow">
      <w:pPr>
        <w:snapToGrid/>
      </w:pPr>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auto" w:fill="FFFFFF" w:themeFill="light1"/>
      </w:tcPr>
    </w:tblStylePr>
    <w:tblStylePr w:type="lastRow">
      <w:pPr>
        <w:snapToGrid/>
      </w:pPr>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auto" w:fill="FFFFFF" w:themeFill="light1"/>
      </w:tcPr>
    </w:tblStylePr>
    <w:tblStylePr w:type="firstCol">
      <w:pPr>
        <w:snapToGrid/>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auto" w:fill="FFFFFF"/>
      </w:tcPr>
    </w:tblStylePr>
    <w:tblStylePr w:type="lastCol">
      <w:pPr>
        <w:snapToGrid/>
      </w:pPr>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auto" w:fill="FFFFFF"/>
      </w:tcPr>
    </w:tblStylePr>
    <w:tblStylePr w:type="band1Vert">
      <w:pPr>
        <w:snapToGrid/>
      </w:pPr>
      <w:tcPr>
        <w:shd w:val="clear" w:color="auto" w:fill="DFD8E7" w:themeFill="accent4" w:themeFillTint="40"/>
      </w:tcPr>
    </w:tblStylePr>
    <w:tblStylePr w:type="band2Vert">
      <w:pPr>
        <w:snapToGrid/>
      </w:pPr>
    </w:tblStylePr>
    <w:tblStylePr w:type="band1Horz">
      <w:pPr>
        <w:snapToGrid/>
      </w:pPr>
      <w:rPr>
        <w:rFonts w:ascii="Arial" w:hAnsi="Arial"/>
        <w:color w:val="B2A1C6" w:themeColor="accent4" w:themeShade="95" w:themeTint="9A"/>
        <w:sz w:val="22"/>
      </w:rPr>
      <w:tcPr>
        <w:shd w:val="clear" w:color="auto" w:fill="DFD8E7" w:themeFill="accent4" w:themeFillTint="40"/>
      </w:tcPr>
    </w:tblStylePr>
    <w:tblStylePr w:type="band2Horz">
      <w:pPr>
        <w:snapToGrid/>
      </w:pPr>
      <w:rPr>
        <w:rFonts w:ascii="Arial" w:hAnsi="Arial"/>
        <w:color w:val="B2A1C6"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List Table 7 Colorful - Accent 5"/>
    <w:basedOn w:val="24"/>
    <w:qFormat/>
    <w:uiPriority w:val="99"/>
    <w:tblPr>
      <w:tblBorders>
        <w:right w:val="single" w:color="92CCDC" w:themeColor="accent5" w:themeTint="9A" w:sz="4" w:space="0"/>
      </w:tblBorders>
    </w:tblPr>
    <w:tblStylePr w:type="firstRow">
      <w:pPr>
        <w:snapToGrid/>
      </w:pPr>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auto" w:fill="FFFFFF" w:themeFill="light1"/>
      </w:tcPr>
    </w:tblStylePr>
    <w:tblStylePr w:type="lastRow">
      <w:pPr>
        <w:snapToGrid/>
      </w:pPr>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auto" w:fill="FFFFFF" w:themeFill="light1"/>
      </w:tcPr>
    </w:tblStylePr>
    <w:tblStylePr w:type="firstCol">
      <w:pPr>
        <w:snapToGrid/>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auto" w:fill="FFFFFF"/>
      </w:tcPr>
    </w:tblStylePr>
    <w:tblStylePr w:type="lastCol">
      <w:pPr>
        <w:snapToGrid/>
      </w:pPr>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auto" w:fill="FFFFFF"/>
      </w:tcPr>
    </w:tblStylePr>
    <w:tblStylePr w:type="band1Vert">
      <w:pPr>
        <w:snapToGrid/>
      </w:pPr>
      <w:tcPr>
        <w:shd w:val="clear" w:color="auto" w:fill="D1EAF0" w:themeFill="accent5" w:themeFillTint="40"/>
      </w:tcPr>
    </w:tblStylePr>
    <w:tblStylePr w:type="band2Vert">
      <w:pPr>
        <w:snapToGrid/>
      </w:pPr>
    </w:tblStylePr>
    <w:tblStylePr w:type="band1Horz">
      <w:pPr>
        <w:snapToGrid/>
      </w:pPr>
      <w:rPr>
        <w:rFonts w:ascii="Arial" w:hAnsi="Arial"/>
        <w:color w:val="92CCDC" w:themeColor="accent5" w:themeShade="95" w:themeTint="9A"/>
        <w:sz w:val="22"/>
      </w:rPr>
      <w:tcPr>
        <w:shd w:val="clear" w:color="auto" w:fill="D1EAF0" w:themeFill="accent5" w:themeFillTint="40"/>
      </w:tcPr>
    </w:tblStylePr>
    <w:tblStylePr w:type="band2Horz">
      <w:pPr>
        <w:snapToGrid/>
      </w:pPr>
      <w:rPr>
        <w:rFonts w:ascii="Arial" w:hAnsi="Arial"/>
        <w:color w:val="92CCDC" w:themeColor="accent5"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List Table 7 Colorful - Accent 6"/>
    <w:basedOn w:val="24"/>
    <w:qFormat/>
    <w:uiPriority w:val="99"/>
    <w:tblPr>
      <w:tblBorders>
        <w:right w:val="single" w:color="FAC090" w:themeColor="accent6" w:themeTint="98" w:sz="4" w:space="0"/>
      </w:tblBorders>
    </w:tblPr>
    <w:tblStylePr w:type="firstRow">
      <w:pPr>
        <w:snapToGrid/>
      </w:pPr>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auto" w:fill="FFFFFF" w:themeFill="light1"/>
      </w:tcPr>
    </w:tblStylePr>
    <w:tblStylePr w:type="lastRow">
      <w:pPr>
        <w:snapToGrid/>
      </w:pPr>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auto" w:fill="FFFFFF" w:themeFill="light1"/>
      </w:tcPr>
    </w:tblStylePr>
    <w:tblStylePr w:type="firstCol">
      <w:pPr>
        <w:snapToGrid/>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auto" w:fill="FFFFFF"/>
      </w:tcPr>
    </w:tblStylePr>
    <w:tblStylePr w:type="lastCol">
      <w:pPr>
        <w:snapToGrid/>
      </w:pPr>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auto" w:fill="FFFFFF"/>
      </w:tcPr>
    </w:tblStylePr>
    <w:tblStylePr w:type="band1Vert">
      <w:pPr>
        <w:snapToGrid/>
      </w:pPr>
      <w:tcPr>
        <w:shd w:val="clear" w:color="auto" w:fill="FCE4D0" w:themeFill="accent6" w:themeFillTint="40"/>
      </w:tcPr>
    </w:tblStylePr>
    <w:tblStylePr w:type="band2Vert">
      <w:pPr>
        <w:snapToGrid/>
      </w:pPr>
    </w:tblStylePr>
    <w:tblStylePr w:type="band1Horz">
      <w:pPr>
        <w:snapToGrid/>
      </w:pPr>
      <w:rPr>
        <w:rFonts w:ascii="Arial" w:hAnsi="Arial"/>
        <w:color w:val="FAC090" w:themeColor="accent6" w:themeShade="95" w:themeTint="98"/>
        <w:sz w:val="22"/>
      </w:rPr>
      <w:tcPr>
        <w:shd w:val="clear" w:color="auto" w:fill="FCE4D0" w:themeFill="accent6" w:themeFillTint="40"/>
      </w:tcPr>
    </w:tblStylePr>
    <w:tblStylePr w:type="band2Horz">
      <w:pPr>
        <w:snapToGrid/>
      </w:pPr>
      <w:rPr>
        <w:rFonts w:ascii="Arial" w:hAnsi="Arial"/>
        <w:color w:val="FAC090" w:themeColor="accent6"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Lined - Accent"/>
    <w:basedOn w:val="24"/>
    <w:qFormat/>
    <w:uiPriority w:val="99"/>
    <w:rPr>
      <w:color w:val="404040"/>
      <w:szCs w:val="20"/>
    </w:rPr>
    <w:tblStylePr w:type="firstRow">
      <w:pPr>
        <w:snapToGrid/>
      </w:pPr>
      <w:rPr>
        <w:rFonts w:ascii="Arial" w:hAnsi="Arial"/>
        <w:color w:val="F2F2F2"/>
        <w:sz w:val="22"/>
      </w:rPr>
      <w:tcPr>
        <w:shd w:val="clear" w:color="auto" w:fill="7E7E7E" w:themeFill="text1" w:themeFillTint="80"/>
      </w:tcPr>
    </w:tblStylePr>
    <w:tblStylePr w:type="lastRow">
      <w:pPr>
        <w:snapToGrid/>
      </w:pPr>
      <w:rPr>
        <w:rFonts w:ascii="Arial" w:hAnsi="Arial"/>
        <w:color w:val="F2F2F2"/>
        <w:sz w:val="22"/>
      </w:rPr>
      <w:tcPr>
        <w:shd w:val="clear" w:color="auto" w:fill="7E7E7E" w:themeFill="text1" w:themeFillTint="80"/>
      </w:tcPr>
    </w:tblStylePr>
    <w:tblStylePr w:type="firstCol">
      <w:pPr>
        <w:snapToGrid/>
      </w:pPr>
      <w:rPr>
        <w:rFonts w:ascii="Arial" w:hAnsi="Arial"/>
        <w:color w:val="F2F2F2"/>
        <w:sz w:val="22"/>
      </w:rPr>
      <w:tcPr>
        <w:shd w:val="clear" w:color="auto" w:fill="7E7E7E" w:themeFill="text1" w:themeFillTint="80"/>
      </w:tcPr>
    </w:tblStylePr>
    <w:tblStylePr w:type="lastCol">
      <w:pPr>
        <w:snapToGrid/>
      </w:pPr>
      <w:rPr>
        <w:rFonts w:ascii="Arial" w:hAnsi="Arial"/>
        <w:color w:val="F2F2F2"/>
        <w:sz w:val="22"/>
      </w:rPr>
      <w:tcPr>
        <w:shd w:val="clear" w:color="auto"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FFFFF" w:themeFill="text1" w:themeFillTint="0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FFFFF" w:themeFill="text1" w:themeFillTint="0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Lined - Accent 1"/>
    <w:basedOn w:val="24"/>
    <w:qFormat/>
    <w:uiPriority w:val="99"/>
    <w:rPr>
      <w:color w:val="404040"/>
      <w:szCs w:val="20"/>
    </w:rPr>
    <w:tblStylePr w:type="firstRow">
      <w:pPr>
        <w:snapToGrid/>
      </w:pPr>
      <w:rPr>
        <w:rFonts w:ascii="Arial" w:hAnsi="Arial"/>
        <w:color w:val="F2F2F2"/>
        <w:sz w:val="22"/>
      </w:rPr>
      <w:tcPr>
        <w:shd w:val="clear" w:color="auto" w:fill="5D8BC2" w:themeFill="accent1" w:themeFillTint="EA"/>
      </w:tcPr>
    </w:tblStylePr>
    <w:tblStylePr w:type="lastRow">
      <w:pPr>
        <w:snapToGrid/>
      </w:pPr>
      <w:rPr>
        <w:rFonts w:ascii="Arial" w:hAnsi="Arial"/>
        <w:color w:val="F2F2F2"/>
        <w:sz w:val="22"/>
      </w:rPr>
      <w:tcPr>
        <w:shd w:val="clear" w:color="auto" w:fill="5D8BC2" w:themeFill="accent1" w:themeFillTint="EA"/>
      </w:tcPr>
    </w:tblStylePr>
    <w:tblStylePr w:type="firstCol">
      <w:pPr>
        <w:snapToGrid/>
      </w:pPr>
      <w:rPr>
        <w:rFonts w:ascii="Arial" w:hAnsi="Arial"/>
        <w:color w:val="F2F2F2"/>
        <w:sz w:val="22"/>
      </w:rPr>
      <w:tcPr>
        <w:shd w:val="clear" w:color="auto" w:fill="5D8BC2" w:themeFill="accent1" w:themeFillTint="EA"/>
      </w:tcPr>
    </w:tblStylePr>
    <w:tblStylePr w:type="lastCol">
      <w:pPr>
        <w:snapToGrid/>
      </w:pPr>
      <w:rPr>
        <w:rFonts w:ascii="Arial" w:hAnsi="Arial"/>
        <w:color w:val="F2F2F2"/>
        <w:sz w:val="22"/>
      </w:rPr>
      <w:tcPr>
        <w:shd w:val="clear" w:color="auto"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Lined - Accent 2"/>
    <w:basedOn w:val="24"/>
    <w:qFormat/>
    <w:uiPriority w:val="99"/>
    <w:rPr>
      <w:color w:val="404040"/>
      <w:szCs w:val="20"/>
    </w:rPr>
    <w:tblStylePr w:type="firstRow">
      <w:pPr>
        <w:snapToGrid/>
      </w:pPr>
      <w:rPr>
        <w:rFonts w:ascii="Arial" w:hAnsi="Arial"/>
        <w:color w:val="F2F2F2"/>
        <w:sz w:val="22"/>
      </w:rPr>
      <w:tcPr>
        <w:shd w:val="clear" w:color="auto" w:fill="D99795" w:themeFill="accent2" w:themeFillTint="97"/>
      </w:tcPr>
    </w:tblStylePr>
    <w:tblStylePr w:type="lastRow">
      <w:pPr>
        <w:snapToGrid/>
      </w:pPr>
      <w:rPr>
        <w:rFonts w:ascii="Arial" w:hAnsi="Arial"/>
        <w:color w:val="F2F2F2"/>
        <w:sz w:val="22"/>
      </w:rPr>
      <w:tcPr>
        <w:shd w:val="clear" w:color="auto" w:fill="D99795" w:themeFill="accent2" w:themeFillTint="97"/>
      </w:tcPr>
    </w:tblStylePr>
    <w:tblStylePr w:type="firstCol">
      <w:pPr>
        <w:snapToGrid/>
      </w:pPr>
      <w:rPr>
        <w:rFonts w:ascii="Arial" w:hAnsi="Arial"/>
        <w:color w:val="F2F2F2"/>
        <w:sz w:val="22"/>
      </w:rPr>
      <w:tcPr>
        <w:shd w:val="clear" w:color="auto" w:fill="D99795" w:themeFill="accent2" w:themeFillTint="97"/>
      </w:tcPr>
    </w:tblStylePr>
    <w:tblStylePr w:type="lastCol">
      <w:pPr>
        <w:snapToGrid/>
      </w:pPr>
      <w:rPr>
        <w:rFonts w:ascii="Arial" w:hAnsi="Arial"/>
        <w:color w:val="F2F2F2"/>
        <w:sz w:val="22"/>
      </w:rPr>
      <w:tcPr>
        <w:shd w:val="clear" w:color="auto"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Lined - Accent 3"/>
    <w:basedOn w:val="24"/>
    <w:qFormat/>
    <w:uiPriority w:val="99"/>
    <w:rPr>
      <w:color w:val="404040"/>
      <w:szCs w:val="20"/>
    </w:rPr>
    <w:tblStylePr w:type="firstRow">
      <w:pPr>
        <w:snapToGrid/>
      </w:pPr>
      <w:rPr>
        <w:rFonts w:ascii="Arial" w:hAnsi="Arial"/>
        <w:color w:val="F2F2F2"/>
        <w:sz w:val="22"/>
      </w:rPr>
      <w:tcPr>
        <w:shd w:val="clear" w:color="auto" w:fill="9BBB59" w:themeFill="accent3" w:themeFillTint="FE"/>
      </w:tcPr>
    </w:tblStylePr>
    <w:tblStylePr w:type="lastRow">
      <w:pPr>
        <w:snapToGrid/>
      </w:pPr>
      <w:rPr>
        <w:rFonts w:ascii="Arial" w:hAnsi="Arial"/>
        <w:color w:val="F2F2F2"/>
        <w:sz w:val="22"/>
      </w:rPr>
      <w:tcPr>
        <w:shd w:val="clear" w:color="auto" w:fill="9BBB59" w:themeFill="accent3" w:themeFillTint="FE"/>
      </w:tcPr>
    </w:tblStylePr>
    <w:tblStylePr w:type="firstCol">
      <w:pPr>
        <w:snapToGrid/>
      </w:pPr>
      <w:rPr>
        <w:rFonts w:ascii="Arial" w:hAnsi="Arial"/>
        <w:color w:val="F2F2F2"/>
        <w:sz w:val="22"/>
      </w:rPr>
      <w:tcPr>
        <w:shd w:val="clear" w:color="auto" w:fill="9BBB59" w:themeFill="accent3" w:themeFillTint="FE"/>
      </w:tcPr>
    </w:tblStylePr>
    <w:tblStylePr w:type="lastCol">
      <w:pPr>
        <w:snapToGrid/>
      </w:pPr>
      <w:rPr>
        <w:rFonts w:ascii="Arial" w:hAnsi="Arial"/>
        <w:color w:val="F2F2F2"/>
        <w:sz w:val="22"/>
      </w:rPr>
      <w:tcPr>
        <w:shd w:val="clear" w:color="auto"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Lined - Accent 4"/>
    <w:basedOn w:val="24"/>
    <w:qFormat/>
    <w:uiPriority w:val="99"/>
    <w:rPr>
      <w:color w:val="404040"/>
      <w:szCs w:val="20"/>
    </w:rPr>
    <w:tblStylePr w:type="firstRow">
      <w:pPr>
        <w:snapToGrid/>
      </w:pPr>
      <w:rPr>
        <w:rFonts w:ascii="Arial" w:hAnsi="Arial"/>
        <w:color w:val="F2F2F2"/>
        <w:sz w:val="22"/>
      </w:rPr>
      <w:tcPr>
        <w:shd w:val="clear" w:color="auto" w:fill="B2A1C6" w:themeFill="accent4" w:themeFillTint="9A"/>
      </w:tcPr>
    </w:tblStylePr>
    <w:tblStylePr w:type="lastRow">
      <w:pPr>
        <w:snapToGrid/>
      </w:pPr>
      <w:rPr>
        <w:rFonts w:ascii="Arial" w:hAnsi="Arial"/>
        <w:color w:val="F2F2F2"/>
        <w:sz w:val="22"/>
      </w:rPr>
      <w:tcPr>
        <w:shd w:val="clear" w:color="auto" w:fill="B2A1C6" w:themeFill="accent4" w:themeFillTint="9A"/>
      </w:tcPr>
    </w:tblStylePr>
    <w:tblStylePr w:type="firstCol">
      <w:pPr>
        <w:snapToGrid/>
      </w:pPr>
      <w:rPr>
        <w:rFonts w:ascii="Arial" w:hAnsi="Arial"/>
        <w:color w:val="F2F2F2"/>
        <w:sz w:val="22"/>
      </w:rPr>
      <w:tcPr>
        <w:shd w:val="clear" w:color="auto" w:fill="B2A1C6" w:themeFill="accent4" w:themeFillTint="9A"/>
      </w:tcPr>
    </w:tblStylePr>
    <w:tblStylePr w:type="lastCol">
      <w:pPr>
        <w:snapToGrid/>
      </w:pPr>
      <w:rPr>
        <w:rFonts w:ascii="Arial" w:hAnsi="Arial"/>
        <w:color w:val="F2F2F2"/>
        <w:sz w:val="22"/>
      </w:rPr>
      <w:tcPr>
        <w:shd w:val="clear" w:color="auto"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Lined - Accent 5"/>
    <w:basedOn w:val="24"/>
    <w:qFormat/>
    <w:uiPriority w:val="99"/>
    <w:rPr>
      <w:color w:val="404040"/>
      <w:szCs w:val="20"/>
    </w:rPr>
    <w:tblStylePr w:type="firstRow">
      <w:pPr>
        <w:snapToGrid/>
      </w:pPr>
      <w:rPr>
        <w:rFonts w:ascii="Arial" w:hAnsi="Arial"/>
        <w:color w:val="F2F2F2"/>
        <w:sz w:val="22"/>
      </w:rPr>
      <w:tcPr>
        <w:shd w:val="clear" w:color="auto" w:fill="4BACC6" w:themeFill="accent5"/>
      </w:tcPr>
    </w:tblStylePr>
    <w:tblStylePr w:type="lastRow">
      <w:pPr>
        <w:snapToGrid/>
      </w:pPr>
      <w:rPr>
        <w:rFonts w:ascii="Arial" w:hAnsi="Arial"/>
        <w:color w:val="F2F2F2"/>
        <w:sz w:val="22"/>
      </w:rPr>
      <w:tcPr>
        <w:shd w:val="clear" w:color="auto" w:fill="4BACC6" w:themeFill="accent5"/>
      </w:tcPr>
    </w:tblStylePr>
    <w:tblStylePr w:type="firstCol">
      <w:pPr>
        <w:snapToGrid/>
      </w:pPr>
      <w:rPr>
        <w:rFonts w:ascii="Arial" w:hAnsi="Arial"/>
        <w:color w:val="F2F2F2"/>
        <w:sz w:val="22"/>
      </w:rPr>
      <w:tcPr>
        <w:shd w:val="clear" w:color="auto" w:fill="4BACC6" w:themeFill="accent5"/>
      </w:tcPr>
    </w:tblStylePr>
    <w:tblStylePr w:type="lastCol">
      <w:pPr>
        <w:snapToGrid/>
      </w:pPr>
      <w:rPr>
        <w:rFonts w:ascii="Arial" w:hAnsi="Arial"/>
        <w:color w:val="F2F2F2"/>
        <w:sz w:val="22"/>
      </w:rPr>
      <w:tcPr>
        <w:shd w:val="clear" w:color="auto"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Lined - Accent 6"/>
    <w:basedOn w:val="24"/>
    <w:qFormat/>
    <w:uiPriority w:val="99"/>
    <w:rPr>
      <w:color w:val="404040"/>
      <w:szCs w:val="20"/>
    </w:rPr>
    <w:tblStylePr w:type="firstRow">
      <w:pPr>
        <w:snapToGrid/>
      </w:pPr>
      <w:rPr>
        <w:rFonts w:ascii="Arial" w:hAnsi="Arial"/>
        <w:color w:val="F2F2F2"/>
        <w:sz w:val="22"/>
      </w:rPr>
      <w:tcPr>
        <w:shd w:val="clear" w:color="auto" w:fill="F79646" w:themeFill="accent6"/>
      </w:tcPr>
    </w:tblStylePr>
    <w:tblStylePr w:type="lastRow">
      <w:pPr>
        <w:snapToGrid/>
      </w:pPr>
      <w:rPr>
        <w:rFonts w:ascii="Arial" w:hAnsi="Arial"/>
        <w:color w:val="F2F2F2"/>
        <w:sz w:val="22"/>
      </w:rPr>
      <w:tcPr>
        <w:shd w:val="clear" w:color="auto" w:fill="F79646" w:themeFill="accent6"/>
      </w:tcPr>
    </w:tblStylePr>
    <w:tblStylePr w:type="firstCol">
      <w:pPr>
        <w:snapToGrid/>
      </w:pPr>
      <w:rPr>
        <w:rFonts w:ascii="Arial" w:hAnsi="Arial"/>
        <w:color w:val="F2F2F2"/>
        <w:sz w:val="22"/>
      </w:rPr>
      <w:tcPr>
        <w:shd w:val="clear" w:color="auto" w:fill="F79646" w:themeFill="accent6"/>
      </w:tcPr>
    </w:tblStylePr>
    <w:tblStylePr w:type="lastCol">
      <w:pPr>
        <w:snapToGrid/>
      </w:pPr>
      <w:rPr>
        <w:rFonts w:ascii="Arial" w:hAnsi="Arial"/>
        <w:color w:val="F2F2F2"/>
        <w:sz w:val="22"/>
      </w:rPr>
      <w:tcPr>
        <w:shd w:val="clear" w:color="auto"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Bordered &amp; Lined - Accent"/>
    <w:basedOn w:val="24"/>
    <w:qFormat/>
    <w:uiPriority w:val="99"/>
    <w:rPr>
      <w:color w:val="40404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auto" w:fill="7E7E7E" w:themeFill="text1" w:themeFillTint="80"/>
      </w:tcPr>
    </w:tblStylePr>
    <w:tblStylePr w:type="lastRow">
      <w:pPr>
        <w:snapToGrid/>
      </w:pPr>
      <w:rPr>
        <w:rFonts w:ascii="Arial" w:hAnsi="Arial"/>
        <w:color w:val="F2F2F2"/>
        <w:sz w:val="22"/>
      </w:rPr>
      <w:tcPr>
        <w:shd w:val="clear" w:color="auto" w:fill="7E7E7E" w:themeFill="text1" w:themeFillTint="80"/>
      </w:tcPr>
    </w:tblStylePr>
    <w:tblStylePr w:type="firstCol">
      <w:pPr>
        <w:snapToGrid/>
      </w:pPr>
      <w:rPr>
        <w:rFonts w:ascii="Arial" w:hAnsi="Arial"/>
        <w:color w:val="F2F2F2"/>
        <w:sz w:val="22"/>
      </w:rPr>
      <w:tcPr>
        <w:shd w:val="clear" w:color="auto" w:fill="7E7E7E" w:themeFill="text1" w:themeFillTint="80"/>
      </w:tcPr>
    </w:tblStylePr>
    <w:tblStylePr w:type="lastCol">
      <w:pPr>
        <w:snapToGrid/>
      </w:pPr>
      <w:rPr>
        <w:rFonts w:ascii="Arial" w:hAnsi="Arial"/>
        <w:color w:val="F2F2F2"/>
        <w:sz w:val="22"/>
      </w:rPr>
      <w:tcPr>
        <w:shd w:val="clear" w:color="auto"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FFFFF" w:themeFill="text1" w:themeFillTint="0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FFFFF" w:themeFill="text1" w:themeFillTint="0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Bordered &amp; Lined - Accent 1"/>
    <w:basedOn w:val="24"/>
    <w:qFormat/>
    <w:uiPriority w:val="99"/>
    <w:rPr>
      <w:color w:val="404040"/>
      <w:szCs w:val="2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auto" w:fill="5D8BC2" w:themeFill="accent1" w:themeFillTint="EA"/>
      </w:tcPr>
    </w:tblStylePr>
    <w:tblStylePr w:type="lastRow">
      <w:pPr>
        <w:snapToGrid/>
      </w:pPr>
      <w:rPr>
        <w:rFonts w:ascii="Arial" w:hAnsi="Arial"/>
        <w:color w:val="F2F2F2"/>
        <w:sz w:val="22"/>
      </w:rPr>
      <w:tcPr>
        <w:shd w:val="clear" w:color="auto" w:fill="5D8BC2" w:themeFill="accent1" w:themeFillTint="EA"/>
      </w:tcPr>
    </w:tblStylePr>
    <w:tblStylePr w:type="firstCol">
      <w:pPr>
        <w:snapToGrid/>
      </w:pPr>
      <w:rPr>
        <w:rFonts w:ascii="Arial" w:hAnsi="Arial"/>
        <w:color w:val="F2F2F2"/>
        <w:sz w:val="22"/>
      </w:rPr>
      <w:tcPr>
        <w:shd w:val="clear" w:color="auto" w:fill="5D8BC2" w:themeFill="accent1" w:themeFillTint="EA"/>
      </w:tcPr>
    </w:tblStylePr>
    <w:tblStylePr w:type="lastCol">
      <w:pPr>
        <w:snapToGrid/>
      </w:pPr>
      <w:rPr>
        <w:rFonts w:ascii="Arial" w:hAnsi="Arial"/>
        <w:color w:val="F2F2F2"/>
        <w:sz w:val="22"/>
      </w:rPr>
      <w:tcPr>
        <w:shd w:val="clear" w:color="auto"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3">
    <w:name w:val="Bordered &amp; Lined - Accent 2"/>
    <w:basedOn w:val="24"/>
    <w:qFormat/>
    <w:uiPriority w:val="99"/>
    <w:rPr>
      <w:color w:val="404040"/>
      <w:szCs w:val="2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auto" w:fill="D99795" w:themeFill="accent2" w:themeFillTint="97"/>
      </w:tcPr>
    </w:tblStylePr>
    <w:tblStylePr w:type="lastRow">
      <w:pPr>
        <w:snapToGrid/>
      </w:pPr>
      <w:rPr>
        <w:rFonts w:ascii="Arial" w:hAnsi="Arial"/>
        <w:color w:val="F2F2F2"/>
        <w:sz w:val="22"/>
      </w:rPr>
      <w:tcPr>
        <w:shd w:val="clear" w:color="auto" w:fill="D99795" w:themeFill="accent2" w:themeFillTint="97"/>
      </w:tcPr>
    </w:tblStylePr>
    <w:tblStylePr w:type="firstCol">
      <w:pPr>
        <w:snapToGrid/>
      </w:pPr>
      <w:rPr>
        <w:rFonts w:ascii="Arial" w:hAnsi="Arial"/>
        <w:color w:val="F2F2F2"/>
        <w:sz w:val="22"/>
      </w:rPr>
      <w:tcPr>
        <w:shd w:val="clear" w:color="auto" w:fill="D99795" w:themeFill="accent2" w:themeFillTint="97"/>
      </w:tcPr>
    </w:tblStylePr>
    <w:tblStylePr w:type="lastCol">
      <w:pPr>
        <w:snapToGrid/>
      </w:pPr>
      <w:rPr>
        <w:rFonts w:ascii="Arial" w:hAnsi="Arial"/>
        <w:color w:val="F2F2F2"/>
        <w:sz w:val="22"/>
      </w:rPr>
      <w:tcPr>
        <w:shd w:val="clear" w:color="auto"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4">
    <w:name w:val="Bordered &amp; Lined - Accent 3"/>
    <w:basedOn w:val="24"/>
    <w:qFormat/>
    <w:uiPriority w:val="99"/>
    <w:rPr>
      <w:color w:val="404040"/>
      <w:szCs w:val="2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auto" w:fill="9BBB59" w:themeFill="accent3" w:themeFillTint="FE"/>
      </w:tcPr>
    </w:tblStylePr>
    <w:tblStylePr w:type="lastRow">
      <w:pPr>
        <w:snapToGrid/>
      </w:pPr>
      <w:rPr>
        <w:rFonts w:ascii="Arial" w:hAnsi="Arial"/>
        <w:color w:val="F2F2F2"/>
        <w:sz w:val="22"/>
      </w:rPr>
      <w:tcPr>
        <w:shd w:val="clear" w:color="auto" w:fill="9BBB59" w:themeFill="accent3" w:themeFillTint="FE"/>
      </w:tcPr>
    </w:tblStylePr>
    <w:tblStylePr w:type="firstCol">
      <w:pPr>
        <w:snapToGrid/>
      </w:pPr>
      <w:rPr>
        <w:rFonts w:ascii="Arial" w:hAnsi="Arial"/>
        <w:color w:val="F2F2F2"/>
        <w:sz w:val="22"/>
      </w:rPr>
      <w:tcPr>
        <w:shd w:val="clear" w:color="auto" w:fill="9BBB59" w:themeFill="accent3" w:themeFillTint="FE"/>
      </w:tcPr>
    </w:tblStylePr>
    <w:tblStylePr w:type="lastCol">
      <w:pPr>
        <w:snapToGrid/>
      </w:pPr>
      <w:rPr>
        <w:rFonts w:ascii="Arial" w:hAnsi="Arial"/>
        <w:color w:val="F2F2F2"/>
        <w:sz w:val="22"/>
      </w:rPr>
      <w:tcPr>
        <w:shd w:val="clear" w:color="auto"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5">
    <w:name w:val="Bordered &amp; Lined - Accent 4"/>
    <w:basedOn w:val="24"/>
    <w:qFormat/>
    <w:uiPriority w:val="99"/>
    <w:rPr>
      <w:color w:val="40404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auto" w:fill="B2A1C6" w:themeFill="accent4" w:themeFillTint="9A"/>
      </w:tcPr>
    </w:tblStylePr>
    <w:tblStylePr w:type="lastRow">
      <w:pPr>
        <w:snapToGrid/>
      </w:pPr>
      <w:rPr>
        <w:rFonts w:ascii="Arial" w:hAnsi="Arial"/>
        <w:color w:val="F2F2F2"/>
        <w:sz w:val="22"/>
      </w:rPr>
      <w:tcPr>
        <w:shd w:val="clear" w:color="auto" w:fill="B2A1C6" w:themeFill="accent4" w:themeFillTint="9A"/>
      </w:tcPr>
    </w:tblStylePr>
    <w:tblStylePr w:type="firstCol">
      <w:pPr>
        <w:snapToGrid/>
      </w:pPr>
      <w:rPr>
        <w:rFonts w:ascii="Arial" w:hAnsi="Arial"/>
        <w:color w:val="F2F2F2"/>
        <w:sz w:val="22"/>
      </w:rPr>
      <w:tcPr>
        <w:shd w:val="clear" w:color="auto" w:fill="B2A1C6" w:themeFill="accent4" w:themeFillTint="9A"/>
      </w:tcPr>
    </w:tblStylePr>
    <w:tblStylePr w:type="lastCol">
      <w:pPr>
        <w:snapToGrid/>
      </w:pPr>
      <w:rPr>
        <w:rFonts w:ascii="Arial" w:hAnsi="Arial"/>
        <w:color w:val="F2F2F2"/>
        <w:sz w:val="22"/>
      </w:rPr>
      <w:tcPr>
        <w:shd w:val="clear" w:color="auto"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6">
    <w:name w:val="Bordered &amp; Lined - Accent 5"/>
    <w:basedOn w:val="24"/>
    <w:qFormat/>
    <w:uiPriority w:val="99"/>
    <w:rPr>
      <w:color w:val="40404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auto" w:fill="4BACC6" w:themeFill="accent5"/>
      </w:tcPr>
    </w:tblStylePr>
    <w:tblStylePr w:type="lastRow">
      <w:pPr>
        <w:snapToGrid/>
      </w:pPr>
      <w:rPr>
        <w:rFonts w:ascii="Arial" w:hAnsi="Arial"/>
        <w:color w:val="F2F2F2"/>
        <w:sz w:val="22"/>
      </w:rPr>
      <w:tcPr>
        <w:shd w:val="clear" w:color="auto" w:fill="4BACC6" w:themeFill="accent5"/>
      </w:tcPr>
    </w:tblStylePr>
    <w:tblStylePr w:type="firstCol">
      <w:pPr>
        <w:snapToGrid/>
      </w:pPr>
      <w:rPr>
        <w:rFonts w:ascii="Arial" w:hAnsi="Arial"/>
        <w:color w:val="F2F2F2"/>
        <w:sz w:val="22"/>
      </w:rPr>
      <w:tcPr>
        <w:shd w:val="clear" w:color="auto" w:fill="4BACC6" w:themeFill="accent5"/>
      </w:tcPr>
    </w:tblStylePr>
    <w:tblStylePr w:type="lastCol">
      <w:pPr>
        <w:snapToGrid/>
      </w:pPr>
      <w:rPr>
        <w:rFonts w:ascii="Arial" w:hAnsi="Arial"/>
        <w:color w:val="F2F2F2"/>
        <w:sz w:val="22"/>
      </w:rPr>
      <w:tcPr>
        <w:shd w:val="clear" w:color="auto"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7">
    <w:name w:val="Bordered &amp; Lined - Accent 6"/>
    <w:basedOn w:val="24"/>
    <w:qFormat/>
    <w:uiPriority w:val="99"/>
    <w:rPr>
      <w:color w:val="40404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auto" w:fill="F79646" w:themeFill="accent6"/>
      </w:tcPr>
    </w:tblStylePr>
    <w:tblStylePr w:type="lastRow">
      <w:pPr>
        <w:snapToGrid/>
      </w:pPr>
      <w:rPr>
        <w:rFonts w:ascii="Arial" w:hAnsi="Arial"/>
        <w:color w:val="F2F2F2"/>
        <w:sz w:val="22"/>
      </w:rPr>
      <w:tcPr>
        <w:shd w:val="clear" w:color="auto" w:fill="F79646" w:themeFill="accent6"/>
      </w:tcPr>
    </w:tblStylePr>
    <w:tblStylePr w:type="firstCol">
      <w:pPr>
        <w:snapToGrid/>
      </w:pPr>
      <w:rPr>
        <w:rFonts w:ascii="Arial" w:hAnsi="Arial"/>
        <w:color w:val="F2F2F2"/>
        <w:sz w:val="22"/>
      </w:rPr>
      <w:tcPr>
        <w:shd w:val="clear" w:color="auto" w:fill="F79646" w:themeFill="accent6"/>
      </w:tcPr>
    </w:tblStylePr>
    <w:tblStylePr w:type="lastCol">
      <w:pPr>
        <w:snapToGrid/>
      </w:pPr>
      <w:rPr>
        <w:rFonts w:ascii="Arial" w:hAnsi="Arial"/>
        <w:color w:val="F2F2F2"/>
        <w:sz w:val="22"/>
      </w:rPr>
      <w:tcPr>
        <w:shd w:val="clear" w:color="auto"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8">
    <w:name w:val="Bordered"/>
    <w:basedOn w:val="2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9">
    <w:name w:val="Bordered - Accent 1"/>
    <w:basedOn w:val="2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0">
    <w:name w:val="Bordered - Accent 2"/>
    <w:basedOn w:val="2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1">
    <w:name w:val="Bordered - Accent 3"/>
    <w:basedOn w:val="2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2">
    <w:name w:val="Bordered - Accent 4"/>
    <w:basedOn w:val="2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3">
    <w:name w:val="Bordered - Accent 5"/>
    <w:basedOn w:val="2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4">
    <w:name w:val="Bordered - Accent 6"/>
    <w:basedOn w:val="2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95">
    <w:name w:val="脚注文本 字符"/>
    <w:link w:val="17"/>
    <w:qFormat/>
    <w:uiPriority w:val="99"/>
    <w:rPr>
      <w:sz w:val="18"/>
    </w:rPr>
  </w:style>
  <w:style w:type="paragraph" w:customStyle="1" w:styleId="196">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Cs w:val="22"/>
      <w:lang w:val="en-US" w:eastAsia="zh-CN" w:bidi="ar-SA"/>
    </w:rPr>
  </w:style>
  <w:style w:type="paragraph" w:customStyle="1" w:styleId="197">
    <w:name w:val="标题 111"/>
    <w:basedOn w:val="1"/>
    <w:next w:val="1"/>
    <w:link w:val="201"/>
    <w:qFormat/>
    <w:uiPriority w:val="99"/>
    <w:pPr>
      <w:keepNext/>
      <w:keepLines/>
      <w:spacing w:before="120" w:after="120" w:line="360" w:lineRule="auto"/>
      <w:outlineLvl w:val="0"/>
    </w:pPr>
    <w:rPr>
      <w:rFonts w:ascii="宋体"/>
      <w:b/>
      <w:color w:val="000000"/>
      <w:sz w:val="24"/>
      <w:szCs w:val="20"/>
    </w:rPr>
  </w:style>
  <w:style w:type="paragraph" w:customStyle="1" w:styleId="198">
    <w:name w:val="标题 211"/>
    <w:basedOn w:val="1"/>
    <w:next w:val="1"/>
    <w:link w:val="202"/>
    <w:qFormat/>
    <w:uiPriority w:val="99"/>
    <w:pPr>
      <w:keepNext/>
      <w:keepLines/>
      <w:spacing w:before="120" w:after="120" w:line="360" w:lineRule="auto"/>
      <w:outlineLvl w:val="1"/>
    </w:pPr>
    <w:rPr>
      <w:rFonts w:ascii="宋体" w:hAnsi="Arial"/>
      <w:b/>
      <w:szCs w:val="20"/>
    </w:rPr>
  </w:style>
  <w:style w:type="paragraph" w:customStyle="1" w:styleId="199">
    <w:name w:val="页脚1"/>
    <w:basedOn w:val="1"/>
    <w:link w:val="204"/>
    <w:qFormat/>
    <w:uiPriority w:val="99"/>
    <w:pPr>
      <w:tabs>
        <w:tab w:val="center" w:pos="4153"/>
        <w:tab w:val="right" w:pos="8306"/>
      </w:tabs>
      <w:jc w:val="left"/>
    </w:pPr>
    <w:rPr>
      <w:sz w:val="18"/>
      <w:szCs w:val="18"/>
    </w:rPr>
  </w:style>
  <w:style w:type="paragraph" w:customStyle="1" w:styleId="200">
    <w:name w:val="页眉1"/>
    <w:basedOn w:val="1"/>
    <w:link w:val="203"/>
    <w:qFormat/>
    <w:uiPriority w:val="99"/>
    <w:pPr>
      <w:pBdr>
        <w:bottom w:val="single" w:color="auto" w:sz="6" w:space="1"/>
      </w:pBdr>
      <w:tabs>
        <w:tab w:val="center" w:pos="4153"/>
        <w:tab w:val="right" w:pos="8306"/>
      </w:tabs>
      <w:jc w:val="center"/>
    </w:pPr>
    <w:rPr>
      <w:sz w:val="18"/>
      <w:szCs w:val="18"/>
    </w:rPr>
  </w:style>
  <w:style w:type="character" w:customStyle="1" w:styleId="201">
    <w:name w:val="标题 1 Char"/>
    <w:basedOn w:val="26"/>
    <w:link w:val="197"/>
    <w:qFormat/>
    <w:uiPriority w:val="99"/>
    <w:rPr>
      <w:rFonts w:cs="Times New Roman"/>
      <w:b/>
      <w:bCs/>
      <w:sz w:val="44"/>
      <w:szCs w:val="44"/>
    </w:rPr>
  </w:style>
  <w:style w:type="character" w:customStyle="1" w:styleId="202">
    <w:name w:val="标题 2 Char"/>
    <w:basedOn w:val="26"/>
    <w:link w:val="198"/>
    <w:semiHidden/>
    <w:qFormat/>
    <w:uiPriority w:val="99"/>
    <w:rPr>
      <w:rFonts w:ascii="Cambria" w:hAnsi="Cambria" w:eastAsia="宋体" w:cs="Times New Roman"/>
      <w:b/>
      <w:bCs/>
      <w:sz w:val="32"/>
      <w:szCs w:val="32"/>
    </w:rPr>
  </w:style>
  <w:style w:type="character" w:customStyle="1" w:styleId="203">
    <w:name w:val="页眉 Char"/>
    <w:basedOn w:val="26"/>
    <w:link w:val="200"/>
    <w:semiHidden/>
    <w:qFormat/>
    <w:uiPriority w:val="99"/>
    <w:rPr>
      <w:rFonts w:cs="Times New Roman"/>
      <w:sz w:val="18"/>
      <w:szCs w:val="18"/>
    </w:rPr>
  </w:style>
  <w:style w:type="character" w:customStyle="1" w:styleId="204">
    <w:name w:val="页脚 Char"/>
    <w:basedOn w:val="26"/>
    <w:link w:val="199"/>
    <w:semiHidden/>
    <w:qFormat/>
    <w:uiPriority w:val="99"/>
    <w:rPr>
      <w:rFonts w:cs="Times New Roman"/>
      <w:sz w:val="18"/>
      <w:szCs w:val="18"/>
    </w:rPr>
  </w:style>
  <w:style w:type="character" w:customStyle="1" w:styleId="205">
    <w:name w:val="正文文本缩进 字符"/>
    <w:basedOn w:val="26"/>
    <w:link w:val="6"/>
    <w:qFormat/>
    <w:uiPriority w:val="99"/>
    <w:rPr>
      <w:rFonts w:cs="Times New Roman"/>
      <w:sz w:val="24"/>
      <w:szCs w:val="24"/>
    </w:rPr>
  </w:style>
  <w:style w:type="paragraph" w:customStyle="1" w:styleId="206">
    <w:name w:val="正文所"/>
    <w:basedOn w:val="1"/>
    <w:qFormat/>
    <w:uiPriority w:val="99"/>
    <w:pPr>
      <w:spacing w:line="360" w:lineRule="auto"/>
      <w:ind w:firstLine="420"/>
    </w:pPr>
  </w:style>
  <w:style w:type="paragraph" w:customStyle="1" w:styleId="207">
    <w:name w:val="样式 首行缩进:  2 字符 段前: 0.25 行 段后: 0.25 行"/>
    <w:basedOn w:val="1"/>
    <w:qFormat/>
    <w:uiPriority w:val="99"/>
    <w:pPr>
      <w:spacing w:line="300" w:lineRule="auto"/>
      <w:ind w:firstLine="420"/>
    </w:pPr>
    <w:rPr>
      <w:szCs w:val="21"/>
    </w:rPr>
  </w:style>
  <w:style w:type="paragraph" w:customStyle="1" w:styleId="208">
    <w:name w:val="Default"/>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Times New Roman" w:eastAsia="宋体" w:cs="宋体"/>
      <w:color w:val="000000"/>
      <w:sz w:val="24"/>
      <w:szCs w:val="24"/>
      <w:lang w:val="en-US" w:eastAsia="zh-CN" w:bidi="ar-SA"/>
    </w:rPr>
  </w:style>
  <w:style w:type="character" w:customStyle="1" w:styleId="209">
    <w:name w:val="批注框文本 字符"/>
    <w:basedOn w:val="26"/>
    <w:link w:val="11"/>
    <w:semiHidden/>
    <w:qFormat/>
    <w:uiPriority w:val="99"/>
    <w:rPr>
      <w:rFonts w:cs="Times New Roman"/>
      <w:sz w:val="2"/>
    </w:rPr>
  </w:style>
  <w:style w:type="paragraph" w:customStyle="1" w:styleId="210">
    <w:name w:val="默认段落字体 Para Char"/>
    <w:basedOn w:val="1"/>
    <w:qFormat/>
    <w:uiPriority w:val="99"/>
  </w:style>
  <w:style w:type="character" w:customStyle="1" w:styleId="211">
    <w:name w:val="文档结构图 字符"/>
    <w:basedOn w:val="26"/>
    <w:link w:val="3"/>
    <w:semiHidden/>
    <w:qFormat/>
    <w:uiPriority w:val="99"/>
    <w:rPr>
      <w:rFonts w:cs="Times New Roman"/>
      <w:sz w:val="2"/>
    </w:rPr>
  </w:style>
  <w:style w:type="character" w:customStyle="1" w:styleId="212">
    <w:name w:val="批注文字 字符"/>
    <w:basedOn w:val="26"/>
    <w:link w:val="4"/>
    <w:semiHidden/>
    <w:qFormat/>
    <w:uiPriority w:val="99"/>
    <w:rPr>
      <w:rFonts w:cs="Times New Roman"/>
      <w:sz w:val="24"/>
      <w:szCs w:val="24"/>
    </w:rPr>
  </w:style>
  <w:style w:type="character" w:customStyle="1" w:styleId="213">
    <w:name w:val="批注主题 字符"/>
    <w:basedOn w:val="212"/>
    <w:link w:val="23"/>
    <w:semiHidden/>
    <w:qFormat/>
    <w:uiPriority w:val="99"/>
    <w:rPr>
      <w:rFonts w:cs="Times New Roman"/>
      <w:b/>
      <w:bCs/>
      <w:sz w:val="24"/>
      <w:szCs w:val="24"/>
    </w:rPr>
  </w:style>
  <w:style w:type="paragraph" w:customStyle="1" w:styleId="214">
    <w:name w:val="Char"/>
    <w:basedOn w:val="1"/>
    <w:qFormat/>
    <w:uiPriority w:val="99"/>
  </w:style>
  <w:style w:type="character" w:customStyle="1" w:styleId="215">
    <w:name w:val="正文文本缩进 2 字符"/>
    <w:basedOn w:val="26"/>
    <w:link w:val="10"/>
    <w:semiHidden/>
    <w:qFormat/>
    <w:uiPriority w:val="99"/>
    <w:rPr>
      <w:rFonts w:cs="Times New Roman"/>
      <w:sz w:val="24"/>
      <w:szCs w:val="24"/>
    </w:rPr>
  </w:style>
  <w:style w:type="character" w:customStyle="1" w:styleId="216">
    <w:name w:val="正文文本 字符"/>
    <w:basedOn w:val="26"/>
    <w:link w:val="5"/>
    <w:semiHidden/>
    <w:qFormat/>
    <w:uiPriority w:val="99"/>
    <w:rPr>
      <w:rFonts w:cs="Times New Roman"/>
      <w:sz w:val="24"/>
      <w:szCs w:val="24"/>
    </w:rPr>
  </w:style>
  <w:style w:type="character" w:customStyle="1" w:styleId="217">
    <w:name w:val="正文文本 2 字符"/>
    <w:basedOn w:val="26"/>
    <w:link w:val="21"/>
    <w:semiHidden/>
    <w:qFormat/>
    <w:uiPriority w:val="99"/>
    <w:rPr>
      <w:rFonts w:cs="Times New Roman"/>
      <w:sz w:val="24"/>
      <w:szCs w:val="24"/>
    </w:rPr>
  </w:style>
  <w:style w:type="paragraph" w:customStyle="1" w:styleId="218">
    <w:name w:val="UCAlpha 2"/>
    <w:basedOn w:val="1"/>
    <w:qFormat/>
    <w:uiPriority w:val="99"/>
    <w:pPr>
      <w:widowControl/>
      <w:numPr>
        <w:ilvl w:val="0"/>
        <w:numId w:val="1"/>
      </w:numPr>
      <w:spacing w:after="140" w:line="290" w:lineRule="auto"/>
    </w:pPr>
    <w:rPr>
      <w:rFonts w:ascii="Arial" w:hAnsi="Arial"/>
      <w:sz w:val="20"/>
      <w:lang w:val="en-GB" w:eastAsia="en-US"/>
    </w:rPr>
  </w:style>
  <w:style w:type="paragraph" w:customStyle="1" w:styleId="219">
    <w:name w:val="合同正文"/>
    <w:basedOn w:val="1"/>
    <w:link w:val="220"/>
    <w:qFormat/>
    <w:uiPriority w:val="0"/>
    <w:pPr>
      <w:spacing w:line="360" w:lineRule="auto"/>
      <w:ind w:firstLine="200"/>
    </w:pPr>
    <w:rPr>
      <w:bCs/>
      <w:sz w:val="24"/>
      <w:szCs w:val="20"/>
    </w:rPr>
  </w:style>
  <w:style w:type="character" w:customStyle="1" w:styleId="220">
    <w:name w:val="合同正文 Char"/>
    <w:link w:val="219"/>
    <w:qFormat/>
    <w:uiPriority w:val="0"/>
    <w:rPr>
      <w:bCs/>
      <w:sz w:val="24"/>
      <w:szCs w:val="20"/>
    </w:rPr>
  </w:style>
  <w:style w:type="paragraph" w:customStyle="1" w:styleId="221">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 w:val="21"/>
      <w:szCs w:val="24"/>
      <w:lang w:val="en-US" w:eastAsia="zh-CN" w:bidi="ar-SA"/>
    </w:rPr>
  </w:style>
  <w:style w:type="paragraph" w:styleId="222">
    <w:name w:val="List Paragraph"/>
    <w:basedOn w:val="1"/>
    <w:qFormat/>
    <w:uiPriority w:val="99"/>
    <w:pPr>
      <w:ind w:firstLine="420"/>
    </w:pPr>
    <w:rPr>
      <w:rFonts w:ascii="Calibri" w:hAnsi="Calibri" w:cs="Calibri"/>
      <w:szCs w:val="22"/>
    </w:rPr>
  </w:style>
  <w:style w:type="paragraph" w:customStyle="1" w:styleId="223">
    <w:name w:val="页眉2"/>
    <w:basedOn w:val="1"/>
    <w:link w:val="224"/>
    <w:unhideWhenUsed/>
    <w:qFormat/>
    <w:uiPriority w:val="99"/>
    <w:pPr>
      <w:pBdr>
        <w:bottom w:val="single" w:color="auto" w:sz="6" w:space="1"/>
      </w:pBdr>
      <w:tabs>
        <w:tab w:val="center" w:pos="4153"/>
        <w:tab w:val="right" w:pos="8306"/>
      </w:tabs>
      <w:jc w:val="center"/>
    </w:pPr>
    <w:rPr>
      <w:sz w:val="18"/>
      <w:szCs w:val="18"/>
    </w:rPr>
  </w:style>
  <w:style w:type="character" w:customStyle="1" w:styleId="224">
    <w:name w:val="页眉 Char1"/>
    <w:basedOn w:val="26"/>
    <w:link w:val="223"/>
    <w:qFormat/>
    <w:uiPriority w:val="99"/>
    <w:rPr>
      <w:sz w:val="18"/>
      <w:szCs w:val="18"/>
    </w:rPr>
  </w:style>
  <w:style w:type="paragraph" w:customStyle="1" w:styleId="225">
    <w:name w:val="页脚2"/>
    <w:basedOn w:val="1"/>
    <w:link w:val="226"/>
    <w:unhideWhenUsed/>
    <w:qFormat/>
    <w:uiPriority w:val="99"/>
    <w:pPr>
      <w:tabs>
        <w:tab w:val="center" w:pos="4153"/>
        <w:tab w:val="right" w:pos="8306"/>
      </w:tabs>
      <w:jc w:val="left"/>
    </w:pPr>
    <w:rPr>
      <w:sz w:val="18"/>
      <w:szCs w:val="18"/>
    </w:rPr>
  </w:style>
  <w:style w:type="character" w:customStyle="1" w:styleId="226">
    <w:name w:val="页脚 Char1"/>
    <w:basedOn w:val="26"/>
    <w:link w:val="225"/>
    <w:qFormat/>
    <w:uiPriority w:val="99"/>
    <w:rPr>
      <w:sz w:val="18"/>
      <w:szCs w:val="18"/>
    </w:rPr>
  </w:style>
  <w:style w:type="character" w:customStyle="1" w:styleId="227">
    <w:name w:val="read"/>
    <w:basedOn w:val="26"/>
    <w:qFormat/>
    <w:uiPriority w:val="0"/>
  </w:style>
  <w:style w:type="paragraph" w:customStyle="1" w:styleId="228">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eastAsia="宋体" w:cs="Times New Roman"/>
      <w:sz w:val="21"/>
      <w:szCs w:val="24"/>
      <w:lang w:val="en-US" w:eastAsia="zh-CN" w:bidi="ar-SA"/>
    </w:rPr>
  </w:style>
  <w:style w:type="character" w:customStyle="1" w:styleId="229">
    <w:name w:val="页眉 字符"/>
    <w:basedOn w:val="26"/>
    <w:link w:val="13"/>
    <w:qFormat/>
    <w:uiPriority w:val="99"/>
    <w:rPr>
      <w:sz w:val="18"/>
      <w:szCs w:val="18"/>
    </w:rPr>
  </w:style>
  <w:style w:type="character" w:customStyle="1" w:styleId="230">
    <w:name w:val="页脚 字符"/>
    <w:basedOn w:val="26"/>
    <w:link w:val="1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宋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hsbcjt</Company>
  <Pages>41</Pages>
  <Words>4715</Words>
  <Characters>26877</Characters>
  <Lines>223</Lines>
  <Paragraphs>63</Paragraphs>
  <TotalTime>0</TotalTime>
  <ScaleCrop>false</ScaleCrop>
  <LinksUpToDate>false</LinksUpToDate>
  <CharactersWithSpaces>31529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2020-11-17T03:17:00Z</dcterms:created>
  <dc:creator>hsbcjt</dc:creator>
  <cp:lastModifiedBy>fuxj</cp:lastModifiedBy>
  <dcterms:modified xsi:type="dcterms:W3CDTF">2026-08-10T08:14:28Z</dcterms:modified>
  <dc:title>1.4托管协议</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AB1480F636864FE890AD8897D4DB5122</vt:lpwstr>
  </property>
</Properties>
</file>