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99BE06"/>
    <w:p w14:paraId="0E5A0143">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博时基金管理有限公司关于以通讯方式召开博时富恒纯债一年定期开放债券型发起式证券投资基金基金份额持有人大会的第二次提示性公告</w:t>
      </w:r>
    </w:p>
    <w:p w14:paraId="21071A45">
      <w:pPr>
        <w:spacing w:line="360" w:lineRule="auto"/>
        <w:jc w:val="center"/>
        <w:rPr>
          <w:rFonts w:ascii="宋体" w:hAnsi="宋体" w:eastAsia="宋体"/>
          <w:b/>
          <w:sz w:val="24"/>
        </w:rPr>
      </w:pPr>
    </w:p>
    <w:p w14:paraId="7131926F">
      <w:pPr>
        <w:pStyle w:val="4"/>
        <w:spacing w:before="0" w:beforeAutospacing="0" w:after="0" w:afterAutospacing="0" w:line="360" w:lineRule="auto"/>
        <w:ind w:firstLine="420"/>
        <w:jc w:val="both"/>
        <w:rPr>
          <w:rFonts w:hint="eastAsia" w:eastAsia="宋体"/>
          <w:sz w:val="21"/>
          <w:szCs w:val="21"/>
          <w:lang w:eastAsia="zh-CN"/>
        </w:rPr>
      </w:pPr>
      <w:r>
        <w:rPr>
          <w:rFonts w:hint="eastAsia"/>
          <w:i w:val="0"/>
          <w:iCs w:val="0"/>
          <w:sz w:val="21"/>
          <w:szCs w:val="21"/>
          <w:u w:val="none"/>
        </w:rPr>
        <w:t>博时基金管理有限公司决定以通讯方式召开</w:t>
      </w:r>
      <w:r>
        <w:rPr>
          <w:rStyle w:val="7"/>
          <w:rFonts w:hint="eastAsia"/>
          <w:i w:val="0"/>
          <w:iCs w:val="0"/>
          <w:sz w:val="21"/>
          <w:szCs w:val="21"/>
          <w:u w:val="none"/>
        </w:rPr>
        <w:t>博时富恒纯债一年定期开放债券型发起式证券投资基金</w:t>
      </w:r>
      <w:r>
        <w:rPr>
          <w:rFonts w:hint="eastAsia"/>
          <w:i w:val="0"/>
          <w:iCs w:val="0"/>
          <w:sz w:val="21"/>
          <w:szCs w:val="21"/>
          <w:u w:val="none"/>
        </w:rPr>
        <w:t>基金份额持有人大会，并于</w:t>
      </w:r>
      <w:r>
        <w:rPr>
          <w:rStyle w:val="7"/>
          <w:rFonts w:hint="eastAsia"/>
          <w:i w:val="0"/>
          <w:iCs w:val="0"/>
          <w:sz w:val="21"/>
          <w:szCs w:val="21"/>
          <w:u w:val="none"/>
        </w:rPr>
        <w:t>2026年5月12日</w:t>
      </w:r>
      <w:r>
        <w:rPr>
          <w:rFonts w:hint="eastAsia"/>
          <w:i w:val="0"/>
          <w:iCs w:val="0"/>
          <w:sz w:val="21"/>
          <w:szCs w:val="21"/>
          <w:u w:val="none"/>
        </w:rPr>
        <w:t>、</w:t>
      </w:r>
      <w:r>
        <w:rPr>
          <w:rStyle w:val="7"/>
          <w:rFonts w:hint="eastAsia"/>
          <w:i w:val="0"/>
          <w:iCs w:val="0"/>
          <w:sz w:val="21"/>
          <w:szCs w:val="21"/>
          <w:u w:val="none"/>
        </w:rPr>
        <w:t>2026年5月13日</w:t>
      </w:r>
      <w:r>
        <w:rPr>
          <w:rFonts w:hint="eastAsia"/>
          <w:i w:val="0"/>
          <w:iCs w:val="0"/>
          <w:sz w:val="21"/>
          <w:szCs w:val="21"/>
          <w:u w:val="none"/>
        </w:rPr>
        <w:t>在《</w:t>
      </w:r>
      <w:r>
        <w:rPr>
          <w:rStyle w:val="7"/>
          <w:rFonts w:hint="eastAsia"/>
          <w:i w:val="0"/>
          <w:iCs w:val="0"/>
          <w:sz w:val="21"/>
          <w:szCs w:val="21"/>
          <w:u w:val="none"/>
        </w:rPr>
        <w:t>上海证券报</w:t>
      </w:r>
      <w:r>
        <w:rPr>
          <w:rFonts w:hint="eastAsia"/>
          <w:i w:val="0"/>
          <w:iCs w:val="0"/>
          <w:sz w:val="21"/>
          <w:szCs w:val="21"/>
          <w:u w:val="none"/>
        </w:rPr>
        <w:t>》、本公司网站（https://www.bosera.com）及中国证监会基金电子披露网站（http://eid.csrc.gov.cn/fund）发布了《</w:t>
      </w:r>
      <w:r>
        <w:rPr>
          <w:rStyle w:val="7"/>
          <w:rFonts w:hint="eastAsia"/>
          <w:i w:val="0"/>
          <w:iCs w:val="0"/>
          <w:sz w:val="21"/>
          <w:szCs w:val="21"/>
          <w:u w:val="none"/>
        </w:rPr>
        <w:t>博时基金管理有限公司关于以通讯方式召开博时富恒纯债一年定期开放债券型发起式证券投资基金基金份额持有人大会的公告</w:t>
      </w:r>
      <w:r>
        <w:rPr>
          <w:rFonts w:hint="eastAsia"/>
          <w:i w:val="0"/>
          <w:iCs w:val="0"/>
          <w:sz w:val="21"/>
          <w:szCs w:val="21"/>
          <w:u w:val="none"/>
        </w:rPr>
        <w:t>》、《</w:t>
      </w:r>
      <w:r>
        <w:rPr>
          <w:rStyle w:val="7"/>
          <w:rFonts w:hint="eastAsia"/>
          <w:i w:val="0"/>
          <w:iCs w:val="0"/>
          <w:sz w:val="21"/>
          <w:szCs w:val="21"/>
          <w:u w:val="none"/>
        </w:rPr>
        <w:t>博时基金管理有限公司关于以通讯方式召开博时富恒纯债一年定期开放债券型发起式证券投资基金基金份额持有人大会的第一次提示性公告</w:t>
      </w:r>
      <w:r>
        <w:rPr>
          <w:rFonts w:hint="eastAsia"/>
          <w:i w:val="0"/>
          <w:iCs w:val="0"/>
          <w:sz w:val="21"/>
          <w:szCs w:val="21"/>
          <w:u w:val="none"/>
        </w:rPr>
        <w:t>》。为使本次基金份额持有人大会顺利召开，现发布本次基金份额持有人大会的第</w:t>
      </w:r>
      <w:r>
        <w:rPr>
          <w:rStyle w:val="7"/>
          <w:rFonts w:hint="eastAsia"/>
          <w:i w:val="0"/>
          <w:iCs w:val="0"/>
          <w:sz w:val="21"/>
          <w:szCs w:val="21"/>
          <w:u w:val="none"/>
        </w:rPr>
        <w:t>二</w:t>
      </w:r>
      <w:r>
        <w:rPr>
          <w:rFonts w:hint="eastAsia"/>
          <w:i w:val="0"/>
          <w:iCs w:val="0"/>
          <w:sz w:val="21"/>
          <w:szCs w:val="21"/>
          <w:u w:val="none"/>
        </w:rPr>
        <w:t>次提示性公告。</w:t>
      </w:r>
      <w:r>
        <w:rPr>
          <w:rFonts w:hint="eastAsia"/>
          <w:sz w:val="21"/>
          <w:szCs w:val="21"/>
        </w:rPr>
        <w:t xml:space="preserve"> </w:t>
      </w:r>
    </w:p>
    <w:p w14:paraId="2DE2EEB7">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4B8E0FC1">
      <w:pPr>
        <w:pStyle w:val="4"/>
        <w:spacing w:before="0" w:beforeAutospacing="0" w:after="0" w:afterAutospacing="0" w:line="360" w:lineRule="auto"/>
        <w:ind w:firstLine="420"/>
        <w:rPr>
          <w:sz w:val="21"/>
          <w:szCs w:val="21"/>
        </w:rPr>
      </w:pPr>
      <w:r>
        <w:rPr>
          <w:rFonts w:hint="eastAsia"/>
          <w:sz w:val="21"/>
          <w:szCs w:val="21"/>
        </w:rPr>
        <w:t>根据《中华人民共和国证券投资基金法》、《公开募集证券投资基金运作管理办法》和</w:t>
      </w:r>
      <w:r>
        <w:rPr>
          <w:rFonts w:hint="eastAsia"/>
          <w:i w:val="0"/>
          <w:iCs w:val="0"/>
          <w:sz w:val="21"/>
          <w:szCs w:val="21"/>
          <w:u w:val="none"/>
        </w:rPr>
        <w:t>《</w:t>
      </w:r>
      <w:r>
        <w:rPr>
          <w:rStyle w:val="7"/>
          <w:rFonts w:hint="eastAsia"/>
          <w:i w:val="0"/>
          <w:iCs w:val="0"/>
          <w:sz w:val="21"/>
          <w:szCs w:val="21"/>
          <w:u w:val="none"/>
        </w:rPr>
        <w:t>博时富恒纯债一年定期开放债券型发起式证券投资基金</w:t>
      </w:r>
      <w:r>
        <w:rPr>
          <w:rFonts w:hint="eastAsia"/>
          <w:i w:val="0"/>
          <w:iCs w:val="0"/>
          <w:sz w:val="21"/>
          <w:szCs w:val="21"/>
          <w:u w:val="none"/>
        </w:rPr>
        <w:t>基金合同》</w:t>
      </w:r>
      <w:r>
        <w:rPr>
          <w:rFonts w:hint="eastAsia"/>
          <w:sz w:val="21"/>
          <w:szCs w:val="21"/>
        </w:rPr>
        <w:t>（以下简称“《基金合同》”或“基金合同”）的有关规定，</w:t>
      </w:r>
      <w:r>
        <w:rPr>
          <w:rStyle w:val="7"/>
          <w:rFonts w:hint="eastAsia"/>
          <w:i w:val="0"/>
          <w:iCs w:val="0"/>
          <w:sz w:val="21"/>
          <w:szCs w:val="21"/>
          <w:u w:val="none"/>
        </w:rPr>
        <w:t>博时富恒纯债一年定期开放债券型发起式证券投资基金</w:t>
      </w:r>
      <w:r>
        <w:rPr>
          <w:rFonts w:hint="eastAsia"/>
          <w:sz w:val="21"/>
          <w:szCs w:val="21"/>
        </w:rPr>
        <w:t>（以下简称“本基金”）的基金管理人博时基金管理有限公司（以下简称“基金管理人”或“本基金管理人”）经与本基金的基金托管人</w:t>
      </w:r>
      <w:r>
        <w:rPr>
          <w:rStyle w:val="7"/>
          <w:rFonts w:hint="eastAsia"/>
          <w:i w:val="0"/>
          <w:iCs w:val="0"/>
          <w:sz w:val="21"/>
          <w:szCs w:val="21"/>
          <w:u w:val="none"/>
        </w:rPr>
        <w:t>兴业银行股份有限公司</w:t>
      </w:r>
      <w:r>
        <w:rPr>
          <w:rFonts w:hint="eastAsia"/>
          <w:sz w:val="21"/>
          <w:szCs w:val="21"/>
        </w:rPr>
        <w:t xml:space="preserve">协商一致，决定以通讯方式召开本基金的基金份额持有人大会，会议的具体安排如下： </w:t>
      </w:r>
    </w:p>
    <w:p w14:paraId="4AD7D047">
      <w:pPr>
        <w:pStyle w:val="4"/>
        <w:spacing w:before="0" w:beforeAutospacing="0" w:after="0" w:afterAutospacing="0" w:line="360" w:lineRule="auto"/>
        <w:ind w:firstLine="420"/>
        <w:rPr>
          <w:rFonts w:hint="eastAsia"/>
          <w:sz w:val="21"/>
          <w:szCs w:val="21"/>
        </w:rPr>
      </w:pPr>
      <w:r>
        <w:rPr>
          <w:rFonts w:hint="eastAsia"/>
          <w:sz w:val="21"/>
          <w:szCs w:val="21"/>
        </w:rPr>
        <w:t xml:space="preserve">1、会议召开方式：通讯方式 </w:t>
      </w:r>
    </w:p>
    <w:p w14:paraId="3B1F28D3">
      <w:pPr>
        <w:pStyle w:val="4"/>
        <w:spacing w:before="0" w:beforeAutospacing="0" w:after="0" w:afterAutospacing="0" w:line="360" w:lineRule="auto"/>
        <w:ind w:firstLine="420"/>
        <w:rPr>
          <w:rFonts w:hint="eastAsia"/>
          <w:sz w:val="21"/>
          <w:szCs w:val="21"/>
        </w:rPr>
      </w:pPr>
      <w:r>
        <w:rPr>
          <w:rFonts w:hint="eastAsia"/>
          <w:sz w:val="21"/>
          <w:szCs w:val="21"/>
        </w:rPr>
        <w:t>2、会议投票表决起止时间：自</w:t>
      </w:r>
      <w:r>
        <w:rPr>
          <w:rStyle w:val="7"/>
          <w:rFonts w:hint="eastAsia"/>
          <w:i w:val="0"/>
          <w:iCs w:val="0"/>
          <w:sz w:val="21"/>
          <w:szCs w:val="21"/>
          <w:u w:val="none"/>
        </w:rPr>
        <w:t>2026年5月15日</w:t>
      </w:r>
      <w:r>
        <w:rPr>
          <w:rFonts w:hint="eastAsia"/>
          <w:i w:val="0"/>
          <w:iCs w:val="0"/>
          <w:sz w:val="21"/>
          <w:szCs w:val="21"/>
          <w:u w:val="none"/>
        </w:rPr>
        <w:t>起，至</w:t>
      </w:r>
      <w:r>
        <w:rPr>
          <w:rStyle w:val="7"/>
          <w:rFonts w:hint="eastAsia"/>
          <w:i w:val="0"/>
          <w:iCs w:val="0"/>
          <w:sz w:val="21"/>
          <w:szCs w:val="21"/>
          <w:u w:val="none"/>
          <w:lang w:eastAsia="zh-CN"/>
        </w:rPr>
        <w:t>2026年6月10日</w:t>
      </w:r>
      <w:r>
        <w:rPr>
          <w:rFonts w:hint="eastAsia"/>
          <w:sz w:val="21"/>
          <w:szCs w:val="21"/>
        </w:rPr>
        <w:t xml:space="preserve">17：00止（送达时间以本基金管理人收到表决票时间为准）。 </w:t>
      </w:r>
    </w:p>
    <w:p w14:paraId="4118712C">
      <w:pPr>
        <w:pStyle w:val="4"/>
        <w:spacing w:before="0" w:beforeAutospacing="0" w:after="0" w:afterAutospacing="0" w:line="360" w:lineRule="auto"/>
        <w:ind w:firstLine="420"/>
        <w:rPr>
          <w:rFonts w:hint="eastAsia"/>
          <w:sz w:val="21"/>
          <w:szCs w:val="21"/>
        </w:rPr>
      </w:pPr>
      <w:r>
        <w:rPr>
          <w:rFonts w:hint="eastAsia"/>
          <w:sz w:val="21"/>
          <w:szCs w:val="21"/>
        </w:rPr>
        <w:t>3、会议计票日：</w:t>
      </w:r>
      <w:r>
        <w:rPr>
          <w:rStyle w:val="7"/>
          <w:rFonts w:hint="eastAsia"/>
          <w:i w:val="0"/>
          <w:iCs w:val="0"/>
          <w:sz w:val="21"/>
          <w:szCs w:val="21"/>
          <w:u w:val="none"/>
          <w:lang w:eastAsia="zh-CN"/>
        </w:rPr>
        <w:t>2026年6月11日</w:t>
      </w:r>
      <w:r>
        <w:rPr>
          <w:rFonts w:hint="eastAsia"/>
          <w:i w:val="0"/>
          <w:iCs w:val="0"/>
          <w:sz w:val="21"/>
          <w:szCs w:val="21"/>
          <w:u w:val="none"/>
        </w:rPr>
        <w:t> </w:t>
      </w:r>
      <w:r>
        <w:rPr>
          <w:rFonts w:hint="eastAsia"/>
          <w:sz w:val="21"/>
          <w:szCs w:val="21"/>
        </w:rPr>
        <w:t xml:space="preserve"> </w:t>
      </w:r>
    </w:p>
    <w:p w14:paraId="5B2AA617">
      <w:pPr>
        <w:pStyle w:val="4"/>
        <w:spacing w:before="0" w:beforeAutospacing="0" w:after="0" w:afterAutospacing="0" w:line="360" w:lineRule="auto"/>
        <w:ind w:firstLine="420"/>
        <w:rPr>
          <w:rFonts w:hint="eastAsia"/>
          <w:sz w:val="21"/>
          <w:szCs w:val="21"/>
        </w:rPr>
      </w:pPr>
      <w:r>
        <w:rPr>
          <w:rFonts w:hint="eastAsia"/>
          <w:sz w:val="21"/>
          <w:szCs w:val="21"/>
        </w:rPr>
        <w:t xml:space="preserve">4、会议表决票的寄达地点： </w:t>
      </w:r>
    </w:p>
    <w:p w14:paraId="494402D1">
      <w:pPr>
        <w:pStyle w:val="4"/>
        <w:spacing w:before="0" w:beforeAutospacing="0" w:after="0" w:afterAutospacing="0" w:line="360" w:lineRule="auto"/>
        <w:ind w:firstLine="420"/>
        <w:rPr>
          <w:rFonts w:hint="eastAsia"/>
          <w:sz w:val="21"/>
          <w:szCs w:val="21"/>
        </w:rPr>
      </w:pPr>
      <w:r>
        <w:rPr>
          <w:rFonts w:hint="eastAsia"/>
          <w:sz w:val="21"/>
          <w:szCs w:val="21"/>
        </w:rPr>
        <w:t xml:space="preserve">基金管理人：博时基金管理有限公司 </w:t>
      </w:r>
    </w:p>
    <w:p w14:paraId="7F758B0F">
      <w:pPr>
        <w:pStyle w:val="4"/>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办公地址：北京市东城区建国门内大街8号中粮广场C座3层301（邮编100005） </w:t>
      </w:r>
    </w:p>
    <w:p w14:paraId="0043DC1F">
      <w:pPr>
        <w:pStyle w:val="4"/>
        <w:spacing w:before="0" w:beforeAutospacing="0" w:after="0" w:afterAutospacing="0" w:line="360" w:lineRule="auto"/>
        <w:ind w:firstLine="420"/>
        <w:rPr>
          <w:rFonts w:hint="eastAsia"/>
          <w:sz w:val="21"/>
          <w:szCs w:val="21"/>
        </w:rPr>
      </w:pPr>
      <w:r>
        <w:rPr>
          <w:rFonts w:hint="eastAsia"/>
          <w:sz w:val="21"/>
          <w:szCs w:val="21"/>
        </w:rPr>
        <w:t xml:space="preserve">联系人：翟青 </w:t>
      </w:r>
    </w:p>
    <w:p w14:paraId="7DCC7EE0">
      <w:pPr>
        <w:pStyle w:val="4"/>
        <w:spacing w:before="0" w:beforeAutospacing="0" w:after="0" w:afterAutospacing="0" w:line="360" w:lineRule="auto"/>
        <w:ind w:firstLine="420"/>
        <w:rPr>
          <w:rFonts w:hint="eastAsia"/>
          <w:sz w:val="21"/>
          <w:szCs w:val="21"/>
        </w:rPr>
      </w:pPr>
      <w:r>
        <w:rPr>
          <w:rFonts w:hint="eastAsia"/>
          <w:sz w:val="21"/>
          <w:szCs w:val="21"/>
        </w:rPr>
        <w:t xml:space="preserve">联系电话：010-65171166 </w:t>
      </w:r>
    </w:p>
    <w:p w14:paraId="4A711C28">
      <w:pPr>
        <w:pStyle w:val="4"/>
        <w:spacing w:before="0" w:beforeAutospacing="0" w:after="0" w:afterAutospacing="0" w:line="360" w:lineRule="auto"/>
        <w:ind w:firstLine="420"/>
        <w:rPr>
          <w:rFonts w:hint="eastAsia"/>
          <w:sz w:val="21"/>
          <w:szCs w:val="21"/>
        </w:rPr>
      </w:pPr>
      <w:r>
        <w:rPr>
          <w:rFonts w:hint="eastAsia"/>
          <w:sz w:val="21"/>
          <w:szCs w:val="21"/>
        </w:rPr>
        <w:t>请在信封表面注明：“</w:t>
      </w:r>
      <w:r>
        <w:rPr>
          <w:rStyle w:val="7"/>
          <w:rFonts w:hint="eastAsia"/>
          <w:i w:val="0"/>
          <w:iCs w:val="0"/>
          <w:sz w:val="21"/>
          <w:szCs w:val="21"/>
          <w:u w:val="none"/>
        </w:rPr>
        <w:t>博时富恒纯债一年定期开放债券型发起式证券投资基金</w:t>
      </w:r>
      <w:r>
        <w:rPr>
          <w:rFonts w:hint="eastAsia"/>
          <w:sz w:val="21"/>
          <w:szCs w:val="21"/>
        </w:rPr>
        <w:t xml:space="preserve">基金份额持有人大会表决专用”。 </w:t>
      </w:r>
    </w:p>
    <w:p w14:paraId="2444D49E">
      <w:pPr>
        <w:pStyle w:val="4"/>
        <w:spacing w:before="0" w:beforeAutospacing="0" w:after="0" w:afterAutospacing="0" w:line="360" w:lineRule="auto"/>
        <w:ind w:firstLine="420"/>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501FAB3C">
      <w:pPr>
        <w:pStyle w:val="4"/>
        <w:spacing w:before="0" w:beforeAutospacing="0" w:after="0" w:afterAutospacing="0" w:line="360" w:lineRule="auto"/>
        <w:ind w:firstLine="420"/>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751F9F3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6BD8ADA9">
      <w:pPr>
        <w:pStyle w:val="4"/>
        <w:spacing w:before="0" w:beforeAutospacing="0" w:after="0" w:afterAutospacing="0" w:line="360" w:lineRule="auto"/>
        <w:ind w:firstLine="420"/>
        <w:rPr>
          <w:sz w:val="21"/>
          <w:szCs w:val="21"/>
        </w:rPr>
      </w:pPr>
      <w:r>
        <w:rPr>
          <w:rFonts w:hint="eastAsia"/>
          <w:sz w:val="21"/>
          <w:szCs w:val="21"/>
        </w:rPr>
        <w:t>《</w:t>
      </w:r>
      <w:r>
        <w:rPr>
          <w:rStyle w:val="7"/>
          <w:rFonts w:hint="eastAsia"/>
          <w:i w:val="0"/>
          <w:iCs w:val="0"/>
          <w:sz w:val="21"/>
          <w:szCs w:val="21"/>
          <w:u w:val="none"/>
        </w:rPr>
        <w:t>关于终止博时富恒纯债一年定期开放债券型发起式证券投资基金基金合同有关事项的议案</w:t>
      </w:r>
      <w:r>
        <w:rPr>
          <w:rFonts w:hint="eastAsia"/>
          <w:sz w:val="21"/>
          <w:szCs w:val="21"/>
        </w:rPr>
        <w:t xml:space="preserve">》（见附件一）。 </w:t>
      </w:r>
    </w:p>
    <w:p w14:paraId="63D6FFC8">
      <w:pPr>
        <w:pStyle w:val="4"/>
        <w:spacing w:before="0" w:beforeAutospacing="0" w:after="0" w:afterAutospacing="0" w:line="360" w:lineRule="auto"/>
        <w:ind w:firstLine="420"/>
        <w:rPr>
          <w:rFonts w:hint="eastAsia"/>
          <w:sz w:val="21"/>
          <w:szCs w:val="21"/>
        </w:rPr>
      </w:pPr>
      <w:r>
        <w:rPr>
          <w:rFonts w:hint="eastAsia"/>
          <w:sz w:val="21"/>
          <w:szCs w:val="21"/>
        </w:rPr>
        <w:t>上述议案的内容说明请参见《</w:t>
      </w:r>
      <w:r>
        <w:rPr>
          <w:rStyle w:val="7"/>
          <w:rFonts w:hint="eastAsia"/>
          <w:i w:val="0"/>
          <w:iCs w:val="0"/>
          <w:sz w:val="21"/>
          <w:szCs w:val="21"/>
          <w:u w:val="none"/>
        </w:rPr>
        <w:t>关于终止博时富恒纯债一年定期开放债券型发起式证券投资基金基金合同有关事项议案的说明</w:t>
      </w:r>
      <w:r>
        <w:rPr>
          <w:rFonts w:hint="eastAsia"/>
          <w:sz w:val="21"/>
          <w:szCs w:val="21"/>
        </w:rPr>
        <w:t xml:space="preserve">》（见附件四）。 </w:t>
      </w:r>
    </w:p>
    <w:p w14:paraId="7C24363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12B3B806">
      <w:pPr>
        <w:pStyle w:val="4"/>
        <w:spacing w:before="0" w:beforeAutospacing="0" w:after="0" w:afterAutospacing="0" w:line="360" w:lineRule="auto"/>
        <w:ind w:firstLine="420"/>
        <w:rPr>
          <w:rFonts w:hint="eastAsia"/>
          <w:sz w:val="21"/>
          <w:szCs w:val="21"/>
        </w:rPr>
      </w:pPr>
      <w:r>
        <w:rPr>
          <w:rFonts w:hint="eastAsia"/>
          <w:sz w:val="21"/>
          <w:szCs w:val="21"/>
        </w:rPr>
        <w:t>本次大会的权益登记日为</w:t>
      </w:r>
      <w:r>
        <w:rPr>
          <w:rStyle w:val="7"/>
          <w:rFonts w:hint="eastAsia"/>
          <w:i w:val="0"/>
          <w:iCs w:val="0"/>
          <w:sz w:val="21"/>
          <w:szCs w:val="21"/>
          <w:u w:val="none"/>
        </w:rPr>
        <w:t>2026年5月15日</w:t>
      </w:r>
      <w:r>
        <w:rPr>
          <w:rFonts w:hint="eastAsia"/>
          <w:sz w:val="21"/>
          <w:szCs w:val="21"/>
        </w:rPr>
        <w:t>，即</w:t>
      </w:r>
      <w:r>
        <w:rPr>
          <w:rStyle w:val="7"/>
          <w:rFonts w:hint="eastAsia"/>
          <w:i w:val="0"/>
          <w:iCs w:val="0"/>
          <w:sz w:val="21"/>
          <w:szCs w:val="21"/>
          <w:u w:val="none"/>
        </w:rPr>
        <w:t>2026年5月15日</w:t>
      </w:r>
      <w:r>
        <w:rPr>
          <w:rFonts w:hint="eastAsia"/>
          <w:sz w:val="21"/>
          <w:szCs w:val="21"/>
        </w:rPr>
        <w:t xml:space="preserve">在本基金登记机构登记在册的本基金全体基金份额持有人均有权参与本次基金份额持有人大会的表决。 </w:t>
      </w:r>
    </w:p>
    <w:p w14:paraId="3C79551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1D6BB723">
      <w:pPr>
        <w:pStyle w:val="4"/>
        <w:spacing w:before="0" w:beforeAutospacing="0" w:after="0" w:afterAutospacing="0" w:line="360" w:lineRule="auto"/>
        <w:ind w:firstLine="420"/>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0725DBDB">
      <w:pPr>
        <w:pStyle w:val="4"/>
        <w:spacing w:before="0" w:beforeAutospacing="0" w:after="0" w:afterAutospacing="0" w:line="360" w:lineRule="auto"/>
        <w:ind w:firstLine="420"/>
        <w:rPr>
          <w:rFonts w:hint="eastAsia"/>
          <w:sz w:val="21"/>
          <w:szCs w:val="21"/>
        </w:rPr>
      </w:pPr>
      <w:r>
        <w:rPr>
          <w:rFonts w:hint="eastAsia"/>
          <w:sz w:val="21"/>
          <w:szCs w:val="21"/>
        </w:rPr>
        <w:t xml:space="preserve">2、基金份额持有人应当按照表决票的要求填写相关内容，其中： </w:t>
      </w:r>
    </w:p>
    <w:p w14:paraId="76A921E0">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1</w:t>
      </w:r>
      <w:r>
        <w:rPr>
          <w:rFonts w:hint="eastAsia"/>
          <w:sz w:val="21"/>
          <w:szCs w:val="21"/>
        </w:rPr>
        <w:t xml:space="preserve">）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2D7FC657">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2</w:t>
      </w:r>
      <w:r>
        <w:rPr>
          <w:rFonts w:hint="eastAsia"/>
          <w:sz w:val="21"/>
          <w:szCs w:val="21"/>
        </w:rPr>
        <w:t xml:space="preserve">）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306E7D62">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3</w:t>
      </w:r>
      <w:r>
        <w:rPr>
          <w:rFonts w:hint="eastAsia"/>
          <w:sz w:val="21"/>
          <w:szCs w:val="21"/>
        </w:rPr>
        <w:t xml:space="preserve">）以上各项及本公告正文全文中的公章、批文、开户证明及登记证书等文件，以基金管理人的认可为准。 </w:t>
      </w:r>
    </w:p>
    <w:p w14:paraId="7093CC2B">
      <w:pPr>
        <w:pStyle w:val="4"/>
        <w:spacing w:before="0" w:beforeAutospacing="0" w:after="0" w:afterAutospacing="0" w:line="360" w:lineRule="auto"/>
        <w:ind w:firstLine="420"/>
        <w:rPr>
          <w:rFonts w:hint="eastAsia"/>
          <w:sz w:val="21"/>
          <w:szCs w:val="21"/>
        </w:rPr>
      </w:pPr>
      <w:r>
        <w:rPr>
          <w:rFonts w:hint="eastAsia"/>
          <w:sz w:val="21"/>
          <w:szCs w:val="21"/>
        </w:rPr>
        <w:t>3、基金份额持有人或其代理人需将填妥的表决票和所需的相关文件自</w:t>
      </w:r>
      <w:r>
        <w:rPr>
          <w:rStyle w:val="7"/>
          <w:rFonts w:hint="eastAsia"/>
          <w:i w:val="0"/>
          <w:iCs w:val="0"/>
          <w:sz w:val="21"/>
          <w:szCs w:val="21"/>
          <w:u w:val="none"/>
        </w:rPr>
        <w:t>2026年5月15日</w:t>
      </w:r>
      <w:r>
        <w:rPr>
          <w:rFonts w:hint="eastAsia"/>
          <w:sz w:val="21"/>
          <w:szCs w:val="21"/>
        </w:rPr>
        <w:t>起，至</w:t>
      </w:r>
      <w:r>
        <w:rPr>
          <w:rStyle w:val="7"/>
          <w:rFonts w:hint="eastAsia"/>
          <w:i w:val="0"/>
          <w:iCs w:val="0"/>
          <w:sz w:val="21"/>
          <w:szCs w:val="21"/>
          <w:u w:val="none"/>
          <w:lang w:eastAsia="zh-CN"/>
        </w:rPr>
        <w:t>2026年6月10日</w:t>
      </w:r>
      <w:r>
        <w:rPr>
          <w:rFonts w:hint="eastAsia"/>
          <w:sz w:val="21"/>
          <w:szCs w:val="21"/>
        </w:rPr>
        <w:t>17：00以前（送达时间以基金管理人收到表决票时间为准）通过专人送交、邮寄的方式送达至本公告第一条第4项所述的寄达地址，并请在信封表面注明：“</w:t>
      </w:r>
      <w:r>
        <w:rPr>
          <w:rStyle w:val="7"/>
          <w:rFonts w:hint="eastAsia"/>
          <w:i w:val="0"/>
          <w:iCs w:val="0"/>
          <w:sz w:val="21"/>
          <w:szCs w:val="21"/>
          <w:u w:val="none"/>
        </w:rPr>
        <w:t>博时富恒纯债一年定期开放债券型发起式证券投资基金</w:t>
      </w:r>
      <w:r>
        <w:rPr>
          <w:rFonts w:hint="eastAsia"/>
          <w:sz w:val="21"/>
          <w:szCs w:val="21"/>
        </w:rPr>
        <w:t xml:space="preserve">基金份额持有人大会表决专用”。 </w:t>
      </w:r>
    </w:p>
    <w:p w14:paraId="22823FD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34804D9E">
      <w:pPr>
        <w:pStyle w:val="4"/>
        <w:spacing w:before="0" w:beforeAutospacing="0" w:after="0" w:afterAutospacing="0" w:line="360" w:lineRule="auto"/>
        <w:ind w:firstLine="420"/>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4C027667">
      <w:pPr>
        <w:pStyle w:val="4"/>
        <w:spacing w:before="0" w:beforeAutospacing="0" w:after="0" w:afterAutospacing="0" w:line="360" w:lineRule="auto"/>
        <w:ind w:firstLine="420"/>
        <w:rPr>
          <w:rFonts w:hint="eastAsia"/>
          <w:sz w:val="21"/>
          <w:szCs w:val="21"/>
        </w:rPr>
      </w:pPr>
      <w:r>
        <w:rPr>
          <w:rFonts w:hint="eastAsia"/>
          <w:sz w:val="21"/>
          <w:szCs w:val="21"/>
        </w:rPr>
        <w:t xml:space="preserve">1、纸面授权方式 </w:t>
      </w:r>
    </w:p>
    <w:p w14:paraId="11B919C0">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1</w:t>
      </w:r>
      <w:r>
        <w:rPr>
          <w:rFonts w:hint="eastAsia"/>
          <w:sz w:val="21"/>
          <w:szCs w:val="21"/>
        </w:rPr>
        <w:t xml:space="preserve">）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480D285C">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2</w:t>
      </w:r>
      <w:r>
        <w:rPr>
          <w:rFonts w:hint="eastAsia"/>
          <w:sz w:val="21"/>
          <w:szCs w:val="21"/>
        </w:rPr>
        <w:t xml:space="preserve">）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6DAD41A5">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3</w:t>
      </w:r>
      <w:r>
        <w:rPr>
          <w:rFonts w:hint="eastAsia"/>
          <w:sz w:val="21"/>
          <w:szCs w:val="21"/>
        </w:rPr>
        <w:t xml:space="preserve">）如果代理人为基金管理人、基金托管人或基金销售机构，前述代理人将在取得基金份额持有人签署的授权委托书后统一办理委托投票手续（包括提供代理人有关证明文件）； </w:t>
      </w:r>
    </w:p>
    <w:p w14:paraId="129A75E5">
      <w:pPr>
        <w:pStyle w:val="4"/>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4</w:t>
      </w:r>
      <w:r>
        <w:rPr>
          <w:rFonts w:hint="eastAsia"/>
          <w:sz w:val="21"/>
          <w:szCs w:val="21"/>
        </w:rPr>
        <w:t xml:space="preserve">）以上各项及本公告正文全文中的公章、批文、开户证明及登记证书等文件，以基金管理人的认可为准。 </w:t>
      </w:r>
    </w:p>
    <w:p w14:paraId="413A8136">
      <w:pPr>
        <w:pStyle w:val="4"/>
        <w:spacing w:before="0" w:beforeAutospacing="0" w:after="0" w:afterAutospacing="0" w:line="360" w:lineRule="auto"/>
        <w:ind w:firstLine="420"/>
        <w:rPr>
          <w:rFonts w:hint="eastAsia"/>
          <w:sz w:val="21"/>
          <w:szCs w:val="21"/>
        </w:rPr>
      </w:pPr>
      <w:r>
        <w:rPr>
          <w:rFonts w:hint="eastAsia"/>
          <w:sz w:val="21"/>
          <w:szCs w:val="21"/>
        </w:rPr>
        <w:t xml:space="preserve">2、授权效力确定规则 </w:t>
      </w:r>
    </w:p>
    <w:p w14:paraId="6C9F08EB">
      <w:pPr>
        <w:pStyle w:val="4"/>
        <w:spacing w:before="0" w:beforeAutospacing="0" w:after="0" w:afterAutospacing="0" w:line="360" w:lineRule="auto"/>
        <w:ind w:firstLine="420"/>
        <w:rPr>
          <w:rFonts w:hint="eastAsia"/>
          <w:sz w:val="21"/>
          <w:szCs w:val="21"/>
        </w:rPr>
      </w:pPr>
      <w:r>
        <w:rPr>
          <w:rFonts w:hint="eastAsia"/>
          <w:sz w:val="21"/>
          <w:szCs w:val="21"/>
        </w:rPr>
        <w:t xml:space="preserve">（1）同一基金份额持有人送达了有效表决票，又存在有效纸面授权的，以其送达的有效表决票为准； </w:t>
      </w:r>
    </w:p>
    <w:p w14:paraId="24DD1229">
      <w:pPr>
        <w:pStyle w:val="4"/>
        <w:spacing w:before="0" w:beforeAutospacing="0" w:after="0" w:afterAutospacing="0" w:line="360" w:lineRule="auto"/>
        <w:ind w:firstLine="420"/>
        <w:rPr>
          <w:rFonts w:hint="eastAsia"/>
          <w:sz w:val="21"/>
          <w:szCs w:val="21"/>
        </w:rPr>
      </w:pPr>
      <w:r>
        <w:rPr>
          <w:rFonts w:hint="eastAsia"/>
          <w:sz w:val="21"/>
          <w:szCs w:val="21"/>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06210DA6">
      <w:pPr>
        <w:pStyle w:val="4"/>
        <w:spacing w:before="0" w:beforeAutospacing="0" w:after="0" w:afterAutospacing="0" w:line="360" w:lineRule="auto"/>
        <w:ind w:firstLine="420"/>
        <w:rPr>
          <w:rFonts w:hint="eastAsia"/>
          <w:sz w:val="21"/>
          <w:szCs w:val="21"/>
        </w:rPr>
      </w:pPr>
      <w:r>
        <w:rPr>
          <w:rFonts w:hint="eastAsia"/>
          <w:sz w:val="21"/>
          <w:szCs w:val="21"/>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59AC2C6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34B04D09">
      <w:pPr>
        <w:pStyle w:val="4"/>
        <w:spacing w:before="0" w:beforeAutospacing="0" w:after="0" w:afterAutospacing="0" w:line="360" w:lineRule="auto"/>
        <w:ind w:firstLine="420"/>
        <w:rPr>
          <w:sz w:val="21"/>
          <w:szCs w:val="21"/>
        </w:rPr>
      </w:pPr>
      <w:r>
        <w:rPr>
          <w:rFonts w:hint="eastAsia"/>
          <w:sz w:val="21"/>
          <w:szCs w:val="21"/>
        </w:rPr>
        <w:t>1、本次通讯会议的计票方式为：由本基金管理人授权的两名监督员在基金托管人（</w:t>
      </w:r>
      <w:r>
        <w:rPr>
          <w:rStyle w:val="7"/>
          <w:rFonts w:hint="eastAsia"/>
          <w:i w:val="0"/>
          <w:iCs w:val="0"/>
          <w:sz w:val="21"/>
          <w:szCs w:val="21"/>
          <w:u w:val="none"/>
        </w:rPr>
        <w:t>兴业银行股份有限公司</w:t>
      </w:r>
      <w:r>
        <w:rPr>
          <w:rFonts w:hint="eastAsia"/>
          <w:sz w:val="21"/>
          <w:szCs w:val="21"/>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5924BE68">
      <w:pPr>
        <w:pStyle w:val="4"/>
        <w:spacing w:before="0" w:beforeAutospacing="0" w:after="0" w:afterAutospacing="0" w:line="360" w:lineRule="auto"/>
        <w:ind w:firstLine="420"/>
        <w:rPr>
          <w:rFonts w:hint="eastAsia"/>
          <w:sz w:val="21"/>
          <w:szCs w:val="21"/>
        </w:rPr>
      </w:pPr>
      <w:r>
        <w:rPr>
          <w:rFonts w:hint="eastAsia"/>
          <w:sz w:val="21"/>
          <w:szCs w:val="21"/>
        </w:rPr>
        <w:t xml:space="preserve">2、基金份额持有人所持每份基金份额享有一票表决权。 </w:t>
      </w:r>
    </w:p>
    <w:p w14:paraId="372F6C3E">
      <w:pPr>
        <w:pStyle w:val="4"/>
        <w:spacing w:before="0" w:beforeAutospacing="0" w:after="0" w:afterAutospacing="0" w:line="360" w:lineRule="auto"/>
        <w:ind w:firstLine="420"/>
        <w:rPr>
          <w:rFonts w:hint="eastAsia"/>
          <w:sz w:val="21"/>
          <w:szCs w:val="21"/>
        </w:rPr>
      </w:pPr>
      <w:r>
        <w:rPr>
          <w:rFonts w:hint="eastAsia"/>
          <w:sz w:val="21"/>
          <w:szCs w:val="21"/>
        </w:rPr>
        <w:t xml:space="preserve">3、纸质表决票效力的认定如下： </w:t>
      </w:r>
    </w:p>
    <w:p w14:paraId="0A59A666">
      <w:pPr>
        <w:pStyle w:val="4"/>
        <w:spacing w:before="0" w:beforeAutospacing="0" w:after="0" w:afterAutospacing="0" w:line="360" w:lineRule="auto"/>
        <w:ind w:firstLine="420"/>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3B4F0EB0">
      <w:pPr>
        <w:pStyle w:val="4"/>
        <w:spacing w:before="0" w:beforeAutospacing="0" w:after="0" w:afterAutospacing="0" w:line="360" w:lineRule="auto"/>
        <w:ind w:firstLine="420"/>
        <w:rPr>
          <w:rFonts w:hint="eastAsia"/>
          <w:sz w:val="21"/>
          <w:szCs w:val="21"/>
        </w:rPr>
      </w:pPr>
      <w:r>
        <w:rPr>
          <w:rFonts w:hint="eastAsia"/>
          <w:sz w:val="21"/>
          <w:szCs w:val="21"/>
        </w:rPr>
        <w:t xml:space="preserve">（2）同一基金份额持有人送达了有效表决票，又存在有效纸面授权的，以其送达的有效表决票为准。 </w:t>
      </w:r>
    </w:p>
    <w:p w14:paraId="583F683B">
      <w:pPr>
        <w:pStyle w:val="4"/>
        <w:spacing w:before="0" w:beforeAutospacing="0" w:after="0" w:afterAutospacing="0" w:line="360" w:lineRule="auto"/>
        <w:ind w:firstLine="420"/>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5F6260AC">
      <w:pPr>
        <w:pStyle w:val="4"/>
        <w:spacing w:before="0" w:beforeAutospacing="0" w:after="0" w:afterAutospacing="0" w:line="360" w:lineRule="auto"/>
        <w:ind w:firstLine="420"/>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174CAB5E">
      <w:pPr>
        <w:pStyle w:val="4"/>
        <w:spacing w:before="0" w:beforeAutospacing="0" w:after="0" w:afterAutospacing="0" w:line="360" w:lineRule="auto"/>
        <w:ind w:firstLine="420"/>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0A1ABDF6">
      <w:pPr>
        <w:pStyle w:val="4"/>
        <w:spacing w:before="0" w:beforeAutospacing="0" w:after="0" w:afterAutospacing="0" w:line="360" w:lineRule="auto"/>
        <w:ind w:firstLine="420"/>
        <w:rPr>
          <w:rFonts w:hint="eastAsia"/>
          <w:sz w:val="21"/>
          <w:szCs w:val="21"/>
        </w:rPr>
      </w:pPr>
      <w:r>
        <w:rPr>
          <w:rFonts w:hint="eastAsia"/>
          <w:sz w:val="21"/>
          <w:szCs w:val="21"/>
        </w:rPr>
        <w:t xml:space="preserve">①送达时间不是同一天的，以最后送达的填写有效的表决票为准，先送达的表决票视为被撤回； </w:t>
      </w:r>
    </w:p>
    <w:p w14:paraId="0F1699B3">
      <w:pPr>
        <w:pStyle w:val="4"/>
        <w:spacing w:before="0" w:beforeAutospacing="0" w:after="0" w:afterAutospacing="0" w:line="360" w:lineRule="auto"/>
        <w:ind w:firstLine="420"/>
        <w:rPr>
          <w:rFonts w:hint="eastAsia"/>
          <w:sz w:val="21"/>
          <w:szCs w:val="21"/>
        </w:rPr>
      </w:pPr>
      <w:r>
        <w:rPr>
          <w:rFonts w:hint="eastAsia"/>
          <w:sz w:val="21"/>
          <w:szCs w:val="21"/>
        </w:rPr>
        <w:t xml:space="preserve">②送达时间为同一天的，视为在同一表决票上做出了不同表决意见，计入弃权表决票； </w:t>
      </w:r>
    </w:p>
    <w:p w14:paraId="25E5ECFD">
      <w:pPr>
        <w:pStyle w:val="4"/>
        <w:spacing w:before="0" w:beforeAutospacing="0" w:after="0" w:afterAutospacing="0" w:line="360" w:lineRule="auto"/>
        <w:ind w:firstLine="420"/>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3A8ACBB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6EA41ED1">
      <w:pPr>
        <w:pStyle w:val="4"/>
        <w:spacing w:before="0" w:beforeAutospacing="0" w:after="0" w:afterAutospacing="0" w:line="360" w:lineRule="auto"/>
        <w:ind w:firstLine="420"/>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5275BF63">
      <w:pPr>
        <w:pStyle w:val="4"/>
        <w:spacing w:before="0" w:beforeAutospacing="0" w:after="0" w:afterAutospacing="0" w:line="360" w:lineRule="auto"/>
        <w:ind w:firstLine="420"/>
        <w:rPr>
          <w:rFonts w:hint="eastAsia"/>
          <w:sz w:val="21"/>
          <w:szCs w:val="21"/>
        </w:rPr>
      </w:pPr>
      <w:r>
        <w:rPr>
          <w:rFonts w:hint="eastAsia"/>
          <w:sz w:val="21"/>
          <w:szCs w:val="21"/>
        </w:rPr>
        <w:t>2、《</w:t>
      </w:r>
      <w:r>
        <w:rPr>
          <w:rStyle w:val="7"/>
          <w:rFonts w:hint="eastAsia"/>
          <w:i w:val="0"/>
          <w:iCs w:val="0"/>
          <w:sz w:val="21"/>
          <w:szCs w:val="21"/>
          <w:u w:val="none"/>
        </w:rPr>
        <w:t>关于终止博时富恒纯债一年定期开放债券型发起式证券投资基金基金合同有关事项的议案</w:t>
      </w:r>
      <w:r>
        <w:rPr>
          <w:rFonts w:hint="eastAsia"/>
          <w:i w:val="0"/>
          <w:iCs w:val="0"/>
          <w:sz w:val="21"/>
          <w:szCs w:val="21"/>
          <w:u w:val="none"/>
        </w:rPr>
        <w:t>》</w:t>
      </w:r>
      <w:r>
        <w:rPr>
          <w:rFonts w:hint="eastAsia"/>
          <w:sz w:val="21"/>
          <w:szCs w:val="21"/>
        </w:rPr>
        <w:t xml:space="preserve">应当由提交有效表决票的基金份额持有人或其代理人所持表决权的三分之二以上（含三分之二）通过； </w:t>
      </w:r>
    </w:p>
    <w:p w14:paraId="3F646753">
      <w:pPr>
        <w:pStyle w:val="4"/>
        <w:spacing w:before="0" w:beforeAutospacing="0" w:after="0" w:afterAutospacing="0" w:line="360" w:lineRule="auto"/>
        <w:ind w:firstLine="420"/>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4C31D5F1">
      <w:pPr>
        <w:pStyle w:val="4"/>
        <w:spacing w:before="0" w:beforeAutospacing="0" w:after="0" w:afterAutospacing="0" w:line="360" w:lineRule="auto"/>
        <w:ind w:firstLine="420"/>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21574AA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34DE095A">
      <w:pPr>
        <w:pStyle w:val="4"/>
        <w:spacing w:before="0" w:beforeAutospacing="0" w:after="0" w:afterAutospacing="0" w:line="360" w:lineRule="auto"/>
        <w:ind w:firstLine="420"/>
        <w:rPr>
          <w:sz w:val="21"/>
          <w:szCs w:val="21"/>
        </w:rPr>
      </w:pPr>
      <w:r>
        <w:rPr>
          <w:rFonts w:hint="eastAsia"/>
          <w:sz w:val="21"/>
          <w:szCs w:val="21"/>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w:t>
      </w:r>
      <w:r>
        <w:rPr>
          <w:rStyle w:val="7"/>
          <w:rFonts w:hint="eastAsia"/>
          <w:i w:val="0"/>
          <w:iCs w:val="0"/>
          <w:sz w:val="21"/>
          <w:szCs w:val="21"/>
          <w:u w:val="none"/>
        </w:rPr>
        <w:t>2026年5月15日</w:t>
      </w:r>
      <w:r>
        <w:rPr>
          <w:rFonts w:hint="eastAsia"/>
          <w:sz w:val="21"/>
          <w:szCs w:val="21"/>
        </w:rPr>
        <w:t xml:space="preserve">。 </w:t>
      </w:r>
    </w:p>
    <w:p w14:paraId="191DA4DB">
      <w:pPr>
        <w:pStyle w:val="4"/>
        <w:spacing w:before="0" w:beforeAutospacing="0" w:after="0" w:afterAutospacing="0" w:line="360" w:lineRule="auto"/>
        <w:ind w:firstLine="420"/>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04F086AC">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57C35C8B">
      <w:pPr>
        <w:pStyle w:val="4"/>
        <w:spacing w:before="0" w:beforeAutospacing="0" w:after="0" w:afterAutospacing="0" w:line="360" w:lineRule="auto"/>
        <w:ind w:firstLine="420"/>
        <w:rPr>
          <w:sz w:val="21"/>
          <w:szCs w:val="21"/>
        </w:rPr>
      </w:pPr>
      <w:r>
        <w:rPr>
          <w:rFonts w:hint="eastAsia"/>
          <w:sz w:val="21"/>
          <w:szCs w:val="21"/>
        </w:rPr>
        <w:t xml:space="preserve">1、召集人：博时基金管理有限公司 </w:t>
      </w:r>
    </w:p>
    <w:p w14:paraId="37FDB6ED">
      <w:pPr>
        <w:pStyle w:val="4"/>
        <w:spacing w:before="0" w:beforeAutospacing="0" w:after="0" w:afterAutospacing="0" w:line="360" w:lineRule="auto"/>
        <w:ind w:firstLine="420"/>
        <w:rPr>
          <w:rFonts w:hint="eastAsia"/>
          <w:i w:val="0"/>
          <w:iCs w:val="0"/>
          <w:sz w:val="21"/>
          <w:szCs w:val="21"/>
          <w:u w:val="none"/>
        </w:rPr>
      </w:pPr>
      <w:r>
        <w:rPr>
          <w:rFonts w:hint="eastAsia"/>
          <w:sz w:val="21"/>
          <w:szCs w:val="21"/>
        </w:rPr>
        <w:t>2、基金托管人：</w:t>
      </w:r>
      <w:r>
        <w:rPr>
          <w:rStyle w:val="7"/>
          <w:rFonts w:hint="eastAsia"/>
          <w:i w:val="0"/>
          <w:iCs w:val="0"/>
          <w:sz w:val="21"/>
          <w:szCs w:val="21"/>
          <w:u w:val="none"/>
        </w:rPr>
        <w:t>兴业银行股份有限公司</w:t>
      </w:r>
    </w:p>
    <w:p w14:paraId="3526C855">
      <w:pPr>
        <w:pStyle w:val="4"/>
        <w:spacing w:before="0" w:beforeAutospacing="0" w:after="0" w:afterAutospacing="0" w:line="360" w:lineRule="auto"/>
        <w:ind w:firstLine="420"/>
        <w:rPr>
          <w:rFonts w:hint="eastAsia"/>
          <w:sz w:val="21"/>
          <w:szCs w:val="21"/>
        </w:rPr>
      </w:pPr>
      <w:r>
        <w:rPr>
          <w:rFonts w:hint="eastAsia"/>
          <w:sz w:val="21"/>
          <w:szCs w:val="21"/>
        </w:rPr>
        <w:t xml:space="preserve">3、公证机关：北京市长安公证处 </w:t>
      </w:r>
    </w:p>
    <w:p w14:paraId="0C2EEF58">
      <w:pPr>
        <w:pStyle w:val="4"/>
        <w:spacing w:before="0" w:beforeAutospacing="0" w:after="0" w:afterAutospacing="0" w:line="360" w:lineRule="auto"/>
        <w:ind w:firstLine="420"/>
        <w:rPr>
          <w:rFonts w:hint="eastAsia"/>
          <w:sz w:val="21"/>
          <w:szCs w:val="21"/>
        </w:rPr>
      </w:pPr>
      <w:r>
        <w:rPr>
          <w:rFonts w:hint="eastAsia"/>
          <w:sz w:val="21"/>
          <w:szCs w:val="21"/>
        </w:rPr>
        <w:t xml:space="preserve">联系人：陆晓冬 </w:t>
      </w:r>
    </w:p>
    <w:p w14:paraId="7BB37914">
      <w:pPr>
        <w:pStyle w:val="4"/>
        <w:spacing w:before="0" w:beforeAutospacing="0" w:after="0" w:afterAutospacing="0" w:line="360" w:lineRule="auto"/>
        <w:ind w:firstLine="420"/>
        <w:rPr>
          <w:rFonts w:hint="eastAsia"/>
          <w:sz w:val="21"/>
          <w:szCs w:val="21"/>
        </w:rPr>
      </w:pPr>
      <w:r>
        <w:rPr>
          <w:rFonts w:hint="eastAsia"/>
          <w:sz w:val="21"/>
          <w:szCs w:val="21"/>
        </w:rPr>
        <w:t xml:space="preserve">联系电话：010-65543888-8066 </w:t>
      </w:r>
    </w:p>
    <w:p w14:paraId="794C7E1A">
      <w:pPr>
        <w:pStyle w:val="4"/>
        <w:spacing w:before="0" w:beforeAutospacing="0" w:after="0" w:afterAutospacing="0" w:line="360" w:lineRule="auto"/>
        <w:ind w:firstLine="420"/>
        <w:rPr>
          <w:rFonts w:hint="eastAsia"/>
          <w:i w:val="0"/>
          <w:iCs w:val="0"/>
          <w:sz w:val="21"/>
          <w:szCs w:val="21"/>
          <w:u w:val="none"/>
        </w:rPr>
      </w:pPr>
      <w:r>
        <w:rPr>
          <w:rFonts w:hint="eastAsia"/>
          <w:sz w:val="21"/>
          <w:szCs w:val="21"/>
        </w:rPr>
        <w:t>4、律师事务所：</w:t>
      </w:r>
      <w:r>
        <w:rPr>
          <w:rStyle w:val="7"/>
          <w:rFonts w:hint="eastAsia"/>
          <w:i w:val="0"/>
          <w:iCs w:val="0"/>
          <w:sz w:val="21"/>
          <w:szCs w:val="21"/>
          <w:u w:val="none"/>
        </w:rPr>
        <w:t>上海源泰律师事务所</w:t>
      </w:r>
    </w:p>
    <w:p w14:paraId="5AC542EB">
      <w:pPr>
        <w:pStyle w:val="4"/>
        <w:spacing w:before="0" w:beforeAutospacing="0" w:after="0" w:afterAutospacing="0" w:line="360" w:lineRule="auto"/>
        <w:ind w:firstLine="420"/>
        <w:rPr>
          <w:rStyle w:val="7"/>
          <w:rFonts w:hint="eastAsia"/>
          <w:sz w:val="21"/>
          <w:szCs w:val="21"/>
          <w:u w:val="single"/>
        </w:rPr>
      </w:pPr>
    </w:p>
    <w:p w14:paraId="798F4DE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63E3C109">
      <w:pPr>
        <w:pStyle w:val="4"/>
        <w:spacing w:before="0" w:beforeAutospacing="0" w:after="0" w:afterAutospacing="0" w:line="360" w:lineRule="auto"/>
        <w:ind w:firstLine="420"/>
        <w:rPr>
          <w:sz w:val="21"/>
          <w:szCs w:val="21"/>
        </w:rPr>
      </w:pPr>
      <w:r>
        <w:rPr>
          <w:rFonts w:hint="eastAsia"/>
          <w:sz w:val="21"/>
          <w:szCs w:val="21"/>
        </w:rPr>
        <w:t xml:space="preserve">1、请基金份额持有人在提交表决票时，充分考虑邮寄在途时间，确保表决票于表决截止时间前送达。 </w:t>
      </w:r>
    </w:p>
    <w:p w14:paraId="3E198A46">
      <w:pPr>
        <w:pStyle w:val="4"/>
        <w:spacing w:before="0" w:beforeAutospacing="0" w:after="0" w:afterAutospacing="0" w:line="360" w:lineRule="auto"/>
        <w:ind w:firstLine="420"/>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445DCB08">
      <w:pPr>
        <w:pStyle w:val="4"/>
        <w:spacing w:before="0" w:beforeAutospacing="0" w:after="0" w:afterAutospacing="0" w:line="360" w:lineRule="auto"/>
        <w:ind w:firstLine="420"/>
        <w:rPr>
          <w:rFonts w:hint="eastAsia"/>
          <w:sz w:val="21"/>
          <w:szCs w:val="21"/>
        </w:rPr>
      </w:pPr>
      <w:r>
        <w:rPr>
          <w:rFonts w:hint="eastAsia"/>
          <w:sz w:val="21"/>
          <w:szCs w:val="21"/>
          <w:lang w:val="en-US" w:eastAsia="zh-CN"/>
        </w:rPr>
        <w:t>3</w:t>
      </w:r>
      <w:r>
        <w:rPr>
          <w:rFonts w:hint="eastAsia"/>
          <w:sz w:val="21"/>
          <w:szCs w:val="21"/>
        </w:rPr>
        <w:t xml:space="preserve">、本公告的有关内容由博时基金管理有限公司负责解释。 </w:t>
      </w:r>
    </w:p>
    <w:p w14:paraId="7181F581">
      <w:pPr>
        <w:pStyle w:val="4"/>
        <w:spacing w:before="0" w:beforeAutospacing="0" w:after="0" w:afterAutospacing="0" w:line="360" w:lineRule="auto"/>
        <w:ind w:firstLine="420"/>
        <w:rPr>
          <w:sz w:val="21"/>
          <w:szCs w:val="21"/>
        </w:rPr>
      </w:pPr>
    </w:p>
    <w:p w14:paraId="67469E29">
      <w:pPr>
        <w:pStyle w:val="4"/>
        <w:spacing w:before="0" w:beforeAutospacing="0" w:after="0" w:afterAutospacing="0" w:line="360" w:lineRule="auto"/>
        <w:ind w:firstLine="420"/>
        <w:rPr>
          <w:sz w:val="21"/>
          <w:szCs w:val="21"/>
        </w:rPr>
      </w:pPr>
    </w:p>
    <w:p w14:paraId="490AFD3E">
      <w:pPr>
        <w:pStyle w:val="4"/>
        <w:spacing w:before="0" w:beforeAutospacing="0" w:after="0" w:afterAutospacing="0" w:line="360" w:lineRule="auto"/>
        <w:ind w:firstLine="420"/>
        <w:rPr>
          <w:sz w:val="21"/>
          <w:szCs w:val="21"/>
        </w:rPr>
      </w:pPr>
    </w:p>
    <w:p w14:paraId="7E2E05D5">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7C15EBB1">
      <w:pPr>
        <w:pStyle w:val="4"/>
        <w:spacing w:before="0" w:beforeAutospacing="0" w:after="0" w:afterAutospacing="0" w:line="360" w:lineRule="auto"/>
        <w:ind w:firstLine="420"/>
        <w:jc w:val="right"/>
        <w:rPr>
          <w:sz w:val="21"/>
          <w:szCs w:val="21"/>
        </w:rPr>
      </w:pPr>
      <w:r>
        <w:rPr>
          <w:sz w:val="21"/>
          <w:szCs w:val="21"/>
        </w:rPr>
        <w:t>2026年5月1</w:t>
      </w:r>
      <w:r>
        <w:rPr>
          <w:rFonts w:hint="eastAsia"/>
          <w:sz w:val="21"/>
          <w:szCs w:val="21"/>
          <w:lang w:val="en-US" w:eastAsia="zh-CN"/>
        </w:rPr>
        <w:t>4</w:t>
      </w:r>
      <w:r>
        <w:rPr>
          <w:sz w:val="21"/>
          <w:szCs w:val="21"/>
        </w:rPr>
        <w:t>日</w:t>
      </w:r>
    </w:p>
    <w:p w14:paraId="52DAE0DF">
      <w:pPr>
        <w:pStyle w:val="4"/>
        <w:spacing w:before="0" w:beforeAutospacing="0" w:after="0" w:afterAutospacing="0" w:line="360" w:lineRule="auto"/>
        <w:ind w:firstLine="420"/>
        <w:jc w:val="right"/>
        <w:rPr>
          <w:sz w:val="21"/>
          <w:szCs w:val="21"/>
        </w:rPr>
      </w:pPr>
    </w:p>
    <w:p w14:paraId="085960E1">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附件一：《关于终止博时富恒纯债一年定期开放债券型发起式证券投资基金基金合同有关事项的议案》</w:t>
      </w:r>
    </w:p>
    <w:p w14:paraId="7E580F0D">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附件二：《博时富恒纯债一年定期开放债券型发起式证券投资基金基金份额持有人大会表决票》</w:t>
      </w:r>
    </w:p>
    <w:p w14:paraId="4A7080D3">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775264ED">
      <w:pPr>
        <w:adjustRightInd w:val="0"/>
        <w:snapToGrid w:val="0"/>
        <w:spacing w:line="360" w:lineRule="auto"/>
        <w:rPr>
          <w:rStyle w:val="10"/>
          <w:rFonts w:ascii="宋体" w:hAnsi="宋体" w:cs="宋体"/>
          <w:szCs w:val="21"/>
        </w:rPr>
      </w:pPr>
      <w:r>
        <w:rPr>
          <w:rStyle w:val="10"/>
          <w:rFonts w:hint="eastAsia" w:ascii="宋体" w:hAnsi="宋体" w:cs="宋体"/>
          <w:szCs w:val="21"/>
        </w:rPr>
        <w:t>附件四：《关于终止博时富恒纯债一年定期开放债券型发起式证券投资基金基金合同有关事项议案的说明》</w:t>
      </w:r>
    </w:p>
    <w:p w14:paraId="3ACC213E">
      <w:pPr>
        <w:rPr>
          <w:rStyle w:val="10"/>
          <w:rFonts w:ascii="宋体" w:hAnsi="宋体" w:cs="宋体"/>
          <w:szCs w:val="21"/>
        </w:rPr>
      </w:pPr>
      <w:r>
        <w:rPr>
          <w:rStyle w:val="10"/>
          <w:rFonts w:hint="eastAsia" w:ascii="宋体" w:hAnsi="宋体" w:cs="宋体"/>
          <w:szCs w:val="21"/>
        </w:rPr>
        <w:br w:type="page"/>
      </w:r>
    </w:p>
    <w:p w14:paraId="01227FC4">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4BC88798">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关于终止博时富恒纯债一年定期开放债券型发起式证券投资基金基金合同有关事项的议案</w:t>
      </w:r>
    </w:p>
    <w:p w14:paraId="28085637">
      <w:pPr>
        <w:adjustRightInd w:val="0"/>
        <w:snapToGrid w:val="0"/>
        <w:spacing w:line="360" w:lineRule="auto"/>
        <w:ind w:firstLine="480"/>
        <w:rPr>
          <w:rStyle w:val="10"/>
          <w:rFonts w:ascii="宋体" w:hAnsi="宋体" w:cs="宋体"/>
          <w:szCs w:val="21"/>
        </w:rPr>
      </w:pPr>
    </w:p>
    <w:p w14:paraId="1FDBF01F">
      <w:pPr>
        <w:adjustRightInd w:val="0"/>
        <w:snapToGrid w:val="0"/>
        <w:spacing w:line="360" w:lineRule="auto"/>
        <w:rPr>
          <w:i w:val="0"/>
          <w:iCs w:val="0"/>
          <w:sz w:val="21"/>
          <w:szCs w:val="21"/>
          <w:u w:val="none"/>
        </w:rPr>
      </w:pPr>
      <w:r>
        <w:rPr>
          <w:rFonts w:hint="eastAsia" w:ascii="宋体" w:hAnsi="宋体" w:cs="宋体"/>
          <w:color w:val="000000"/>
          <w:szCs w:val="21"/>
        </w:rPr>
        <w:t>博时富恒纯债一年定期开放债券型发起式证券投资基金</w:t>
      </w:r>
      <w:r>
        <w:rPr>
          <w:rStyle w:val="10"/>
          <w:rFonts w:hint="eastAsia" w:ascii="宋体" w:hAnsi="宋体" w:cs="宋体"/>
          <w:szCs w:val="21"/>
        </w:rPr>
        <w:t>基金份额持有人：</w:t>
      </w:r>
      <w:r>
        <w:rPr>
          <w:rStyle w:val="7"/>
          <w:rFonts w:hint="eastAsia"/>
          <w:i w:val="0"/>
          <w:iCs w:val="0"/>
          <w:sz w:val="21"/>
          <w:szCs w:val="21"/>
          <w:u w:val="none"/>
        </w:rPr>
        <w:t> </w:t>
      </w:r>
      <w:r>
        <w:rPr>
          <w:rFonts w:hint="eastAsia"/>
          <w:i w:val="0"/>
          <w:iCs w:val="0"/>
          <w:sz w:val="21"/>
          <w:szCs w:val="21"/>
          <w:u w:val="none"/>
        </w:rPr>
        <w:t xml:space="preserve">  </w:t>
      </w:r>
    </w:p>
    <w:p w14:paraId="0AE0E1E0">
      <w:pPr>
        <w:pStyle w:val="4"/>
        <w:spacing w:before="0" w:beforeAutospacing="0" w:after="0" w:afterAutospacing="0" w:line="360" w:lineRule="auto"/>
        <w:ind w:firstLine="420"/>
        <w:rPr>
          <w:i w:val="0"/>
          <w:iCs w:val="0"/>
          <w:sz w:val="21"/>
          <w:szCs w:val="21"/>
          <w:u w:val="none"/>
        </w:rPr>
      </w:pPr>
      <w:r>
        <w:rPr>
          <w:rStyle w:val="7"/>
          <w:rFonts w:hint="eastAsia"/>
          <w:i w:val="0"/>
          <w:iCs w:val="0"/>
          <w:sz w:val="21"/>
          <w:szCs w:val="21"/>
          <w:u w:val="none"/>
        </w:rPr>
        <w:t>根据市场环境变化，为保护基金份额持有人的利益，根据《中华人民共和国证券投资基金法》、《公开募集证券投资基金运作管理办法》和</w:t>
      </w:r>
      <w:r>
        <w:rPr>
          <w:rStyle w:val="7"/>
          <w:rFonts w:hint="eastAsia"/>
          <w:i w:val="0"/>
          <w:iCs w:val="0"/>
          <w:sz w:val="21"/>
          <w:szCs w:val="21"/>
          <w:u w:val="none"/>
        </w:rPr>
        <w:t>《</w:t>
      </w:r>
      <w:r>
        <w:rPr>
          <w:rFonts w:hint="eastAsia" w:ascii="宋体" w:hAnsi="宋体" w:cs="宋体"/>
          <w:color w:val="000000"/>
          <w:sz w:val="21"/>
          <w:szCs w:val="21"/>
        </w:rPr>
        <w:t>博时富恒纯债一年定期开放债券型发起式证券投资基金</w:t>
      </w:r>
      <w:r>
        <w:rPr>
          <w:rStyle w:val="7"/>
          <w:rFonts w:hint="eastAsia"/>
          <w:i w:val="0"/>
          <w:iCs w:val="0"/>
          <w:sz w:val="21"/>
          <w:szCs w:val="21"/>
          <w:u w:val="none"/>
        </w:rPr>
        <w:t>基金合同》</w:t>
      </w:r>
      <w:r>
        <w:rPr>
          <w:rStyle w:val="7"/>
          <w:rFonts w:hint="eastAsia"/>
          <w:i w:val="0"/>
          <w:iCs w:val="0"/>
          <w:sz w:val="21"/>
          <w:szCs w:val="21"/>
          <w:u w:val="none"/>
        </w:rPr>
        <w:t>（以下简称“《基金合同》”）的有关规定，本基金管理人经与基金托管人</w:t>
      </w:r>
      <w:r>
        <w:rPr>
          <w:rStyle w:val="7"/>
          <w:rFonts w:hint="eastAsia"/>
          <w:i w:val="0"/>
          <w:iCs w:val="0"/>
          <w:sz w:val="21"/>
          <w:szCs w:val="21"/>
          <w:u w:val="none"/>
          <w:lang w:val="en-US" w:eastAsia="zh-CN"/>
        </w:rPr>
        <w:t>兴业</w:t>
      </w:r>
      <w:r>
        <w:rPr>
          <w:rStyle w:val="7"/>
          <w:rFonts w:hint="eastAsia"/>
          <w:i w:val="0"/>
          <w:iCs w:val="0"/>
          <w:sz w:val="21"/>
          <w:szCs w:val="21"/>
          <w:u w:val="none"/>
        </w:rPr>
        <w:t>银行股份有限公司协商一致，提议终止《基金合同》。</w:t>
      </w:r>
      <w:r>
        <w:rPr>
          <w:rFonts w:hint="eastAsia"/>
          <w:i w:val="0"/>
          <w:iCs w:val="0"/>
          <w:sz w:val="21"/>
          <w:szCs w:val="21"/>
          <w:u w:val="none"/>
        </w:rPr>
        <w:t xml:space="preserve">  </w:t>
      </w:r>
    </w:p>
    <w:p w14:paraId="319E5D86">
      <w:pPr>
        <w:pStyle w:val="4"/>
        <w:spacing w:before="0" w:beforeAutospacing="0" w:after="0" w:afterAutospacing="0" w:line="360" w:lineRule="auto"/>
        <w:ind w:firstLine="420"/>
        <w:rPr>
          <w:i w:val="0"/>
          <w:iCs w:val="0"/>
          <w:sz w:val="21"/>
          <w:szCs w:val="21"/>
          <w:u w:val="none"/>
        </w:rPr>
      </w:pPr>
      <w:r>
        <w:rPr>
          <w:rStyle w:val="7"/>
          <w:rFonts w:hint="eastAsia"/>
          <w:i w:val="0"/>
          <w:iCs w:val="0"/>
          <w:sz w:val="21"/>
          <w:szCs w:val="21"/>
          <w:u w:val="none"/>
        </w:rPr>
        <w:t>为实施本基金终止《基金合同》的方案</w:t>
      </w:r>
      <w:bookmarkStart w:id="0" w:name="_GoBack"/>
      <w:bookmarkEnd w:id="0"/>
      <w:r>
        <w:rPr>
          <w:rStyle w:val="7"/>
          <w:rFonts w:hint="eastAsia"/>
          <w:i w:val="0"/>
          <w:iCs w:val="0"/>
          <w:sz w:val="21"/>
          <w:szCs w:val="21"/>
          <w:u w:val="none"/>
        </w:rPr>
        <w:t>，提议授权基金管理人办理本次终止《基金合同》的具体事宜，包括但不限于根据市场情况确定清算程序及《基金合同》终止的具体时间，并根据附件四《关于</w:t>
      </w:r>
      <w:r>
        <w:rPr>
          <w:rStyle w:val="7"/>
          <w:rFonts w:hint="eastAsia" w:asciiTheme="minorHAnsi" w:hAnsiTheme="minorHAnsi" w:eastAsiaTheme="minorEastAsia" w:cstheme="minorBidi"/>
          <w:i w:val="0"/>
          <w:iCs w:val="0"/>
          <w:sz w:val="21"/>
          <w:szCs w:val="21"/>
          <w:u w:val="none"/>
        </w:rPr>
        <w:t>终止博时富恒纯债一年定期开放债券型发起式证券投资基金基金</w:t>
      </w:r>
      <w:r>
        <w:rPr>
          <w:rStyle w:val="7"/>
          <w:rFonts w:hint="eastAsia"/>
          <w:i w:val="0"/>
          <w:iCs w:val="0"/>
          <w:sz w:val="21"/>
          <w:szCs w:val="21"/>
          <w:u w:val="none"/>
        </w:rPr>
        <w:t>合同有关事项议案的说明》对本基金实施清算并终止《基金合同》。</w:t>
      </w:r>
      <w:r>
        <w:rPr>
          <w:rFonts w:hint="eastAsia"/>
          <w:i w:val="0"/>
          <w:iCs w:val="0"/>
          <w:sz w:val="21"/>
          <w:szCs w:val="21"/>
          <w:u w:val="none"/>
        </w:rPr>
        <w:t xml:space="preserve">  </w:t>
      </w:r>
    </w:p>
    <w:p w14:paraId="02A1C976">
      <w:pPr>
        <w:pStyle w:val="4"/>
        <w:spacing w:before="0" w:beforeAutospacing="0" w:after="0" w:afterAutospacing="0" w:line="360" w:lineRule="auto"/>
        <w:ind w:firstLine="420"/>
        <w:rPr>
          <w:i w:val="0"/>
          <w:iCs w:val="0"/>
          <w:sz w:val="21"/>
          <w:szCs w:val="21"/>
          <w:u w:val="none"/>
        </w:rPr>
      </w:pPr>
      <w:r>
        <w:rPr>
          <w:rStyle w:val="7"/>
          <w:rFonts w:hint="eastAsia"/>
          <w:i w:val="0"/>
          <w:iCs w:val="0"/>
          <w:sz w:val="21"/>
          <w:szCs w:val="21"/>
          <w:u w:val="none"/>
        </w:rPr>
        <w:t>以上议案，请予审议。</w:t>
      </w:r>
      <w:r>
        <w:rPr>
          <w:rFonts w:hint="eastAsia"/>
          <w:i w:val="0"/>
          <w:iCs w:val="0"/>
          <w:sz w:val="21"/>
          <w:szCs w:val="21"/>
          <w:u w:val="none"/>
        </w:rPr>
        <w:t xml:space="preserve">  </w:t>
      </w:r>
    </w:p>
    <w:p w14:paraId="7E10B223">
      <w:pPr>
        <w:adjustRightInd w:val="0"/>
        <w:snapToGrid w:val="0"/>
        <w:spacing w:line="360" w:lineRule="auto"/>
        <w:rPr>
          <w:rFonts w:ascii="宋体" w:hAnsi="宋体" w:cs="宋体"/>
          <w:color w:val="000000"/>
          <w:szCs w:val="21"/>
        </w:rPr>
      </w:pPr>
    </w:p>
    <w:p w14:paraId="6E5C0939">
      <w:pPr>
        <w:adjustRightInd w:val="0"/>
        <w:snapToGrid w:val="0"/>
        <w:spacing w:line="360" w:lineRule="auto"/>
        <w:ind w:left="3220" w:firstLine="105" w:firstLineChars="50"/>
        <w:jc w:val="right"/>
        <w:rPr>
          <w:rFonts w:ascii="宋体" w:hAnsi="宋体" w:cs="宋体"/>
          <w:szCs w:val="21"/>
        </w:rPr>
      </w:pPr>
    </w:p>
    <w:p w14:paraId="48CC1574">
      <w:pPr>
        <w:adjustRightInd w:val="0"/>
        <w:snapToGrid w:val="0"/>
        <w:spacing w:line="360" w:lineRule="auto"/>
        <w:ind w:left="3220" w:firstLine="105" w:firstLineChars="50"/>
        <w:jc w:val="right"/>
        <w:rPr>
          <w:rFonts w:ascii="宋体" w:hAnsi="宋体" w:cs="宋体"/>
          <w:szCs w:val="21"/>
        </w:rPr>
      </w:pPr>
    </w:p>
    <w:p w14:paraId="466D8D8F">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0A689E26">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2026年5月12日</w:t>
      </w:r>
      <w:r>
        <w:rPr>
          <w:rStyle w:val="10"/>
          <w:rFonts w:hint="eastAsia" w:ascii="宋体" w:hAnsi="宋体" w:cs="宋体"/>
          <w:szCs w:val="21"/>
        </w:rPr>
        <w:br w:type="page"/>
      </w:r>
    </w:p>
    <w:p w14:paraId="0819DCBD">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49D8C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4CE80ECD">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博时富恒纯债一年定期开放债券型发起式证券投资基金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48AD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7C5176B8">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79356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0D5300F2">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3181CE74">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26A0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507EE26A">
            <w:pPr>
              <w:adjustRightInd w:val="0"/>
              <w:snapToGrid w:val="0"/>
              <w:spacing w:line="360" w:lineRule="auto"/>
              <w:rPr>
                <w:rFonts w:ascii="宋体" w:hAnsi="宋体" w:cs="宋体"/>
                <w:szCs w:val="21"/>
              </w:rPr>
            </w:pPr>
          </w:p>
        </w:tc>
        <w:tc>
          <w:tcPr>
            <w:tcW w:w="3975" w:type="dxa"/>
            <w:gridSpan w:val="3"/>
            <w:tcBorders>
              <w:bottom w:val="nil"/>
            </w:tcBorders>
          </w:tcPr>
          <w:p w14:paraId="0B26401A">
            <w:pPr>
              <w:adjustRightInd w:val="0"/>
              <w:snapToGrid w:val="0"/>
              <w:spacing w:line="360" w:lineRule="auto"/>
              <w:ind w:left="807"/>
              <w:rPr>
                <w:rFonts w:ascii="宋体" w:hAnsi="宋体" w:cs="宋体"/>
                <w:szCs w:val="21"/>
              </w:rPr>
            </w:pPr>
          </w:p>
        </w:tc>
      </w:tr>
      <w:tr w14:paraId="7A370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71DA5770">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484966AC">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6A149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34457865">
            <w:pPr>
              <w:adjustRightInd w:val="0"/>
              <w:snapToGrid w:val="0"/>
              <w:spacing w:line="360" w:lineRule="auto"/>
              <w:rPr>
                <w:rFonts w:ascii="宋体" w:hAnsi="宋体" w:cs="宋体"/>
                <w:szCs w:val="21"/>
              </w:rPr>
            </w:pPr>
          </w:p>
        </w:tc>
        <w:tc>
          <w:tcPr>
            <w:tcW w:w="3975" w:type="dxa"/>
            <w:gridSpan w:val="3"/>
            <w:tcBorders>
              <w:bottom w:val="nil"/>
            </w:tcBorders>
          </w:tcPr>
          <w:p w14:paraId="4D24D64B">
            <w:pPr>
              <w:adjustRightInd w:val="0"/>
              <w:snapToGrid w:val="0"/>
              <w:spacing w:line="360" w:lineRule="auto"/>
              <w:ind w:left="807"/>
              <w:rPr>
                <w:rFonts w:ascii="宋体" w:hAnsi="宋体" w:cs="宋体"/>
                <w:szCs w:val="21"/>
              </w:rPr>
            </w:pPr>
          </w:p>
        </w:tc>
      </w:tr>
      <w:tr w14:paraId="38277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78D9C9ED">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77AD1C5C">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0ED826CA">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71A27130">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32331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35CFD34F">
            <w:pPr>
              <w:pStyle w:val="4"/>
              <w:adjustRightInd w:val="0"/>
              <w:snapToGrid w:val="0"/>
              <w:spacing w:line="360" w:lineRule="auto"/>
              <w:jc w:val="both"/>
              <w:rPr>
                <w:sz w:val="21"/>
                <w:szCs w:val="21"/>
              </w:rPr>
            </w:pPr>
            <w:r>
              <w:rPr>
                <w:rFonts w:hint="eastAsia"/>
                <w:b/>
                <w:bCs/>
                <w:color w:val="000000"/>
                <w:sz w:val="21"/>
                <w:szCs w:val="21"/>
              </w:rPr>
              <w:t>《关于终止博时富恒纯债一年定期开放债券型发起式证券投资基金基金合同有关事项的议案》</w:t>
            </w:r>
          </w:p>
        </w:tc>
        <w:tc>
          <w:tcPr>
            <w:tcW w:w="1260" w:type="dxa"/>
          </w:tcPr>
          <w:p w14:paraId="172D4D08">
            <w:pPr>
              <w:adjustRightInd w:val="0"/>
              <w:snapToGrid w:val="0"/>
              <w:spacing w:line="360" w:lineRule="auto"/>
              <w:rPr>
                <w:rFonts w:ascii="宋体" w:hAnsi="宋体" w:cs="宋体"/>
                <w:szCs w:val="21"/>
              </w:rPr>
            </w:pPr>
          </w:p>
          <w:p w14:paraId="4ADC70AD">
            <w:pPr>
              <w:adjustRightInd w:val="0"/>
              <w:snapToGrid w:val="0"/>
              <w:spacing w:line="360" w:lineRule="auto"/>
              <w:rPr>
                <w:rFonts w:ascii="宋体" w:hAnsi="宋体" w:cs="宋体"/>
                <w:szCs w:val="21"/>
              </w:rPr>
            </w:pPr>
          </w:p>
        </w:tc>
        <w:tc>
          <w:tcPr>
            <w:tcW w:w="1260" w:type="dxa"/>
          </w:tcPr>
          <w:p w14:paraId="3AF202A4">
            <w:pPr>
              <w:adjustRightInd w:val="0"/>
              <w:snapToGrid w:val="0"/>
              <w:spacing w:line="360" w:lineRule="auto"/>
              <w:rPr>
                <w:rFonts w:ascii="宋体" w:hAnsi="宋体" w:cs="宋体"/>
                <w:szCs w:val="21"/>
              </w:rPr>
            </w:pPr>
          </w:p>
          <w:p w14:paraId="28C0FB75">
            <w:pPr>
              <w:adjustRightInd w:val="0"/>
              <w:snapToGrid w:val="0"/>
              <w:spacing w:line="360" w:lineRule="auto"/>
              <w:rPr>
                <w:rFonts w:ascii="宋体" w:hAnsi="宋体" w:cs="宋体"/>
                <w:szCs w:val="21"/>
              </w:rPr>
            </w:pPr>
          </w:p>
        </w:tc>
        <w:tc>
          <w:tcPr>
            <w:tcW w:w="1455" w:type="dxa"/>
          </w:tcPr>
          <w:p w14:paraId="7EB14DD5">
            <w:pPr>
              <w:adjustRightInd w:val="0"/>
              <w:snapToGrid w:val="0"/>
              <w:spacing w:line="360" w:lineRule="auto"/>
              <w:rPr>
                <w:rFonts w:ascii="宋体" w:hAnsi="宋体" w:cs="宋体"/>
                <w:szCs w:val="21"/>
              </w:rPr>
            </w:pPr>
          </w:p>
          <w:p w14:paraId="7F9ADB85">
            <w:pPr>
              <w:adjustRightInd w:val="0"/>
              <w:snapToGrid w:val="0"/>
              <w:spacing w:line="360" w:lineRule="auto"/>
              <w:rPr>
                <w:rFonts w:ascii="宋体" w:hAnsi="宋体" w:cs="宋体"/>
                <w:szCs w:val="21"/>
              </w:rPr>
            </w:pPr>
          </w:p>
        </w:tc>
      </w:tr>
      <w:tr w14:paraId="7443D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7A142992">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67081D55">
            <w:pPr>
              <w:adjustRightInd w:val="0"/>
              <w:snapToGrid w:val="0"/>
              <w:spacing w:line="360" w:lineRule="auto"/>
              <w:rPr>
                <w:rFonts w:ascii="宋体" w:hAnsi="宋体" w:cs="宋体"/>
                <w:szCs w:val="21"/>
              </w:rPr>
            </w:pPr>
          </w:p>
          <w:p w14:paraId="54B7679B">
            <w:pPr>
              <w:adjustRightInd w:val="0"/>
              <w:snapToGrid w:val="0"/>
              <w:spacing w:line="360" w:lineRule="auto"/>
              <w:rPr>
                <w:rFonts w:ascii="宋体" w:hAnsi="宋体" w:cs="宋体"/>
                <w:szCs w:val="21"/>
              </w:rPr>
            </w:pPr>
          </w:p>
          <w:p w14:paraId="2C8CAF4E">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0955B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52ABAC50">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0C474166">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3C0E7331">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18854FCB">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097AA2F0">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1A3FC395">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47F39D2B">
      <w:pPr>
        <w:adjustRightInd w:val="0"/>
        <w:snapToGrid w:val="0"/>
        <w:spacing w:line="360" w:lineRule="auto"/>
        <w:ind w:firstLine="480"/>
        <w:rPr>
          <w:rFonts w:ascii="宋体" w:hAnsi="宋体" w:cs="宋体"/>
        </w:rPr>
      </w:pPr>
    </w:p>
    <w:p w14:paraId="72114770">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博时富恒纯债一年定期开放债券型发起式证券投资基金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博时富恒纯债一年定期开放债券型发起式证券投资基金</w:t>
      </w:r>
      <w:r>
        <w:rPr>
          <w:rFonts w:hint="eastAsia" w:ascii="宋体" w:hAnsi="宋体" w:cs="宋体"/>
          <w:szCs w:val="21"/>
        </w:rPr>
        <w:t>二次召集审议相同议案的基金份额持有人大会的，除有新的授权外，本授权继续有效。</w:t>
      </w:r>
    </w:p>
    <w:p w14:paraId="6C82D0DC">
      <w:pPr>
        <w:adjustRightInd w:val="0"/>
        <w:snapToGrid w:val="0"/>
        <w:spacing w:line="360" w:lineRule="auto"/>
        <w:ind w:firstLine="480"/>
        <w:rPr>
          <w:rFonts w:ascii="宋体" w:hAnsi="宋体" w:cs="宋体"/>
          <w:szCs w:val="21"/>
        </w:rPr>
      </w:pPr>
    </w:p>
    <w:p w14:paraId="6C191B72">
      <w:pPr>
        <w:adjustRightInd w:val="0"/>
        <w:snapToGrid w:val="0"/>
        <w:spacing w:line="360" w:lineRule="auto"/>
        <w:ind w:firstLine="480"/>
        <w:rPr>
          <w:rFonts w:ascii="宋体" w:hAnsi="宋体" w:cs="宋体"/>
          <w:szCs w:val="21"/>
        </w:rPr>
      </w:pPr>
    </w:p>
    <w:p w14:paraId="0A54936E">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2DCD3AA3">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572AD314">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2B3AA33F">
      <w:pPr>
        <w:adjustRightInd w:val="0"/>
        <w:snapToGrid w:val="0"/>
        <w:spacing w:line="360" w:lineRule="auto"/>
        <w:rPr>
          <w:rFonts w:ascii="宋体" w:hAnsi="宋体" w:cs="宋体"/>
          <w:szCs w:val="21"/>
        </w:rPr>
      </w:pPr>
    </w:p>
    <w:p w14:paraId="7C7B49D6">
      <w:pPr>
        <w:adjustRightInd w:val="0"/>
        <w:snapToGrid w:val="0"/>
        <w:spacing w:line="360" w:lineRule="auto"/>
        <w:ind w:firstLine="5040"/>
        <w:rPr>
          <w:rFonts w:ascii="宋体" w:hAnsi="宋体" w:cs="宋体"/>
          <w:szCs w:val="21"/>
        </w:rPr>
      </w:pPr>
    </w:p>
    <w:p w14:paraId="5A1EF4B6">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5F812D8B">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3928B514">
      <w:pPr>
        <w:adjustRightInd w:val="0"/>
        <w:snapToGrid w:val="0"/>
        <w:spacing w:line="360" w:lineRule="auto"/>
        <w:ind w:firstLine="5040"/>
        <w:rPr>
          <w:rFonts w:ascii="宋体" w:hAnsi="宋体" w:cs="宋体"/>
          <w:szCs w:val="21"/>
        </w:rPr>
      </w:pPr>
    </w:p>
    <w:p w14:paraId="3707B68D">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61F1CCAE">
      <w:pPr>
        <w:adjustRightInd w:val="0"/>
        <w:snapToGrid w:val="0"/>
        <w:spacing w:line="360" w:lineRule="auto"/>
        <w:jc w:val="center"/>
        <w:rPr>
          <w:rFonts w:ascii="宋体" w:hAnsi="宋体" w:cs="宋体"/>
          <w:szCs w:val="21"/>
        </w:rPr>
      </w:pPr>
    </w:p>
    <w:p w14:paraId="4A108782">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73DD78BF">
      <w:pPr>
        <w:adjustRightInd w:val="0"/>
        <w:snapToGrid w:val="0"/>
        <w:spacing w:line="360" w:lineRule="auto"/>
        <w:rPr>
          <w:rFonts w:ascii="宋体" w:hAnsi="宋体" w:cs="宋体"/>
          <w:szCs w:val="21"/>
        </w:rPr>
      </w:pPr>
    </w:p>
    <w:p w14:paraId="44B3A599">
      <w:pPr>
        <w:adjustRightInd w:val="0"/>
        <w:snapToGrid w:val="0"/>
        <w:spacing w:line="360" w:lineRule="auto"/>
        <w:rPr>
          <w:rFonts w:ascii="宋体" w:hAnsi="宋体" w:cs="宋体"/>
          <w:szCs w:val="21"/>
        </w:rPr>
      </w:pPr>
    </w:p>
    <w:p w14:paraId="3C6E68C3">
      <w:pPr>
        <w:adjustRightInd w:val="0"/>
        <w:snapToGrid w:val="0"/>
        <w:spacing w:line="360" w:lineRule="auto"/>
        <w:rPr>
          <w:rFonts w:ascii="宋体" w:hAnsi="宋体" w:cs="宋体"/>
          <w:szCs w:val="21"/>
        </w:rPr>
      </w:pPr>
      <w:r>
        <w:rPr>
          <w:rFonts w:hint="eastAsia" w:ascii="宋体" w:hAnsi="宋体" w:cs="宋体"/>
          <w:szCs w:val="21"/>
        </w:rPr>
        <w:t>附注：</w:t>
      </w:r>
    </w:p>
    <w:p w14:paraId="28E650DE">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03BE3302">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0750FAC2">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3A4700B0">
      <w:pPr>
        <w:rPr>
          <w:rFonts w:ascii="宋体" w:hAnsi="宋体" w:cs="宋体"/>
          <w:color w:val="000000"/>
          <w:szCs w:val="21"/>
        </w:rPr>
      </w:pPr>
      <w:r>
        <w:rPr>
          <w:rFonts w:hint="eastAsia" w:ascii="宋体" w:hAnsi="宋体" w:cs="宋体"/>
          <w:color w:val="000000"/>
          <w:szCs w:val="21"/>
        </w:rPr>
        <w:br w:type="page"/>
      </w:r>
    </w:p>
    <w:p w14:paraId="0F751BC6">
      <w:pPr>
        <w:rPr>
          <w:rFonts w:ascii="宋体" w:hAnsi="宋体" w:cs="宋体"/>
          <w:color w:val="000000"/>
          <w:szCs w:val="21"/>
        </w:rPr>
      </w:pPr>
      <w:r>
        <w:rPr>
          <w:rFonts w:hint="eastAsia" w:ascii="宋体" w:hAnsi="宋体" w:cs="宋体"/>
          <w:color w:val="000000"/>
          <w:szCs w:val="21"/>
        </w:rPr>
        <w:t>附件四：</w:t>
      </w:r>
    </w:p>
    <w:p w14:paraId="761A46F0">
      <w:pPr>
        <w:jc w:val="center"/>
        <w:rPr>
          <w:rFonts w:hint="eastAsia" w:ascii="宋体" w:hAnsi="宋体" w:cs="宋体"/>
          <w:b/>
          <w:bCs/>
          <w:color w:val="000000"/>
          <w:szCs w:val="21"/>
        </w:rPr>
      </w:pPr>
      <w:r>
        <w:rPr>
          <w:rFonts w:hint="eastAsia" w:ascii="宋体" w:hAnsi="宋体" w:cs="宋体"/>
          <w:b/>
          <w:bCs/>
          <w:color w:val="000000"/>
          <w:szCs w:val="21"/>
        </w:rPr>
        <w:t>关于终止博时富恒纯债一年定期开放债券型发起式证券投资基金基金合同有关事项</w:t>
      </w:r>
    </w:p>
    <w:p w14:paraId="493B43AB">
      <w:pPr>
        <w:jc w:val="center"/>
        <w:rPr>
          <w:rFonts w:ascii="宋体" w:hAnsi="宋体" w:cs="宋体"/>
          <w:b/>
          <w:bCs/>
          <w:color w:val="000000"/>
          <w:szCs w:val="21"/>
        </w:rPr>
      </w:pPr>
      <w:r>
        <w:rPr>
          <w:rFonts w:hint="eastAsia" w:ascii="宋体" w:hAnsi="宋体" w:cs="宋体"/>
          <w:b/>
          <w:bCs/>
          <w:color w:val="000000"/>
          <w:szCs w:val="21"/>
        </w:rPr>
        <w:t>议案的说明</w:t>
      </w:r>
    </w:p>
    <w:p w14:paraId="6703B3BC">
      <w:pPr>
        <w:rPr>
          <w:rFonts w:ascii="宋体" w:hAnsi="宋体" w:cs="宋体"/>
          <w:color w:val="000000"/>
          <w:szCs w:val="21"/>
        </w:rPr>
      </w:pPr>
    </w:p>
    <w:p w14:paraId="7C1E32BF">
      <w:pPr>
        <w:pStyle w:val="4"/>
        <w:spacing w:before="0" w:beforeAutospacing="0" w:after="0" w:afterAutospacing="0" w:line="360" w:lineRule="auto"/>
        <w:ind w:firstLine="0"/>
        <w:rPr>
          <w:i w:val="0"/>
          <w:iCs w:val="0"/>
          <w:sz w:val="21"/>
          <w:szCs w:val="21"/>
          <w:u w:val="none"/>
        </w:rPr>
      </w:pPr>
      <w:r>
        <w:rPr>
          <w:rFonts w:hint="eastAsia"/>
          <w:i w:val="0"/>
          <w:iCs w:val="0"/>
          <w:sz w:val="21"/>
          <w:szCs w:val="21"/>
          <w:u w:val="none"/>
        </w:rPr>
        <w:t xml:space="preserve"> </w:t>
      </w:r>
    </w:p>
    <w:p w14:paraId="02C34C17">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根据市场环境变化，为保护基金份额持有人利益，基金管理人依据《中华人民共和国证券投资基金法》、《公开募集证券投资基金运作管理办法》和《</w:t>
      </w:r>
      <w:r>
        <w:rPr>
          <w:rFonts w:hint="eastAsia"/>
          <w:i w:val="0"/>
          <w:iCs w:val="0"/>
          <w:sz w:val="21"/>
          <w:szCs w:val="21"/>
          <w:u w:val="none"/>
          <w:lang w:eastAsia="zh-CN"/>
        </w:rPr>
        <w:t>博时富恒纯债一年定期开放债券型发起式证券投资基金</w:t>
      </w:r>
      <w:r>
        <w:rPr>
          <w:rFonts w:hint="eastAsia"/>
          <w:i w:val="0"/>
          <w:iCs w:val="0"/>
          <w:sz w:val="21"/>
          <w:szCs w:val="21"/>
          <w:u w:val="none"/>
        </w:rPr>
        <w:t xml:space="preserve">基金合同》（以下简称“《基金合同》”）的有关规定，提议终止《基金合同》，具体方案如下：  </w:t>
      </w:r>
    </w:p>
    <w:p w14:paraId="0F4F27CA">
      <w:pPr>
        <w:pStyle w:val="4"/>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一、方案要点</w:t>
      </w:r>
      <w:r>
        <w:rPr>
          <w:rFonts w:hint="eastAsia"/>
          <w:i w:val="0"/>
          <w:iCs w:val="0"/>
          <w:sz w:val="21"/>
          <w:szCs w:val="21"/>
          <w:u w:val="none"/>
        </w:rPr>
        <w:t xml:space="preserve">  </w:t>
      </w:r>
    </w:p>
    <w:p w14:paraId="4F0E5213">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1、持有人大会决议生效并公告前的基金运作 </w:t>
      </w:r>
    </w:p>
    <w:p w14:paraId="4C75ACE0">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在通过《关于终止</w:t>
      </w:r>
      <w:r>
        <w:rPr>
          <w:rFonts w:hint="eastAsia"/>
          <w:i w:val="0"/>
          <w:iCs w:val="0"/>
          <w:sz w:val="21"/>
          <w:szCs w:val="21"/>
          <w:u w:val="none"/>
          <w:lang w:eastAsia="zh-CN"/>
        </w:rPr>
        <w:t>博时富恒纯债一年定期开放债券型发起式证券投资基金</w:t>
      </w:r>
      <w:r>
        <w:rPr>
          <w:rFonts w:hint="eastAsia"/>
          <w:i w:val="0"/>
          <w:iCs w:val="0"/>
          <w:sz w:val="21"/>
          <w:szCs w:val="21"/>
          <w:u w:val="none"/>
        </w:rPr>
        <w:t xml:space="preserve">基金合同有关事项的议案》的持有人大会决议生效并公告前，本基金仍按照《基金合同》约定的运作方式进行运作。 </w:t>
      </w:r>
    </w:p>
    <w:p w14:paraId="5ED44477">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2、基金财产清算 </w:t>
      </w:r>
    </w:p>
    <w:p w14:paraId="1064D250">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（1）通过《关于终止</w:t>
      </w:r>
      <w:r>
        <w:rPr>
          <w:rFonts w:hint="eastAsia"/>
          <w:i w:val="0"/>
          <w:iCs w:val="0"/>
          <w:sz w:val="21"/>
          <w:szCs w:val="21"/>
          <w:u w:val="none"/>
          <w:lang w:eastAsia="zh-CN"/>
        </w:rPr>
        <w:t>博时富恒纯债一年定期开放债券型发起式证券投资基金</w:t>
      </w:r>
      <w:r>
        <w:rPr>
          <w:rFonts w:hint="eastAsia"/>
          <w:i w:val="0"/>
          <w:iCs w:val="0"/>
          <w:sz w:val="21"/>
          <w:szCs w:val="21"/>
          <w:u w:val="none"/>
        </w:rPr>
        <w:t xml:space="preserve">基金合同有关事项的议案》的持有人大会决议自本次基金份额持有人大会表决通过之日起生效。基金管理人将自决议生效之日起2日内在规定媒介上公告。  </w:t>
      </w:r>
    </w:p>
    <w:p w14:paraId="518E6ECA">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本基金采用定期开放的运作方式，为了更好地保护投资者的合法权益，满足投资者需求，基金份额持有人授权基金管理人自基金份额持有人大会决议生效后的第一个工作日起安排选择期供投资者赎回或转换转出，但期间不办理投资者的申购或转换转入业务，选择期的具体安排以基金管理人届时发布的相关业务公告为准。  </w:t>
      </w:r>
    </w:p>
    <w:p w14:paraId="223E581E">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在选择期内，基金份额持有人同意豁免本基金《基金合同》中关于封闭期和开放期、基金投资组合比例限制等相关规定。选择期内基金份额的赎回费率按照《</w:t>
      </w:r>
      <w:r>
        <w:rPr>
          <w:rFonts w:hint="eastAsia"/>
          <w:i w:val="0"/>
          <w:iCs w:val="0"/>
          <w:sz w:val="21"/>
          <w:szCs w:val="21"/>
          <w:u w:val="none"/>
          <w:lang w:eastAsia="zh-CN"/>
        </w:rPr>
        <w:t>博时富恒纯债一年定期开放债券型发起式证券投资基金</w:t>
      </w:r>
      <w:r>
        <w:rPr>
          <w:rFonts w:hint="eastAsia"/>
          <w:i w:val="0"/>
          <w:iCs w:val="0"/>
          <w:sz w:val="21"/>
          <w:szCs w:val="21"/>
          <w:u w:val="none"/>
        </w:rPr>
        <w:t xml:space="preserve">招募说明书》的约定执行。 </w:t>
      </w:r>
    </w:p>
    <w:p w14:paraId="20D16201">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（3）在选择期结束日15:00后，基金管理人办理当日登记在册的所有基金份额对应的未付累计收益的结转。  </w:t>
      </w:r>
    </w:p>
    <w:p w14:paraId="23819E85">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（4）选择期结束日的下一日起，本基金即进入清算程序，基金管理人不再接受持有人提出的份额申购、赎回、基金转换等申请。本基金进入清算程序后，停止收取基金管理费、基金托管费。  </w:t>
      </w:r>
    </w:p>
    <w:p w14:paraId="2F066CB5">
      <w:pPr>
        <w:spacing w:line="360" w:lineRule="auto"/>
        <w:ind w:firstLine="420" w:firstLineChars="200"/>
        <w:rPr>
          <w:rFonts w:hint="eastAsia" w:ascii="宋体" w:hAnsi="宋体" w:eastAsia="宋体" w:cs="宋体"/>
          <w:i w:val="0"/>
          <w:iCs w:val="0"/>
          <w:kern w:val="0"/>
          <w:sz w:val="21"/>
          <w:szCs w:val="21"/>
          <w:u w:val="none"/>
        </w:rPr>
      </w:pPr>
      <w:r>
        <w:rPr>
          <w:rFonts w:hint="eastAsia" w:ascii="宋体" w:hAnsi="宋体" w:eastAsia="宋体" w:cs="宋体"/>
          <w:i w:val="0"/>
          <w:iCs w:val="0"/>
          <w:kern w:val="0"/>
          <w:sz w:val="21"/>
          <w:szCs w:val="21"/>
          <w:u w:val="none"/>
          <w:lang w:val="en-US" w:eastAsia="zh-CN" w:bidi="ar-SA"/>
        </w:rPr>
        <w:t xml:space="preserve">（5）基金管理人组织基金财产清算小组并在中国证监会的监督下进行基金清算。基金财产清算小组成员由基金管理人、基金托管人、符合《证券法》规定的注册会计师、律师以及中国证监会指定的人员组成。基金财产清算小组可以聘用必要的工作人员。  </w:t>
      </w:r>
    </w:p>
    <w:p w14:paraId="22E2A1B2">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（6）基金财产清算程序：  </w:t>
      </w:r>
    </w:p>
    <w:p w14:paraId="44DC9831">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1）《基金合同》终止情形出现时，由基金财产清算小组统一接管基金；</w:t>
      </w:r>
    </w:p>
    <w:p w14:paraId="085382B8">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2）对基金财产和债权债务进行清理和确认；</w:t>
      </w:r>
    </w:p>
    <w:p w14:paraId="67C6D79B">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3）对基金财产进行估值和变现；</w:t>
      </w:r>
    </w:p>
    <w:p w14:paraId="5450B243">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4）制作清算报告；</w:t>
      </w:r>
    </w:p>
    <w:p w14:paraId="3926E3D4">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5）聘请会计师事务所对清算报告进行外部审计，聘请律师事务所对清算报告出具法律意见书；</w:t>
      </w:r>
    </w:p>
    <w:p w14:paraId="1A7D3BE4">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6）将清算报告报中国证监会备案并公告；</w:t>
      </w:r>
    </w:p>
    <w:p w14:paraId="2823B598">
      <w:pPr>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7）对基金剩余财产进行分配。</w:t>
      </w:r>
    </w:p>
    <w:p w14:paraId="44FA6FF5">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7）基金财产清算的期限为6个月，但因本基金所持证券的流动性受到限制而不能及时变现的，清算期限可相应顺延。根据中国证券登记结算有限责任公司的规定，清算备付金账户内的资金按市场规则每月调整，交易保证金账户内的资金按市场规则每月调整，因此清算备付金账户内的资金、利息以及交易保证金账户内的资金及利息需等中国证券登记结算有限责任公司退款后（备付金退款时间约为合同结束后2个月，保证金退款时间约为合同结束后7个月）方可清算。该笔清算资金在扣除相关费用后划往指定账户。  </w:t>
      </w:r>
    </w:p>
    <w:p w14:paraId="5617BC73">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（8）清算费用  </w:t>
      </w:r>
    </w:p>
    <w:p w14:paraId="6E8C3745">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清算费用是指基金财产清算小组在进行基金清算过程中发生的所有合理费用，清算费用由基金财产清算小组优先从基金剩余财产中支付。 </w:t>
      </w:r>
    </w:p>
    <w:p w14:paraId="770BA7FC">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（9）基金财产清算剩余资产的分配  </w:t>
      </w:r>
    </w:p>
    <w:p w14:paraId="276C95E9">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依据基金财产清算的分配方案，将基金财产清算后的全部剩余资产扣除基金财产清算费用、交纳所欠税款并清偿基金债务后，按基金份额持有人持有的基金份额比例进行分配。 </w:t>
      </w:r>
    </w:p>
    <w:p w14:paraId="5BAEDC8B">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3、基金财产清算完毕，清算结果报中国证监会备案并予以公告后，《基金合同》终止。 </w:t>
      </w:r>
    </w:p>
    <w:p w14:paraId="7EE055F0">
      <w:pPr>
        <w:pStyle w:val="4"/>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二、终止《基金合同》的可行性</w:t>
      </w:r>
      <w:r>
        <w:rPr>
          <w:rFonts w:hint="eastAsia"/>
          <w:i w:val="0"/>
          <w:iCs w:val="0"/>
          <w:sz w:val="21"/>
          <w:szCs w:val="21"/>
          <w:u w:val="none"/>
        </w:rPr>
        <w:t xml:space="preserve">  </w:t>
      </w:r>
    </w:p>
    <w:p w14:paraId="412CCA38">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1、法律方面 </w:t>
      </w:r>
    </w:p>
    <w:p w14:paraId="37F8D7AE">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根据《公开募集证券投资基金运作管理办法》规定，终止《基金合同》需召开基金份额持有人大会；有效表决票所代表的基金份额占权益登记日基金总份额的二分之一以上（含二分之一）时，会议方可有效召开；本次基金份额持有人大会决议属于特别决议，在会议有效召开前提下，经参加大会的基金份额持有人或其代理人所持表决权的三分之二以上（含三分之二）通过后，决议即可生效。 </w:t>
      </w:r>
    </w:p>
    <w:p w14:paraId="74671FE6">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因此，终止《基金合同》不存在法律方面的障碍。 </w:t>
      </w:r>
    </w:p>
    <w:p w14:paraId="6FCAF486">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2、技术运作方面 </w:t>
      </w:r>
    </w:p>
    <w:p w14:paraId="42B44CE2">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选择期结束日的下一日起，本基金即进入清算程序。本基金将根据《基金合同》中有关基金财产清算的规定，成立基金财产清算小组。基金财产清算小组成员由基金管理人、基金托管人、具有从事证券、期货相关业务资格的注册会计师、律师以及中国证监会指定的人员组成。基金财产清算小组可以聘用必要的工作人员。本基金的基金管理人、基金托管人已就财产清算的有关事项进行了充分准备，技术可行。清算报告将由符合《中华人民共和国证券法》规定的会计师事务所进行外部审计，律师事务所出具法律意见书，报中国证监会备案并公告。  </w:t>
      </w:r>
    </w:p>
    <w:p w14:paraId="08BF6EE1">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因此，终止《基金合同》不存在技术方面的障碍。 </w:t>
      </w:r>
    </w:p>
    <w:p w14:paraId="0E045F0A">
      <w:pPr>
        <w:pStyle w:val="4"/>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三、终止《基金合同》的主要风险及预备措施</w:t>
      </w:r>
      <w:r>
        <w:rPr>
          <w:rFonts w:hint="eastAsia"/>
          <w:i w:val="0"/>
          <w:iCs w:val="0"/>
          <w:sz w:val="21"/>
          <w:szCs w:val="21"/>
          <w:u w:val="none"/>
        </w:rPr>
        <w:t xml:space="preserve">  </w:t>
      </w:r>
    </w:p>
    <w:p w14:paraId="04AE35C4">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1、议案被基金份额持有人大会否决的风险 </w:t>
      </w:r>
    </w:p>
    <w:p w14:paraId="37D5BD4B">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在提议终止《基金合同》并设计具体方案之前，基金管理人已对基金份额持有人进行了走访，认真听取了相关意见，拟定议案综合考虑了基金份额持有人的要求。议案公告后，基金管理人还将再次征询基金份额持有人的意见。如有必要，基金管理人将根据基金份额持有人意见，对《基金合同》终止的方案和程序进行适当的修订，并重新公告。基金管理人可在必要情况下，预留出足够的时间，以做二次召开或推迟基金份额持有人大会的召开的充分准备。 </w:t>
      </w:r>
    </w:p>
    <w:p w14:paraId="07A735F2">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如果议案未获得基金份额持有人大会通过，基金管理人将根据《基金合同》的约定，重新向基金份额持有人大会提交终止《基金合同》的议案。 </w:t>
      </w:r>
    </w:p>
    <w:p w14:paraId="6AD1B55D">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2、持有人集中赎回基金份额的流动性风险 </w:t>
      </w:r>
    </w:p>
    <w:p w14:paraId="48798291">
      <w:pPr>
        <w:pStyle w:val="4"/>
        <w:spacing w:before="0" w:beforeAutospacing="0" w:after="0" w:afterAutospacing="0" w:line="360" w:lineRule="auto"/>
        <w:ind w:firstLine="420"/>
        <w:jc w:val="left"/>
        <w:rPr>
          <w:i w:val="0"/>
          <w:iCs w:val="0"/>
          <w:sz w:val="21"/>
          <w:szCs w:val="21"/>
          <w:u w:val="none"/>
        </w:rPr>
      </w:pPr>
      <w:r>
        <w:rPr>
          <w:rFonts w:hint="eastAsia"/>
          <w:i w:val="0"/>
          <w:iCs w:val="0"/>
          <w:sz w:val="21"/>
          <w:szCs w:val="21"/>
          <w:u w:val="none"/>
        </w:rPr>
        <w:t>在本基金关于以通讯方式召开基金份额持有人大会的事项及《关于终止</w:t>
      </w:r>
      <w:r>
        <w:rPr>
          <w:rFonts w:hint="eastAsia"/>
          <w:i w:val="0"/>
          <w:iCs w:val="0"/>
          <w:sz w:val="21"/>
          <w:szCs w:val="21"/>
          <w:u w:val="none"/>
          <w:lang w:eastAsia="zh-CN"/>
        </w:rPr>
        <w:t>博时富恒纯债一年定期开放债券型发起式证券投资基金</w:t>
      </w:r>
      <w:r>
        <w:rPr>
          <w:rFonts w:hint="eastAsia"/>
          <w:i w:val="0"/>
          <w:iCs w:val="0"/>
          <w:sz w:val="21"/>
          <w:szCs w:val="21"/>
          <w:u w:val="none"/>
        </w:rPr>
        <w:t xml:space="preserve">基金合同有关事项的议案》公告后，部分基金份额持有人可能选择提前赎回其持有的基金份额。基金管理人会提前做好流动性安排，对资产进行变现以应对可能的赎回。 </w:t>
      </w:r>
    </w:p>
    <w:p w14:paraId="6A079377">
      <w:pPr>
        <w:rPr>
          <w:rFonts w:ascii="宋体" w:hAnsi="宋体" w:cs="宋体"/>
          <w:color w:val="000000"/>
          <w:szCs w:val="21"/>
        </w:rPr>
      </w:pPr>
    </w:p>
    <w:p w14:paraId="3DCF30DE">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703"/>
    <w:rsid w:val="00723703"/>
    <w:rsid w:val="00780694"/>
    <w:rsid w:val="1F96404A"/>
    <w:rsid w:val="417B3ACC"/>
    <w:rsid w:val="6E1258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13</Pages>
  <Words>1069</Words>
  <Characters>6097</Characters>
  <Lines>50</Lines>
  <Paragraphs>14</Paragraphs>
  <TotalTime>0</TotalTime>
  <ScaleCrop>false</ScaleCrop>
  <LinksUpToDate>false</LinksUpToDate>
  <CharactersWithSpaces>7152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2026-05-08T02:34:00Z</dcterms:created>
  <dc:creator>BSKMadminDev</dc:creator>
  <cp:lastModifiedBy>fuxj</cp:lastModifiedBy>
  <dcterms:modified xsi:type="dcterms:W3CDTF">2026-05-11T07:57:09Z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207726AF443C47F4B7E82E1245DD0174_12</vt:lpwstr>
  </property>
</Properties>
</file>