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F3AE62">
      <w:pPr>
        <w:widowControl/>
        <w:jc w:val="left"/>
        <w:rPr>
          <w:rFonts w:ascii="宋体" w:hAnsi="宋体" w:eastAsia="宋体"/>
          <w:sz w:val="30"/>
        </w:rPr>
      </w:pPr>
    </w:p>
    <w:p w14:paraId="506ED2B1">
      <w:pPr>
        <w:widowControl/>
        <w:jc w:val="left"/>
        <w:rPr>
          <w:rFonts w:ascii="宋体" w:hAnsi="宋体" w:eastAsia="宋体"/>
          <w:sz w:val="30"/>
        </w:rPr>
      </w:pPr>
    </w:p>
    <w:p w14:paraId="7DEB7BD5">
      <w:pPr>
        <w:widowControl/>
        <w:jc w:val="left"/>
        <w:rPr>
          <w:rFonts w:ascii="宋体" w:hAnsi="宋体" w:eastAsia="宋体"/>
          <w:sz w:val="30"/>
        </w:rPr>
      </w:pPr>
    </w:p>
    <w:p w14:paraId="7EE96734">
      <w:pPr>
        <w:widowControl/>
        <w:jc w:val="left"/>
        <w:rPr>
          <w:rFonts w:ascii="宋体" w:hAnsi="宋体" w:eastAsia="宋体"/>
          <w:sz w:val="30"/>
        </w:rPr>
      </w:pPr>
    </w:p>
    <w:p w14:paraId="1617A6ED">
      <w:pPr>
        <w:widowControl/>
        <w:spacing w:line="800" w:lineRule="exact"/>
        <w:jc w:val="center"/>
        <w:rPr>
          <w:rFonts w:ascii="宋体" w:hAnsi="宋体" w:eastAsia="宋体"/>
          <w:b/>
          <w:sz w:val="52"/>
        </w:rPr>
      </w:pPr>
      <w:r>
        <w:rPr>
          <w:rFonts w:hint="eastAsia" w:ascii="宋体" w:hAnsi="宋体" w:eastAsia="宋体"/>
          <w:b/>
          <w:sz w:val="52"/>
        </w:rPr>
        <w:t>博时中证半导体产业交易型开放式指数证券投资基金</w:t>
      </w:r>
    </w:p>
    <w:p w14:paraId="37DBCED6">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39A7631C">
      <w:pPr>
        <w:widowControl/>
        <w:spacing w:line="800" w:lineRule="exact"/>
        <w:jc w:val="center"/>
        <w:rPr>
          <w:rFonts w:ascii="宋体" w:hAnsi="宋体" w:eastAsia="宋体"/>
          <w:b/>
          <w:sz w:val="52"/>
        </w:rPr>
      </w:pPr>
    </w:p>
    <w:p w14:paraId="6D416E1E">
      <w:pPr>
        <w:widowControl/>
        <w:spacing w:line="800" w:lineRule="exact"/>
        <w:jc w:val="center"/>
        <w:rPr>
          <w:rFonts w:ascii="宋体" w:hAnsi="宋体" w:eastAsia="宋体"/>
          <w:b/>
          <w:sz w:val="52"/>
        </w:rPr>
      </w:pPr>
    </w:p>
    <w:p w14:paraId="5803F030">
      <w:pPr>
        <w:widowControl/>
        <w:spacing w:line="800" w:lineRule="exact"/>
        <w:jc w:val="center"/>
        <w:rPr>
          <w:rFonts w:ascii="宋体" w:hAnsi="宋体" w:eastAsia="宋体"/>
          <w:b/>
          <w:sz w:val="52"/>
        </w:rPr>
      </w:pPr>
    </w:p>
    <w:p w14:paraId="29D4F330">
      <w:pPr>
        <w:widowControl/>
        <w:spacing w:line="800" w:lineRule="exact"/>
        <w:jc w:val="center"/>
        <w:rPr>
          <w:rFonts w:ascii="宋体" w:hAnsi="宋体" w:eastAsia="宋体"/>
          <w:b/>
          <w:sz w:val="52"/>
        </w:rPr>
      </w:pPr>
    </w:p>
    <w:p w14:paraId="016D0029">
      <w:pPr>
        <w:widowControl/>
        <w:spacing w:line="800" w:lineRule="exact"/>
        <w:jc w:val="center"/>
        <w:rPr>
          <w:rFonts w:ascii="宋体" w:hAnsi="宋体" w:eastAsia="宋体"/>
          <w:b/>
          <w:sz w:val="52"/>
        </w:rPr>
      </w:pPr>
    </w:p>
    <w:p w14:paraId="3A30D60E">
      <w:pPr>
        <w:widowControl/>
        <w:spacing w:line="800" w:lineRule="exact"/>
        <w:jc w:val="center"/>
        <w:rPr>
          <w:rFonts w:ascii="宋体" w:hAnsi="宋体" w:eastAsia="宋体"/>
          <w:b/>
          <w:sz w:val="52"/>
        </w:rPr>
      </w:pPr>
    </w:p>
    <w:p w14:paraId="270CAB59">
      <w:pPr>
        <w:widowControl/>
        <w:spacing w:line="800" w:lineRule="exact"/>
        <w:jc w:val="center"/>
        <w:rPr>
          <w:rFonts w:ascii="宋体" w:hAnsi="宋体" w:eastAsia="宋体"/>
          <w:b/>
          <w:sz w:val="52"/>
        </w:rPr>
      </w:pPr>
    </w:p>
    <w:p w14:paraId="345EC40D">
      <w:pPr>
        <w:widowControl/>
        <w:spacing w:line="800" w:lineRule="exact"/>
        <w:jc w:val="center"/>
        <w:rPr>
          <w:rFonts w:ascii="宋体" w:hAnsi="宋体" w:eastAsia="宋体"/>
          <w:b/>
          <w:sz w:val="52"/>
        </w:rPr>
      </w:pPr>
    </w:p>
    <w:p w14:paraId="0847A326">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1B9B428C">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中信证券股份有限公司</w:t>
      </w:r>
      <w:r>
        <w:rPr>
          <w:rFonts w:ascii="宋体" w:hAnsi="宋体" w:eastAsia="宋体"/>
          <w:b/>
          <w:sz w:val="30"/>
        </w:rPr>
        <w:br w:type="page"/>
      </w:r>
    </w:p>
    <w:p w14:paraId="6C3F10A1">
      <w:pPr>
        <w:pStyle w:val="2"/>
        <w:jc w:val="center"/>
        <w:rPr>
          <w:rFonts w:ascii="宋体" w:hAnsi="宋体" w:eastAsia="宋体"/>
          <w:sz w:val="30"/>
        </w:rPr>
      </w:pPr>
      <w:bookmarkStart w:id="0" w:name="_Toc207950923"/>
      <w:r>
        <w:rPr>
          <w:rFonts w:hint="eastAsia" w:ascii="宋体" w:hAnsi="宋体" w:eastAsia="宋体"/>
          <w:sz w:val="30"/>
        </w:rPr>
        <w:t>【重要提示】</w:t>
      </w:r>
      <w:bookmarkEnd w:id="0"/>
    </w:p>
    <w:p w14:paraId="696DBF7B">
      <w:pPr>
        <w:pStyle w:val="7"/>
        <w:spacing w:before="0" w:beforeAutospacing="0" w:after="0" w:afterAutospacing="0" w:line="360" w:lineRule="auto"/>
        <w:ind w:firstLine="420"/>
        <w:rPr>
          <w:sz w:val="21"/>
          <w:szCs w:val="21"/>
        </w:rPr>
      </w:pPr>
      <w:r>
        <w:rPr>
          <w:rFonts w:hint="eastAsia"/>
          <w:sz w:val="21"/>
          <w:szCs w:val="21"/>
        </w:rPr>
        <w:t>1、</w:t>
      </w:r>
      <w:bookmarkStart w:id="1" w:name="field_0_productfullname_1"/>
      <w:r>
        <w:rPr>
          <w:rFonts w:hint="eastAsia"/>
          <w:sz w:val="21"/>
          <w:szCs w:val="21"/>
        </w:rPr>
        <w:t>博时中证半导体产业交易型开放式指数证券投资基金</w:t>
      </w:r>
      <w:bookmarkEnd w:id="1"/>
      <w:r>
        <w:rPr>
          <w:rFonts w:hint="eastAsia"/>
          <w:sz w:val="21"/>
          <w:szCs w:val="21"/>
        </w:rPr>
        <w:t>根据2024年1月2日中国证券监督管理委员会《关于准予</w:t>
      </w:r>
      <w:bookmarkStart w:id="2" w:name="field_0_productfullname_2"/>
      <w:r>
        <w:rPr>
          <w:rFonts w:hint="eastAsia"/>
          <w:sz w:val="21"/>
          <w:szCs w:val="21"/>
        </w:rPr>
        <w:t>博时中证半导体产业交易型开放式指数证券投资基金</w:t>
      </w:r>
      <w:bookmarkEnd w:id="2"/>
      <w:r>
        <w:rPr>
          <w:rFonts w:hint="eastAsia"/>
          <w:sz w:val="21"/>
          <w:szCs w:val="21"/>
        </w:rPr>
        <w:t>注册的批复》（证监许可[2024]6号）准予注册，进行募集。</w:t>
      </w:r>
    </w:p>
    <w:p w14:paraId="2F9CA818">
      <w:pPr>
        <w:pStyle w:val="7"/>
        <w:spacing w:before="0" w:beforeAutospacing="0" w:after="0" w:afterAutospacing="0" w:line="360" w:lineRule="auto"/>
        <w:ind w:firstLine="420"/>
        <w:rPr>
          <w:sz w:val="21"/>
          <w:szCs w:val="21"/>
        </w:rPr>
      </w:pPr>
      <w:r>
        <w:rPr>
          <w:rFonts w:hint="eastAsia"/>
          <w:sz w:val="21"/>
          <w:szCs w:val="21"/>
        </w:rPr>
        <w:t>2、本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14:paraId="2CF99A0B">
      <w:pPr>
        <w:pStyle w:val="7"/>
        <w:spacing w:before="0" w:beforeAutospacing="0" w:after="0" w:afterAutospacing="0" w:line="360" w:lineRule="auto"/>
        <w:ind w:firstLine="420"/>
        <w:rPr>
          <w:sz w:val="21"/>
          <w:szCs w:val="21"/>
        </w:rPr>
      </w:pPr>
      <w:r>
        <w:rPr>
          <w:rFonts w:hint="eastAsia"/>
          <w:sz w:val="21"/>
          <w:szCs w:val="21"/>
        </w:rPr>
        <w:t>3、本基金的标的指数为中证半导体产业指数，编制方案如下：</w:t>
      </w:r>
    </w:p>
    <w:p w14:paraId="3FE57B0F">
      <w:pPr>
        <w:pStyle w:val="7"/>
        <w:spacing w:before="0" w:beforeAutospacing="0" w:after="0" w:afterAutospacing="0" w:line="360" w:lineRule="auto"/>
        <w:ind w:firstLine="420"/>
        <w:rPr>
          <w:sz w:val="21"/>
          <w:szCs w:val="21"/>
        </w:rPr>
      </w:pPr>
      <w:r>
        <w:rPr>
          <w:rFonts w:hint="eastAsia"/>
          <w:sz w:val="21"/>
          <w:szCs w:val="21"/>
        </w:rPr>
        <w:t>（1）样本空间</w:t>
      </w:r>
    </w:p>
    <w:p w14:paraId="019DB942">
      <w:pPr>
        <w:pStyle w:val="7"/>
        <w:spacing w:before="0" w:beforeAutospacing="0" w:after="0" w:afterAutospacing="0" w:line="360" w:lineRule="auto"/>
        <w:ind w:firstLine="420"/>
        <w:rPr>
          <w:sz w:val="21"/>
          <w:szCs w:val="21"/>
        </w:rPr>
      </w:pPr>
      <w:r>
        <w:rPr>
          <w:rFonts w:hint="eastAsia"/>
          <w:sz w:val="21"/>
          <w:szCs w:val="21"/>
        </w:rPr>
        <w:t>同中证全指指数的样本空间</w:t>
      </w:r>
    </w:p>
    <w:p w14:paraId="5A8FCF8D">
      <w:pPr>
        <w:pStyle w:val="7"/>
        <w:spacing w:before="0" w:beforeAutospacing="0" w:after="0" w:afterAutospacing="0" w:line="360" w:lineRule="auto"/>
        <w:ind w:firstLine="420"/>
        <w:rPr>
          <w:sz w:val="21"/>
          <w:szCs w:val="21"/>
        </w:rPr>
      </w:pPr>
      <w:r>
        <w:rPr>
          <w:rFonts w:hint="eastAsia"/>
          <w:sz w:val="21"/>
          <w:szCs w:val="21"/>
        </w:rPr>
        <w:t>（2）可投资性筛选 </w:t>
      </w:r>
    </w:p>
    <w:p w14:paraId="7765ADF4">
      <w:pPr>
        <w:pStyle w:val="7"/>
        <w:spacing w:before="0" w:beforeAutospacing="0" w:after="0" w:afterAutospacing="0" w:line="360" w:lineRule="auto"/>
        <w:ind w:firstLine="420"/>
        <w:rPr>
          <w:sz w:val="21"/>
          <w:szCs w:val="21"/>
        </w:rPr>
      </w:pPr>
      <w:r>
        <w:rPr>
          <w:rFonts w:hint="eastAsia"/>
          <w:sz w:val="21"/>
          <w:szCs w:val="21"/>
        </w:rPr>
        <w:t>过去一年日均成交金额排名位于样本空间前80%。</w:t>
      </w:r>
    </w:p>
    <w:p w14:paraId="74205F83">
      <w:pPr>
        <w:pStyle w:val="7"/>
        <w:spacing w:before="0" w:beforeAutospacing="0" w:after="0" w:afterAutospacing="0" w:line="360" w:lineRule="auto"/>
        <w:ind w:firstLine="420"/>
        <w:rPr>
          <w:sz w:val="21"/>
          <w:szCs w:val="21"/>
        </w:rPr>
      </w:pPr>
      <w:r>
        <w:rPr>
          <w:rFonts w:hint="eastAsia"/>
          <w:sz w:val="21"/>
          <w:szCs w:val="21"/>
        </w:rPr>
        <w:t>（3）选样方法</w:t>
      </w:r>
    </w:p>
    <w:p w14:paraId="2F396E03">
      <w:pPr>
        <w:pStyle w:val="7"/>
        <w:spacing w:before="0" w:beforeAutospacing="0" w:after="0" w:afterAutospacing="0" w:line="360" w:lineRule="auto"/>
        <w:ind w:firstLine="420"/>
        <w:rPr>
          <w:sz w:val="21"/>
          <w:szCs w:val="21"/>
        </w:rPr>
      </w:pPr>
      <w:r>
        <w:rPr>
          <w:rFonts w:hint="eastAsia"/>
          <w:sz w:val="21"/>
          <w:szCs w:val="21"/>
        </w:rPr>
        <w:t>1）对于样本空间内符合可投资性筛选条件的证券，选取业务涉及半导体材料、半导体设备以及半导体应用的上市公司证券作为待选样本；</w:t>
      </w:r>
    </w:p>
    <w:p w14:paraId="63228830">
      <w:pPr>
        <w:pStyle w:val="7"/>
        <w:spacing w:before="0" w:beforeAutospacing="0" w:after="0" w:afterAutospacing="0" w:line="360" w:lineRule="auto"/>
        <w:ind w:firstLine="420"/>
        <w:rPr>
          <w:sz w:val="21"/>
          <w:szCs w:val="21"/>
        </w:rPr>
      </w:pPr>
      <w:r>
        <w:rPr>
          <w:rFonts w:hint="eastAsia"/>
          <w:sz w:val="21"/>
          <w:szCs w:val="21"/>
        </w:rPr>
        <w:t>2）在上述待选样本中，按照过去一年日均总市值由高到低排名，首先从半导体材料和设备类证券中选取排名前40的证券作为指数样本；若不足40只，则从半导体应用类证券中依次补充，使得样本数量达到40只。</w:t>
      </w:r>
    </w:p>
    <w:p w14:paraId="30ED344C">
      <w:pPr>
        <w:pStyle w:val="7"/>
        <w:spacing w:before="0" w:beforeAutospacing="0" w:after="0" w:afterAutospacing="0" w:line="360" w:lineRule="auto"/>
        <w:ind w:firstLine="420"/>
        <w:rPr>
          <w:sz w:val="21"/>
          <w:szCs w:val="21"/>
        </w:rPr>
      </w:pPr>
      <w:r>
        <w:rPr>
          <w:rFonts w:hint="eastAsia"/>
          <w:sz w:val="21"/>
          <w:szCs w:val="21"/>
        </w:rPr>
        <w:t>（4）指数计算</w:t>
      </w:r>
    </w:p>
    <w:p w14:paraId="45B6F177">
      <w:pPr>
        <w:pStyle w:val="7"/>
        <w:spacing w:before="0" w:beforeAutospacing="0" w:after="0" w:afterAutospacing="0" w:line="360" w:lineRule="auto"/>
        <w:ind w:firstLine="420"/>
        <w:rPr>
          <w:sz w:val="21"/>
          <w:szCs w:val="21"/>
        </w:rPr>
      </w:pPr>
      <w:r>
        <w:rPr>
          <w:rFonts w:hint="eastAsia"/>
          <w:sz w:val="21"/>
          <w:szCs w:val="21"/>
        </w:rPr>
        <w:t>指数计算公式为：报告期指数=报告期样本的调整市值/除数×1000 </w:t>
      </w:r>
    </w:p>
    <w:p w14:paraId="2D8A81FA">
      <w:pPr>
        <w:pStyle w:val="7"/>
        <w:spacing w:before="0" w:beforeAutospacing="0" w:after="0" w:afterAutospacing="0" w:line="360" w:lineRule="auto"/>
        <w:ind w:firstLine="420"/>
        <w:rPr>
          <w:sz w:val="21"/>
          <w:szCs w:val="21"/>
        </w:rPr>
      </w:pPr>
      <w:r>
        <w:rPr>
          <w:rFonts w:hint="eastAsia"/>
          <w:sz w:val="21"/>
          <w:szCs w:val="21"/>
        </w:rPr>
        <w:t>其中，调整市值＝∑(证券价格×调整股本数×权重因子)。调整股本数的计算方法、除数修正方法参见计算与维护细则。权重因子介于0和1之间，以使样本采用系数调整后自由流通市值加权，且单个样本权重不超过15%，半导体材料和设备类样本合计权重不低于75%。系数调整后自由流通市值计算方法如下：</w:t>
      </w:r>
    </w:p>
    <w:p w14:paraId="6E623DEA">
      <w:pPr>
        <w:pStyle w:val="7"/>
        <w:spacing w:before="0" w:beforeAutospacing="0" w:after="0" w:afterAutospacing="0" w:line="360" w:lineRule="auto"/>
        <w:ind w:firstLine="420"/>
        <w:rPr>
          <w:sz w:val="21"/>
          <w:szCs w:val="21"/>
        </w:rPr>
      </w:pPr>
      <w:r>
        <w:rPr>
          <w:rFonts w:hint="eastAsia"/>
          <w:sz w:val="21"/>
          <w:szCs w:val="21"/>
        </w:rPr>
        <w:t>根据过去一年日均总市值、营业收入TTM同比增长率、过去三年毛利率均值和研发支出占比四项指标的综合排名分为三档，依次设置1、0.5、0.25的调整系数，将调整系数与自由流通市值相乘即得到系数调整后自由流通市值。</w:t>
      </w:r>
    </w:p>
    <w:p w14:paraId="57010241">
      <w:pPr>
        <w:pStyle w:val="7"/>
        <w:spacing w:before="0" w:beforeAutospacing="0" w:after="0" w:afterAutospacing="0" w:line="360" w:lineRule="auto"/>
        <w:ind w:firstLine="420"/>
        <w:rPr>
          <w:sz w:val="21"/>
          <w:szCs w:val="21"/>
        </w:rPr>
      </w:pPr>
      <w:r>
        <w:rPr>
          <w:rFonts w:hint="eastAsia"/>
          <w:sz w:val="21"/>
          <w:szCs w:val="21"/>
        </w:rPr>
        <w:t>有关标的指数具体编制方案及成份股信息详见中证指数有限公司网站，网址：http://www.csindex.com.cn/。</w:t>
      </w:r>
    </w:p>
    <w:p w14:paraId="5F37A30B">
      <w:pPr>
        <w:pStyle w:val="7"/>
        <w:spacing w:before="0" w:beforeAutospacing="0" w:after="0" w:afterAutospacing="0" w:line="360" w:lineRule="auto"/>
        <w:ind w:firstLine="420"/>
        <w:rPr>
          <w:sz w:val="21"/>
          <w:szCs w:val="21"/>
        </w:rPr>
      </w:pPr>
      <w:r>
        <w:rPr>
          <w:rFonts w:hint="eastAsia"/>
          <w:sz w:val="21"/>
          <w:szCs w:val="21"/>
        </w:rPr>
        <w:t>4、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中证半导体产业指数，其风险收益特征与标的指数所表征的市场组合的风险收益特征相似。本基金如果投资港股通标的股票，需承担汇率风险以及境外市场的风险。</w:t>
      </w:r>
    </w:p>
    <w:p w14:paraId="75FFE7A1">
      <w:pPr>
        <w:pStyle w:val="7"/>
        <w:spacing w:before="0" w:beforeAutospacing="0" w:after="0" w:afterAutospacing="0" w:line="360" w:lineRule="auto"/>
        <w:ind w:firstLine="420"/>
        <w:rPr>
          <w:sz w:val="21"/>
          <w:szCs w:val="21"/>
        </w:rPr>
      </w:pPr>
      <w:r>
        <w:rPr>
          <w:rFonts w:hint="eastAsia"/>
          <w:sz w:val="21"/>
          <w:szCs w:val="21"/>
        </w:rPr>
        <w:t>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w:t>
      </w:r>
    </w:p>
    <w:p w14:paraId="6F824CDF">
      <w:pPr>
        <w:pStyle w:val="7"/>
        <w:spacing w:before="0" w:beforeAutospacing="0" w:after="0" w:afterAutospacing="0" w:line="360" w:lineRule="auto"/>
        <w:ind w:firstLine="420"/>
        <w:rPr>
          <w:sz w:val="21"/>
          <w:szCs w:val="21"/>
        </w:rPr>
      </w:pPr>
      <w:r>
        <w:rPr>
          <w:rFonts w:hint="eastAsia"/>
          <w:sz w:val="21"/>
          <w:szCs w:val="21"/>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其他风险等。特有风险包括：标的指数回报与股票市场平均回报偏离的风险、标的指数波动的风险、基金投资组合回报与标的指数回报偏离的风险、流动性风险、标的指数变更的风险、指数编制机构停止服务的风险、跟踪误差控制未达约定目标的风险、成份股停牌的风险、成份股退市的风险、基金份额二级市场交易价格折溢价的风险、基金份额参考净值决策和基金份额参考净值计算错误的风险、退市风险、投资人申购失败的风险、投资人赎回失败的风险、上海证券交易所上市的成份股可以现金替代方式的风险、赎回对价的变现风险、第三方机构服务的风险、股指期货、国债期货和股票期权的投资风险、资产支持证券（ABS）的风险、融资业务的主要风险、转融通证券出借的主要风险、港股通机制下港股投资风险、投资于存托凭证的风险、自动清算的风险等，详见本招募说明书“风险揭示”章节。</w:t>
      </w:r>
    </w:p>
    <w:p w14:paraId="4EB3FE5F">
      <w:pPr>
        <w:pStyle w:val="7"/>
        <w:spacing w:before="0" w:beforeAutospacing="0" w:after="0" w:afterAutospacing="0" w:line="360" w:lineRule="auto"/>
        <w:ind w:firstLine="420"/>
        <w:rPr>
          <w:sz w:val="21"/>
          <w:szCs w:val="21"/>
        </w:rPr>
      </w:pPr>
      <w:r>
        <w:rPr>
          <w:rFonts w:hint="eastAsia"/>
          <w:sz w:val="21"/>
          <w:szCs w:val="21"/>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港股通标的股票），因此本基金可能会选择将部分基金资产投资于港股通标的股票，但基金资产并非必然投资港股通标的股票。</w:t>
      </w:r>
    </w:p>
    <w:p w14:paraId="4CE9DE0D">
      <w:pPr>
        <w:pStyle w:val="7"/>
        <w:spacing w:before="0" w:beforeAutospacing="0" w:after="0" w:afterAutospacing="0" w:line="360" w:lineRule="auto"/>
        <w:ind w:firstLine="420"/>
        <w:rPr>
          <w:sz w:val="21"/>
          <w:szCs w:val="21"/>
        </w:rPr>
      </w:pPr>
      <w:r>
        <w:rPr>
          <w:rFonts w:hint="eastAsia"/>
          <w:sz w:val="21"/>
          <w:szCs w:val="21"/>
        </w:rPr>
        <w:t>本基金资产若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14:paraId="47941411">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0C57D72E">
      <w:pPr>
        <w:pStyle w:val="7"/>
        <w:spacing w:before="0" w:beforeAutospacing="0" w:after="0" w:afterAutospacing="0" w:line="360" w:lineRule="auto"/>
        <w:ind w:firstLine="420"/>
        <w:rPr>
          <w:sz w:val="21"/>
          <w:szCs w:val="21"/>
        </w:rPr>
      </w:pPr>
      <w:r>
        <w:rPr>
          <w:rFonts w:hint="eastAsia"/>
          <w:sz w:val="21"/>
          <w:szCs w:val="21"/>
        </w:rPr>
        <w:t>5、基金合同生效后，连续50个工作日出现基金份额持有人数量不满二百人或者基金资产净值低于五千万元情形的，本基金将根据基金合同的约定进行基金财产清算并终止，且无需召开基金份额持有人大会。因此本基金有面临自动清算的风险。</w:t>
      </w:r>
    </w:p>
    <w:p w14:paraId="777C939D">
      <w:pPr>
        <w:pStyle w:val="7"/>
        <w:spacing w:before="0" w:beforeAutospacing="0" w:after="0" w:afterAutospacing="0" w:line="360" w:lineRule="auto"/>
        <w:ind w:firstLine="420"/>
        <w:rPr>
          <w:sz w:val="21"/>
          <w:szCs w:val="21"/>
        </w:rPr>
      </w:pPr>
      <w:r>
        <w:rPr>
          <w:rFonts w:hint="eastAsia"/>
          <w:sz w:val="21"/>
          <w:szCs w:val="21"/>
        </w:rPr>
        <w:t>6、投资有风险，投资者认购（或申购）基金时应仔细阅读本基金的招募说明书、基金合同及基金产品资料概要，了解本基金的风险收益特征，并根据自身的投资目的、投资期限、投资经验、资产状况等判断基金是否和投资人的风险承受能力相适应。</w:t>
      </w:r>
    </w:p>
    <w:p w14:paraId="5C1B40D4">
      <w:pPr>
        <w:pStyle w:val="7"/>
        <w:spacing w:before="0" w:beforeAutospacing="0" w:after="0" w:afterAutospacing="0" w:line="360" w:lineRule="auto"/>
        <w:ind w:firstLine="420"/>
        <w:rPr>
          <w:sz w:val="21"/>
          <w:szCs w:val="21"/>
        </w:rPr>
      </w:pPr>
      <w:r>
        <w:rPr>
          <w:rFonts w:hint="eastAsia"/>
          <w:sz w:val="21"/>
          <w:szCs w:val="21"/>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w:t>
      </w:r>
    </w:p>
    <w:p w14:paraId="405E2EA8">
      <w:pPr>
        <w:pStyle w:val="7"/>
        <w:spacing w:before="0" w:beforeAutospacing="0" w:after="0" w:afterAutospacing="0" w:line="360" w:lineRule="auto"/>
        <w:ind w:firstLine="420"/>
        <w:rPr>
          <w:sz w:val="21"/>
          <w:szCs w:val="21"/>
        </w:rPr>
      </w:pPr>
      <w:r>
        <w:rPr>
          <w:rFonts w:hint="eastAsia"/>
          <w:sz w:val="21"/>
          <w:szCs w:val="21"/>
        </w:rPr>
        <w:t>投资人应当通过申购、赎回代理券商办理基金申购、赎回业务，申购、赎回代理券商名单详见本基金《招募说明书》以及相关公告。</w:t>
      </w:r>
    </w:p>
    <w:p w14:paraId="666F2560">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3"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13</w:t>
      </w:r>
      <w:r>
        <w:rPr>
          <w:sz w:val="21"/>
          <w:szCs w:val="21"/>
        </w:rPr>
        <w:t>日</w:t>
      </w:r>
      <w:bookmarkEnd w:id="3"/>
      <w:r>
        <w:rPr>
          <w:rFonts w:hint="eastAsia"/>
          <w:sz w:val="21"/>
          <w:szCs w:val="21"/>
        </w:rPr>
        <w:t>，有关财务数据和净值表现截止日为</w:t>
      </w:r>
      <w:bookmarkStart w:id="4" w:name="field_2343_financeendday_1"/>
      <w:r>
        <w:rPr>
          <w:sz w:val="21"/>
          <w:szCs w:val="21"/>
        </w:rPr>
        <w:t>2025年6月30日</w:t>
      </w:r>
      <w:bookmarkEnd w:id="4"/>
      <w:r>
        <w:rPr>
          <w:rFonts w:hint="eastAsia"/>
          <w:sz w:val="21"/>
          <w:szCs w:val="21"/>
        </w:rPr>
        <w:t xml:space="preserve">（财务数据未经审计）。 </w:t>
      </w:r>
      <w:r>
        <w:rPr>
          <w:sz w:val="30"/>
        </w:rPr>
        <w:br w:type="page"/>
      </w:r>
    </w:p>
    <w:p w14:paraId="0E5A0E69">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5C7416C1">
      <w:pPr>
        <w:pStyle w:val="6"/>
        <w:tabs>
          <w:tab w:val="right" w:leader="dot" w:pos="8290"/>
        </w:tabs>
        <w:spacing w:line="360" w:lineRule="auto"/>
        <w:rPr>
          <w:rFonts w:ascii="宋体" w:hAnsi="宋体" w:eastAsia="宋体"/>
        </w:rPr>
      </w:pPr>
      <w:r>
        <w:fldChar w:fldCharType="begin"/>
      </w:r>
      <w:r>
        <w:instrText xml:space="preserve"> HYPERLINK \l "_Toc207950923"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75548E44">
      <w:pPr>
        <w:pStyle w:val="6"/>
        <w:tabs>
          <w:tab w:val="right" w:leader="dot" w:pos="8290"/>
        </w:tabs>
        <w:spacing w:line="360" w:lineRule="auto"/>
        <w:rPr>
          <w:rFonts w:ascii="宋体" w:hAnsi="宋体" w:eastAsia="宋体"/>
        </w:rPr>
      </w:pPr>
      <w:r>
        <w:fldChar w:fldCharType="begin"/>
      </w:r>
      <w:r>
        <w:instrText xml:space="preserve"> HYPERLINK \l "_Toc207950924"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_Toc207950924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70CC6C59">
      <w:pPr>
        <w:pStyle w:val="6"/>
        <w:tabs>
          <w:tab w:val="right" w:leader="dot" w:pos="8290"/>
        </w:tabs>
        <w:spacing w:line="360" w:lineRule="auto"/>
        <w:rPr>
          <w:rFonts w:ascii="宋体" w:hAnsi="宋体" w:eastAsia="宋体"/>
        </w:rPr>
      </w:pPr>
      <w:r>
        <w:fldChar w:fldCharType="begin"/>
      </w:r>
      <w:r>
        <w:instrText xml:space="preserve"> HYPERLINK \l "_Toc207950925"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_Toc207950925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32E23DEC">
      <w:pPr>
        <w:pStyle w:val="6"/>
        <w:tabs>
          <w:tab w:val="right" w:leader="dot" w:pos="8290"/>
        </w:tabs>
        <w:spacing w:line="360" w:lineRule="auto"/>
        <w:rPr>
          <w:rFonts w:ascii="宋体" w:hAnsi="宋体" w:eastAsia="宋体"/>
        </w:rPr>
      </w:pPr>
      <w:r>
        <w:fldChar w:fldCharType="begin"/>
      </w:r>
      <w:r>
        <w:instrText xml:space="preserve"> HYPERLINK \l "_Toc207950926"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_Toc207950926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14:paraId="0C55BE67">
      <w:pPr>
        <w:pStyle w:val="6"/>
        <w:tabs>
          <w:tab w:val="right" w:leader="dot" w:pos="8290"/>
        </w:tabs>
        <w:spacing w:line="360" w:lineRule="auto"/>
        <w:rPr>
          <w:rFonts w:ascii="宋体" w:hAnsi="宋体" w:eastAsia="宋体"/>
        </w:rPr>
      </w:pPr>
      <w:r>
        <w:fldChar w:fldCharType="begin"/>
      </w:r>
      <w:r>
        <w:instrText xml:space="preserve"> HYPERLINK \l "_Toc207950927"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_Toc207950927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290D83AA">
      <w:pPr>
        <w:pStyle w:val="6"/>
        <w:tabs>
          <w:tab w:val="right" w:leader="dot" w:pos="8290"/>
        </w:tabs>
        <w:spacing w:line="360" w:lineRule="auto"/>
        <w:rPr>
          <w:rFonts w:ascii="宋体" w:hAnsi="宋体" w:eastAsia="宋体"/>
        </w:rPr>
      </w:pPr>
      <w:r>
        <w:fldChar w:fldCharType="begin"/>
      </w:r>
      <w:r>
        <w:instrText xml:space="preserve"> HYPERLINK \l "_Toc207950928"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_Toc207950928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14:paraId="6F7C3CC2">
      <w:pPr>
        <w:pStyle w:val="6"/>
        <w:tabs>
          <w:tab w:val="right" w:leader="dot" w:pos="8290"/>
        </w:tabs>
        <w:spacing w:line="360" w:lineRule="auto"/>
        <w:rPr>
          <w:rFonts w:ascii="宋体" w:hAnsi="宋体" w:eastAsia="宋体"/>
        </w:rPr>
      </w:pPr>
      <w:r>
        <w:fldChar w:fldCharType="begin"/>
      </w:r>
      <w:r>
        <w:instrText xml:space="preserve"> HYPERLINK \l "_Toc207950929"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_Toc207950929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14:paraId="15532226">
      <w:pPr>
        <w:pStyle w:val="6"/>
        <w:tabs>
          <w:tab w:val="right" w:leader="dot" w:pos="8290"/>
        </w:tabs>
        <w:spacing w:line="360" w:lineRule="auto"/>
        <w:rPr>
          <w:rFonts w:ascii="宋体" w:hAnsi="宋体" w:eastAsia="宋体"/>
        </w:rPr>
      </w:pPr>
      <w:r>
        <w:fldChar w:fldCharType="begin"/>
      </w:r>
      <w:r>
        <w:instrText xml:space="preserve"> HYPERLINK \l "_Toc207950930"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基金的份额折算与变更登记</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_Toc207950930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14:paraId="43142FD9">
      <w:pPr>
        <w:pStyle w:val="6"/>
        <w:tabs>
          <w:tab w:val="right" w:leader="dot" w:pos="8290"/>
        </w:tabs>
        <w:spacing w:line="360" w:lineRule="auto"/>
        <w:rPr>
          <w:rFonts w:ascii="宋体" w:hAnsi="宋体" w:eastAsia="宋体"/>
        </w:rPr>
      </w:pPr>
      <w:r>
        <w:fldChar w:fldCharType="begin"/>
      </w:r>
      <w:r>
        <w:instrText xml:space="preserve"> HYPERLINK \l "_Toc207950931"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基金份额的上市交易</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_Toc207950931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14:paraId="64425268">
      <w:pPr>
        <w:pStyle w:val="6"/>
        <w:tabs>
          <w:tab w:val="right" w:leader="dot" w:pos="8290"/>
        </w:tabs>
        <w:spacing w:line="360" w:lineRule="auto"/>
        <w:rPr>
          <w:rFonts w:ascii="宋体" w:hAnsi="宋体" w:eastAsia="宋体"/>
        </w:rPr>
      </w:pPr>
      <w:r>
        <w:fldChar w:fldCharType="begin"/>
      </w:r>
      <w:r>
        <w:instrText xml:space="preserve"> HYPERLINK \l "_Toc207950932"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_Toc207950932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3AA6974E">
      <w:pPr>
        <w:pStyle w:val="6"/>
        <w:tabs>
          <w:tab w:val="right" w:leader="dot" w:pos="8290"/>
        </w:tabs>
        <w:spacing w:line="360" w:lineRule="auto"/>
        <w:rPr>
          <w:rFonts w:ascii="宋体" w:hAnsi="宋体" w:eastAsia="宋体"/>
        </w:rPr>
      </w:pPr>
      <w:r>
        <w:fldChar w:fldCharType="begin"/>
      </w:r>
      <w:r>
        <w:instrText xml:space="preserve"> HYPERLINK \l "_Toc207950933"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_Toc207950933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14:paraId="6297B8A9">
      <w:pPr>
        <w:pStyle w:val="6"/>
        <w:tabs>
          <w:tab w:val="right" w:leader="dot" w:pos="8290"/>
        </w:tabs>
        <w:spacing w:line="360" w:lineRule="auto"/>
        <w:rPr>
          <w:rFonts w:ascii="宋体" w:hAnsi="宋体" w:eastAsia="宋体"/>
        </w:rPr>
      </w:pPr>
      <w:r>
        <w:fldChar w:fldCharType="begin"/>
      </w:r>
      <w:r>
        <w:instrText xml:space="preserve"> HYPERLINK \l "_Toc207950934"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_Toc207950934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14:paraId="0F618144">
      <w:pPr>
        <w:pStyle w:val="6"/>
        <w:tabs>
          <w:tab w:val="right" w:leader="dot" w:pos="8290"/>
        </w:tabs>
        <w:spacing w:line="360" w:lineRule="auto"/>
        <w:rPr>
          <w:rFonts w:ascii="宋体" w:hAnsi="宋体" w:eastAsia="宋体"/>
        </w:rPr>
      </w:pPr>
      <w:r>
        <w:fldChar w:fldCharType="begin"/>
      </w:r>
      <w:r>
        <w:instrText xml:space="preserve"> HYPERLINK \l "_Toc207950935"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_Toc207950935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4CE75FC9">
      <w:pPr>
        <w:pStyle w:val="6"/>
        <w:tabs>
          <w:tab w:val="right" w:leader="dot" w:pos="8290"/>
        </w:tabs>
        <w:spacing w:line="360" w:lineRule="auto"/>
        <w:rPr>
          <w:rFonts w:ascii="宋体" w:hAnsi="宋体" w:eastAsia="宋体"/>
        </w:rPr>
      </w:pPr>
      <w:r>
        <w:fldChar w:fldCharType="begin"/>
      </w:r>
      <w:r>
        <w:instrText xml:space="preserve"> HYPERLINK \l "_Toc207950936"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_Toc207950936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1D00705C">
      <w:pPr>
        <w:pStyle w:val="6"/>
        <w:tabs>
          <w:tab w:val="right" w:leader="dot" w:pos="8290"/>
        </w:tabs>
        <w:spacing w:line="360" w:lineRule="auto"/>
        <w:rPr>
          <w:rFonts w:ascii="宋体" w:hAnsi="宋体" w:eastAsia="宋体"/>
        </w:rPr>
      </w:pPr>
      <w:r>
        <w:fldChar w:fldCharType="begin"/>
      </w:r>
      <w:r>
        <w:instrText xml:space="preserve"> HYPERLINK \l "_Toc207950937"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_Toc207950937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0CA16DC6">
      <w:pPr>
        <w:pStyle w:val="6"/>
        <w:tabs>
          <w:tab w:val="right" w:leader="dot" w:pos="8290"/>
        </w:tabs>
        <w:spacing w:line="360" w:lineRule="auto"/>
        <w:rPr>
          <w:rFonts w:ascii="宋体" w:hAnsi="宋体" w:eastAsia="宋体"/>
        </w:rPr>
      </w:pPr>
      <w:r>
        <w:fldChar w:fldCharType="begin"/>
      </w:r>
      <w:r>
        <w:instrText xml:space="preserve"> HYPERLINK \l "_Toc207950938"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_Toc207950938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14:paraId="6AC1FF4F">
      <w:pPr>
        <w:pStyle w:val="6"/>
        <w:tabs>
          <w:tab w:val="right" w:leader="dot" w:pos="8290"/>
        </w:tabs>
        <w:spacing w:line="360" w:lineRule="auto"/>
        <w:rPr>
          <w:rFonts w:ascii="宋体" w:hAnsi="宋体" w:eastAsia="宋体"/>
        </w:rPr>
      </w:pPr>
      <w:r>
        <w:fldChar w:fldCharType="begin"/>
      </w:r>
      <w:r>
        <w:instrText xml:space="preserve"> HYPERLINK \l "_Toc207950939"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_Toc207950939 \h </w:instrText>
      </w:r>
      <w:r>
        <w:rPr>
          <w:rFonts w:ascii="宋体" w:hAnsi="宋体" w:eastAsia="宋体"/>
        </w:rPr>
        <w:fldChar w:fldCharType="separate"/>
      </w:r>
      <w:r>
        <w:rPr>
          <w:rFonts w:ascii="宋体" w:hAnsi="宋体" w:eastAsia="宋体"/>
        </w:rPr>
        <w:t>88</w:t>
      </w:r>
      <w:r>
        <w:rPr>
          <w:rFonts w:ascii="宋体" w:hAnsi="宋体" w:eastAsia="宋体"/>
        </w:rPr>
        <w:fldChar w:fldCharType="end"/>
      </w:r>
      <w:r>
        <w:rPr>
          <w:rFonts w:ascii="宋体" w:hAnsi="宋体" w:eastAsia="宋体"/>
        </w:rPr>
        <w:fldChar w:fldCharType="end"/>
      </w:r>
    </w:p>
    <w:p w14:paraId="70041EF0">
      <w:pPr>
        <w:pStyle w:val="6"/>
        <w:tabs>
          <w:tab w:val="right" w:leader="dot" w:pos="8290"/>
        </w:tabs>
        <w:spacing w:line="360" w:lineRule="auto"/>
        <w:rPr>
          <w:rFonts w:ascii="宋体" w:hAnsi="宋体" w:eastAsia="宋体"/>
        </w:rPr>
      </w:pPr>
      <w:r>
        <w:fldChar w:fldCharType="begin"/>
      </w:r>
      <w:r>
        <w:instrText xml:space="preserve"> HYPERLINK \l "_Toc207950940"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_Toc207950940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3A55A524">
      <w:pPr>
        <w:pStyle w:val="6"/>
        <w:tabs>
          <w:tab w:val="right" w:leader="dot" w:pos="8290"/>
        </w:tabs>
        <w:spacing w:line="360" w:lineRule="auto"/>
        <w:rPr>
          <w:rFonts w:ascii="宋体" w:hAnsi="宋体" w:eastAsia="宋体"/>
        </w:rPr>
      </w:pPr>
      <w:r>
        <w:fldChar w:fldCharType="begin"/>
      </w:r>
      <w:r>
        <w:instrText xml:space="preserve"> HYPERLINK \l "_Toc207950941"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_Toc207950941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284110AC">
      <w:pPr>
        <w:pStyle w:val="6"/>
        <w:tabs>
          <w:tab w:val="right" w:leader="dot" w:pos="8290"/>
        </w:tabs>
        <w:spacing w:line="360" w:lineRule="auto"/>
        <w:rPr>
          <w:rFonts w:ascii="宋体" w:hAnsi="宋体" w:eastAsia="宋体"/>
        </w:rPr>
      </w:pPr>
      <w:r>
        <w:fldChar w:fldCharType="begin"/>
      </w:r>
      <w:r>
        <w:instrText xml:space="preserve"> HYPERLINK \l "_Toc207950942"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_Toc207950942 \h </w:instrText>
      </w:r>
      <w:r>
        <w:rPr>
          <w:rFonts w:ascii="宋体" w:hAnsi="宋体" w:eastAsia="宋体"/>
        </w:rPr>
        <w:fldChar w:fldCharType="separate"/>
      </w:r>
      <w:r>
        <w:rPr>
          <w:rFonts w:ascii="宋体" w:hAnsi="宋体" w:eastAsia="宋体"/>
        </w:rPr>
        <w:t>105</w:t>
      </w:r>
      <w:r>
        <w:rPr>
          <w:rFonts w:ascii="宋体" w:hAnsi="宋体" w:eastAsia="宋体"/>
        </w:rPr>
        <w:fldChar w:fldCharType="end"/>
      </w:r>
      <w:r>
        <w:rPr>
          <w:rFonts w:ascii="宋体" w:hAnsi="宋体" w:eastAsia="宋体"/>
        </w:rPr>
        <w:fldChar w:fldCharType="end"/>
      </w:r>
    </w:p>
    <w:p w14:paraId="3D85F655">
      <w:pPr>
        <w:pStyle w:val="6"/>
        <w:tabs>
          <w:tab w:val="right" w:leader="dot" w:pos="8290"/>
        </w:tabs>
        <w:spacing w:line="360" w:lineRule="auto"/>
        <w:rPr>
          <w:rFonts w:ascii="宋体" w:hAnsi="宋体" w:eastAsia="宋体"/>
        </w:rPr>
      </w:pPr>
      <w:r>
        <w:fldChar w:fldCharType="begin"/>
      </w:r>
      <w:r>
        <w:instrText xml:space="preserve"> HYPERLINK \l "_Toc207950943"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_Toc207950943 \h </w:instrText>
      </w:r>
      <w:r>
        <w:rPr>
          <w:rFonts w:ascii="宋体" w:hAnsi="宋体" w:eastAsia="宋体"/>
        </w:rPr>
        <w:fldChar w:fldCharType="separate"/>
      </w:r>
      <w:r>
        <w:rPr>
          <w:rFonts w:ascii="宋体" w:hAnsi="宋体" w:eastAsia="宋体"/>
        </w:rPr>
        <w:t>107</w:t>
      </w:r>
      <w:r>
        <w:rPr>
          <w:rFonts w:ascii="宋体" w:hAnsi="宋体" w:eastAsia="宋体"/>
        </w:rPr>
        <w:fldChar w:fldCharType="end"/>
      </w:r>
      <w:r>
        <w:rPr>
          <w:rFonts w:ascii="宋体" w:hAnsi="宋体" w:eastAsia="宋体"/>
        </w:rPr>
        <w:fldChar w:fldCharType="end"/>
      </w:r>
    </w:p>
    <w:p w14:paraId="5E55820D">
      <w:pPr>
        <w:pStyle w:val="6"/>
        <w:tabs>
          <w:tab w:val="right" w:leader="dot" w:pos="8290"/>
        </w:tabs>
        <w:spacing w:line="360" w:lineRule="auto"/>
        <w:rPr>
          <w:rFonts w:ascii="宋体" w:hAnsi="宋体" w:eastAsia="宋体"/>
        </w:rPr>
      </w:pPr>
      <w:r>
        <w:fldChar w:fldCharType="begin"/>
      </w:r>
      <w:r>
        <w:instrText xml:space="preserve"> HYPERLINK \l "_Toc207950944"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_Toc207950944 \h </w:instrText>
      </w:r>
      <w:r>
        <w:rPr>
          <w:rFonts w:ascii="宋体" w:hAnsi="宋体" w:eastAsia="宋体"/>
        </w:rPr>
        <w:fldChar w:fldCharType="separate"/>
      </w:r>
      <w:r>
        <w:rPr>
          <w:rFonts w:ascii="宋体" w:hAnsi="宋体" w:eastAsia="宋体"/>
        </w:rPr>
        <w:t>123</w:t>
      </w:r>
      <w:r>
        <w:rPr>
          <w:rFonts w:ascii="宋体" w:hAnsi="宋体" w:eastAsia="宋体"/>
        </w:rPr>
        <w:fldChar w:fldCharType="end"/>
      </w:r>
      <w:r>
        <w:rPr>
          <w:rFonts w:ascii="宋体" w:hAnsi="宋体" w:eastAsia="宋体"/>
        </w:rPr>
        <w:fldChar w:fldCharType="end"/>
      </w:r>
    </w:p>
    <w:p w14:paraId="44926DDD">
      <w:pPr>
        <w:pStyle w:val="6"/>
        <w:tabs>
          <w:tab w:val="right" w:leader="dot" w:pos="8290"/>
        </w:tabs>
        <w:spacing w:line="360" w:lineRule="auto"/>
        <w:rPr>
          <w:rFonts w:ascii="宋体" w:hAnsi="宋体" w:eastAsia="宋体"/>
        </w:rPr>
      </w:pPr>
      <w:r>
        <w:fldChar w:fldCharType="begin"/>
      </w:r>
      <w:r>
        <w:instrText xml:space="preserve"> HYPERLINK \l "_Toc207950945"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_Toc207950945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14:paraId="7601A6F0">
      <w:pPr>
        <w:pStyle w:val="6"/>
        <w:tabs>
          <w:tab w:val="right" w:leader="dot" w:pos="8290"/>
        </w:tabs>
        <w:spacing w:line="360" w:lineRule="auto"/>
        <w:rPr>
          <w:rFonts w:ascii="宋体" w:hAnsi="宋体" w:eastAsia="宋体"/>
        </w:rPr>
      </w:pPr>
      <w:r>
        <w:fldChar w:fldCharType="begin"/>
      </w:r>
      <w:r>
        <w:instrText xml:space="preserve"> HYPERLINK \l "_Toc207950946"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_Toc207950946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14:paraId="5D6FC418">
      <w:pPr>
        <w:pStyle w:val="6"/>
        <w:tabs>
          <w:tab w:val="right" w:leader="dot" w:pos="8290"/>
        </w:tabs>
        <w:spacing w:line="360" w:lineRule="auto"/>
        <w:rPr>
          <w:rFonts w:ascii="宋体" w:hAnsi="宋体" w:eastAsia="宋体"/>
        </w:rPr>
      </w:pPr>
      <w:r>
        <w:fldChar w:fldCharType="begin"/>
      </w:r>
      <w:r>
        <w:instrText xml:space="preserve"> HYPERLINK \l "_Toc207950947"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_Toc207950947 \h </w:instrText>
      </w:r>
      <w:r>
        <w:rPr>
          <w:rFonts w:ascii="宋体" w:hAnsi="宋体" w:eastAsia="宋体"/>
        </w:rPr>
        <w:fldChar w:fldCharType="separate"/>
      </w:r>
      <w:r>
        <w:rPr>
          <w:rFonts w:ascii="宋体" w:hAnsi="宋体" w:eastAsia="宋体"/>
        </w:rPr>
        <w:t>148</w:t>
      </w:r>
      <w:r>
        <w:rPr>
          <w:rFonts w:ascii="宋体" w:hAnsi="宋体" w:eastAsia="宋体"/>
        </w:rPr>
        <w:fldChar w:fldCharType="end"/>
      </w:r>
      <w:r>
        <w:rPr>
          <w:rFonts w:ascii="宋体" w:hAnsi="宋体" w:eastAsia="宋体"/>
        </w:rPr>
        <w:fldChar w:fldCharType="end"/>
      </w:r>
    </w:p>
    <w:p w14:paraId="4E3F2B4A">
      <w:pPr>
        <w:pStyle w:val="6"/>
        <w:tabs>
          <w:tab w:val="right" w:leader="dot" w:pos="8290"/>
        </w:tabs>
        <w:spacing w:line="360" w:lineRule="auto"/>
        <w:rPr>
          <w:rFonts w:ascii="宋体" w:hAnsi="宋体" w:eastAsia="宋体"/>
        </w:rPr>
      </w:pPr>
      <w:r>
        <w:fldChar w:fldCharType="begin"/>
      </w:r>
      <w:r>
        <w:instrText xml:space="preserve"> HYPERLINK \l "_Toc207950948" </w:instrText>
      </w:r>
      <w:r>
        <w:fldChar w:fldCharType="separate"/>
      </w:r>
      <w:r>
        <w:rPr>
          <w:rStyle w:val="12"/>
          <w:rFonts w:hint="eastAsia" w:ascii="宋体" w:hAnsi="宋体" w:eastAsia="宋体"/>
          <w:u w:val="none"/>
        </w:rPr>
        <w:t>第二十五部分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_Toc207950948 \h </w:instrText>
      </w:r>
      <w:r>
        <w:rPr>
          <w:rFonts w:ascii="宋体" w:hAnsi="宋体" w:eastAsia="宋体"/>
        </w:rPr>
        <w:fldChar w:fldCharType="separate"/>
      </w:r>
      <w:r>
        <w:rPr>
          <w:rFonts w:ascii="宋体" w:hAnsi="宋体" w:eastAsia="宋体"/>
        </w:rPr>
        <w:t>149</w:t>
      </w:r>
      <w:r>
        <w:rPr>
          <w:rFonts w:ascii="宋体" w:hAnsi="宋体" w:eastAsia="宋体"/>
        </w:rPr>
        <w:fldChar w:fldCharType="end"/>
      </w:r>
      <w:r>
        <w:rPr>
          <w:rFonts w:ascii="宋体" w:hAnsi="宋体" w:eastAsia="宋体"/>
        </w:rPr>
        <w:fldChar w:fldCharType="end"/>
      </w:r>
    </w:p>
    <w:p w14:paraId="3913E65B">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428AAFA4">
      <w:pPr>
        <w:pStyle w:val="2"/>
        <w:jc w:val="center"/>
        <w:rPr>
          <w:rFonts w:ascii="宋体" w:hAnsi="宋体" w:eastAsia="宋体"/>
          <w:sz w:val="30"/>
        </w:rPr>
      </w:pPr>
      <w:bookmarkStart w:id="5" w:name="chapter_level1_3_2344"/>
      <w:bookmarkStart w:id="6" w:name="_Toc207950924"/>
      <w:r>
        <w:rPr>
          <w:rFonts w:hint="eastAsia" w:ascii="宋体" w:hAnsi="宋体" w:eastAsia="宋体"/>
          <w:sz w:val="30"/>
        </w:rPr>
        <w:t>第一部分  绪言</w:t>
      </w:r>
      <w:bookmarkEnd w:id="5"/>
      <w:bookmarkEnd w:id="6"/>
    </w:p>
    <w:p w14:paraId="00CB1700">
      <w:pPr>
        <w:pStyle w:val="7"/>
        <w:spacing w:before="0" w:beforeAutospacing="0" w:after="0" w:afterAutospacing="0" w:line="360" w:lineRule="auto"/>
        <w:ind w:firstLine="420"/>
        <w:rPr>
          <w:sz w:val="21"/>
          <w:szCs w:val="21"/>
        </w:rPr>
      </w:pPr>
      <w:bookmarkStart w:id="7" w:name="chapter_level1_3_2344_section_1"/>
      <w:bookmarkEnd w:id="7"/>
      <w:r>
        <w:rPr>
          <w:rFonts w:hint="eastAsia"/>
          <w:sz w:val="21"/>
          <w:szCs w:val="21"/>
        </w:rPr>
        <w:t>《</w:t>
      </w:r>
      <w:bookmarkStart w:id="8" w:name="field_0_productfullname_3"/>
      <w:r>
        <w:rPr>
          <w:rFonts w:hint="eastAsia"/>
          <w:sz w:val="21"/>
          <w:szCs w:val="21"/>
        </w:rPr>
        <w:t>博时中证半导体产业交易型开放式指数证券投资基金</w:t>
      </w:r>
      <w:bookmarkEnd w:id="8"/>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9" w:name="field_0_productfullname_4"/>
      <w:r>
        <w:rPr>
          <w:rFonts w:hint="eastAsia"/>
          <w:sz w:val="21"/>
          <w:szCs w:val="21"/>
        </w:rPr>
        <w:t>博时中证半导体产业交易型开放式指数证券投资基金</w:t>
      </w:r>
      <w:bookmarkEnd w:id="9"/>
      <w:r>
        <w:rPr>
          <w:rFonts w:hint="eastAsia"/>
          <w:sz w:val="21"/>
          <w:szCs w:val="21"/>
        </w:rPr>
        <w:t>基金合同》（以下简称“基金合同”）编写。</w:t>
      </w:r>
    </w:p>
    <w:p w14:paraId="46264EC4">
      <w:pPr>
        <w:pStyle w:val="7"/>
        <w:spacing w:before="0" w:beforeAutospacing="0" w:after="0" w:afterAutospacing="0" w:line="360" w:lineRule="auto"/>
        <w:ind w:firstLine="420"/>
        <w:rPr>
          <w:sz w:val="21"/>
          <w:szCs w:val="21"/>
        </w:rPr>
      </w:pPr>
      <w:r>
        <w:rPr>
          <w:rFonts w:hint="eastAsia"/>
          <w:sz w:val="21"/>
          <w:szCs w:val="21"/>
        </w:rPr>
        <w:t>本招募说明书阐述了</w:t>
      </w:r>
      <w:bookmarkStart w:id="10" w:name="field_0_productfullname_5"/>
      <w:r>
        <w:rPr>
          <w:rFonts w:hint="eastAsia"/>
          <w:sz w:val="21"/>
          <w:szCs w:val="21"/>
        </w:rPr>
        <w:t>博时中证半导体产业交易型开放式指数证券投资基金</w:t>
      </w:r>
      <w:bookmarkEnd w:id="10"/>
      <w:r>
        <w:rPr>
          <w:rFonts w:hint="eastAsia"/>
          <w:sz w:val="21"/>
          <w:szCs w:val="21"/>
        </w:rPr>
        <w:t>的投资目标、策略、风险、费率等与投资人投资决策有关的必要事项，投资人在作出投资决策前应仔细阅读本招募说明书。</w:t>
      </w:r>
    </w:p>
    <w:p w14:paraId="1D9E9BB4">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基金管理人承诺本招募说明书不存在任何虚假记载、误导性陈述或重大遗漏，并对其真实性、准确性、完整性承担法律责任。</w:t>
      </w:r>
    </w:p>
    <w:p w14:paraId="3218E817">
      <w:pPr>
        <w:pStyle w:val="7"/>
        <w:spacing w:before="0" w:beforeAutospacing="0" w:after="0" w:afterAutospacing="0" w:line="360" w:lineRule="auto"/>
        <w:ind w:firstLine="420"/>
        <w:rPr>
          <w:sz w:val="21"/>
          <w:szCs w:val="21"/>
        </w:rPr>
      </w:pPr>
      <w:bookmarkStart w:id="11" w:name="field_0_productfullname_6"/>
      <w:r>
        <w:rPr>
          <w:rFonts w:hint="eastAsia"/>
          <w:sz w:val="21"/>
          <w:szCs w:val="21"/>
        </w:rPr>
        <w:t>博时中证半导体产业交易型开放式指数证券投资基金</w:t>
      </w:r>
      <w:bookmarkEnd w:id="11"/>
      <w:r>
        <w:rPr>
          <w:rFonts w:hint="eastAsia"/>
          <w:sz w:val="21"/>
          <w:szCs w:val="21"/>
        </w:rPr>
        <w:t>（以下简称“基金”或“本基金”）是根据本招募说明书所载明的资料申请募集的。本基金管理人没有委托或授权任何其他人提供未在本招募说明书中载明的信息，或对本招募说明书作任何解释或者说明。</w:t>
      </w:r>
    </w:p>
    <w:p w14:paraId="3E6360C2">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2" w:name="chapter_level1_3_2344_section_1_end"/>
      <w:bookmarkEnd w:id="12"/>
      <w:r>
        <w:rPr>
          <w:rFonts w:hint="eastAsia"/>
          <w:sz w:val="21"/>
          <w:szCs w:val="21"/>
        </w:rPr>
        <w:t>金合同。</w:t>
      </w:r>
    </w:p>
    <w:p w14:paraId="4348B6B1">
      <w:pPr>
        <w:widowControl/>
        <w:jc w:val="left"/>
        <w:rPr>
          <w:rFonts w:ascii="宋体" w:hAnsi="宋体" w:eastAsia="宋体"/>
        </w:rPr>
      </w:pPr>
      <w:r>
        <w:rPr>
          <w:rFonts w:ascii="宋体" w:hAnsi="宋体" w:eastAsia="宋体"/>
        </w:rPr>
        <w:br w:type="page"/>
      </w:r>
    </w:p>
    <w:p w14:paraId="0D4EA02C">
      <w:pPr>
        <w:pStyle w:val="2"/>
        <w:jc w:val="center"/>
        <w:rPr>
          <w:rFonts w:ascii="宋体" w:hAnsi="宋体" w:eastAsia="宋体"/>
          <w:sz w:val="30"/>
        </w:rPr>
      </w:pPr>
      <w:bookmarkStart w:id="13" w:name="chapter_level1_4_49"/>
      <w:bookmarkStart w:id="14" w:name="_Toc207950925"/>
      <w:r>
        <w:rPr>
          <w:rFonts w:hint="eastAsia" w:ascii="宋体" w:hAnsi="宋体" w:eastAsia="宋体"/>
          <w:sz w:val="30"/>
        </w:rPr>
        <w:t>第二部分  释义</w:t>
      </w:r>
      <w:bookmarkEnd w:id="13"/>
      <w:bookmarkEnd w:id="14"/>
    </w:p>
    <w:p w14:paraId="174F32C7">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在本招募说明书中，除非文意另有所指，下列词语或简称具有以下含义：</w:t>
      </w:r>
    </w:p>
    <w:p w14:paraId="4A44DC8B">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7"/>
      <w:r>
        <w:rPr>
          <w:rFonts w:hint="eastAsia"/>
          <w:sz w:val="21"/>
          <w:szCs w:val="21"/>
        </w:rPr>
        <w:t>博时中证半导体产业交易型开放式指数证券投资基金</w:t>
      </w:r>
      <w:bookmarkEnd w:id="16"/>
    </w:p>
    <w:p w14:paraId="088031F5">
      <w:pPr>
        <w:pStyle w:val="7"/>
        <w:spacing w:before="0" w:beforeAutospacing="0" w:after="0" w:afterAutospacing="0" w:line="360" w:lineRule="auto"/>
        <w:ind w:firstLine="420"/>
        <w:rPr>
          <w:sz w:val="21"/>
          <w:szCs w:val="21"/>
        </w:rPr>
      </w:pPr>
      <w:r>
        <w:rPr>
          <w:rFonts w:hint="eastAsia"/>
          <w:sz w:val="21"/>
          <w:szCs w:val="21"/>
        </w:rPr>
        <w:t>2.基金管理人：指博时基金管理有限公司</w:t>
      </w:r>
    </w:p>
    <w:p w14:paraId="4B7895A9">
      <w:pPr>
        <w:pStyle w:val="7"/>
        <w:spacing w:before="0" w:beforeAutospacing="0" w:after="0" w:afterAutospacing="0" w:line="360" w:lineRule="auto"/>
        <w:ind w:firstLine="420"/>
        <w:rPr>
          <w:sz w:val="21"/>
          <w:szCs w:val="21"/>
        </w:rPr>
      </w:pPr>
      <w:r>
        <w:rPr>
          <w:rFonts w:hint="eastAsia"/>
          <w:sz w:val="21"/>
          <w:szCs w:val="21"/>
        </w:rPr>
        <w:t>3.基金托管人：指</w:t>
      </w:r>
      <w:bookmarkStart w:id="17" w:name="field_0_trustorgfullname_1"/>
      <w:r>
        <w:rPr>
          <w:rFonts w:hint="eastAsia"/>
          <w:sz w:val="21"/>
          <w:szCs w:val="21"/>
        </w:rPr>
        <w:t>中信证券股份有限公司</w:t>
      </w:r>
      <w:bookmarkEnd w:id="17"/>
    </w:p>
    <w:p w14:paraId="566D420C">
      <w:pPr>
        <w:pStyle w:val="7"/>
        <w:spacing w:before="0" w:beforeAutospacing="0" w:after="0" w:afterAutospacing="0" w:line="360" w:lineRule="auto"/>
        <w:ind w:firstLine="420"/>
        <w:rPr>
          <w:sz w:val="21"/>
          <w:szCs w:val="21"/>
        </w:rPr>
      </w:pPr>
      <w:r>
        <w:rPr>
          <w:rFonts w:hint="eastAsia"/>
          <w:sz w:val="21"/>
          <w:szCs w:val="21"/>
        </w:rPr>
        <w:t>4.基金合同：指《</w:t>
      </w:r>
      <w:bookmarkStart w:id="18" w:name="field_0_productfullname_8"/>
      <w:r>
        <w:rPr>
          <w:rFonts w:hint="eastAsia"/>
          <w:sz w:val="21"/>
          <w:szCs w:val="21"/>
        </w:rPr>
        <w:t>博时中证半导体产业交易型开放式指数证券投资基金</w:t>
      </w:r>
      <w:bookmarkEnd w:id="18"/>
      <w:r>
        <w:rPr>
          <w:rFonts w:hint="eastAsia"/>
          <w:sz w:val="21"/>
          <w:szCs w:val="21"/>
        </w:rPr>
        <w:t>基金合同》及对基金合同的任何有效修订和补充</w:t>
      </w:r>
    </w:p>
    <w:p w14:paraId="5B1203D6">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9" w:name="field_0_productfullname_9"/>
      <w:r>
        <w:rPr>
          <w:rFonts w:hint="eastAsia"/>
          <w:sz w:val="21"/>
          <w:szCs w:val="21"/>
        </w:rPr>
        <w:t>博时中证半导体产业交易型开放式指数证券投资基金</w:t>
      </w:r>
      <w:bookmarkEnd w:id="19"/>
      <w:r>
        <w:rPr>
          <w:rFonts w:hint="eastAsia"/>
          <w:sz w:val="21"/>
          <w:szCs w:val="21"/>
        </w:rPr>
        <w:t>托管协议》及对该托管协议的任何有效修订和补充</w:t>
      </w:r>
    </w:p>
    <w:p w14:paraId="57AE7582">
      <w:pPr>
        <w:pStyle w:val="7"/>
        <w:spacing w:before="0" w:beforeAutospacing="0" w:after="0" w:afterAutospacing="0" w:line="360" w:lineRule="auto"/>
        <w:ind w:firstLine="420"/>
        <w:rPr>
          <w:sz w:val="21"/>
          <w:szCs w:val="21"/>
        </w:rPr>
      </w:pPr>
      <w:r>
        <w:rPr>
          <w:rFonts w:hint="eastAsia"/>
          <w:sz w:val="21"/>
          <w:szCs w:val="21"/>
        </w:rPr>
        <w:t>6.招募说明书或者本招募说明书：指《</w:t>
      </w:r>
      <w:bookmarkStart w:id="20" w:name="field_0_productfullname_10"/>
      <w:r>
        <w:rPr>
          <w:rFonts w:hint="eastAsia"/>
          <w:sz w:val="21"/>
          <w:szCs w:val="21"/>
        </w:rPr>
        <w:t>博时中证半导体产业交易型开放式指数证券投资基金</w:t>
      </w:r>
      <w:bookmarkEnd w:id="20"/>
      <w:r>
        <w:rPr>
          <w:rFonts w:hint="eastAsia"/>
          <w:sz w:val="21"/>
          <w:szCs w:val="21"/>
        </w:rPr>
        <w:t>招募说明书》及其更新</w:t>
      </w:r>
    </w:p>
    <w:p w14:paraId="3699A736">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1" w:name="field_0_productfullname_11"/>
      <w:r>
        <w:rPr>
          <w:rFonts w:hint="eastAsia"/>
          <w:sz w:val="21"/>
          <w:szCs w:val="21"/>
        </w:rPr>
        <w:t>博时中证半导体产业交易型开放式指数证券投资基金</w:t>
      </w:r>
      <w:bookmarkEnd w:id="21"/>
      <w:r>
        <w:rPr>
          <w:rFonts w:hint="eastAsia"/>
          <w:sz w:val="21"/>
          <w:szCs w:val="21"/>
        </w:rPr>
        <w:t>基金产品资料概要》及其更新</w:t>
      </w:r>
    </w:p>
    <w:p w14:paraId="664B3509">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2" w:name="field_0_productfullname_12"/>
      <w:r>
        <w:rPr>
          <w:rFonts w:hint="eastAsia"/>
          <w:sz w:val="21"/>
          <w:szCs w:val="21"/>
        </w:rPr>
        <w:t>博时中证半导体产业交易型开放式指数证券投资基金</w:t>
      </w:r>
      <w:bookmarkEnd w:id="22"/>
      <w:r>
        <w:rPr>
          <w:rFonts w:hint="eastAsia"/>
          <w:sz w:val="21"/>
          <w:szCs w:val="21"/>
        </w:rPr>
        <w:t>基金份额发售公告》</w:t>
      </w:r>
    </w:p>
    <w:p w14:paraId="5946BC03">
      <w:pPr>
        <w:pStyle w:val="7"/>
        <w:spacing w:before="0" w:beforeAutospacing="0" w:after="0" w:afterAutospacing="0" w:line="360" w:lineRule="auto"/>
        <w:ind w:firstLine="420"/>
        <w:rPr>
          <w:sz w:val="21"/>
          <w:szCs w:val="21"/>
        </w:rPr>
      </w:pPr>
      <w:r>
        <w:rPr>
          <w:rFonts w:hint="eastAsia"/>
          <w:sz w:val="21"/>
          <w:szCs w:val="21"/>
        </w:rPr>
        <w:t>9.上市交易公告书：指《</w:t>
      </w:r>
      <w:bookmarkStart w:id="23" w:name="field_0_productfullname_13"/>
      <w:r>
        <w:rPr>
          <w:rFonts w:hint="eastAsia"/>
          <w:sz w:val="21"/>
          <w:szCs w:val="21"/>
        </w:rPr>
        <w:t>博时中证半导体产业交易型开放式指数证券投资基金</w:t>
      </w:r>
      <w:bookmarkEnd w:id="23"/>
      <w:r>
        <w:rPr>
          <w:rFonts w:hint="eastAsia"/>
          <w:sz w:val="21"/>
          <w:szCs w:val="21"/>
        </w:rPr>
        <w:t>基金份额上市交易公告书》</w:t>
      </w:r>
    </w:p>
    <w:p w14:paraId="21C2A4E6">
      <w:pPr>
        <w:pStyle w:val="7"/>
        <w:spacing w:before="0" w:beforeAutospacing="0" w:after="0" w:afterAutospacing="0" w:line="360" w:lineRule="auto"/>
        <w:ind w:firstLine="420"/>
        <w:rPr>
          <w:sz w:val="21"/>
          <w:szCs w:val="21"/>
        </w:rPr>
      </w:pPr>
      <w:r>
        <w:rPr>
          <w:rFonts w:hint="eastAsia"/>
          <w:sz w:val="21"/>
          <w:szCs w:val="21"/>
        </w:rPr>
        <w:t>10.法律法规：指中国现行有效并公布实施的法律、行政法规、规范性文件、司法解释、行政规章以及其他对基金合同当事人有约束力的决定、决议、通知等</w:t>
      </w:r>
    </w:p>
    <w:p w14:paraId="6E1F5D45">
      <w:pPr>
        <w:pStyle w:val="7"/>
        <w:spacing w:before="0" w:beforeAutospacing="0" w:after="0" w:afterAutospacing="0" w:line="360" w:lineRule="auto"/>
        <w:ind w:firstLine="420"/>
        <w:rPr>
          <w:sz w:val="21"/>
          <w:szCs w:val="21"/>
        </w:rPr>
      </w:pPr>
      <w:r>
        <w:rPr>
          <w:rFonts w:hint="eastAsia"/>
          <w:sz w:val="21"/>
          <w:szCs w:val="21"/>
        </w:rPr>
        <w:t>11.《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3646D429">
      <w:pPr>
        <w:pStyle w:val="7"/>
        <w:spacing w:before="0" w:beforeAutospacing="0" w:after="0" w:afterAutospacing="0" w:line="360" w:lineRule="auto"/>
        <w:ind w:firstLine="420"/>
        <w:rPr>
          <w:sz w:val="21"/>
          <w:szCs w:val="21"/>
        </w:rPr>
      </w:pPr>
      <w:r>
        <w:rPr>
          <w:rFonts w:hint="eastAsia"/>
          <w:sz w:val="21"/>
          <w:szCs w:val="21"/>
        </w:rPr>
        <w:t>12.《销售办法》：指中国证监会2020年8月28日颁布、同年10月1日实施的《公开募集证券投资基金销售机构监督管理办法》及颁布机关对其不时做出的修订</w:t>
      </w:r>
    </w:p>
    <w:p w14:paraId="25652A93">
      <w:pPr>
        <w:pStyle w:val="7"/>
        <w:spacing w:before="0" w:beforeAutospacing="0" w:after="0" w:afterAutospacing="0" w:line="360" w:lineRule="auto"/>
        <w:ind w:firstLine="420"/>
        <w:rPr>
          <w:sz w:val="21"/>
          <w:szCs w:val="21"/>
        </w:rPr>
      </w:pPr>
      <w:r>
        <w:rPr>
          <w:rFonts w:hint="eastAsia"/>
          <w:sz w:val="21"/>
          <w:szCs w:val="21"/>
        </w:rPr>
        <w:t>13.《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2E95D7CB">
      <w:pPr>
        <w:pStyle w:val="7"/>
        <w:spacing w:before="0" w:beforeAutospacing="0" w:after="0" w:afterAutospacing="0" w:line="360" w:lineRule="auto"/>
        <w:ind w:firstLine="420"/>
        <w:rPr>
          <w:sz w:val="21"/>
          <w:szCs w:val="21"/>
        </w:rPr>
      </w:pPr>
      <w:r>
        <w:rPr>
          <w:rFonts w:hint="eastAsia"/>
          <w:sz w:val="21"/>
          <w:szCs w:val="21"/>
        </w:rPr>
        <w:t>14.《运作办法》：指中国证监会2014年7月7日颁布、同年8月8日实施的《公开募集证券投资基金运作管理办法》及颁布机关对其不时做出的修订</w:t>
      </w:r>
    </w:p>
    <w:p w14:paraId="4B0BEB78">
      <w:pPr>
        <w:pStyle w:val="7"/>
        <w:spacing w:before="0" w:beforeAutospacing="0" w:after="0" w:afterAutospacing="0" w:line="360" w:lineRule="auto"/>
        <w:ind w:firstLine="420"/>
        <w:rPr>
          <w:sz w:val="21"/>
          <w:szCs w:val="21"/>
        </w:rPr>
      </w:pPr>
      <w:r>
        <w:rPr>
          <w:rFonts w:hint="eastAsia"/>
          <w:sz w:val="21"/>
          <w:szCs w:val="21"/>
        </w:rPr>
        <w:t>15.《流动性风险管理规定》：指中国证监会2017年8月31日颁布、同年10月1日实施的《公开募集开放式证券投资基金流动性风险管理规定》及颁布机关对其不时做出的修订</w:t>
      </w:r>
    </w:p>
    <w:p w14:paraId="6442E5E2">
      <w:pPr>
        <w:pStyle w:val="7"/>
        <w:spacing w:before="0" w:beforeAutospacing="0" w:after="0" w:afterAutospacing="0" w:line="360" w:lineRule="auto"/>
        <w:ind w:firstLine="420"/>
        <w:rPr>
          <w:sz w:val="21"/>
          <w:szCs w:val="21"/>
        </w:rPr>
      </w:pPr>
      <w:r>
        <w:rPr>
          <w:rFonts w:hint="eastAsia"/>
          <w:sz w:val="21"/>
          <w:szCs w:val="21"/>
        </w:rPr>
        <w:t>16.《指数基金指引》：指中国证监会2021年1月22日颁布、同年2月1日实施的《公开募集证券投资基金运作指引第3号——指数基金指引》及颁布机关对其不时做出的修订</w:t>
      </w:r>
    </w:p>
    <w:p w14:paraId="06E3E6E3">
      <w:pPr>
        <w:pStyle w:val="7"/>
        <w:spacing w:before="0" w:beforeAutospacing="0" w:after="0" w:afterAutospacing="0" w:line="360" w:lineRule="auto"/>
        <w:ind w:firstLine="420"/>
        <w:rPr>
          <w:sz w:val="21"/>
          <w:szCs w:val="21"/>
        </w:rPr>
      </w:pPr>
      <w:r>
        <w:rPr>
          <w:rFonts w:hint="eastAsia"/>
          <w:sz w:val="21"/>
          <w:szCs w:val="21"/>
        </w:rPr>
        <w:t>17.业务规则：指深圳证券交易所、登记机构等相关机构发布的其他相关规则及其不时做出的修订</w:t>
      </w:r>
    </w:p>
    <w:p w14:paraId="2BDACC21">
      <w:pPr>
        <w:pStyle w:val="7"/>
        <w:spacing w:before="0" w:beforeAutospacing="0" w:after="0" w:afterAutospacing="0" w:line="360" w:lineRule="auto"/>
        <w:ind w:firstLine="420"/>
        <w:rPr>
          <w:sz w:val="21"/>
          <w:szCs w:val="21"/>
        </w:rPr>
      </w:pPr>
      <w:r>
        <w:rPr>
          <w:rFonts w:hint="eastAsia"/>
          <w:sz w:val="21"/>
          <w:szCs w:val="21"/>
        </w:rPr>
        <w:t>18. 中国证监会：指中国证券监督管理委员会</w:t>
      </w:r>
    </w:p>
    <w:p w14:paraId="0F85BC0C">
      <w:pPr>
        <w:pStyle w:val="7"/>
        <w:spacing w:before="0" w:beforeAutospacing="0" w:after="0" w:afterAutospacing="0" w:line="360" w:lineRule="auto"/>
        <w:ind w:firstLine="420"/>
        <w:rPr>
          <w:sz w:val="21"/>
          <w:szCs w:val="21"/>
        </w:rPr>
      </w:pPr>
      <w:r>
        <w:rPr>
          <w:rFonts w:hint="eastAsia"/>
          <w:sz w:val="21"/>
          <w:szCs w:val="21"/>
        </w:rPr>
        <w:t>19. 银行业监督管理机构：指中国人民银行和/或国家金融监督管理总局</w:t>
      </w:r>
    </w:p>
    <w:p w14:paraId="640BC75E">
      <w:pPr>
        <w:pStyle w:val="7"/>
        <w:spacing w:before="0" w:beforeAutospacing="0" w:after="0" w:afterAutospacing="0" w:line="360" w:lineRule="auto"/>
        <w:ind w:firstLine="420"/>
        <w:rPr>
          <w:sz w:val="21"/>
          <w:szCs w:val="21"/>
        </w:rPr>
      </w:pPr>
      <w:r>
        <w:rPr>
          <w:rFonts w:hint="eastAsia"/>
          <w:sz w:val="21"/>
          <w:szCs w:val="21"/>
        </w:rPr>
        <w:t>20. 基金合同当事人：指受基金合同约束，根据基金合同享有权利并承担义务的法律主体，包括基金管理人、基金托管人和基金份额持有人</w:t>
      </w:r>
    </w:p>
    <w:p w14:paraId="7535721F">
      <w:pPr>
        <w:pStyle w:val="7"/>
        <w:spacing w:before="0" w:beforeAutospacing="0" w:after="0" w:afterAutospacing="0" w:line="360" w:lineRule="auto"/>
        <w:ind w:firstLine="420"/>
        <w:rPr>
          <w:sz w:val="21"/>
          <w:szCs w:val="21"/>
        </w:rPr>
      </w:pPr>
      <w:r>
        <w:rPr>
          <w:rFonts w:hint="eastAsia"/>
          <w:sz w:val="21"/>
          <w:szCs w:val="21"/>
        </w:rPr>
        <w:t>21. 个人投资者：指依据有关法律法规规定可投资于证券投资基金的自然人</w:t>
      </w:r>
    </w:p>
    <w:p w14:paraId="2A08D292">
      <w:pPr>
        <w:pStyle w:val="7"/>
        <w:spacing w:before="0" w:beforeAutospacing="0" w:after="0" w:afterAutospacing="0" w:line="360" w:lineRule="auto"/>
        <w:ind w:firstLine="420"/>
        <w:rPr>
          <w:sz w:val="21"/>
          <w:szCs w:val="21"/>
        </w:rPr>
      </w:pPr>
      <w:r>
        <w:rPr>
          <w:rFonts w:hint="eastAsia"/>
          <w:sz w:val="21"/>
          <w:szCs w:val="21"/>
        </w:rPr>
        <w:t>22. 机构投资者：指依法可以投资证券投资基金的、在中华人民共和国境内合法登记并存续或经有关政府部门批准设立并存续的企业法人、事业法人、社会团体或其他组织</w:t>
      </w:r>
    </w:p>
    <w:p w14:paraId="34240263">
      <w:pPr>
        <w:pStyle w:val="7"/>
        <w:spacing w:before="0" w:beforeAutospacing="0" w:after="0" w:afterAutospacing="0" w:line="360" w:lineRule="auto"/>
        <w:ind w:firstLine="420"/>
        <w:rPr>
          <w:sz w:val="21"/>
          <w:szCs w:val="21"/>
        </w:rPr>
      </w:pPr>
      <w:r>
        <w:rPr>
          <w:rFonts w:hint="eastAsia"/>
          <w:sz w:val="21"/>
          <w:szCs w:val="21"/>
        </w:rPr>
        <w:t>23. 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69CA307F">
      <w:pPr>
        <w:pStyle w:val="7"/>
        <w:spacing w:before="0" w:beforeAutospacing="0" w:after="0" w:afterAutospacing="0" w:line="360" w:lineRule="auto"/>
        <w:ind w:firstLine="420"/>
        <w:rPr>
          <w:sz w:val="21"/>
          <w:szCs w:val="21"/>
        </w:rPr>
      </w:pPr>
      <w:r>
        <w:rPr>
          <w:rFonts w:hint="eastAsia"/>
          <w:sz w:val="21"/>
          <w:szCs w:val="21"/>
        </w:rPr>
        <w:t>24. 人民币合格境外机构投资者：指按照《合格境外机构投资者和人民币合格境外机构投资者境内证券期货投资管理办法》及相关法律法规规定，运用来自境外的人民币资金进行境内证券投资的境外机构投资者</w:t>
      </w:r>
    </w:p>
    <w:p w14:paraId="388639A3">
      <w:pPr>
        <w:pStyle w:val="7"/>
        <w:spacing w:before="0" w:beforeAutospacing="0" w:after="0" w:afterAutospacing="0" w:line="360" w:lineRule="auto"/>
        <w:ind w:firstLine="420"/>
        <w:rPr>
          <w:sz w:val="21"/>
          <w:szCs w:val="21"/>
        </w:rPr>
      </w:pPr>
      <w:r>
        <w:rPr>
          <w:rFonts w:hint="eastAsia"/>
          <w:sz w:val="21"/>
          <w:szCs w:val="21"/>
        </w:rPr>
        <w:t>25. 投资人、投资者：指个人投资者、机构投资者、合格境外机构投资者和人民币合格境外机构投资者以及法律法规或中国证监会允许购买证券投资基金的其他投资人的合称</w:t>
      </w:r>
    </w:p>
    <w:p w14:paraId="2273DDB2">
      <w:pPr>
        <w:pStyle w:val="7"/>
        <w:spacing w:before="0" w:beforeAutospacing="0" w:after="0" w:afterAutospacing="0" w:line="360" w:lineRule="auto"/>
        <w:ind w:firstLine="420"/>
        <w:rPr>
          <w:sz w:val="21"/>
          <w:szCs w:val="21"/>
        </w:rPr>
      </w:pPr>
      <w:r>
        <w:rPr>
          <w:rFonts w:hint="eastAsia"/>
          <w:sz w:val="21"/>
          <w:szCs w:val="21"/>
        </w:rPr>
        <w:t>26. 基金份额持有人：指依基金合同和招募说明书合法取得基金份额的投资人</w:t>
      </w:r>
    </w:p>
    <w:p w14:paraId="20675455">
      <w:pPr>
        <w:pStyle w:val="7"/>
        <w:spacing w:before="0" w:beforeAutospacing="0" w:after="0" w:afterAutospacing="0" w:line="360" w:lineRule="auto"/>
        <w:ind w:firstLine="420"/>
        <w:rPr>
          <w:sz w:val="21"/>
          <w:szCs w:val="21"/>
        </w:rPr>
      </w:pPr>
      <w:r>
        <w:rPr>
          <w:rFonts w:hint="eastAsia"/>
          <w:sz w:val="21"/>
          <w:szCs w:val="21"/>
        </w:rPr>
        <w:t>27. 发售代理机构：指符合《销售办法》和中国证监会规定的其他条件，由基金管理人指定的代理本基金发售业务的机构</w:t>
      </w:r>
    </w:p>
    <w:p w14:paraId="001C9F84">
      <w:pPr>
        <w:pStyle w:val="7"/>
        <w:spacing w:before="0" w:beforeAutospacing="0" w:after="0" w:afterAutospacing="0" w:line="360" w:lineRule="auto"/>
        <w:ind w:firstLine="420"/>
        <w:rPr>
          <w:sz w:val="21"/>
          <w:szCs w:val="21"/>
        </w:rPr>
      </w:pPr>
      <w:r>
        <w:rPr>
          <w:rFonts w:hint="eastAsia"/>
          <w:sz w:val="21"/>
          <w:szCs w:val="21"/>
        </w:rPr>
        <w:t>28. 申购、赎回代理券商：指基金管理人指定的，在基金合同生效后代理办理本基金申购、赎回业务的证券公司，又称为代办证券公司</w:t>
      </w:r>
    </w:p>
    <w:p w14:paraId="6F811295">
      <w:pPr>
        <w:pStyle w:val="7"/>
        <w:spacing w:before="0" w:beforeAutospacing="0" w:after="0" w:afterAutospacing="0" w:line="360" w:lineRule="auto"/>
        <w:ind w:firstLine="420"/>
        <w:rPr>
          <w:sz w:val="21"/>
          <w:szCs w:val="21"/>
        </w:rPr>
      </w:pPr>
      <w:r>
        <w:rPr>
          <w:rFonts w:hint="eastAsia"/>
          <w:sz w:val="21"/>
          <w:szCs w:val="21"/>
        </w:rPr>
        <w:t>29. 直销机构：指博时基金管理有限公司</w:t>
      </w:r>
    </w:p>
    <w:p w14:paraId="38FFCBB1">
      <w:pPr>
        <w:pStyle w:val="7"/>
        <w:spacing w:before="0" w:beforeAutospacing="0" w:after="0" w:afterAutospacing="0" w:line="360" w:lineRule="auto"/>
        <w:ind w:firstLine="420"/>
        <w:rPr>
          <w:sz w:val="21"/>
          <w:szCs w:val="21"/>
        </w:rPr>
      </w:pPr>
      <w:r>
        <w:rPr>
          <w:rFonts w:hint="eastAsia"/>
          <w:sz w:val="21"/>
          <w:szCs w:val="21"/>
        </w:rPr>
        <w:t>30. 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0E8BECF6">
      <w:pPr>
        <w:pStyle w:val="7"/>
        <w:spacing w:before="0" w:beforeAutospacing="0" w:after="0" w:afterAutospacing="0" w:line="360" w:lineRule="auto"/>
        <w:ind w:firstLine="420"/>
        <w:rPr>
          <w:sz w:val="21"/>
          <w:szCs w:val="21"/>
        </w:rPr>
      </w:pPr>
      <w:r>
        <w:rPr>
          <w:rFonts w:hint="eastAsia"/>
          <w:sz w:val="21"/>
          <w:szCs w:val="21"/>
        </w:rPr>
        <w:t>31. 销售机构：指直销机构与代销机构 </w:t>
      </w:r>
    </w:p>
    <w:p w14:paraId="0979C55B">
      <w:pPr>
        <w:pStyle w:val="7"/>
        <w:spacing w:before="0" w:beforeAutospacing="0" w:after="0" w:afterAutospacing="0" w:line="360" w:lineRule="auto"/>
        <w:ind w:firstLine="420"/>
        <w:rPr>
          <w:sz w:val="21"/>
          <w:szCs w:val="21"/>
        </w:rPr>
      </w:pPr>
      <w:r>
        <w:rPr>
          <w:rFonts w:hint="eastAsia"/>
          <w:sz w:val="21"/>
          <w:szCs w:val="21"/>
        </w:rPr>
        <w:t>32. 登记机构：指办理登记业务的机构。本基金的登记机构为中国证券登记结算有限责任公司</w:t>
      </w:r>
    </w:p>
    <w:p w14:paraId="3C100C1A">
      <w:pPr>
        <w:pStyle w:val="7"/>
        <w:spacing w:before="0" w:beforeAutospacing="0" w:after="0" w:afterAutospacing="0" w:line="360" w:lineRule="auto"/>
        <w:ind w:firstLine="420"/>
        <w:rPr>
          <w:sz w:val="21"/>
          <w:szCs w:val="21"/>
        </w:rPr>
      </w:pPr>
      <w:r>
        <w:rPr>
          <w:rFonts w:hint="eastAsia"/>
          <w:sz w:val="21"/>
          <w:szCs w:val="21"/>
        </w:rPr>
        <w:t>33. 登记业务：指《中国证券登记结算有限责任公司关于交易所交易型开放式证券投资基金登记结算业务实施细则》及其不时修订以及相关业务规则所定义的基金份额的登记、存管、结算及相关业务</w:t>
      </w:r>
    </w:p>
    <w:p w14:paraId="0DA42E38">
      <w:pPr>
        <w:pStyle w:val="7"/>
        <w:spacing w:before="0" w:beforeAutospacing="0" w:after="0" w:afterAutospacing="0" w:line="360" w:lineRule="auto"/>
        <w:ind w:firstLine="420"/>
        <w:rPr>
          <w:sz w:val="21"/>
          <w:szCs w:val="21"/>
        </w:rPr>
      </w:pPr>
      <w:r>
        <w:rPr>
          <w:rFonts w:hint="eastAsia"/>
          <w:sz w:val="21"/>
          <w:szCs w:val="21"/>
        </w:rPr>
        <w:t>34. 深圳证券账户：指深圳证券交易所人民币普通股票账户（即A股账户）或深圳证券交易所基金账户</w:t>
      </w:r>
    </w:p>
    <w:p w14:paraId="7A541271">
      <w:pPr>
        <w:pStyle w:val="7"/>
        <w:spacing w:before="0" w:beforeAutospacing="0" w:after="0" w:afterAutospacing="0" w:line="360" w:lineRule="auto"/>
        <w:ind w:firstLine="420"/>
        <w:rPr>
          <w:sz w:val="21"/>
          <w:szCs w:val="21"/>
        </w:rPr>
      </w:pPr>
      <w:r>
        <w:rPr>
          <w:rFonts w:hint="eastAsia"/>
          <w:sz w:val="21"/>
          <w:szCs w:val="21"/>
        </w:rPr>
        <w:t>35. 基金合同生效日：指基金募集达到法律法规规定及基金合同规定的条件，基金管理人向中国证监会办理基金备案手续完毕，并获得中国证监会书面确认的日期</w:t>
      </w:r>
    </w:p>
    <w:p w14:paraId="745C2FED">
      <w:pPr>
        <w:pStyle w:val="7"/>
        <w:spacing w:before="0" w:beforeAutospacing="0" w:after="0" w:afterAutospacing="0" w:line="360" w:lineRule="auto"/>
        <w:ind w:firstLine="420"/>
        <w:rPr>
          <w:sz w:val="21"/>
          <w:szCs w:val="21"/>
        </w:rPr>
      </w:pPr>
      <w:r>
        <w:rPr>
          <w:rFonts w:hint="eastAsia"/>
          <w:sz w:val="21"/>
          <w:szCs w:val="21"/>
        </w:rPr>
        <w:t>36. 基金合同终止日：指基金合同规定的基金合同终止事由出现后，基金财产清算完毕，清算结果报中国证监会备案并予以公告的日期</w:t>
      </w:r>
    </w:p>
    <w:p w14:paraId="7565DD87">
      <w:pPr>
        <w:pStyle w:val="7"/>
        <w:spacing w:before="0" w:beforeAutospacing="0" w:after="0" w:afterAutospacing="0" w:line="360" w:lineRule="auto"/>
        <w:ind w:firstLine="420"/>
        <w:rPr>
          <w:sz w:val="21"/>
          <w:szCs w:val="21"/>
        </w:rPr>
      </w:pPr>
      <w:r>
        <w:rPr>
          <w:rFonts w:hint="eastAsia"/>
          <w:sz w:val="21"/>
          <w:szCs w:val="21"/>
        </w:rPr>
        <w:t>37. 基金募集期：指自基金份额发售之日起至发售结束之日止的期间，最长不得超过3个月</w:t>
      </w:r>
    </w:p>
    <w:p w14:paraId="2DF32710">
      <w:pPr>
        <w:pStyle w:val="7"/>
        <w:spacing w:before="0" w:beforeAutospacing="0" w:after="0" w:afterAutospacing="0" w:line="360" w:lineRule="auto"/>
        <w:ind w:firstLine="420"/>
        <w:rPr>
          <w:sz w:val="21"/>
          <w:szCs w:val="21"/>
        </w:rPr>
      </w:pPr>
      <w:r>
        <w:rPr>
          <w:rFonts w:hint="eastAsia"/>
          <w:sz w:val="21"/>
          <w:szCs w:val="21"/>
        </w:rPr>
        <w:t>38. 存续期：指基金合同生效至终止之间的不定期期限</w:t>
      </w:r>
    </w:p>
    <w:p w14:paraId="21A3830A">
      <w:pPr>
        <w:pStyle w:val="7"/>
        <w:spacing w:before="0" w:beforeAutospacing="0" w:after="0" w:afterAutospacing="0" w:line="360" w:lineRule="auto"/>
        <w:ind w:firstLine="420"/>
        <w:rPr>
          <w:sz w:val="21"/>
          <w:szCs w:val="21"/>
        </w:rPr>
      </w:pPr>
      <w:r>
        <w:rPr>
          <w:rFonts w:hint="eastAsia"/>
          <w:sz w:val="21"/>
          <w:szCs w:val="21"/>
        </w:rPr>
        <w:t>39. 工作日：指上海证券交易所、深圳证券交易所的正常交易日</w:t>
      </w:r>
    </w:p>
    <w:p w14:paraId="55053742">
      <w:pPr>
        <w:pStyle w:val="7"/>
        <w:spacing w:before="0" w:beforeAutospacing="0" w:after="0" w:afterAutospacing="0" w:line="360" w:lineRule="auto"/>
        <w:ind w:firstLine="420"/>
        <w:rPr>
          <w:sz w:val="21"/>
          <w:szCs w:val="21"/>
        </w:rPr>
      </w:pPr>
      <w:r>
        <w:rPr>
          <w:rFonts w:hint="eastAsia"/>
          <w:sz w:val="21"/>
          <w:szCs w:val="21"/>
        </w:rPr>
        <w:t>40. T日：指销售机构在规定时间受理投资人申购、赎回或其他业务申请的开放日</w:t>
      </w:r>
    </w:p>
    <w:p w14:paraId="7D6251DC">
      <w:pPr>
        <w:pStyle w:val="7"/>
        <w:spacing w:before="0" w:beforeAutospacing="0" w:after="0" w:afterAutospacing="0" w:line="360" w:lineRule="auto"/>
        <w:ind w:firstLine="420"/>
        <w:rPr>
          <w:sz w:val="21"/>
          <w:szCs w:val="21"/>
        </w:rPr>
      </w:pPr>
      <w:r>
        <w:rPr>
          <w:rFonts w:hint="eastAsia"/>
          <w:sz w:val="21"/>
          <w:szCs w:val="21"/>
        </w:rPr>
        <w:t>41. T+n日：指自T日起第n个工作日（不包含T日）</w:t>
      </w:r>
    </w:p>
    <w:p w14:paraId="20813E9B">
      <w:pPr>
        <w:pStyle w:val="7"/>
        <w:spacing w:before="0" w:beforeAutospacing="0" w:after="0" w:afterAutospacing="0" w:line="360" w:lineRule="auto"/>
        <w:ind w:firstLine="420"/>
        <w:rPr>
          <w:sz w:val="21"/>
          <w:szCs w:val="21"/>
        </w:rPr>
      </w:pPr>
      <w:r>
        <w:rPr>
          <w:rFonts w:hint="eastAsia"/>
          <w:sz w:val="21"/>
          <w:szCs w:val="21"/>
        </w:rPr>
        <w:t>42. 开放日：指为投资人办理基金份额申购、赎回或其他业务的工作日（若本基金参与港股通交易且该交易日为非港股通交易日，则基金管理人可根据实际情况决定本基金是否开放申购、赎回业务，具体以届时提前发布的公告为准）</w:t>
      </w:r>
    </w:p>
    <w:p w14:paraId="7A7B00B8">
      <w:pPr>
        <w:pStyle w:val="7"/>
        <w:spacing w:before="0" w:beforeAutospacing="0" w:after="0" w:afterAutospacing="0" w:line="360" w:lineRule="auto"/>
        <w:ind w:firstLine="420"/>
        <w:rPr>
          <w:sz w:val="21"/>
          <w:szCs w:val="21"/>
        </w:rPr>
      </w:pPr>
      <w:r>
        <w:rPr>
          <w:rFonts w:hint="eastAsia"/>
          <w:sz w:val="21"/>
          <w:szCs w:val="21"/>
        </w:rPr>
        <w:t>43. 开放时间：指开放日基金接受申购、赎回或其他交易的时间段</w:t>
      </w:r>
    </w:p>
    <w:p w14:paraId="3CAFA7A1">
      <w:pPr>
        <w:pStyle w:val="7"/>
        <w:spacing w:before="0" w:beforeAutospacing="0" w:after="0" w:afterAutospacing="0" w:line="360" w:lineRule="auto"/>
        <w:ind w:firstLine="420"/>
        <w:rPr>
          <w:sz w:val="21"/>
          <w:szCs w:val="21"/>
        </w:rPr>
      </w:pPr>
      <w:r>
        <w:rPr>
          <w:rFonts w:hint="eastAsia"/>
          <w:sz w:val="21"/>
          <w:szCs w:val="21"/>
        </w:rPr>
        <w:t>44. 认购：指在基金募集期内，投资人根据基金合同和招募说明书的规定申请购买基金份额的行为</w:t>
      </w:r>
    </w:p>
    <w:p w14:paraId="0B8B5C4A">
      <w:pPr>
        <w:pStyle w:val="7"/>
        <w:spacing w:before="0" w:beforeAutospacing="0" w:after="0" w:afterAutospacing="0" w:line="360" w:lineRule="auto"/>
        <w:ind w:firstLine="420"/>
        <w:rPr>
          <w:sz w:val="21"/>
          <w:szCs w:val="21"/>
        </w:rPr>
      </w:pPr>
      <w:r>
        <w:rPr>
          <w:rFonts w:hint="eastAsia"/>
          <w:sz w:val="21"/>
          <w:szCs w:val="21"/>
        </w:rPr>
        <w:t>45. 申购：指基金合同生效后，投资人根据基金合同和招募说明书的规定，以申购赎回清单规定的申购对价申请购买基金份额的行为</w:t>
      </w:r>
    </w:p>
    <w:p w14:paraId="2C7E3857">
      <w:pPr>
        <w:pStyle w:val="7"/>
        <w:spacing w:before="0" w:beforeAutospacing="0" w:after="0" w:afterAutospacing="0" w:line="360" w:lineRule="auto"/>
        <w:ind w:firstLine="420"/>
        <w:rPr>
          <w:sz w:val="21"/>
          <w:szCs w:val="21"/>
        </w:rPr>
      </w:pPr>
      <w:r>
        <w:rPr>
          <w:rFonts w:hint="eastAsia"/>
          <w:sz w:val="21"/>
          <w:szCs w:val="21"/>
        </w:rPr>
        <w:t>46. 赎回：指基金合同生效后，基金份额持有人按基金合同和招募说明书规定的条件要求将本基金份额兑换为申购赎回清单规定的赎回对价的行为</w:t>
      </w:r>
    </w:p>
    <w:p w14:paraId="474B8C64">
      <w:pPr>
        <w:pStyle w:val="7"/>
        <w:spacing w:before="0" w:beforeAutospacing="0" w:after="0" w:afterAutospacing="0" w:line="360" w:lineRule="auto"/>
        <w:ind w:firstLine="420"/>
        <w:rPr>
          <w:sz w:val="21"/>
          <w:szCs w:val="21"/>
        </w:rPr>
      </w:pPr>
      <w:r>
        <w:rPr>
          <w:rFonts w:hint="eastAsia"/>
          <w:sz w:val="21"/>
          <w:szCs w:val="21"/>
        </w:rPr>
        <w:t>47. 申购赎回清单：指由基金管理人编制的用以公告申购对价、赎回对价等信息的文件 </w:t>
      </w:r>
    </w:p>
    <w:p w14:paraId="11ECDB8C">
      <w:pPr>
        <w:pStyle w:val="7"/>
        <w:spacing w:before="0" w:beforeAutospacing="0" w:after="0" w:afterAutospacing="0" w:line="360" w:lineRule="auto"/>
        <w:ind w:firstLine="420"/>
        <w:rPr>
          <w:sz w:val="21"/>
          <w:szCs w:val="21"/>
        </w:rPr>
      </w:pPr>
      <w:r>
        <w:rPr>
          <w:rFonts w:hint="eastAsia"/>
          <w:sz w:val="21"/>
          <w:szCs w:val="21"/>
        </w:rPr>
        <w:t>48. 申购对价：指投资人申购基金份额时，按基金合同和招募说明书规定应交付的组合证券、现金替代、现金差额和/或其他对价</w:t>
      </w:r>
    </w:p>
    <w:p w14:paraId="0E401E62">
      <w:pPr>
        <w:pStyle w:val="7"/>
        <w:spacing w:before="0" w:beforeAutospacing="0" w:after="0" w:afterAutospacing="0" w:line="360" w:lineRule="auto"/>
        <w:ind w:firstLine="420"/>
        <w:rPr>
          <w:sz w:val="21"/>
          <w:szCs w:val="21"/>
        </w:rPr>
      </w:pPr>
      <w:r>
        <w:rPr>
          <w:rFonts w:hint="eastAsia"/>
          <w:sz w:val="21"/>
          <w:szCs w:val="21"/>
        </w:rPr>
        <w:t>49. 赎回对价：指投资人赎回基金份额时，基金管理人按基金合同和招募说明书规定应交付给赎回人的组合证券、现金替代、现金差额和/或其他对价</w:t>
      </w:r>
    </w:p>
    <w:p w14:paraId="21721291">
      <w:pPr>
        <w:pStyle w:val="7"/>
        <w:spacing w:before="0" w:beforeAutospacing="0" w:after="0" w:afterAutospacing="0" w:line="360" w:lineRule="auto"/>
        <w:ind w:firstLine="420"/>
        <w:rPr>
          <w:sz w:val="21"/>
          <w:szCs w:val="21"/>
        </w:rPr>
      </w:pPr>
      <w:r>
        <w:rPr>
          <w:rFonts w:hint="eastAsia"/>
          <w:sz w:val="21"/>
          <w:szCs w:val="21"/>
        </w:rPr>
        <w:t>50. 组合证券：指本基金标的指数所包含的全部或部分证券</w:t>
      </w:r>
    </w:p>
    <w:p w14:paraId="638C909A">
      <w:pPr>
        <w:pStyle w:val="7"/>
        <w:spacing w:before="0" w:beforeAutospacing="0" w:after="0" w:afterAutospacing="0" w:line="360" w:lineRule="auto"/>
        <w:ind w:firstLine="420"/>
        <w:rPr>
          <w:sz w:val="21"/>
          <w:szCs w:val="21"/>
        </w:rPr>
      </w:pPr>
      <w:r>
        <w:rPr>
          <w:rFonts w:hint="eastAsia"/>
          <w:sz w:val="21"/>
          <w:szCs w:val="21"/>
        </w:rPr>
        <w:t>51. 标的指数：指中证指数有限公司编制并发布的中证半导体产业指数及其未来可能发生的变更</w:t>
      </w:r>
    </w:p>
    <w:p w14:paraId="739CCF15">
      <w:pPr>
        <w:pStyle w:val="7"/>
        <w:spacing w:before="0" w:beforeAutospacing="0" w:after="0" w:afterAutospacing="0" w:line="360" w:lineRule="auto"/>
        <w:ind w:firstLine="420"/>
        <w:rPr>
          <w:sz w:val="21"/>
          <w:szCs w:val="21"/>
        </w:rPr>
      </w:pPr>
      <w:r>
        <w:rPr>
          <w:rFonts w:hint="eastAsia"/>
          <w:sz w:val="21"/>
          <w:szCs w:val="21"/>
        </w:rPr>
        <w:t>52. 完全复制法：指跟踪指数的方法。通过购买标的指数中的所有成份证券，并且按照每种成份证券在标的指数中的权重确定购买的比例以构建指数组合，达到复制指数的目的</w:t>
      </w:r>
    </w:p>
    <w:p w14:paraId="372C7A8F">
      <w:pPr>
        <w:pStyle w:val="7"/>
        <w:spacing w:before="0" w:beforeAutospacing="0" w:after="0" w:afterAutospacing="0" w:line="360" w:lineRule="auto"/>
        <w:ind w:firstLine="420"/>
        <w:rPr>
          <w:sz w:val="21"/>
          <w:szCs w:val="21"/>
        </w:rPr>
      </w:pPr>
      <w:r>
        <w:rPr>
          <w:rFonts w:hint="eastAsia"/>
          <w:sz w:val="21"/>
          <w:szCs w:val="21"/>
        </w:rPr>
        <w:t>53. 现金替代：指申购、赎回过程中，投资人按基金合同和招募说明书的规定，用于替代组合证券中部分证券的一定数量的现金</w:t>
      </w:r>
    </w:p>
    <w:p w14:paraId="6A8773C6">
      <w:pPr>
        <w:pStyle w:val="7"/>
        <w:spacing w:before="0" w:beforeAutospacing="0" w:after="0" w:afterAutospacing="0" w:line="360" w:lineRule="auto"/>
        <w:ind w:firstLine="420"/>
        <w:rPr>
          <w:sz w:val="21"/>
          <w:szCs w:val="21"/>
        </w:rPr>
      </w:pPr>
      <w:r>
        <w:rPr>
          <w:rFonts w:hint="eastAsia"/>
          <w:sz w:val="21"/>
          <w:szCs w:val="21"/>
        </w:rPr>
        <w:t>54. 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1CF45FB2">
      <w:pPr>
        <w:pStyle w:val="7"/>
        <w:spacing w:before="0" w:beforeAutospacing="0" w:after="0" w:afterAutospacing="0" w:line="360" w:lineRule="auto"/>
        <w:ind w:firstLine="420"/>
        <w:rPr>
          <w:sz w:val="21"/>
          <w:szCs w:val="21"/>
        </w:rPr>
      </w:pPr>
      <w:r>
        <w:rPr>
          <w:rFonts w:hint="eastAsia"/>
          <w:sz w:val="21"/>
          <w:szCs w:val="21"/>
        </w:rPr>
        <w:t>55. 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50C454BE">
      <w:pPr>
        <w:pStyle w:val="7"/>
        <w:spacing w:before="0" w:beforeAutospacing="0" w:after="0" w:afterAutospacing="0" w:line="360" w:lineRule="auto"/>
        <w:ind w:firstLine="420"/>
        <w:rPr>
          <w:sz w:val="21"/>
          <w:szCs w:val="21"/>
        </w:rPr>
      </w:pPr>
      <w:r>
        <w:rPr>
          <w:rFonts w:hint="eastAsia"/>
          <w:sz w:val="21"/>
          <w:szCs w:val="21"/>
        </w:rPr>
        <w:t>56. 最小申购、赎回单位：指本基金申购、赎回份额的最低数量，投资人申购、赎回的基金份额应为最小申购、赎回单位的整数倍</w:t>
      </w:r>
    </w:p>
    <w:p w14:paraId="231CA028">
      <w:pPr>
        <w:pStyle w:val="7"/>
        <w:spacing w:before="0" w:beforeAutospacing="0" w:after="0" w:afterAutospacing="0" w:line="360" w:lineRule="auto"/>
        <w:ind w:firstLine="420"/>
        <w:rPr>
          <w:sz w:val="21"/>
          <w:szCs w:val="21"/>
        </w:rPr>
      </w:pPr>
      <w:r>
        <w:rPr>
          <w:rFonts w:hint="eastAsia"/>
          <w:sz w:val="21"/>
          <w:szCs w:val="21"/>
        </w:rPr>
        <w:t>57. 基金份额参考净值：指基金管理人或基金管理人委托其他机构在相关证券交易所交易时间内根据申购赎回清单和组合证券内各只证券的实时成交数据及汇率数据计算并发布的基金份额参考净值，简称IOPV</w:t>
      </w:r>
    </w:p>
    <w:p w14:paraId="53691A5B">
      <w:pPr>
        <w:pStyle w:val="7"/>
        <w:spacing w:before="0" w:beforeAutospacing="0" w:after="0" w:afterAutospacing="0" w:line="360" w:lineRule="auto"/>
        <w:ind w:firstLine="420"/>
        <w:rPr>
          <w:sz w:val="21"/>
          <w:szCs w:val="21"/>
        </w:rPr>
      </w:pPr>
      <w:r>
        <w:rPr>
          <w:rFonts w:hint="eastAsia"/>
          <w:sz w:val="21"/>
          <w:szCs w:val="21"/>
        </w:rPr>
        <w:t>58. 预估现金差额：指为便于计算基金份额参考净值及申购、赎回代理券商预先冻结申请申购、赎回的投资人的相应资金，由基金管理人计算并公布的现金差额的预估值</w:t>
      </w:r>
    </w:p>
    <w:p w14:paraId="1E572B8B">
      <w:pPr>
        <w:pStyle w:val="7"/>
        <w:spacing w:before="0" w:beforeAutospacing="0" w:after="0" w:afterAutospacing="0" w:line="360" w:lineRule="auto"/>
        <w:ind w:firstLine="420"/>
        <w:rPr>
          <w:sz w:val="21"/>
          <w:szCs w:val="21"/>
        </w:rPr>
      </w:pPr>
      <w:r>
        <w:rPr>
          <w:rFonts w:hint="eastAsia"/>
          <w:sz w:val="21"/>
          <w:szCs w:val="21"/>
        </w:rPr>
        <w:t>59. 元：指人民币元</w:t>
      </w:r>
    </w:p>
    <w:p w14:paraId="734F93AC">
      <w:pPr>
        <w:pStyle w:val="7"/>
        <w:spacing w:before="0" w:beforeAutospacing="0" w:after="0" w:afterAutospacing="0" w:line="360" w:lineRule="auto"/>
        <w:ind w:firstLine="420"/>
        <w:rPr>
          <w:sz w:val="21"/>
          <w:szCs w:val="21"/>
        </w:rPr>
      </w:pPr>
      <w:r>
        <w:rPr>
          <w:rFonts w:hint="eastAsia"/>
          <w:sz w:val="21"/>
          <w:szCs w:val="21"/>
        </w:rPr>
        <w:t>60. 基金收益：指基金投资所得红利、股息、债券利息、买卖证券价差、银行存款利息、已实现的其他合法收入及因运用基金财产带来的成本和费用的节约</w:t>
      </w:r>
    </w:p>
    <w:p w14:paraId="085DCAA2">
      <w:pPr>
        <w:pStyle w:val="7"/>
        <w:spacing w:before="0" w:beforeAutospacing="0" w:after="0" w:afterAutospacing="0" w:line="360" w:lineRule="auto"/>
        <w:ind w:firstLine="420"/>
        <w:rPr>
          <w:sz w:val="21"/>
          <w:szCs w:val="21"/>
        </w:rPr>
      </w:pPr>
      <w:r>
        <w:rPr>
          <w:rFonts w:hint="eastAsia"/>
          <w:sz w:val="21"/>
          <w:szCs w:val="21"/>
        </w:rPr>
        <w:t>61. 基金份额折算：指基金管理人根据基金合同规定将投资人的基金份额进行变更登记的行为</w:t>
      </w:r>
    </w:p>
    <w:p w14:paraId="0D77D56E">
      <w:pPr>
        <w:pStyle w:val="7"/>
        <w:spacing w:before="0" w:beforeAutospacing="0" w:after="0" w:afterAutospacing="0" w:line="360" w:lineRule="auto"/>
        <w:ind w:firstLine="420"/>
        <w:rPr>
          <w:sz w:val="21"/>
          <w:szCs w:val="21"/>
        </w:rPr>
      </w:pPr>
      <w:r>
        <w:rPr>
          <w:rFonts w:hint="eastAsia"/>
          <w:sz w:val="21"/>
          <w:szCs w:val="21"/>
        </w:rPr>
        <w:t>62. 收益评价日：指基金管理人计算本基金份额净值增长率与标的指数同期增长率差额之日</w:t>
      </w:r>
    </w:p>
    <w:p w14:paraId="1B125FB6">
      <w:pPr>
        <w:pStyle w:val="7"/>
        <w:spacing w:before="0" w:beforeAutospacing="0" w:after="0" w:afterAutospacing="0" w:line="360" w:lineRule="auto"/>
        <w:ind w:firstLine="420"/>
        <w:rPr>
          <w:sz w:val="21"/>
          <w:szCs w:val="21"/>
        </w:rPr>
      </w:pPr>
      <w:r>
        <w:rPr>
          <w:rFonts w:hint="eastAsia"/>
          <w:sz w:val="21"/>
          <w:szCs w:val="21"/>
        </w:rPr>
        <w:t>63. 基金份额净值增长率：指收益评价日基金份额净值与基金上市前一日基金份额净值之比减去1乘以100%（期间发生基金份额折算、拆分或合并，则以基金份额折算日、经拆分或合并调整后的基金份额折算日为初始日重新计算）</w:t>
      </w:r>
    </w:p>
    <w:p w14:paraId="6AA77E2F">
      <w:pPr>
        <w:pStyle w:val="7"/>
        <w:spacing w:before="0" w:beforeAutospacing="0" w:after="0" w:afterAutospacing="0" w:line="360" w:lineRule="auto"/>
        <w:ind w:firstLine="420"/>
        <w:rPr>
          <w:sz w:val="21"/>
          <w:szCs w:val="21"/>
        </w:rPr>
      </w:pPr>
      <w:r>
        <w:rPr>
          <w:rFonts w:hint="eastAsia"/>
          <w:sz w:val="21"/>
          <w:szCs w:val="21"/>
        </w:rPr>
        <w:t>64. 标的指数同期增长率：指收益评价日标的指数收盘价与基金上市前一日标的指数收盘价之比减去1乘以100%（期间发生基金份额折算、拆分或合并，则以基金份额折算日、经拆分或合并调整后的基金份额折算日为初始日重新计算） </w:t>
      </w:r>
    </w:p>
    <w:p w14:paraId="0A28005A">
      <w:pPr>
        <w:pStyle w:val="7"/>
        <w:spacing w:before="0" w:beforeAutospacing="0" w:after="0" w:afterAutospacing="0" w:line="360" w:lineRule="auto"/>
        <w:ind w:firstLine="420"/>
        <w:rPr>
          <w:sz w:val="21"/>
          <w:szCs w:val="21"/>
        </w:rPr>
      </w:pPr>
      <w:r>
        <w:rPr>
          <w:rFonts w:hint="eastAsia"/>
          <w:sz w:val="21"/>
          <w:szCs w:val="21"/>
        </w:rPr>
        <w:t>65. 基金资产总值：指基金拥有的各类有价证券、银行存款本息、基金应收款项及其他资产的价值总和</w:t>
      </w:r>
    </w:p>
    <w:p w14:paraId="56A892CC">
      <w:pPr>
        <w:pStyle w:val="7"/>
        <w:spacing w:before="0" w:beforeAutospacing="0" w:after="0" w:afterAutospacing="0" w:line="360" w:lineRule="auto"/>
        <w:ind w:firstLine="420"/>
        <w:rPr>
          <w:sz w:val="21"/>
          <w:szCs w:val="21"/>
        </w:rPr>
      </w:pPr>
      <w:r>
        <w:rPr>
          <w:rFonts w:hint="eastAsia"/>
          <w:sz w:val="21"/>
          <w:szCs w:val="21"/>
        </w:rPr>
        <w:t>66. 基金资产净值：指基金资产总值减去基金负债后的价值</w:t>
      </w:r>
    </w:p>
    <w:p w14:paraId="4A982D1D">
      <w:pPr>
        <w:pStyle w:val="7"/>
        <w:spacing w:before="0" w:beforeAutospacing="0" w:after="0" w:afterAutospacing="0" w:line="360" w:lineRule="auto"/>
        <w:ind w:firstLine="420"/>
        <w:rPr>
          <w:sz w:val="21"/>
          <w:szCs w:val="21"/>
        </w:rPr>
      </w:pPr>
      <w:r>
        <w:rPr>
          <w:rFonts w:hint="eastAsia"/>
          <w:sz w:val="21"/>
          <w:szCs w:val="21"/>
        </w:rPr>
        <w:t>67. 基金份额净值：指计算日基金资产净值除以计算日基金份额总数</w:t>
      </w:r>
    </w:p>
    <w:p w14:paraId="783A7561">
      <w:pPr>
        <w:pStyle w:val="7"/>
        <w:spacing w:before="0" w:beforeAutospacing="0" w:after="0" w:afterAutospacing="0" w:line="360" w:lineRule="auto"/>
        <w:ind w:firstLine="420"/>
        <w:rPr>
          <w:sz w:val="21"/>
          <w:szCs w:val="21"/>
        </w:rPr>
      </w:pPr>
      <w:r>
        <w:rPr>
          <w:rFonts w:hint="eastAsia"/>
          <w:sz w:val="21"/>
          <w:szCs w:val="21"/>
        </w:rPr>
        <w:t>68. 基金资产估值：指计算评估基金资产和负债的价值，以确定基金资产净值和基金份额净值的过程</w:t>
      </w:r>
    </w:p>
    <w:p w14:paraId="1A88702A">
      <w:pPr>
        <w:pStyle w:val="7"/>
        <w:spacing w:before="0" w:beforeAutospacing="0" w:after="0" w:afterAutospacing="0" w:line="360" w:lineRule="auto"/>
        <w:ind w:firstLine="420"/>
        <w:rPr>
          <w:sz w:val="21"/>
          <w:szCs w:val="21"/>
        </w:rPr>
      </w:pPr>
      <w:r>
        <w:rPr>
          <w:rFonts w:hint="eastAsia"/>
          <w:sz w:val="21"/>
          <w:szCs w:val="21"/>
        </w:rPr>
        <w:t>69. 规定媒介：指符合中国证监会规定条件的用以进行信息披露的全国性报刊及《信息披露办法》规定的互联网网站（包括基金管理人网站、基金托管人网站、中国证监会基金电子披露网站）等媒介</w:t>
      </w:r>
    </w:p>
    <w:p w14:paraId="62A9EA03">
      <w:pPr>
        <w:pStyle w:val="7"/>
        <w:spacing w:before="0" w:beforeAutospacing="0" w:after="0" w:afterAutospacing="0" w:line="360" w:lineRule="auto"/>
        <w:ind w:firstLine="420"/>
        <w:rPr>
          <w:sz w:val="21"/>
          <w:szCs w:val="21"/>
        </w:rPr>
      </w:pPr>
      <w:r>
        <w:rPr>
          <w:rFonts w:hint="eastAsia"/>
          <w:sz w:val="21"/>
          <w:szCs w:val="21"/>
        </w:rPr>
        <w:t>70. ETF：指《深圳证券交易所证券投资基金交易和申购赎回实施细则》定义的“交易型开放式基金”</w:t>
      </w:r>
    </w:p>
    <w:p w14:paraId="23E4C319">
      <w:pPr>
        <w:pStyle w:val="7"/>
        <w:spacing w:before="0" w:beforeAutospacing="0" w:after="0" w:afterAutospacing="0" w:line="360" w:lineRule="auto"/>
        <w:ind w:firstLine="420"/>
        <w:rPr>
          <w:sz w:val="21"/>
          <w:szCs w:val="21"/>
        </w:rPr>
      </w:pPr>
      <w:r>
        <w:rPr>
          <w:rFonts w:hint="eastAsia"/>
          <w:sz w:val="21"/>
          <w:szCs w:val="21"/>
        </w:rPr>
        <w:t>71. 联接基金：指将绝大部分基金财产投资于跟踪同一标的指数的本基金（即目标ETF），紧密跟踪标的指数表现，追求跟踪偏离度和跟踪误差最小化，获得与指数收益相似的回报，采用开放式运作方式的基金</w:t>
      </w:r>
    </w:p>
    <w:p w14:paraId="52773317">
      <w:pPr>
        <w:pStyle w:val="7"/>
        <w:spacing w:before="0" w:beforeAutospacing="0" w:after="0" w:afterAutospacing="0" w:line="360" w:lineRule="auto"/>
        <w:ind w:firstLine="420"/>
        <w:rPr>
          <w:sz w:val="21"/>
          <w:szCs w:val="21"/>
        </w:rPr>
      </w:pPr>
      <w:r>
        <w:rPr>
          <w:rFonts w:hint="eastAsia"/>
          <w:sz w:val="21"/>
          <w:szCs w:val="21"/>
        </w:rPr>
        <w:t>72. 港股通：指内地投资者委托内地证券公司，经由内地证券交易所或经中国证监会认可的机构设立的证券交易服务公司，向香港联合交易所有限公司进行申报，买卖规定范围内的香港联合交易所上市的股票</w:t>
      </w:r>
    </w:p>
    <w:p w14:paraId="465E4504">
      <w:pPr>
        <w:pStyle w:val="7"/>
        <w:spacing w:before="0" w:beforeAutospacing="0" w:after="0" w:afterAutospacing="0" w:line="360" w:lineRule="auto"/>
        <w:ind w:firstLine="420"/>
        <w:rPr>
          <w:sz w:val="21"/>
          <w:szCs w:val="21"/>
        </w:rPr>
      </w:pPr>
      <w:r>
        <w:rPr>
          <w:rFonts w:hint="eastAsia"/>
          <w:sz w:val="21"/>
          <w:szCs w:val="21"/>
        </w:rPr>
        <w:t>73. 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7D4AA73">
      <w:pPr>
        <w:pStyle w:val="7"/>
        <w:spacing w:before="0" w:beforeAutospacing="0" w:after="0" w:afterAutospacing="0" w:line="360" w:lineRule="auto"/>
        <w:ind w:firstLine="420"/>
        <w:rPr>
          <w:sz w:val="21"/>
          <w:szCs w:val="21"/>
        </w:rPr>
      </w:pPr>
      <w:r>
        <w:rPr>
          <w:rFonts w:hint="eastAsia"/>
          <w:sz w:val="21"/>
          <w:szCs w:val="21"/>
        </w:rPr>
        <w:t>74. 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3D028624">
      <w:pPr>
        <w:pStyle w:val="7"/>
        <w:spacing w:before="0" w:beforeAutospacing="0" w:after="0" w:afterAutospacing="0" w:line="360" w:lineRule="auto"/>
        <w:ind w:firstLine="420"/>
        <w:rPr>
          <w:sz w:val="21"/>
          <w:szCs w:val="21"/>
        </w:rPr>
      </w:pPr>
      <w:r>
        <w:rPr>
          <w:rFonts w:hint="eastAsia"/>
          <w:sz w:val="21"/>
          <w:szCs w:val="21"/>
        </w:rPr>
        <w:t>75. 特定投资者：指《中国证券登记结算有限责任公司深圳分公司交易型开放式基金登记结算业务指南》规定的不通过代办证券公司经纪交易单元，而通过基金管理人直销申报跨市场股票ETF场外组合证券申购赎回申请的保险产品、全国社保基金、证券投资基金、证券集合资产管理计划等特殊机构及产品投资者</w:t>
      </w:r>
    </w:p>
    <w:p w14:paraId="27C857FE">
      <w:pPr>
        <w:pStyle w:val="7"/>
        <w:spacing w:before="0" w:beforeAutospacing="0" w:after="0" w:afterAutospacing="0" w:line="360" w:lineRule="auto"/>
        <w:ind w:firstLine="420"/>
        <w:rPr>
          <w:sz w:val="21"/>
          <w:szCs w:val="21"/>
        </w:rPr>
      </w:pPr>
      <w:r>
        <w:rPr>
          <w:rFonts w:hint="eastAsia"/>
          <w:sz w:val="21"/>
          <w:szCs w:val="21"/>
        </w:rPr>
        <w:t>76. 中国：指中华人民共和国，就基金合同而言，不包括香港特别行政区、澳门特别行政区和台湾地区</w:t>
      </w:r>
    </w:p>
    <w:p w14:paraId="64091CD2">
      <w:pPr>
        <w:pStyle w:val="7"/>
        <w:spacing w:before="0" w:beforeAutospacing="0" w:after="0" w:afterAutospacing="0" w:line="360" w:lineRule="auto"/>
        <w:ind w:firstLine="420"/>
        <w:rPr>
          <w:sz w:val="21"/>
          <w:szCs w:val="21"/>
        </w:rPr>
      </w:pPr>
      <w:bookmarkStart w:id="24" w:name="chapter_level1_4_49_section_1_end"/>
      <w:bookmarkEnd w:id="24"/>
      <w:r>
        <w:rPr>
          <w:rFonts w:hint="eastAsia"/>
          <w:sz w:val="21"/>
          <w:szCs w:val="21"/>
        </w:rPr>
        <w:t>77. 不可抗力：指基金合同当事人不能预见、不能避免且不能克服的客观事件</w:t>
      </w:r>
    </w:p>
    <w:p w14:paraId="006AADE0">
      <w:pPr>
        <w:widowControl/>
        <w:jc w:val="left"/>
        <w:rPr>
          <w:rFonts w:ascii="宋体" w:hAnsi="宋体" w:eastAsia="宋体"/>
        </w:rPr>
      </w:pPr>
      <w:r>
        <w:rPr>
          <w:rFonts w:ascii="宋体" w:hAnsi="宋体" w:eastAsia="宋体"/>
        </w:rPr>
        <w:br w:type="page"/>
      </w:r>
    </w:p>
    <w:p w14:paraId="1822E870">
      <w:pPr>
        <w:pStyle w:val="2"/>
        <w:jc w:val="center"/>
        <w:rPr>
          <w:rFonts w:ascii="宋体" w:hAnsi="宋体" w:eastAsia="宋体"/>
          <w:sz w:val="30"/>
        </w:rPr>
      </w:pPr>
      <w:bookmarkStart w:id="25" w:name="_Toc207950926"/>
      <w:bookmarkStart w:id="26" w:name="chapter_level1_5_53"/>
      <w:r>
        <w:rPr>
          <w:rFonts w:hint="eastAsia" w:ascii="宋体" w:hAnsi="宋体" w:eastAsia="宋体"/>
          <w:sz w:val="30"/>
        </w:rPr>
        <w:t>第三部分  基金管理人</w:t>
      </w:r>
      <w:bookmarkEnd w:id="25"/>
      <w:bookmarkEnd w:id="26"/>
    </w:p>
    <w:p w14:paraId="70D02E1A">
      <w:pPr>
        <w:pStyle w:val="7"/>
        <w:spacing w:before="0" w:beforeAutospacing="0" w:after="0" w:afterAutospacing="0" w:line="360" w:lineRule="auto"/>
        <w:ind w:firstLine="420"/>
        <w:rPr>
          <w:sz w:val="21"/>
          <w:szCs w:val="21"/>
        </w:rPr>
      </w:pPr>
      <w:bookmarkStart w:id="27" w:name="chapter_level1_5_53_section_1"/>
      <w:bookmarkEnd w:id="27"/>
      <w:r>
        <w:rPr>
          <w:rStyle w:val="11"/>
          <w:rFonts w:hint="eastAsia"/>
          <w:sz w:val="21"/>
          <w:szCs w:val="21"/>
        </w:rPr>
        <w:t>一、基金管理人概况</w:t>
      </w:r>
    </w:p>
    <w:p w14:paraId="3FF26D37">
      <w:pPr>
        <w:pStyle w:val="7"/>
        <w:spacing w:before="0" w:beforeAutospacing="0" w:after="0" w:afterAutospacing="0" w:line="360" w:lineRule="auto"/>
        <w:ind w:firstLine="420"/>
        <w:jc w:val="both"/>
        <w:rPr>
          <w:sz w:val="21"/>
          <w:szCs w:val="21"/>
          <w:highlight w:val="none"/>
        </w:rPr>
      </w:pPr>
      <w:bookmarkStart w:id="28" w:name="field_0_managercompanyinfo_1_start"/>
      <w:bookmarkEnd w:id="28"/>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0B4591FD">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01B66C24">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0A6D1C54">
      <w:pPr>
        <w:pStyle w:val="7"/>
        <w:spacing w:before="0" w:beforeAutospacing="0" w:after="0" w:afterAutospacing="0" w:line="360" w:lineRule="auto"/>
        <w:ind w:firstLine="420"/>
        <w:jc w:val="both"/>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01B7ED48">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6DD9E0C">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15D64592">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1CF4182B">
      <w:pPr>
        <w:pStyle w:val="7"/>
        <w:spacing w:before="0" w:beforeAutospacing="0" w:after="0" w:afterAutospacing="0" w:line="360" w:lineRule="auto"/>
        <w:ind w:firstLine="420"/>
        <w:jc w:val="both"/>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3D02B87F">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联系电话：  （0755）8316 9999</w:t>
      </w:r>
    </w:p>
    <w:p w14:paraId="48D9C75C">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3E89EB01">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2D483DC8">
      <w:pPr>
        <w:pStyle w:val="7"/>
        <w:spacing w:before="0" w:beforeAutospacing="0" w:after="0" w:afterAutospacing="0" w:line="360" w:lineRule="auto"/>
        <w:ind w:firstLine="420"/>
        <w:rPr>
          <w:sz w:val="21"/>
          <w:szCs w:val="21"/>
        </w:rPr>
      </w:pPr>
      <w:r>
        <w:rPr>
          <w:rFonts w:hint="eastAsia"/>
          <w:sz w:val="21"/>
          <w:szCs w:val="21"/>
          <w:highlight w:val="none"/>
        </w:rPr>
        <w:t>公司已经建立健全投资管理制度、风险控制制度、内部监察制度、财务管理制度、人事管理制度、信息披露制度和员工行为准则等公司管理制度体系。</w:t>
      </w:r>
      <w:r>
        <w:rPr>
          <w:rFonts w:hint="eastAsia"/>
          <w:sz w:val="21"/>
          <w:szCs w:val="21"/>
        </w:rPr>
        <w:t xml:space="preserve"> </w:t>
      </w:r>
      <w:bookmarkStart w:id="29" w:name="field_0_managercompanyinfo_1_end"/>
      <w:bookmarkEnd w:id="29"/>
      <w:r>
        <w:rPr>
          <w:rFonts w:hint="eastAsia"/>
          <w:sz w:val="21"/>
          <w:szCs w:val="21"/>
        </w:rPr>
        <w:t xml:space="preserve"> </w:t>
      </w:r>
    </w:p>
    <w:p w14:paraId="7B830584">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0D13CA92">
      <w:pPr>
        <w:pStyle w:val="7"/>
        <w:spacing w:before="0" w:beforeAutospacing="0" w:after="0" w:afterAutospacing="0" w:line="360" w:lineRule="auto"/>
        <w:ind w:firstLine="420"/>
        <w:jc w:val="both"/>
        <w:rPr>
          <w:sz w:val="21"/>
          <w:szCs w:val="21"/>
          <w:highlight w:val="none"/>
        </w:rPr>
      </w:pPr>
      <w:bookmarkStart w:id="30" w:name="field_0_managerpersoninfo_1_start"/>
      <w:bookmarkEnd w:id="30"/>
      <w:r>
        <w:rPr>
          <w:rFonts w:hint="eastAsia"/>
          <w:sz w:val="21"/>
          <w:szCs w:val="21"/>
          <w:highlight w:val="none"/>
        </w:rPr>
        <w:t>1、基金管理人董事会成员</w:t>
      </w:r>
    </w:p>
    <w:p w14:paraId="43C6D30F">
      <w:pPr>
        <w:pStyle w:val="7"/>
        <w:spacing w:before="0" w:beforeAutospacing="0" w:after="0" w:afterAutospacing="0" w:line="360" w:lineRule="auto"/>
        <w:ind w:firstLine="420"/>
        <w:jc w:val="both"/>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3FEAF1C1">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0E08707B">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50CF9E5">
      <w:pPr>
        <w:pStyle w:val="7"/>
        <w:spacing w:before="0" w:beforeAutospacing="0" w:after="0" w:afterAutospacing="0" w:line="360" w:lineRule="auto"/>
        <w:ind w:firstLine="42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17F011B9">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AD1AED8">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55A3280">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87DB1E2">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0097015">
      <w:pPr>
        <w:pStyle w:val="7"/>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26A294DE">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5F9369C">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78B22416">
      <w:pPr>
        <w:pStyle w:val="7"/>
        <w:spacing w:before="0" w:beforeAutospacing="0" w:after="0" w:afterAutospacing="0" w:line="360" w:lineRule="auto"/>
        <w:ind w:firstLine="420"/>
        <w:jc w:val="both"/>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4DE3D57A">
      <w:pPr>
        <w:pStyle w:val="7"/>
        <w:spacing w:before="0" w:beforeAutospacing="0" w:after="0" w:afterAutospacing="0" w:line="360" w:lineRule="auto"/>
        <w:ind w:firstLine="420"/>
        <w:jc w:val="both"/>
        <w:rPr>
          <w:rFonts w:hint="eastAsia"/>
          <w:sz w:val="21"/>
          <w:szCs w:val="21"/>
          <w:highlight w:val="none"/>
        </w:rPr>
      </w:pPr>
      <w:bookmarkStart w:id="31" w:name="OLE_LINK3"/>
      <w:r>
        <w:rPr>
          <w:rFonts w:hint="eastAsia"/>
          <w:sz w:val="21"/>
          <w:szCs w:val="21"/>
          <w:highlight w:val="none"/>
          <w:lang w:eastAsia="zh-CN"/>
        </w:rPr>
        <w:t>张东先生，</w:t>
      </w:r>
      <w:r>
        <w:rPr>
          <w:rFonts w:hint="eastAsia"/>
          <w:sz w:val="21"/>
          <w:szCs w:val="21"/>
          <w:highlight w:val="none"/>
        </w:rPr>
        <w:t>简历同上。</w:t>
      </w:r>
    </w:p>
    <w:p w14:paraId="78C505B2">
      <w:pPr>
        <w:pStyle w:val="7"/>
        <w:spacing w:before="0" w:beforeAutospacing="0" w:after="0" w:afterAutospacing="0" w:line="360" w:lineRule="auto"/>
        <w:ind w:firstLine="420"/>
        <w:jc w:val="both"/>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1"/>
    <w:p w14:paraId="5B5DBD5A">
      <w:pPr>
        <w:pStyle w:val="7"/>
        <w:spacing w:before="0" w:beforeAutospacing="0" w:after="0" w:afterAutospacing="0" w:line="360" w:lineRule="auto"/>
        <w:ind w:firstLine="420"/>
        <w:jc w:val="both"/>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8C1E537">
      <w:pPr>
        <w:pStyle w:val="7"/>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2" w:name="field_0_managerpersoninfo_1_end"/>
      <w:bookmarkEnd w:id="32"/>
      <w:r>
        <w:rPr>
          <w:rFonts w:hint="eastAsia"/>
          <w:sz w:val="21"/>
          <w:szCs w:val="21"/>
        </w:rPr>
        <w:t xml:space="preserve"> </w:t>
      </w:r>
    </w:p>
    <w:p w14:paraId="494C0743">
      <w:pPr>
        <w:pStyle w:val="7"/>
        <w:spacing w:before="0" w:beforeAutospacing="0" w:after="0" w:afterAutospacing="0" w:line="360" w:lineRule="auto"/>
        <w:ind w:firstLine="420"/>
        <w:rPr>
          <w:sz w:val="21"/>
          <w:szCs w:val="21"/>
        </w:rPr>
      </w:pPr>
      <w:bookmarkStart w:id="33" w:name="chapter_level1_5_53_section_2"/>
      <w:bookmarkEnd w:id="33"/>
      <w:r>
        <w:rPr>
          <w:rFonts w:hint="eastAsia"/>
          <w:sz w:val="21"/>
          <w:szCs w:val="21"/>
          <w:lang w:val="en-US" w:eastAsia="zh-CN"/>
        </w:rPr>
        <w:t>3</w:t>
      </w:r>
      <w:r>
        <w:rPr>
          <w:rFonts w:hint="eastAsia"/>
          <w:sz w:val="21"/>
          <w:szCs w:val="21"/>
        </w:rPr>
        <w:t xml:space="preserve">、本基金基金经理 </w:t>
      </w:r>
    </w:p>
    <w:p w14:paraId="1771E817">
      <w:pPr>
        <w:pStyle w:val="7"/>
        <w:spacing w:before="0" w:beforeAutospacing="0" w:after="0" w:afterAutospacing="0" w:line="360" w:lineRule="auto"/>
        <w:ind w:firstLine="420"/>
        <w:jc w:val="both"/>
        <w:rPr>
          <w:sz w:val="21"/>
          <w:szCs w:val="21"/>
        </w:rPr>
      </w:pPr>
      <w:bookmarkStart w:id="34" w:name="field_0_fundmanagerresume_1_start"/>
      <w:bookmarkEnd w:id="34"/>
      <w:r>
        <w:rPr>
          <w:rFonts w:hint="eastAsia" w:ascii="宋体" w:hAnsi="宋体" w:eastAsia="宋体" w:cs="宋体"/>
          <w:i w:val="0"/>
          <w:iCs w:val="0"/>
          <w:caps w:val="0"/>
          <w:color w:val="auto"/>
          <w:spacing w:val="0"/>
          <w:sz w:val="21"/>
          <w:szCs w:val="21"/>
          <w:highlight w:val="none"/>
          <w:shd w:val="clear" w:fill="auto"/>
        </w:rPr>
        <w:t>尹浩先生，硕士。2012年起先后在华宝证券、国金证券工作。2015年加入博时基金管理有限公司。历任高级研究员、高级研究员兼基金经理助理、博时上证超级大盘交易型开放式指数证券投资基金联接基金(2019年10月11日-2023年3月8日)、上证超级大盘交易型开放式指数证券投资基金(2019年10月11日-2023年3月8日)、博时中证5G产业50交易型开放式指数证券投资基金发起式联接基金(2021年7月14日-2024年8月17日)、博时中证科创创业50交易型开放式指数证券投资基金发起式联接基金(2021年11月30日-2025年1月15日)、博时中证A100指数型证券投资基金(2024年12月25日-2025年6月23日)的基金经理。现任博时创业板交易型开放式指数证券投资基金(2019年10月11日—至今)、博时创业板交易型开放式指数证券投资基金联接基金(2019年10月11日—至今)、博时中证5G产业50交易型开放式指数证券投资基金(2020年3月27日—至今)、博时中证新能源汽车交易型开放式指数证券投资基金(2020年12月10日—至今)、博时中证智能消费主题交易型开放式指数证券投资基金(2020年12月30日—至今)、博时中证新能源交易型开放式指数证券投资基金(2021年7月15日—至今)、博时中证科创创业50交易型开放式指数证券投资基金(2021年8月19日—至今)、博时中证金融科技主题交易型开放式指数证券投资基金(2021年9月24日—至今)、博时国证龙头家电交易型开放式指数证券投资基金(2021年12月13日—至今)、博时中证湖北新旧动能转换交易型开放式指数证券投资基金(2021年12月29日—至今)、博时中证全指电力公用事业交易型开放式指数证券投资基金(2022年7月1日—至今)、博时中证成渝地区双城经济圈成份交易型开放式指数证券投资基金(2022年8月15日—至今)、博时中证全指电力公用事业交易型开放式指数证券投资基金发起式联接基金(2023年1月6日—至今)、博时中证新能源交易型开放式指数证券投资基金发起式联接基金(2023年11月28日—至今)、博时中证软件服务指数型发起式证券投资基金(2023年12月26日—至今)、博时中证半导体产业交易型开放式指数证券投资基金(2024年4月8日—至今)、博时国证龙头家电交易型开放式指数证券投资基金发起式联接基金(2024年5月28日—至今)、博时中证A100交易型开放式指数证券投资基金(2025年6月16日—至今)、博时中证金融科技主题交易型开放式指数证券投资基金联接基金(2025年6月19日—至今)、博时中证A100交易型开放式指数证券投资基金联接基金(2025年6月24日—至今)的基金经理。</w:t>
      </w:r>
      <w:bookmarkStart w:id="35" w:name="field_0_fundmanagerresume_1_end"/>
      <w:bookmarkEnd w:id="35"/>
      <w:r>
        <w:rPr>
          <w:rFonts w:hint="eastAsia"/>
          <w:sz w:val="21"/>
          <w:szCs w:val="21"/>
        </w:rPr>
        <w:t xml:space="preserve"> </w:t>
      </w:r>
    </w:p>
    <w:p w14:paraId="1F5F9239">
      <w:pPr>
        <w:pStyle w:val="7"/>
        <w:spacing w:before="0" w:beforeAutospacing="0" w:after="0" w:afterAutospacing="0" w:line="360" w:lineRule="auto"/>
        <w:ind w:firstLine="420"/>
        <w:rPr>
          <w:sz w:val="21"/>
          <w:szCs w:val="21"/>
        </w:rPr>
      </w:pPr>
      <w:bookmarkStart w:id="36" w:name="chapter_level1_5_53_section_3"/>
      <w:bookmarkEnd w:id="36"/>
      <w:bookmarkStart w:id="37" w:name="field_0_managerpersoninfo2_1_start"/>
      <w:bookmarkEnd w:id="37"/>
      <w:r>
        <w:rPr>
          <w:rFonts w:hint="eastAsia"/>
          <w:sz w:val="21"/>
          <w:szCs w:val="21"/>
          <w:lang w:val="en-US" w:eastAsia="zh-CN"/>
        </w:rPr>
        <w:t>4</w:t>
      </w:r>
      <w:r>
        <w:rPr>
          <w:rFonts w:hint="eastAsia"/>
          <w:sz w:val="21"/>
          <w:szCs w:val="21"/>
        </w:rPr>
        <w:t xml:space="preserve">、投资决策委员会成员 </w:t>
      </w:r>
    </w:p>
    <w:p w14:paraId="53B71887">
      <w:pPr>
        <w:spacing w:line="360" w:lineRule="auto"/>
        <w:ind w:firstLine="420" w:firstLineChars="0"/>
        <w:jc w:val="both"/>
        <w:rPr>
          <w:rFonts w:hint="eastAsia" w:ascii="宋体" w:hAnsi="宋体" w:eastAsia="宋体" w:cs="宋体"/>
          <w:kern w:val="0"/>
          <w:szCs w:val="21"/>
          <w:highlight w:val="none"/>
        </w:rPr>
      </w:pPr>
      <w:bookmarkStart w:id="38" w:name="OLE_LINK5"/>
      <w:r>
        <w:rPr>
          <w:rFonts w:hint="eastAsia" w:ascii="宋体" w:hAnsi="宋体" w:eastAsia="宋体" w:cs="宋体"/>
          <w:kern w:val="0"/>
          <w:szCs w:val="21"/>
          <w:highlight w:val="none"/>
        </w:rPr>
        <w:t>公司首席资产配置官黄健斌先生。</w:t>
      </w:r>
    </w:p>
    <w:p w14:paraId="014DFA97">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公司投资决策委员会专职委员兼年金投资部总经理于善辉先生。</w:t>
      </w:r>
    </w:p>
    <w:p w14:paraId="2DF1A9D1">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14:paraId="008B8E08">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14:paraId="1AA78AC0">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14:paraId="390C65EE">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14:paraId="0ABFAA5B">
      <w:pPr>
        <w:spacing w:line="360" w:lineRule="auto"/>
        <w:ind w:firstLine="420" w:firstLine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宏观策略部</w:t>
      </w:r>
      <w:r>
        <w:rPr>
          <w:rFonts w:hint="eastAsia" w:ascii="宋体" w:hAnsi="宋体" w:eastAsia="宋体" w:cs="宋体"/>
          <w:kern w:val="0"/>
          <w:szCs w:val="21"/>
          <w:highlight w:val="none"/>
          <w:lang w:val="en-US" w:eastAsia="zh-CN"/>
        </w:rPr>
        <w:t>首席策略分析师</w:t>
      </w:r>
      <w:r>
        <w:rPr>
          <w:rFonts w:hint="eastAsia" w:ascii="宋体" w:hAnsi="宋体" w:eastAsia="宋体" w:cs="宋体"/>
          <w:kern w:val="0"/>
          <w:szCs w:val="21"/>
          <w:highlight w:val="none"/>
        </w:rPr>
        <w:t xml:space="preserve">陈显顺先生。 </w:t>
      </w:r>
    </w:p>
    <w:p w14:paraId="1CB6C9C8">
      <w:pPr>
        <w:pStyle w:val="7"/>
        <w:spacing w:before="0" w:beforeAutospacing="0" w:after="0" w:afterAutospacing="0" w:line="360" w:lineRule="auto"/>
        <w:ind w:firstLine="420"/>
        <w:rPr>
          <w:sz w:val="21"/>
          <w:szCs w:val="21"/>
        </w:rPr>
      </w:pPr>
      <w:r>
        <w:rPr>
          <w:rFonts w:hint="eastAsia" w:ascii="宋体" w:hAnsi="宋体" w:eastAsia="宋体" w:cs="宋体"/>
          <w:kern w:val="0"/>
          <w:sz w:val="21"/>
          <w:szCs w:val="21"/>
          <w:highlight w:val="none"/>
        </w:rPr>
        <w:t>指数与量化投资部总经理兼指数与量化投资部投资总监赵云阳先生。</w:t>
      </w:r>
      <w:bookmarkEnd w:id="38"/>
      <w:r>
        <w:rPr>
          <w:rFonts w:hint="eastAsia"/>
          <w:sz w:val="21"/>
          <w:szCs w:val="21"/>
        </w:rPr>
        <w:t xml:space="preserve">   </w:t>
      </w:r>
    </w:p>
    <w:p w14:paraId="6E596EED">
      <w:pPr>
        <w:pStyle w:val="7"/>
        <w:spacing w:before="0" w:beforeAutospacing="0" w:after="0" w:afterAutospacing="0" w:line="360" w:lineRule="auto"/>
        <w:ind w:firstLine="420"/>
        <w:rPr>
          <w:sz w:val="21"/>
          <w:szCs w:val="21"/>
        </w:rPr>
      </w:pPr>
      <w:bookmarkStart w:id="39" w:name="chapter_level1_5_53_section_3_end"/>
      <w:bookmarkEnd w:id="39"/>
      <w:r>
        <w:rPr>
          <w:rFonts w:hint="eastAsia"/>
          <w:sz w:val="21"/>
          <w:szCs w:val="21"/>
          <w:lang w:val="en-US" w:eastAsia="zh-CN"/>
        </w:rPr>
        <w:t>5</w:t>
      </w:r>
      <w:r>
        <w:rPr>
          <w:rFonts w:hint="eastAsia"/>
          <w:sz w:val="21"/>
          <w:szCs w:val="21"/>
        </w:rPr>
        <w:t xml:space="preserve">、上述人员之间均不存在近亲属关系。 </w:t>
      </w:r>
      <w:bookmarkStart w:id="40" w:name="field_0_managerpersoninfo2_1_end"/>
      <w:bookmarkEnd w:id="40"/>
      <w:r>
        <w:rPr>
          <w:rFonts w:hint="eastAsia"/>
          <w:sz w:val="21"/>
          <w:szCs w:val="21"/>
        </w:rPr>
        <w:t xml:space="preserve"> </w:t>
      </w:r>
    </w:p>
    <w:p w14:paraId="4F9F42E9">
      <w:pPr>
        <w:pStyle w:val="7"/>
        <w:spacing w:before="0" w:beforeAutospacing="0" w:after="0" w:afterAutospacing="0" w:line="360" w:lineRule="auto"/>
        <w:ind w:firstLine="420"/>
        <w:rPr>
          <w:sz w:val="21"/>
          <w:szCs w:val="21"/>
        </w:rPr>
      </w:pPr>
      <w:bookmarkStart w:id="41" w:name="chapter_level1_5_53_section_4"/>
      <w:bookmarkEnd w:id="41"/>
      <w:r>
        <w:rPr>
          <w:rStyle w:val="11"/>
          <w:rFonts w:hint="eastAsia"/>
          <w:sz w:val="21"/>
          <w:szCs w:val="21"/>
        </w:rPr>
        <w:t>三、基金管理人的职责</w:t>
      </w:r>
    </w:p>
    <w:p w14:paraId="3FDCDCA2">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14:paraId="124BC141">
      <w:pPr>
        <w:pStyle w:val="7"/>
        <w:spacing w:before="0" w:beforeAutospacing="0" w:after="0" w:afterAutospacing="0" w:line="360" w:lineRule="auto"/>
        <w:ind w:firstLine="420"/>
        <w:rPr>
          <w:sz w:val="21"/>
          <w:szCs w:val="21"/>
        </w:rPr>
      </w:pPr>
      <w:r>
        <w:rPr>
          <w:rFonts w:hint="eastAsia"/>
          <w:sz w:val="21"/>
          <w:szCs w:val="21"/>
        </w:rPr>
        <w:t>2、办理基金备案手续；</w:t>
      </w:r>
    </w:p>
    <w:p w14:paraId="3945219D">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7C547A4B">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55D4780D">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1A0588F2">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3FA474FB">
      <w:pPr>
        <w:pStyle w:val="7"/>
        <w:spacing w:before="0" w:beforeAutospacing="0" w:after="0" w:afterAutospacing="0" w:line="360" w:lineRule="auto"/>
        <w:ind w:firstLine="420"/>
        <w:rPr>
          <w:sz w:val="21"/>
          <w:szCs w:val="21"/>
        </w:rPr>
      </w:pPr>
      <w:r>
        <w:rPr>
          <w:rFonts w:hint="eastAsia"/>
          <w:sz w:val="21"/>
          <w:szCs w:val="21"/>
        </w:rPr>
        <w:t>7、依法接受基金托管人的监督；</w:t>
      </w:r>
    </w:p>
    <w:p w14:paraId="755CBC81">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2BC7976E">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0B5E924C">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14:paraId="331A8AFB">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3ABF8105">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向审计、法律等外部专业顾问提供的情况除外；</w:t>
      </w:r>
    </w:p>
    <w:p w14:paraId="08D4E080">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7D256073">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14、按规定受理申购与赎回申请，及时、足额支付赎回对价；</w:t>
      </w:r>
    </w:p>
    <w:p w14:paraId="5D512BCE">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5BF08943">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16、按规定保存基金财产管理业务活动的会计账册、报表、记录和其他相关资料，保存期限不低于法定最低期限；</w:t>
      </w:r>
    </w:p>
    <w:p w14:paraId="0DC9D106">
      <w:pPr>
        <w:pStyle w:val="7"/>
        <w:spacing w:before="0" w:beforeAutospacing="0" w:after="0" w:afterAutospacing="0" w:line="360" w:lineRule="auto"/>
        <w:ind w:firstLine="420"/>
        <w:rPr>
          <w:sz w:val="21"/>
          <w:szCs w:val="21"/>
        </w:rPr>
      </w:pPr>
      <w:r>
        <w:rPr>
          <w:rFonts w:hint="eastAsia"/>
          <w:sz w:val="21"/>
          <w:szCs w:val="21"/>
        </w:rPr>
        <w:t>17、确保需要向基金投资人提供的各项文件或资料在规定时间发出，并且保证投资人能够按照《基金合同》规定的时间和方式，随时查阅到与基金有关的公开资料，并在支付合理成本的条件下得到有关资料的复印件；</w:t>
      </w:r>
    </w:p>
    <w:p w14:paraId="39ABAA44">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59AADE6E">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7D6D6A69">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4C038505">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7068CB77">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09740F46">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14:paraId="1896EC13">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07765128">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14:paraId="0AE6190B">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14:paraId="13C00564">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14:paraId="0E8FF445">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6983A3D">
      <w:pPr>
        <w:pStyle w:val="7"/>
        <w:spacing w:before="0" w:beforeAutospacing="0" w:after="0" w:afterAutospacing="0" w:line="360" w:lineRule="auto"/>
        <w:ind w:firstLine="420"/>
        <w:rPr>
          <w:sz w:val="21"/>
          <w:szCs w:val="21"/>
        </w:rPr>
      </w:pPr>
      <w:r>
        <w:rPr>
          <w:rFonts w:hint="eastAsia"/>
          <w:sz w:val="21"/>
          <w:szCs w:val="21"/>
        </w:rPr>
        <w:t>1、基金管理人承诺不从事违反《证券法》的行为，并承诺建立健全内部控制制度，采取有效措施，防止违反《证券法》行为的发生； </w:t>
      </w:r>
    </w:p>
    <w:p w14:paraId="5D057CE4">
      <w:pPr>
        <w:pStyle w:val="7"/>
        <w:spacing w:before="0" w:beforeAutospacing="0" w:after="0" w:afterAutospacing="0" w:line="360" w:lineRule="auto"/>
        <w:ind w:firstLine="420"/>
        <w:rPr>
          <w:sz w:val="21"/>
          <w:szCs w:val="21"/>
        </w:rPr>
      </w:pPr>
      <w:r>
        <w:rPr>
          <w:rFonts w:hint="eastAsia"/>
          <w:sz w:val="21"/>
          <w:szCs w:val="21"/>
        </w:rPr>
        <w:t>2、基金管理人承诺不从事违反《基金法》的行为，并承诺建立健全内部风险控制制度，采取有效措施，防止下列行为的发生：</w:t>
      </w:r>
    </w:p>
    <w:p w14:paraId="4332DCEB">
      <w:pPr>
        <w:pStyle w:val="7"/>
        <w:spacing w:before="0" w:beforeAutospacing="0" w:after="0" w:afterAutospacing="0" w:line="360" w:lineRule="auto"/>
        <w:ind w:firstLine="420"/>
        <w:rPr>
          <w:sz w:val="21"/>
          <w:szCs w:val="21"/>
        </w:rPr>
      </w:pPr>
      <w:r>
        <w:rPr>
          <w:rFonts w:hint="eastAsia"/>
          <w:sz w:val="21"/>
          <w:szCs w:val="21"/>
        </w:rPr>
        <w:t>（1）将基金管理人固有财产或者他人财产混同于基金财产从事证券投资；</w:t>
      </w:r>
    </w:p>
    <w:p w14:paraId="086308F7">
      <w:pPr>
        <w:pStyle w:val="7"/>
        <w:spacing w:before="0" w:beforeAutospacing="0" w:after="0" w:afterAutospacing="0" w:line="360" w:lineRule="auto"/>
        <w:ind w:firstLine="420"/>
        <w:rPr>
          <w:sz w:val="21"/>
          <w:szCs w:val="21"/>
        </w:rPr>
      </w:pPr>
      <w:r>
        <w:rPr>
          <w:rFonts w:hint="eastAsia"/>
          <w:sz w:val="21"/>
          <w:szCs w:val="21"/>
        </w:rPr>
        <w:t>（2）不公平地对待管理的不同基金财产；</w:t>
      </w:r>
    </w:p>
    <w:p w14:paraId="5415FBB0">
      <w:pPr>
        <w:pStyle w:val="7"/>
        <w:spacing w:before="0" w:beforeAutospacing="0" w:after="0" w:afterAutospacing="0" w:line="360" w:lineRule="auto"/>
        <w:ind w:firstLine="420"/>
        <w:rPr>
          <w:sz w:val="21"/>
          <w:szCs w:val="21"/>
        </w:rPr>
      </w:pPr>
      <w:r>
        <w:rPr>
          <w:rFonts w:hint="eastAsia"/>
          <w:sz w:val="21"/>
          <w:szCs w:val="21"/>
        </w:rPr>
        <w:t>（3）利用基金财产或者职务之便为基金份额持有人以外的第三人牟取利益；</w:t>
      </w:r>
    </w:p>
    <w:p w14:paraId="623E12FD">
      <w:pPr>
        <w:pStyle w:val="7"/>
        <w:spacing w:before="0" w:beforeAutospacing="0" w:after="0" w:afterAutospacing="0" w:line="360" w:lineRule="auto"/>
        <w:ind w:firstLine="420"/>
        <w:rPr>
          <w:sz w:val="21"/>
          <w:szCs w:val="21"/>
        </w:rPr>
      </w:pPr>
      <w:r>
        <w:rPr>
          <w:rFonts w:hint="eastAsia"/>
          <w:sz w:val="21"/>
          <w:szCs w:val="21"/>
        </w:rPr>
        <w:t>（4）向基金份额持有人违规承诺收益或者承担损失；</w:t>
      </w:r>
    </w:p>
    <w:p w14:paraId="4F652B21">
      <w:pPr>
        <w:pStyle w:val="7"/>
        <w:spacing w:before="0" w:beforeAutospacing="0" w:after="0" w:afterAutospacing="0" w:line="360" w:lineRule="auto"/>
        <w:ind w:firstLine="420"/>
        <w:rPr>
          <w:sz w:val="21"/>
          <w:szCs w:val="21"/>
        </w:rPr>
      </w:pPr>
      <w:r>
        <w:rPr>
          <w:rFonts w:hint="eastAsia"/>
          <w:sz w:val="21"/>
          <w:szCs w:val="21"/>
        </w:rPr>
        <w:t>（5）侵占、挪用基金财产；</w:t>
      </w:r>
    </w:p>
    <w:p w14:paraId="2597EA75">
      <w:pPr>
        <w:pStyle w:val="7"/>
        <w:spacing w:before="0" w:beforeAutospacing="0" w:after="0" w:afterAutospacing="0" w:line="360" w:lineRule="auto"/>
        <w:ind w:firstLine="420"/>
        <w:rPr>
          <w:sz w:val="21"/>
          <w:szCs w:val="21"/>
        </w:rPr>
      </w:pPr>
      <w:r>
        <w:rPr>
          <w:rFonts w:hint="eastAsia"/>
          <w:sz w:val="21"/>
          <w:szCs w:val="21"/>
        </w:rPr>
        <w:t>（6）泄露因职务便利获取的未公开信息、利用该信息从事或者明示、暗示他人从事相关的交易活动；</w:t>
      </w:r>
    </w:p>
    <w:p w14:paraId="294B9D66">
      <w:pPr>
        <w:pStyle w:val="7"/>
        <w:spacing w:before="0" w:beforeAutospacing="0" w:after="0" w:afterAutospacing="0" w:line="360" w:lineRule="auto"/>
        <w:ind w:firstLine="420"/>
        <w:rPr>
          <w:sz w:val="21"/>
          <w:szCs w:val="21"/>
        </w:rPr>
      </w:pPr>
      <w:r>
        <w:rPr>
          <w:rFonts w:hint="eastAsia"/>
          <w:sz w:val="21"/>
          <w:szCs w:val="21"/>
        </w:rPr>
        <w:t>（7）玩忽职守，不按照规定履行职责；</w:t>
      </w:r>
    </w:p>
    <w:p w14:paraId="7C3CAC6E">
      <w:pPr>
        <w:pStyle w:val="7"/>
        <w:spacing w:before="0" w:beforeAutospacing="0" w:after="0" w:afterAutospacing="0" w:line="360" w:lineRule="auto"/>
        <w:ind w:firstLine="420"/>
        <w:rPr>
          <w:sz w:val="21"/>
          <w:szCs w:val="21"/>
        </w:rPr>
      </w:pPr>
      <w:r>
        <w:rPr>
          <w:rFonts w:hint="eastAsia"/>
          <w:sz w:val="21"/>
          <w:szCs w:val="21"/>
        </w:rPr>
        <w:t>（8）法律、行政法规和中国证监会规定禁止的其他行为。</w:t>
      </w:r>
    </w:p>
    <w:p w14:paraId="36418C17">
      <w:pPr>
        <w:pStyle w:val="7"/>
        <w:spacing w:before="0" w:beforeAutospacing="0" w:after="0" w:afterAutospacing="0" w:line="360" w:lineRule="auto"/>
        <w:ind w:firstLine="420"/>
        <w:rPr>
          <w:sz w:val="21"/>
          <w:szCs w:val="21"/>
        </w:rPr>
      </w:pPr>
      <w:r>
        <w:rPr>
          <w:rFonts w:hint="eastAsia"/>
          <w:sz w:val="21"/>
          <w:szCs w:val="21"/>
        </w:rPr>
        <w:t>3、基金管理人承诺严格遵守基金合同，并承诺建立健全内部控制制度，采取有效措施，防止违反基金合同行为的发生； </w:t>
      </w:r>
    </w:p>
    <w:p w14:paraId="768ED94E">
      <w:pPr>
        <w:pStyle w:val="7"/>
        <w:spacing w:before="0" w:beforeAutospacing="0" w:after="0" w:afterAutospacing="0" w:line="360" w:lineRule="auto"/>
        <w:ind w:firstLine="420"/>
        <w:rPr>
          <w:sz w:val="21"/>
          <w:szCs w:val="21"/>
        </w:rPr>
      </w:pPr>
      <w:r>
        <w:rPr>
          <w:rFonts w:hint="eastAsia"/>
          <w:sz w:val="21"/>
          <w:szCs w:val="21"/>
        </w:rPr>
        <w:t>4、基金管理人承诺加强人员管理，强化职业操守，督促和约束员工遵守国家有关法律法规及行业规范，诚实信用、勤勉尽责；</w:t>
      </w:r>
    </w:p>
    <w:p w14:paraId="7073B6F5">
      <w:pPr>
        <w:pStyle w:val="7"/>
        <w:spacing w:before="0" w:beforeAutospacing="0" w:after="0" w:afterAutospacing="0" w:line="360" w:lineRule="auto"/>
        <w:ind w:firstLine="420"/>
        <w:rPr>
          <w:sz w:val="21"/>
          <w:szCs w:val="21"/>
        </w:rPr>
      </w:pPr>
      <w:r>
        <w:rPr>
          <w:rFonts w:hint="eastAsia"/>
          <w:sz w:val="21"/>
          <w:szCs w:val="21"/>
        </w:rPr>
        <w:t>5、基金管理人承诺不从事其他法规规定禁止从事的行为。 </w:t>
      </w:r>
    </w:p>
    <w:p w14:paraId="2F85C82D">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56FCB7CD">
      <w:pPr>
        <w:pStyle w:val="7"/>
        <w:spacing w:before="0" w:beforeAutospacing="0" w:after="0" w:afterAutospacing="0" w:line="360" w:lineRule="auto"/>
        <w:ind w:firstLine="420"/>
        <w:rPr>
          <w:sz w:val="21"/>
          <w:szCs w:val="21"/>
        </w:rPr>
      </w:pPr>
      <w:r>
        <w:rPr>
          <w:rFonts w:hint="eastAsia"/>
          <w:sz w:val="21"/>
          <w:szCs w:val="21"/>
        </w:rPr>
        <w:t>1、依照有关法律法规和基金合同的规定，本着谨慎的原则为基金份额持有人谋取最大利益；</w:t>
      </w:r>
    </w:p>
    <w:p w14:paraId="2B0AEA15">
      <w:pPr>
        <w:pStyle w:val="7"/>
        <w:spacing w:before="0" w:beforeAutospacing="0" w:after="0" w:afterAutospacing="0" w:line="360" w:lineRule="auto"/>
        <w:ind w:firstLine="420"/>
        <w:rPr>
          <w:sz w:val="21"/>
          <w:szCs w:val="21"/>
        </w:rPr>
      </w:pPr>
      <w:r>
        <w:rPr>
          <w:rFonts w:hint="eastAsia"/>
          <w:sz w:val="21"/>
          <w:szCs w:val="21"/>
        </w:rPr>
        <w:t>2、不利用职务之便为自己、受雇人或任何第三者谋取利益； </w:t>
      </w:r>
    </w:p>
    <w:p w14:paraId="7B6587DD">
      <w:pPr>
        <w:pStyle w:val="7"/>
        <w:spacing w:before="0" w:beforeAutospacing="0" w:after="0" w:afterAutospacing="0" w:line="360" w:lineRule="auto"/>
        <w:ind w:firstLine="420"/>
        <w:rPr>
          <w:sz w:val="21"/>
          <w:szCs w:val="21"/>
        </w:rPr>
      </w:pPr>
      <w:r>
        <w:rPr>
          <w:rFonts w:hint="eastAsia"/>
          <w:sz w:val="21"/>
          <w:szCs w:val="21"/>
        </w:rPr>
        <w:t>3、不泄露在任职期间知悉的有关证券、基金的商业秘密，尚未依法公开的基金投资内容、基金投资计划等信息，或利用该信息从事或者明示、暗示他人从事相关的交易活动；</w:t>
      </w:r>
    </w:p>
    <w:p w14:paraId="776246C6">
      <w:pPr>
        <w:pStyle w:val="7"/>
        <w:spacing w:before="0" w:beforeAutospacing="0" w:after="0" w:afterAutospacing="0" w:line="360" w:lineRule="auto"/>
        <w:ind w:firstLine="420"/>
        <w:rPr>
          <w:sz w:val="21"/>
          <w:szCs w:val="21"/>
        </w:rPr>
      </w:pPr>
      <w:r>
        <w:rPr>
          <w:rFonts w:hint="eastAsia"/>
          <w:sz w:val="21"/>
          <w:szCs w:val="21"/>
        </w:rPr>
        <w:t>4、不以任何形式为其他组织或个人进行证券交易。</w:t>
      </w:r>
    </w:p>
    <w:p w14:paraId="53035D2B">
      <w:pPr>
        <w:pStyle w:val="7"/>
        <w:spacing w:before="0" w:beforeAutospacing="0" w:after="0" w:afterAutospacing="0" w:line="360" w:lineRule="auto"/>
        <w:ind w:firstLine="420"/>
        <w:rPr>
          <w:sz w:val="21"/>
          <w:szCs w:val="21"/>
        </w:rPr>
      </w:pPr>
      <w:r>
        <w:rPr>
          <w:rStyle w:val="11"/>
          <w:rFonts w:hint="eastAsia"/>
          <w:sz w:val="21"/>
          <w:szCs w:val="21"/>
        </w:rPr>
        <w:t>六、基金管理人的内部控制制度</w:t>
      </w:r>
    </w:p>
    <w:p w14:paraId="339E0408">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14:paraId="561F752A">
      <w:pPr>
        <w:pStyle w:val="7"/>
        <w:spacing w:before="0" w:beforeAutospacing="0" w:after="0" w:afterAutospacing="0" w:line="360" w:lineRule="auto"/>
        <w:ind w:firstLine="420"/>
        <w:rPr>
          <w:rFonts w:hint="eastAsia"/>
          <w:sz w:val="21"/>
          <w:szCs w:val="21"/>
        </w:rPr>
      </w:pPr>
      <w:r>
        <w:rPr>
          <w:rFonts w:hint="eastAsia"/>
          <w:sz w:val="21"/>
          <w:szCs w:val="21"/>
        </w:rPr>
        <w:t>（1）全面性原则</w:t>
      </w:r>
    </w:p>
    <w:p w14:paraId="052D45CB">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14:paraId="62CF38A0">
      <w:pPr>
        <w:pStyle w:val="7"/>
        <w:spacing w:before="0" w:beforeAutospacing="0" w:after="0" w:afterAutospacing="0" w:line="360" w:lineRule="auto"/>
        <w:ind w:firstLine="420"/>
        <w:rPr>
          <w:rFonts w:hint="eastAsia"/>
          <w:sz w:val="21"/>
          <w:szCs w:val="21"/>
        </w:rPr>
      </w:pPr>
      <w:r>
        <w:rPr>
          <w:rFonts w:hint="eastAsia"/>
          <w:sz w:val="21"/>
          <w:szCs w:val="21"/>
        </w:rPr>
        <w:t>（2）独立性原则</w:t>
      </w:r>
    </w:p>
    <w:p w14:paraId="76FFBBF6">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14:paraId="533AD8C0">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14:paraId="3DDFBF88">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14:paraId="4B0F8036">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14:paraId="63E6CDDB">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14:paraId="63A2080B">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14:paraId="64C2FA54">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14:paraId="76975C30">
      <w:pPr>
        <w:pStyle w:val="7"/>
        <w:spacing w:before="0" w:beforeAutospacing="0" w:after="0" w:afterAutospacing="0" w:line="360" w:lineRule="auto"/>
        <w:ind w:firstLine="420"/>
        <w:rPr>
          <w:rFonts w:hint="eastAsia"/>
          <w:sz w:val="21"/>
          <w:szCs w:val="21"/>
        </w:rPr>
      </w:pPr>
      <w:r>
        <w:rPr>
          <w:rFonts w:hint="eastAsia"/>
          <w:sz w:val="21"/>
          <w:szCs w:val="21"/>
        </w:rPr>
        <w:t>（1）董事会</w:t>
      </w:r>
    </w:p>
    <w:p w14:paraId="1FF65C30">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14:paraId="318EE6BB">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14:paraId="7B639766">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7407CF0C">
      <w:pPr>
        <w:pStyle w:val="7"/>
        <w:spacing w:before="0" w:beforeAutospacing="0" w:after="0" w:afterAutospacing="0" w:line="360" w:lineRule="auto"/>
        <w:ind w:firstLine="420"/>
        <w:rPr>
          <w:rFonts w:hint="eastAsia"/>
          <w:sz w:val="21"/>
          <w:szCs w:val="21"/>
        </w:rPr>
      </w:pPr>
      <w:r>
        <w:rPr>
          <w:rFonts w:hint="eastAsia"/>
          <w:sz w:val="21"/>
          <w:szCs w:val="21"/>
        </w:rPr>
        <w:t>（3）督察长</w:t>
      </w:r>
    </w:p>
    <w:p w14:paraId="0AAA9BF3">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14:paraId="5F507D32">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14:paraId="2A47C151">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14:paraId="127D4A7C">
      <w:pPr>
        <w:pStyle w:val="7"/>
        <w:spacing w:before="0" w:beforeAutospacing="0" w:after="0" w:afterAutospacing="0" w:line="360" w:lineRule="auto"/>
        <w:ind w:firstLine="420"/>
        <w:rPr>
          <w:rFonts w:hint="eastAsia"/>
          <w:sz w:val="21"/>
          <w:szCs w:val="21"/>
        </w:rPr>
      </w:pPr>
      <w:r>
        <w:rPr>
          <w:rFonts w:hint="eastAsia"/>
          <w:sz w:val="21"/>
          <w:szCs w:val="21"/>
        </w:rPr>
        <w:t>（5）风险管理部</w:t>
      </w:r>
    </w:p>
    <w:p w14:paraId="3AB576B3">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14:paraId="352DF4CB">
      <w:pPr>
        <w:pStyle w:val="7"/>
        <w:spacing w:before="0" w:beforeAutospacing="0" w:after="0" w:afterAutospacing="0" w:line="360" w:lineRule="auto"/>
        <w:ind w:firstLine="420"/>
        <w:rPr>
          <w:rFonts w:hint="eastAsia"/>
          <w:sz w:val="21"/>
          <w:szCs w:val="21"/>
        </w:rPr>
      </w:pPr>
      <w:r>
        <w:rPr>
          <w:rFonts w:hint="eastAsia"/>
          <w:sz w:val="21"/>
          <w:szCs w:val="21"/>
        </w:rPr>
        <w:t>（6）业务部门</w:t>
      </w:r>
    </w:p>
    <w:p w14:paraId="24A03994">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14:paraId="46C18CFA">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14:paraId="116CBF4F">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14:paraId="1076FCAA">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14:paraId="47F94A44">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14:paraId="707B04FE">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14:paraId="02F1A9EA">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14:paraId="7FC56942">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14:paraId="1F2B72B5">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14:paraId="201B14FA">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105BEDCE">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14:paraId="3C2030C8">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14:paraId="7E774C44">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14:paraId="05959148">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14:paraId="20D8D848">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14:paraId="7AE6EC3D">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14:paraId="0B04EE05">
      <w:pPr>
        <w:widowControl/>
        <w:jc w:val="left"/>
        <w:rPr>
          <w:rFonts w:ascii="宋体" w:hAnsi="宋体" w:eastAsia="宋体"/>
        </w:rPr>
      </w:pPr>
      <w:r>
        <w:rPr>
          <w:rFonts w:ascii="宋体" w:hAnsi="宋体" w:eastAsia="宋体"/>
        </w:rPr>
        <w:br w:type="page"/>
      </w:r>
    </w:p>
    <w:p w14:paraId="769869AC">
      <w:pPr>
        <w:pStyle w:val="2"/>
        <w:jc w:val="center"/>
        <w:rPr>
          <w:rFonts w:ascii="宋体" w:hAnsi="宋体" w:eastAsia="宋体"/>
          <w:sz w:val="30"/>
        </w:rPr>
      </w:pPr>
      <w:bookmarkStart w:id="42" w:name="chapter_level1_6_55"/>
      <w:bookmarkStart w:id="43" w:name="_Toc207950927"/>
      <w:r>
        <w:rPr>
          <w:rFonts w:hint="eastAsia" w:ascii="宋体" w:hAnsi="宋体" w:eastAsia="宋体"/>
          <w:sz w:val="30"/>
        </w:rPr>
        <w:t>第四部分  基金托管人</w:t>
      </w:r>
      <w:bookmarkEnd w:id="42"/>
      <w:bookmarkEnd w:id="43"/>
    </w:p>
    <w:p w14:paraId="37D7D70D">
      <w:pPr>
        <w:pStyle w:val="7"/>
        <w:spacing w:before="0" w:beforeAutospacing="0" w:after="0" w:afterAutospacing="0" w:line="360" w:lineRule="auto"/>
        <w:ind w:firstLine="420"/>
        <w:rPr>
          <w:sz w:val="21"/>
          <w:szCs w:val="21"/>
        </w:rPr>
      </w:pPr>
      <w:bookmarkStart w:id="44" w:name="field_0_trustcompanyinfo_1_start"/>
      <w:bookmarkEnd w:id="44"/>
      <w:bookmarkStart w:id="45" w:name="chapter_level1_6_55_section_1"/>
      <w:bookmarkEnd w:id="45"/>
      <w:r>
        <w:rPr>
          <w:rFonts w:hint="eastAsia"/>
          <w:sz w:val="21"/>
          <w:szCs w:val="21"/>
        </w:rPr>
        <w:t xml:space="preserve">（一）基金托管人基本情况 </w:t>
      </w:r>
    </w:p>
    <w:p w14:paraId="7743C5DE">
      <w:pPr>
        <w:pStyle w:val="7"/>
        <w:spacing w:before="0" w:beforeAutospacing="0" w:after="0" w:afterAutospacing="0" w:line="360" w:lineRule="auto"/>
        <w:ind w:firstLine="420"/>
        <w:rPr>
          <w:sz w:val="21"/>
          <w:szCs w:val="21"/>
        </w:rPr>
      </w:pPr>
      <w:r>
        <w:rPr>
          <w:rFonts w:hint="eastAsia"/>
          <w:sz w:val="21"/>
          <w:szCs w:val="21"/>
        </w:rPr>
        <w:t xml:space="preserve">1、基本情况 </w:t>
      </w:r>
    </w:p>
    <w:p w14:paraId="4D90C0DE">
      <w:pPr>
        <w:pStyle w:val="7"/>
        <w:spacing w:before="0" w:beforeAutospacing="0" w:after="0" w:afterAutospacing="0" w:line="360" w:lineRule="auto"/>
        <w:ind w:firstLine="420"/>
        <w:rPr>
          <w:sz w:val="21"/>
          <w:szCs w:val="21"/>
        </w:rPr>
      </w:pPr>
      <w:r>
        <w:rPr>
          <w:rFonts w:hint="eastAsia"/>
          <w:sz w:val="21"/>
          <w:szCs w:val="21"/>
        </w:rPr>
        <w:t xml:space="preserve">名称：中信证券股份有限公司（简称：中信证券） </w:t>
      </w:r>
    </w:p>
    <w:p w14:paraId="13EA3276">
      <w:pPr>
        <w:pStyle w:val="7"/>
        <w:spacing w:before="0" w:beforeAutospacing="0" w:after="0" w:afterAutospacing="0" w:line="360" w:lineRule="auto"/>
        <w:ind w:firstLine="420"/>
        <w:rPr>
          <w:sz w:val="21"/>
          <w:szCs w:val="21"/>
        </w:rPr>
      </w:pPr>
      <w:r>
        <w:rPr>
          <w:rFonts w:hint="eastAsia"/>
          <w:sz w:val="21"/>
          <w:szCs w:val="21"/>
        </w:rPr>
        <w:t xml:space="preserve">注册地址：广东省深圳市福田区中心三路8号卓越时代广场（二期）北座 </w:t>
      </w:r>
    </w:p>
    <w:p w14:paraId="3B38D012">
      <w:pPr>
        <w:pStyle w:val="7"/>
        <w:spacing w:before="0" w:beforeAutospacing="0" w:after="0" w:afterAutospacing="0" w:line="360" w:lineRule="auto"/>
        <w:ind w:firstLine="420"/>
        <w:rPr>
          <w:sz w:val="21"/>
          <w:szCs w:val="21"/>
        </w:rPr>
      </w:pPr>
      <w:r>
        <w:rPr>
          <w:rFonts w:hint="eastAsia"/>
          <w:sz w:val="21"/>
          <w:szCs w:val="21"/>
        </w:rPr>
        <w:t xml:space="preserve">办公地址：北京市朝阳区亮马桥路48号中信证券大厦 </w:t>
      </w:r>
    </w:p>
    <w:p w14:paraId="6363675B">
      <w:pPr>
        <w:pStyle w:val="7"/>
        <w:spacing w:before="0" w:beforeAutospacing="0" w:after="0" w:afterAutospacing="0" w:line="360" w:lineRule="auto"/>
        <w:ind w:firstLine="420"/>
        <w:rPr>
          <w:sz w:val="21"/>
          <w:szCs w:val="21"/>
        </w:rPr>
      </w:pPr>
      <w:r>
        <w:rPr>
          <w:rFonts w:hint="eastAsia"/>
          <w:sz w:val="21"/>
          <w:szCs w:val="21"/>
        </w:rPr>
        <w:t xml:space="preserve">广东省深圳市福田区中心三路8号中信证券大厦 </w:t>
      </w:r>
    </w:p>
    <w:p w14:paraId="53C78995">
      <w:pPr>
        <w:pStyle w:val="7"/>
        <w:spacing w:before="0" w:beforeAutospacing="0" w:after="0" w:afterAutospacing="0" w:line="360" w:lineRule="auto"/>
        <w:ind w:firstLine="420"/>
        <w:rPr>
          <w:sz w:val="21"/>
          <w:szCs w:val="21"/>
        </w:rPr>
      </w:pPr>
      <w:r>
        <w:rPr>
          <w:rFonts w:hint="eastAsia"/>
          <w:sz w:val="21"/>
          <w:szCs w:val="21"/>
        </w:rPr>
        <w:t xml:space="preserve">法定代表人：张佑君 </w:t>
      </w:r>
    </w:p>
    <w:p w14:paraId="288F24EE">
      <w:pPr>
        <w:pStyle w:val="7"/>
        <w:spacing w:before="0" w:beforeAutospacing="0" w:after="0" w:afterAutospacing="0" w:line="360" w:lineRule="auto"/>
        <w:ind w:firstLine="420"/>
        <w:rPr>
          <w:sz w:val="21"/>
          <w:szCs w:val="21"/>
        </w:rPr>
      </w:pPr>
      <w:r>
        <w:rPr>
          <w:rFonts w:hint="eastAsia"/>
          <w:sz w:val="21"/>
          <w:szCs w:val="21"/>
        </w:rPr>
        <w:t xml:space="preserve">成立日期：1995年10月25日 </w:t>
      </w:r>
    </w:p>
    <w:p w14:paraId="5C958AD8">
      <w:pPr>
        <w:pStyle w:val="7"/>
        <w:spacing w:before="0" w:beforeAutospacing="0" w:after="0" w:afterAutospacing="0" w:line="360" w:lineRule="auto"/>
        <w:ind w:firstLine="420"/>
        <w:rPr>
          <w:sz w:val="21"/>
          <w:szCs w:val="21"/>
        </w:rPr>
      </w:pPr>
      <w:r>
        <w:rPr>
          <w:rFonts w:hint="eastAsia"/>
          <w:sz w:val="21"/>
          <w:szCs w:val="21"/>
        </w:rPr>
        <w:t xml:space="preserve">组织形式：股份有限公司（上市） </w:t>
      </w:r>
    </w:p>
    <w:p w14:paraId="0E2A5DF9">
      <w:pPr>
        <w:pStyle w:val="7"/>
        <w:spacing w:before="0" w:beforeAutospacing="0" w:after="0" w:afterAutospacing="0" w:line="360" w:lineRule="auto"/>
        <w:ind w:firstLine="420"/>
        <w:rPr>
          <w:sz w:val="21"/>
          <w:szCs w:val="21"/>
        </w:rPr>
      </w:pPr>
      <w:r>
        <w:rPr>
          <w:rFonts w:hint="eastAsia"/>
          <w:sz w:val="21"/>
          <w:szCs w:val="21"/>
        </w:rPr>
        <w:t xml:space="preserve">注册资本： 14,820,546,829元人民币 </w:t>
      </w:r>
    </w:p>
    <w:p w14:paraId="215ED910">
      <w:pPr>
        <w:pStyle w:val="7"/>
        <w:spacing w:before="0" w:beforeAutospacing="0" w:after="0" w:afterAutospacing="0" w:line="360" w:lineRule="auto"/>
        <w:ind w:firstLine="420"/>
        <w:rPr>
          <w:sz w:val="21"/>
          <w:szCs w:val="21"/>
        </w:rPr>
      </w:pPr>
      <w:r>
        <w:rPr>
          <w:rFonts w:hint="eastAsia"/>
          <w:sz w:val="21"/>
          <w:szCs w:val="21"/>
        </w:rPr>
        <w:t xml:space="preserve">存续期间：无期限 </w:t>
      </w:r>
    </w:p>
    <w:p w14:paraId="0C6945F1">
      <w:pPr>
        <w:pStyle w:val="7"/>
        <w:spacing w:before="0" w:beforeAutospacing="0" w:after="0" w:afterAutospacing="0" w:line="360" w:lineRule="auto"/>
        <w:ind w:firstLine="420"/>
        <w:rPr>
          <w:sz w:val="21"/>
          <w:szCs w:val="21"/>
        </w:rPr>
      </w:pPr>
      <w:r>
        <w:rPr>
          <w:rFonts w:hint="eastAsia"/>
          <w:sz w:val="21"/>
          <w:szCs w:val="21"/>
        </w:rPr>
        <w:t xml:space="preserve">联系电话：95548-3 </w:t>
      </w:r>
    </w:p>
    <w:p w14:paraId="3E0AE546">
      <w:pPr>
        <w:pStyle w:val="7"/>
        <w:spacing w:before="0" w:beforeAutospacing="0" w:after="0" w:afterAutospacing="0" w:line="360" w:lineRule="auto"/>
        <w:ind w:firstLine="420"/>
        <w:rPr>
          <w:sz w:val="21"/>
          <w:szCs w:val="21"/>
        </w:rPr>
      </w:pPr>
      <w:r>
        <w:rPr>
          <w:rFonts w:hint="eastAsia"/>
          <w:sz w:val="21"/>
          <w:szCs w:val="21"/>
        </w:rPr>
        <w:t xml:space="preserve">中信证券股份有限公司（以下简称“中信证券”）成立于1995年10月25日，前身是中信证券有限责任公司。中信证券于2003年1月6日在上海证券交易所挂牌上市，并于2011年10月6日在香港联交所上市交易。 </w:t>
      </w:r>
    </w:p>
    <w:p w14:paraId="160E70AD">
      <w:pPr>
        <w:pStyle w:val="7"/>
        <w:spacing w:before="0" w:beforeAutospacing="0" w:after="0" w:afterAutospacing="0" w:line="360" w:lineRule="auto"/>
        <w:ind w:firstLine="420"/>
        <w:rPr>
          <w:sz w:val="21"/>
          <w:szCs w:val="21"/>
        </w:rPr>
      </w:pPr>
      <w:r>
        <w:rPr>
          <w:rFonts w:hint="eastAsia"/>
          <w:sz w:val="21"/>
          <w:szCs w:val="21"/>
        </w:rPr>
        <w:t xml:space="preserve">经营范围：证券经纪（限山东省、河南省、浙江省天台县、浙江省苍南县以外区域）；证券投资咨询；与证券交易、证券投资活动有关的财务顾问；证券承销与保荐；证券自营；证券资产管理（全国社会保障基金境内委托投资管理、基本养老保险基金证券投资管理、企业年金基金投资管理和职业年金基金投资管理）；融资融券；证券投资基金代销；为期货公司提供中间介绍业务；代销金融产品；股票期权做市。上市证券做市交易。(依法须经批准的项目,经相关部门批准后方可开展经营活动,具体经营项目以相关部门批准文件或许可证件为准) </w:t>
      </w:r>
    </w:p>
    <w:p w14:paraId="64702EE7">
      <w:pPr>
        <w:pStyle w:val="7"/>
        <w:spacing w:before="0" w:beforeAutospacing="0" w:after="0" w:afterAutospacing="0" w:line="360" w:lineRule="auto"/>
        <w:ind w:firstLine="420"/>
        <w:rPr>
          <w:sz w:val="21"/>
          <w:szCs w:val="21"/>
        </w:rPr>
      </w:pPr>
      <w:r>
        <w:rPr>
          <w:rFonts w:hint="eastAsia"/>
          <w:sz w:val="21"/>
          <w:szCs w:val="21"/>
        </w:rPr>
        <w:t xml:space="preserve">2014年7月中信证券成立托管部，并于当年10月收到中国证监会《关于核准中信证券股份有限公司证券投资基金托管资格的批复》（证监许可[2014]1044号），获得证券投资基金托管资格。开展基金托管业务以来，公司严格切实履行基金托管人职责，维护基金投资人的合法权益。中信证券逐年加大托管业务信息技术系统建设投入，构建智能化客户服务体系，持续研发创新基金托管服务。 </w:t>
      </w:r>
    </w:p>
    <w:p w14:paraId="32DAC952">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3CB8E8DA">
      <w:pPr>
        <w:pStyle w:val="7"/>
        <w:spacing w:before="0" w:beforeAutospacing="0" w:after="0" w:afterAutospacing="0" w:line="360" w:lineRule="auto"/>
        <w:ind w:firstLine="420"/>
        <w:rPr>
          <w:sz w:val="21"/>
          <w:szCs w:val="21"/>
        </w:rPr>
      </w:pPr>
      <w:r>
        <w:rPr>
          <w:rFonts w:hint="eastAsia"/>
          <w:sz w:val="21"/>
          <w:szCs w:val="21"/>
        </w:rPr>
        <w:t xml:space="preserve">中信证券设立托管部，管理并具体承办基金托管业务。托管部下设市场服务、产品设计、估值核算、托管结算、投资监督、跨境服务、客户服务、金融科技、风险管理、综合管理等团队。部门员工均具备证券投资基金从业资格，并具有多年金融从业经历，核心业务岗人员均已具备5年及以上相关业务经验。 </w:t>
      </w:r>
    </w:p>
    <w:p w14:paraId="0F6F2DE6">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718000C5">
      <w:pPr>
        <w:pStyle w:val="7"/>
        <w:spacing w:before="0" w:beforeAutospacing="0" w:after="0" w:afterAutospacing="0" w:line="360" w:lineRule="auto"/>
        <w:ind w:firstLine="420"/>
        <w:rPr>
          <w:sz w:val="21"/>
          <w:szCs w:val="21"/>
        </w:rPr>
      </w:pPr>
      <w:r>
        <w:rPr>
          <w:rFonts w:hint="eastAsia"/>
          <w:sz w:val="21"/>
          <w:szCs w:val="21"/>
        </w:rPr>
        <w:t>中信证券于2014年10月经中国证监会核准获批证券投资基金托管资格。中信证券自取得证券投资基金托管资格以来，秉承“忠于所托，信于所管”的宗旨，严格遵守国家的有关法律法规和监管机构的有关规定，依靠科学的风险管理和内部控制体系、规范的管理模式、先进的运营系统和专业的服务团队，切实履行资产托管人职责，为基金管理人和投资者提供</w:t>
      </w:r>
      <w:bookmarkStart w:id="46" w:name="chapter_level1_6_55_section_1_end"/>
      <w:bookmarkEnd w:id="46"/>
      <w:r>
        <w:rPr>
          <w:rFonts w:hint="eastAsia"/>
          <w:sz w:val="21"/>
          <w:szCs w:val="21"/>
        </w:rPr>
        <w:t xml:space="preserve">安全、高效、专业的托管服务。 </w:t>
      </w:r>
      <w:bookmarkStart w:id="47" w:name="field_0_trustcompanyinfo_1_end"/>
      <w:bookmarkEnd w:id="47"/>
      <w:r>
        <w:rPr>
          <w:rFonts w:hint="eastAsia"/>
          <w:sz w:val="21"/>
          <w:szCs w:val="21"/>
        </w:rPr>
        <w:t xml:space="preserve">  </w:t>
      </w:r>
    </w:p>
    <w:p w14:paraId="7860E3E6">
      <w:pPr>
        <w:pStyle w:val="7"/>
        <w:spacing w:before="0" w:beforeAutospacing="0" w:after="0" w:afterAutospacing="0" w:line="360" w:lineRule="auto"/>
        <w:ind w:firstLine="420"/>
        <w:rPr>
          <w:sz w:val="21"/>
          <w:szCs w:val="21"/>
        </w:rPr>
      </w:pPr>
      <w:bookmarkStart w:id="48" w:name="chapter_level1_6_55_section_2"/>
      <w:bookmarkEnd w:id="48"/>
      <w:bookmarkStart w:id="49" w:name="field_0_trustcontrollawinfo_1_start"/>
      <w:bookmarkEnd w:id="49"/>
      <w:r>
        <w:rPr>
          <w:rFonts w:hint="eastAsia"/>
          <w:sz w:val="21"/>
          <w:szCs w:val="21"/>
        </w:rPr>
        <w:t xml:space="preserve">（二）托管业务的内部控制制度 </w:t>
      </w:r>
    </w:p>
    <w:p w14:paraId="108B53FE">
      <w:pPr>
        <w:pStyle w:val="7"/>
        <w:spacing w:before="0" w:beforeAutospacing="0" w:after="0" w:afterAutospacing="0" w:line="360" w:lineRule="auto"/>
        <w:ind w:firstLine="420"/>
        <w:rPr>
          <w:sz w:val="21"/>
          <w:szCs w:val="21"/>
        </w:rPr>
      </w:pPr>
      <w:r>
        <w:rPr>
          <w:rFonts w:hint="eastAsia"/>
          <w:sz w:val="21"/>
          <w:szCs w:val="21"/>
        </w:rPr>
        <w:t xml:space="preserve">1、内部控制目标 </w:t>
      </w:r>
    </w:p>
    <w:p w14:paraId="575A491C">
      <w:pPr>
        <w:pStyle w:val="7"/>
        <w:spacing w:before="0" w:beforeAutospacing="0" w:after="0" w:afterAutospacing="0" w:line="360" w:lineRule="auto"/>
        <w:ind w:firstLine="420"/>
        <w:rPr>
          <w:sz w:val="21"/>
          <w:szCs w:val="21"/>
        </w:rPr>
      </w:pPr>
      <w:r>
        <w:rPr>
          <w:rFonts w:hint="eastAsia"/>
          <w:sz w:val="21"/>
          <w:szCs w:val="21"/>
        </w:rPr>
        <w:t xml:space="preserve">中信证券托管业务运行严格遵守国家有关法律法规和行业监管规则，建立守法经营、规范运作的经营思想和经营风格，形成运作流程化、管理科学化、监控制度化的内控体系；防范和化解经营风险，确保托管资产的安全完整，维护基金份额持有人的合法权益，保障托管业务安全、有效、稳健运行。 </w:t>
      </w:r>
    </w:p>
    <w:p w14:paraId="6652CABB">
      <w:pPr>
        <w:pStyle w:val="7"/>
        <w:spacing w:before="0" w:beforeAutospacing="0" w:after="0" w:afterAutospacing="0" w:line="360" w:lineRule="auto"/>
        <w:ind w:firstLine="420"/>
        <w:rPr>
          <w:sz w:val="21"/>
          <w:szCs w:val="21"/>
        </w:rPr>
      </w:pPr>
      <w:r>
        <w:rPr>
          <w:rFonts w:hint="eastAsia"/>
          <w:sz w:val="21"/>
          <w:szCs w:val="21"/>
        </w:rPr>
        <w:t xml:space="preserve">2、内部控制原则 </w:t>
      </w:r>
    </w:p>
    <w:p w14:paraId="65285541">
      <w:pPr>
        <w:pStyle w:val="7"/>
        <w:spacing w:before="0" w:beforeAutospacing="0" w:after="0" w:afterAutospacing="0" w:line="360" w:lineRule="auto"/>
        <w:ind w:firstLine="420"/>
        <w:rPr>
          <w:sz w:val="21"/>
          <w:szCs w:val="21"/>
        </w:rPr>
      </w:pPr>
      <w:r>
        <w:rPr>
          <w:rFonts w:hint="eastAsia"/>
          <w:sz w:val="21"/>
          <w:szCs w:val="21"/>
        </w:rPr>
        <w:t xml:space="preserve">（1）合法合规原则：内控制度应当符合国家法律法规及监管机构的监管要求，并贯穿于托管业务经营管理活动的始终； </w:t>
      </w:r>
    </w:p>
    <w:p w14:paraId="7DED909C">
      <w:pPr>
        <w:pStyle w:val="7"/>
        <w:spacing w:before="0" w:beforeAutospacing="0" w:after="0" w:afterAutospacing="0" w:line="360" w:lineRule="auto"/>
        <w:ind w:firstLine="420"/>
        <w:rPr>
          <w:sz w:val="21"/>
          <w:szCs w:val="21"/>
        </w:rPr>
      </w:pPr>
      <w:r>
        <w:rPr>
          <w:rFonts w:hint="eastAsia"/>
          <w:sz w:val="21"/>
          <w:szCs w:val="21"/>
        </w:rPr>
        <w:t xml:space="preserve">（2）完整性原则：托管业务的各项经营管理活动都必须有相应的规范程序和监督制约；监督制约应渗透到托管业务的全过程和各个操作环节，覆盖所有的岗位和人员； </w:t>
      </w:r>
    </w:p>
    <w:p w14:paraId="5DB84D3D">
      <w:pPr>
        <w:pStyle w:val="7"/>
        <w:spacing w:before="0" w:beforeAutospacing="0" w:after="0" w:afterAutospacing="0" w:line="360" w:lineRule="auto"/>
        <w:ind w:firstLine="420"/>
        <w:rPr>
          <w:sz w:val="21"/>
          <w:szCs w:val="21"/>
        </w:rPr>
      </w:pPr>
      <w:r>
        <w:rPr>
          <w:rFonts w:hint="eastAsia"/>
          <w:sz w:val="21"/>
          <w:szCs w:val="21"/>
        </w:rPr>
        <w:t xml:space="preserve">（3）有效性原则：建立对内控制度及其执行的监督、评价、反馈和完善机制，保证内控制度有效执行； </w:t>
      </w:r>
    </w:p>
    <w:p w14:paraId="56CB44D8">
      <w:pPr>
        <w:pStyle w:val="7"/>
        <w:spacing w:before="0" w:beforeAutospacing="0" w:after="0" w:afterAutospacing="0" w:line="360" w:lineRule="auto"/>
        <w:ind w:firstLine="420"/>
        <w:rPr>
          <w:sz w:val="21"/>
          <w:szCs w:val="21"/>
        </w:rPr>
      </w:pPr>
      <w:r>
        <w:rPr>
          <w:rFonts w:hint="eastAsia"/>
          <w:sz w:val="21"/>
          <w:szCs w:val="21"/>
        </w:rPr>
        <w:t xml:space="preserve">（4）审慎性原则：托管业务各项业务活动必须防范风险，审慎经营，保证基金资产的安全与完整； </w:t>
      </w:r>
    </w:p>
    <w:p w14:paraId="7BA39D6F">
      <w:pPr>
        <w:pStyle w:val="7"/>
        <w:spacing w:before="0" w:beforeAutospacing="0" w:after="0" w:afterAutospacing="0" w:line="360" w:lineRule="auto"/>
        <w:ind w:firstLine="420"/>
        <w:rPr>
          <w:sz w:val="21"/>
          <w:szCs w:val="21"/>
        </w:rPr>
      </w:pPr>
      <w:r>
        <w:rPr>
          <w:rFonts w:hint="eastAsia"/>
          <w:sz w:val="21"/>
          <w:szCs w:val="21"/>
        </w:rPr>
        <w:t xml:space="preserve">（5）预防性原则：必须树立“预防为主”的管理理念，控制风险发生的源头，防患于未然，尽量避免业务操作中各种问题的产生； </w:t>
      </w:r>
    </w:p>
    <w:p w14:paraId="1E285170">
      <w:pPr>
        <w:pStyle w:val="7"/>
        <w:spacing w:before="0" w:beforeAutospacing="0" w:after="0" w:afterAutospacing="0" w:line="360" w:lineRule="auto"/>
        <w:ind w:firstLine="420"/>
        <w:rPr>
          <w:sz w:val="21"/>
          <w:szCs w:val="21"/>
        </w:rPr>
      </w:pPr>
      <w:r>
        <w:rPr>
          <w:rFonts w:hint="eastAsia"/>
          <w:sz w:val="21"/>
          <w:szCs w:val="21"/>
        </w:rPr>
        <w:t xml:space="preserve">（6）及时性原则：内部控制制度的制定应当具有前瞻性，并且随着托管部经营战略、经营方针、经营理念等内部环境的变化和国家法律法规、政策制度等外部环境的改变进行及时的修改或完善，发现问题，要及时处理，堵塞漏洞； </w:t>
      </w:r>
    </w:p>
    <w:p w14:paraId="393A177B">
      <w:pPr>
        <w:pStyle w:val="7"/>
        <w:spacing w:before="0" w:beforeAutospacing="0" w:after="0" w:afterAutospacing="0" w:line="360" w:lineRule="auto"/>
        <w:ind w:firstLine="420"/>
        <w:rPr>
          <w:sz w:val="21"/>
          <w:szCs w:val="21"/>
        </w:rPr>
      </w:pPr>
      <w:r>
        <w:rPr>
          <w:rFonts w:hint="eastAsia"/>
          <w:sz w:val="21"/>
          <w:szCs w:val="21"/>
        </w:rPr>
        <w:t xml:space="preserve">（7）独立性原则：托管人托管的基金资产、托管人的自有资产、托管人托管的其他资产应当分离；直接操作人员和控制人员应相对独立，适当分离；内控制度的检查、评价小组必须独立于内控制度的制定和执行小组； </w:t>
      </w:r>
    </w:p>
    <w:p w14:paraId="46FB4F71">
      <w:pPr>
        <w:pStyle w:val="7"/>
        <w:spacing w:before="0" w:beforeAutospacing="0" w:after="0" w:afterAutospacing="0" w:line="360" w:lineRule="auto"/>
        <w:ind w:firstLine="420"/>
        <w:rPr>
          <w:sz w:val="21"/>
          <w:szCs w:val="21"/>
        </w:rPr>
      </w:pPr>
      <w:r>
        <w:rPr>
          <w:rFonts w:hint="eastAsia"/>
          <w:sz w:val="21"/>
          <w:szCs w:val="21"/>
        </w:rPr>
        <w:t xml:space="preserve">（8）相互制约原则：托管部的内部机构和岗位设置应当权责分明、相互制衡。 </w:t>
      </w:r>
    </w:p>
    <w:p w14:paraId="0CEA1648">
      <w:pPr>
        <w:pStyle w:val="7"/>
        <w:spacing w:before="0" w:beforeAutospacing="0" w:after="0" w:afterAutospacing="0" w:line="360" w:lineRule="auto"/>
        <w:ind w:firstLine="420"/>
        <w:rPr>
          <w:sz w:val="21"/>
          <w:szCs w:val="21"/>
        </w:rPr>
      </w:pPr>
      <w:r>
        <w:rPr>
          <w:rFonts w:hint="eastAsia"/>
          <w:sz w:val="21"/>
          <w:szCs w:val="21"/>
        </w:rPr>
        <w:t xml:space="preserve">3、内部控制制度及措施 </w:t>
      </w:r>
    </w:p>
    <w:p w14:paraId="16F0B437">
      <w:pPr>
        <w:pStyle w:val="7"/>
        <w:spacing w:before="0" w:beforeAutospacing="0" w:after="0" w:afterAutospacing="0" w:line="360" w:lineRule="auto"/>
        <w:ind w:firstLine="420"/>
        <w:rPr>
          <w:sz w:val="21"/>
          <w:szCs w:val="21"/>
        </w:rPr>
      </w:pPr>
      <w:r>
        <w:rPr>
          <w:rFonts w:hint="eastAsia"/>
          <w:sz w:val="21"/>
          <w:szCs w:val="21"/>
        </w:rPr>
        <w:t xml:space="preserve">根据《证券投资基金法》、《证券投资基金托管业务管理办法》等法律法规的规定，中信证券制定了一整套严密、高效的证券投资基金托管业务的规章制度，确保基金托管业务运行的规范、安全以及高效。 </w:t>
      </w:r>
    </w:p>
    <w:p w14:paraId="155D163D">
      <w:pPr>
        <w:pStyle w:val="7"/>
        <w:spacing w:before="0" w:beforeAutospacing="0" w:after="0" w:afterAutospacing="0" w:line="360" w:lineRule="auto"/>
        <w:ind w:firstLine="420"/>
        <w:rPr>
          <w:sz w:val="21"/>
          <w:szCs w:val="21"/>
        </w:rPr>
      </w:pPr>
      <w:r>
        <w:rPr>
          <w:rFonts w:hint="eastAsia"/>
          <w:sz w:val="21"/>
          <w:szCs w:val="21"/>
        </w:rPr>
        <w:t xml:space="preserve">主要制度包括《中信证券股份有限公司证券投资基金托管业务管理办法》《中信证券股份有限公司证券投资基金托管业务内部控制和风险管理办法》《中信证券股份有限公司托管业务投资监督管理办法》《中信证券股份有限公司证券投资基金托管业务会计核算业务管理办法》《中信证券股份有限公司托管业务资产保管管理办法》《中信证券股份有限公司托管业务清算管理办法》《中信证券股份有限公司公开募集证券投资基金托管业务信息披露实施细则》《中信证券股份有限公司托管部基金从业人员管理办法》《中信证券股份有限公司托管业务档案管理办法》 《中信证券股份有限公司托管部保密工作管理办法》等，并根据市场变化和基金业务的发展不断加以完善。通过这些规章制度的建立和实施，做到业务分工合理、业务运行和操作流程化、技术系统完整独立、核心业务相互隔离以及有关信息披露由专人负责，勤勉尽责的履行托管义务。 </w:t>
      </w:r>
    </w:p>
    <w:p w14:paraId="7CF2CA3E">
      <w:pPr>
        <w:pStyle w:val="7"/>
        <w:spacing w:before="0" w:beforeAutospacing="0" w:after="0" w:afterAutospacing="0" w:line="360" w:lineRule="auto"/>
        <w:ind w:firstLine="420"/>
        <w:rPr>
          <w:sz w:val="21"/>
          <w:szCs w:val="21"/>
        </w:rPr>
      </w:pPr>
      <w:r>
        <w:rPr>
          <w:rFonts w:hint="eastAsia"/>
          <w:sz w:val="21"/>
          <w:szCs w:val="21"/>
        </w:rPr>
        <w:t xml:space="preserve">托管业务内部控制的内容主要涉及托管项目、资产保管、资金清算、会计核算和资产估值、投资监督、信息技术系统等重要业务环节的内部控制。基金托管人通过对基金托管业务各环节风险的事前揭示、事中控制和事后稽核的动态管理过程来实施内部风险控制。同时为了保证和验证内部控制的有效性、完整性，中信证券定期聘请具有证券业务资格的专业会计师事务所，针对基金托管业务的内部控制制度建设与实施情况开展相关审查与评估，自2016年起每年均通过ISAE3402国际鉴证，中信证券托管业务质量、风险管理、内部控制方面的健全性和有效性得到第三方独立机构的全面认可。 </w:t>
      </w:r>
    </w:p>
    <w:p w14:paraId="3A2453E6">
      <w:pPr>
        <w:pStyle w:val="7"/>
        <w:spacing w:before="0" w:beforeAutospacing="0" w:after="0" w:afterAutospacing="0" w:line="360" w:lineRule="auto"/>
        <w:ind w:firstLine="420"/>
        <w:rPr>
          <w:sz w:val="21"/>
          <w:szCs w:val="21"/>
        </w:rPr>
      </w:pPr>
      <w:r>
        <w:rPr>
          <w:rFonts w:hint="eastAsia"/>
          <w:sz w:val="21"/>
          <w:szCs w:val="21"/>
        </w:rPr>
        <w:t xml:space="preserve">托管业务内部控制的主要措施包括：不相容职务分离控制、授权审批控制、财产保护控制、会计系统控制、预算控制、运营分析控制和绩效考评控制等。 </w:t>
      </w:r>
    </w:p>
    <w:p w14:paraId="4CBF74A2">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5100F0F5">
      <w:pPr>
        <w:pStyle w:val="7"/>
        <w:spacing w:before="0" w:beforeAutospacing="0" w:after="0" w:afterAutospacing="0" w:line="360" w:lineRule="auto"/>
        <w:ind w:firstLine="420"/>
        <w:rPr>
          <w:sz w:val="21"/>
          <w:szCs w:val="21"/>
        </w:rPr>
      </w:pPr>
      <w:r>
        <w:rPr>
          <w:rFonts w:hint="eastAsia"/>
          <w:sz w:val="21"/>
          <w:szCs w:val="21"/>
        </w:rPr>
        <w:t xml:space="preserve">1、监督方法 </w:t>
      </w:r>
    </w:p>
    <w:p w14:paraId="0E11E85A">
      <w:pPr>
        <w:pStyle w:val="7"/>
        <w:spacing w:before="0" w:beforeAutospacing="0" w:after="0" w:afterAutospacing="0" w:line="360" w:lineRule="auto"/>
        <w:ind w:firstLine="420"/>
        <w:rPr>
          <w:sz w:val="21"/>
          <w:szCs w:val="21"/>
        </w:rPr>
      </w:pPr>
      <w:r>
        <w:rPr>
          <w:rFonts w:hint="eastAsia"/>
          <w:sz w:val="21"/>
          <w:szCs w:val="21"/>
        </w:rPr>
        <w:t xml:space="preserve">基金托管人依照《基金法》及其配套法规和基金合同、托管协议的约定，监督所托管基金的投资运作。严格按照现行法律法规以及基金合同、托管协议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14:paraId="3C136967">
      <w:pPr>
        <w:pStyle w:val="7"/>
        <w:spacing w:before="0" w:beforeAutospacing="0" w:after="0" w:afterAutospacing="0" w:line="360" w:lineRule="auto"/>
        <w:ind w:firstLine="420"/>
        <w:rPr>
          <w:sz w:val="21"/>
          <w:szCs w:val="21"/>
        </w:rPr>
      </w:pPr>
      <w:r>
        <w:rPr>
          <w:rFonts w:hint="eastAsia"/>
          <w:sz w:val="21"/>
          <w:szCs w:val="21"/>
        </w:rPr>
        <w:t xml:space="preserve">2、监督流程 </w:t>
      </w:r>
    </w:p>
    <w:p w14:paraId="7ACF360D">
      <w:pPr>
        <w:pStyle w:val="7"/>
        <w:spacing w:before="0" w:beforeAutospacing="0" w:after="0" w:afterAutospacing="0" w:line="360" w:lineRule="auto"/>
        <w:ind w:firstLine="420"/>
        <w:rPr>
          <w:sz w:val="21"/>
          <w:szCs w:val="21"/>
        </w:rPr>
      </w:pPr>
      <w:r>
        <w:rPr>
          <w:rFonts w:hint="eastAsia"/>
          <w:sz w:val="21"/>
          <w:szCs w:val="21"/>
        </w:rPr>
        <w:t xml:space="preserve">（1）每工作日按时通过监控系统，对各基金投资运作比例等控制指标进行例行监控，发现投资比例超标等异常情况，通知基金管理人，与基金管理人进行情况核实，督促其纠正，并根据具体情况及时报告中国证监会。 </w:t>
      </w:r>
    </w:p>
    <w:p w14:paraId="3A15E3A7">
      <w:pPr>
        <w:pStyle w:val="7"/>
        <w:spacing w:before="0" w:beforeAutospacing="0" w:after="0" w:afterAutospacing="0" w:line="360" w:lineRule="auto"/>
        <w:ind w:firstLine="420"/>
        <w:rPr>
          <w:sz w:val="21"/>
          <w:szCs w:val="21"/>
        </w:rPr>
      </w:pPr>
      <w:r>
        <w:rPr>
          <w:rFonts w:hint="eastAsia"/>
          <w:sz w:val="21"/>
          <w:szCs w:val="21"/>
        </w:rPr>
        <w:t xml:space="preserve">（2）收到基金管理人的投资指令后，对涉及各基金的投资范围、投资对象等内容进行合法合规性监督。 </w:t>
      </w:r>
    </w:p>
    <w:p w14:paraId="3C5E0C45">
      <w:pPr>
        <w:pStyle w:val="7"/>
        <w:spacing w:before="0" w:beforeAutospacing="0" w:after="0" w:afterAutospacing="0" w:line="360" w:lineRule="auto"/>
        <w:ind w:firstLine="420"/>
        <w:rPr>
          <w:sz w:val="21"/>
          <w:szCs w:val="21"/>
        </w:rPr>
      </w:pPr>
      <w:r>
        <w:rPr>
          <w:rFonts w:hint="eastAsia"/>
          <w:sz w:val="21"/>
          <w:szCs w:val="21"/>
        </w:rPr>
        <w:t xml:space="preserve">（3）根据基金投资运作情况，编写托管人年度报告，对各基金投资运作的合法合规性等方面进行评价。 </w:t>
      </w:r>
    </w:p>
    <w:p w14:paraId="634C016F">
      <w:pPr>
        <w:pStyle w:val="7"/>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（4）通过技术或非技术手段发现基金涉嫌违规交易，电话或书面要求管理人进行解释</w:t>
      </w:r>
      <w:bookmarkStart w:id="50" w:name="chapter_level1_6_55_section_2_end"/>
      <w:bookmarkEnd w:id="50"/>
      <w:r>
        <w:rPr>
          <w:rFonts w:hint="eastAsia"/>
          <w:sz w:val="21"/>
          <w:szCs w:val="21"/>
        </w:rPr>
        <w:t xml:space="preserve">或举证，并及时报告中国证监会。 </w:t>
      </w:r>
      <w:bookmarkStart w:id="51" w:name="field_0_trustcontrollawinfo_1_end"/>
      <w:bookmarkEnd w:id="51"/>
      <w:r>
        <w:rPr>
          <w:rFonts w:hint="eastAsia"/>
          <w:sz w:val="21"/>
          <w:szCs w:val="21"/>
        </w:rPr>
        <w:t xml:space="preserve">  </w:t>
      </w:r>
    </w:p>
    <w:p w14:paraId="1F805C8E">
      <w:pPr>
        <w:widowControl/>
        <w:jc w:val="left"/>
        <w:rPr>
          <w:rFonts w:ascii="宋体" w:hAnsi="宋体" w:eastAsia="宋体"/>
        </w:rPr>
      </w:pPr>
      <w:r>
        <w:rPr>
          <w:rFonts w:ascii="宋体" w:hAnsi="宋体" w:eastAsia="宋体"/>
        </w:rPr>
        <w:br w:type="page"/>
      </w:r>
    </w:p>
    <w:p w14:paraId="749CFC5B">
      <w:pPr>
        <w:pStyle w:val="2"/>
        <w:jc w:val="center"/>
        <w:rPr>
          <w:rFonts w:ascii="宋体" w:hAnsi="宋体" w:eastAsia="宋体"/>
          <w:sz w:val="30"/>
        </w:rPr>
      </w:pPr>
      <w:bookmarkStart w:id="52" w:name="_Toc207950928"/>
      <w:bookmarkStart w:id="53" w:name="chapter_level1_7_56"/>
      <w:r>
        <w:rPr>
          <w:rFonts w:hint="eastAsia" w:ascii="宋体" w:hAnsi="宋体" w:eastAsia="宋体"/>
          <w:sz w:val="30"/>
        </w:rPr>
        <w:t>第五部分  相关服务机构</w:t>
      </w:r>
      <w:bookmarkEnd w:id="52"/>
      <w:bookmarkEnd w:id="53"/>
    </w:p>
    <w:p w14:paraId="2AA8CB71">
      <w:pPr>
        <w:pStyle w:val="7"/>
        <w:spacing w:before="0" w:beforeAutospacing="0" w:after="0" w:afterAutospacing="0" w:line="360" w:lineRule="auto"/>
        <w:ind w:firstLine="420"/>
        <w:rPr>
          <w:sz w:val="21"/>
          <w:szCs w:val="21"/>
        </w:rPr>
      </w:pPr>
      <w:bookmarkStart w:id="54" w:name="chapter_level1_7_56_section_1_end"/>
      <w:bookmarkEnd w:id="54"/>
      <w:bookmarkStart w:id="55" w:name="chapter_level1_7_56_section_1"/>
      <w:bookmarkEnd w:id="55"/>
      <w:r>
        <w:rPr>
          <w:rStyle w:val="11"/>
          <w:rFonts w:hint="eastAsia"/>
          <w:sz w:val="21"/>
          <w:szCs w:val="21"/>
        </w:rPr>
        <w:t>一、基金份额销售机构</w:t>
      </w:r>
    </w:p>
    <w:p w14:paraId="0A9AD074">
      <w:pPr>
        <w:pStyle w:val="7"/>
        <w:spacing w:before="0" w:beforeAutospacing="0" w:after="0" w:afterAutospacing="0" w:line="360" w:lineRule="auto"/>
        <w:ind w:firstLine="420"/>
        <w:rPr>
          <w:sz w:val="21"/>
          <w:szCs w:val="21"/>
        </w:rPr>
      </w:pPr>
      <w:bookmarkStart w:id="56" w:name="chapter_level1_7_56_section_2"/>
      <w:bookmarkEnd w:id="56"/>
      <w:r>
        <w:rPr>
          <w:rFonts w:hint="eastAsia"/>
          <w:sz w:val="21"/>
          <w:szCs w:val="21"/>
        </w:rPr>
        <w:t xml:space="preserve">1、申赎代办券商 </w:t>
      </w:r>
    </w:p>
    <w:p w14:paraId="7CABBD28">
      <w:pPr>
        <w:pStyle w:val="7"/>
        <w:spacing w:before="0" w:beforeAutospacing="0" w:after="0" w:afterAutospacing="0" w:line="360" w:lineRule="auto"/>
        <w:ind w:firstLine="420"/>
        <w:rPr>
          <w:sz w:val="21"/>
          <w:szCs w:val="21"/>
        </w:rPr>
      </w:pPr>
      <w:bookmarkStart w:id="57" w:name="field_0_allproxysaletables_1_start"/>
      <w:bookmarkEnd w:id="57"/>
      <w:r>
        <w:rPr>
          <w:rFonts w:hint="eastAsia"/>
          <w:b/>
          <w:bCs/>
          <w:sz w:val="21"/>
          <w:szCs w:val="21"/>
        </w:rPr>
        <w:t>(1)国泰海通证券股份有限公司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B475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7E2BA">
            <w:pPr>
              <w:pStyle w:val="7"/>
            </w:pPr>
            <w:r>
              <w:rPr>
                <w:rFonts w:hint="eastAsia"/>
              </w:rPr>
              <w:t xml:space="preserve">注册地址： </w:t>
            </w:r>
          </w:p>
        </w:tc>
        <w:tc>
          <w:tcPr>
            <w:tcW w:w="7440" w:type="dxa"/>
            <w:shd w:val="clear" w:color="auto" w:fill="auto"/>
          </w:tcPr>
          <w:p w14:paraId="4E3E2610">
            <w:pPr>
              <w:pStyle w:val="7"/>
            </w:pPr>
            <w:r>
              <w:rPr>
                <w:rFonts w:hint="eastAsia"/>
              </w:rPr>
              <w:t xml:space="preserve">中国（上海）自由贸易试验区商城路618号  </w:t>
            </w:r>
          </w:p>
        </w:tc>
      </w:tr>
      <w:tr w14:paraId="778C7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D4FB6">
            <w:pPr>
              <w:pStyle w:val="7"/>
            </w:pPr>
            <w:r>
              <w:rPr>
                <w:rFonts w:hint="eastAsia"/>
              </w:rPr>
              <w:t xml:space="preserve">办公地址： </w:t>
            </w:r>
          </w:p>
        </w:tc>
        <w:tc>
          <w:tcPr>
            <w:tcW w:w="7440" w:type="dxa"/>
            <w:shd w:val="clear" w:color="auto" w:fill="auto"/>
          </w:tcPr>
          <w:p w14:paraId="39C92DE5">
            <w:pPr>
              <w:pStyle w:val="7"/>
            </w:pPr>
            <w:r>
              <w:rPr>
                <w:rFonts w:hint="eastAsia"/>
              </w:rPr>
              <w:t xml:space="preserve">上海市静安区南京西路768号国泰君安大厦 </w:t>
            </w:r>
          </w:p>
        </w:tc>
      </w:tr>
      <w:tr w14:paraId="37F87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C236D">
            <w:pPr>
              <w:pStyle w:val="7"/>
            </w:pPr>
            <w:r>
              <w:rPr>
                <w:rFonts w:hint="eastAsia"/>
              </w:rPr>
              <w:t xml:space="preserve">法定代表人： </w:t>
            </w:r>
          </w:p>
        </w:tc>
        <w:tc>
          <w:tcPr>
            <w:tcW w:w="7440" w:type="dxa"/>
            <w:shd w:val="clear" w:color="auto" w:fill="auto"/>
          </w:tcPr>
          <w:p w14:paraId="50B09237">
            <w:pPr>
              <w:pStyle w:val="7"/>
            </w:pPr>
            <w:r>
              <w:rPr>
                <w:rFonts w:hint="eastAsia"/>
              </w:rPr>
              <w:t xml:space="preserve">朱健 </w:t>
            </w:r>
          </w:p>
        </w:tc>
      </w:tr>
      <w:tr w14:paraId="7F6BA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91C2E">
            <w:pPr>
              <w:pStyle w:val="7"/>
            </w:pPr>
            <w:r>
              <w:rPr>
                <w:rFonts w:hint="eastAsia"/>
              </w:rPr>
              <w:t xml:space="preserve">联系人： </w:t>
            </w:r>
          </w:p>
        </w:tc>
        <w:tc>
          <w:tcPr>
            <w:tcW w:w="7440" w:type="dxa"/>
            <w:shd w:val="clear" w:color="auto" w:fill="auto"/>
          </w:tcPr>
          <w:p w14:paraId="0AE37EF5">
            <w:pPr>
              <w:pStyle w:val="7"/>
            </w:pPr>
            <w:r>
              <w:rPr>
                <w:rFonts w:hint="eastAsia"/>
              </w:rPr>
              <w:t xml:space="preserve">钟伟镇  </w:t>
            </w:r>
          </w:p>
        </w:tc>
      </w:tr>
      <w:tr w14:paraId="24E54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81028">
            <w:pPr>
              <w:pStyle w:val="7"/>
            </w:pPr>
            <w:r>
              <w:rPr>
                <w:rFonts w:hint="eastAsia"/>
              </w:rPr>
              <w:t xml:space="preserve">电话： </w:t>
            </w:r>
          </w:p>
        </w:tc>
        <w:tc>
          <w:tcPr>
            <w:tcW w:w="7440" w:type="dxa"/>
            <w:shd w:val="clear" w:color="auto" w:fill="auto"/>
          </w:tcPr>
          <w:p w14:paraId="217D1840">
            <w:pPr>
              <w:pStyle w:val="7"/>
            </w:pPr>
            <w:r>
              <w:rPr>
                <w:rFonts w:hint="eastAsia"/>
              </w:rPr>
              <w:t xml:space="preserve">021-38676666  </w:t>
            </w:r>
          </w:p>
        </w:tc>
      </w:tr>
      <w:tr w14:paraId="706E1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BE92F1A">
            <w:pPr>
              <w:pStyle w:val="7"/>
            </w:pPr>
            <w:r>
              <w:rPr>
                <w:rFonts w:hint="eastAsia"/>
              </w:rPr>
              <w:t xml:space="preserve">传真： </w:t>
            </w:r>
          </w:p>
        </w:tc>
        <w:tc>
          <w:tcPr>
            <w:tcW w:w="7440" w:type="dxa"/>
            <w:shd w:val="clear" w:color="auto" w:fill="auto"/>
          </w:tcPr>
          <w:p w14:paraId="62ED1A8A">
            <w:pPr>
              <w:pStyle w:val="7"/>
            </w:pPr>
            <w:r>
              <w:rPr>
                <w:rFonts w:hint="eastAsia"/>
              </w:rPr>
              <w:t xml:space="preserve">021-38670666  </w:t>
            </w:r>
          </w:p>
        </w:tc>
      </w:tr>
      <w:tr w14:paraId="019A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0B0DE">
            <w:pPr>
              <w:pStyle w:val="7"/>
            </w:pPr>
            <w:r>
              <w:rPr>
                <w:rFonts w:hint="eastAsia"/>
              </w:rPr>
              <w:t xml:space="preserve">客户服务电话： </w:t>
            </w:r>
          </w:p>
        </w:tc>
        <w:tc>
          <w:tcPr>
            <w:tcW w:w="7440" w:type="dxa"/>
            <w:shd w:val="clear" w:color="auto" w:fill="auto"/>
          </w:tcPr>
          <w:p w14:paraId="0291B620">
            <w:pPr>
              <w:pStyle w:val="7"/>
            </w:pPr>
            <w:r>
              <w:rPr>
                <w:rFonts w:hint="eastAsia"/>
              </w:rPr>
              <w:t xml:space="preserve">95521/4008888666  </w:t>
            </w:r>
          </w:p>
        </w:tc>
      </w:tr>
      <w:tr w14:paraId="59E44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064C45">
            <w:pPr>
              <w:pStyle w:val="7"/>
            </w:pPr>
            <w:r>
              <w:rPr>
                <w:rFonts w:hint="eastAsia"/>
              </w:rPr>
              <w:t xml:space="preserve">网址： </w:t>
            </w:r>
          </w:p>
        </w:tc>
        <w:tc>
          <w:tcPr>
            <w:tcW w:w="7440" w:type="dxa"/>
            <w:shd w:val="clear" w:color="auto" w:fill="auto"/>
          </w:tcPr>
          <w:p w14:paraId="414E04AF">
            <w:pPr>
              <w:pStyle w:val="7"/>
            </w:pPr>
            <w:r>
              <w:rPr>
                <w:rFonts w:hint="eastAsia"/>
              </w:rPr>
              <w:t xml:space="preserve">https://www.gtht.com </w:t>
            </w:r>
          </w:p>
        </w:tc>
      </w:tr>
    </w:tbl>
    <w:p w14:paraId="614A99EC">
      <w:pPr>
        <w:pStyle w:val="7"/>
        <w:spacing w:before="0" w:beforeAutospacing="0" w:after="0" w:afterAutospacing="0" w:line="360" w:lineRule="auto"/>
        <w:ind w:firstLine="420"/>
        <w:rPr>
          <w:sz w:val="21"/>
          <w:szCs w:val="21"/>
        </w:rPr>
      </w:pPr>
      <w:r>
        <w:rPr>
          <w:rFonts w:hint="eastAsia"/>
          <w:b/>
          <w:bCs/>
          <w:sz w:val="21"/>
          <w:szCs w:val="21"/>
        </w:rPr>
        <w:t>(2)中信建投证券股份有限公司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45B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2DAFA">
            <w:pPr>
              <w:pStyle w:val="7"/>
            </w:pPr>
            <w:r>
              <w:rPr>
                <w:rFonts w:hint="eastAsia"/>
              </w:rPr>
              <w:t xml:space="preserve">注册地址： </w:t>
            </w:r>
          </w:p>
        </w:tc>
        <w:tc>
          <w:tcPr>
            <w:tcW w:w="7440" w:type="dxa"/>
            <w:shd w:val="clear" w:color="auto" w:fill="auto"/>
          </w:tcPr>
          <w:p w14:paraId="29AC7635">
            <w:pPr>
              <w:pStyle w:val="7"/>
            </w:pPr>
            <w:r>
              <w:rPr>
                <w:rFonts w:hint="eastAsia"/>
              </w:rPr>
              <w:t xml:space="preserve">北京市朝阳区安立路66号4号楼 </w:t>
            </w:r>
          </w:p>
        </w:tc>
      </w:tr>
      <w:tr w14:paraId="52CF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AE4C82">
            <w:pPr>
              <w:pStyle w:val="7"/>
            </w:pPr>
            <w:r>
              <w:rPr>
                <w:rFonts w:hint="eastAsia"/>
              </w:rPr>
              <w:t xml:space="preserve">办公地址： </w:t>
            </w:r>
          </w:p>
        </w:tc>
        <w:tc>
          <w:tcPr>
            <w:tcW w:w="7440" w:type="dxa"/>
            <w:shd w:val="clear" w:color="auto" w:fill="auto"/>
          </w:tcPr>
          <w:p w14:paraId="78FB7537">
            <w:pPr>
              <w:pStyle w:val="7"/>
            </w:pPr>
            <w:r>
              <w:rPr>
                <w:rFonts w:hint="eastAsia"/>
              </w:rPr>
              <w:t xml:space="preserve">北京市朝阳区光华路10号 </w:t>
            </w:r>
          </w:p>
        </w:tc>
      </w:tr>
      <w:tr w14:paraId="2FC2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C8A71">
            <w:pPr>
              <w:pStyle w:val="7"/>
            </w:pPr>
            <w:r>
              <w:rPr>
                <w:rFonts w:hint="eastAsia"/>
              </w:rPr>
              <w:t xml:space="preserve">法定代表人： </w:t>
            </w:r>
          </w:p>
        </w:tc>
        <w:tc>
          <w:tcPr>
            <w:tcW w:w="7440" w:type="dxa"/>
            <w:shd w:val="clear" w:color="auto" w:fill="auto"/>
          </w:tcPr>
          <w:p w14:paraId="40C16DD5">
            <w:pPr>
              <w:pStyle w:val="7"/>
            </w:pPr>
            <w:r>
              <w:rPr>
                <w:rFonts w:hint="eastAsia"/>
              </w:rPr>
              <w:t xml:space="preserve">刘成 </w:t>
            </w:r>
          </w:p>
        </w:tc>
      </w:tr>
      <w:tr w14:paraId="30D6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023BA6">
            <w:pPr>
              <w:pStyle w:val="7"/>
            </w:pPr>
            <w:r>
              <w:rPr>
                <w:rFonts w:hint="eastAsia"/>
              </w:rPr>
              <w:t xml:space="preserve">联系人： </w:t>
            </w:r>
          </w:p>
        </w:tc>
        <w:tc>
          <w:tcPr>
            <w:tcW w:w="7440" w:type="dxa"/>
            <w:shd w:val="clear" w:color="auto" w:fill="auto"/>
          </w:tcPr>
          <w:p w14:paraId="01273FD2">
            <w:pPr>
              <w:pStyle w:val="7"/>
            </w:pPr>
            <w:r>
              <w:rPr>
                <w:rFonts w:hint="eastAsia"/>
              </w:rPr>
              <w:t xml:space="preserve">陈海静 </w:t>
            </w:r>
          </w:p>
        </w:tc>
      </w:tr>
      <w:tr w14:paraId="44E0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E7CF8">
            <w:pPr>
              <w:pStyle w:val="7"/>
            </w:pPr>
            <w:r>
              <w:rPr>
                <w:rFonts w:hint="eastAsia"/>
              </w:rPr>
              <w:t xml:space="preserve">电话： </w:t>
            </w:r>
          </w:p>
        </w:tc>
        <w:tc>
          <w:tcPr>
            <w:tcW w:w="7440" w:type="dxa"/>
            <w:shd w:val="clear" w:color="auto" w:fill="auto"/>
          </w:tcPr>
          <w:p w14:paraId="4FCE3639">
            <w:pPr>
              <w:pStyle w:val="7"/>
            </w:pPr>
            <w:r>
              <w:rPr>
                <w:rFonts w:hint="eastAsia"/>
              </w:rPr>
              <w:t xml:space="preserve">010-65608231 </w:t>
            </w:r>
          </w:p>
        </w:tc>
      </w:tr>
      <w:tr w14:paraId="755A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1BA8B">
            <w:pPr>
              <w:pStyle w:val="7"/>
            </w:pPr>
            <w:r>
              <w:rPr>
                <w:rFonts w:hint="eastAsia"/>
              </w:rPr>
              <w:t xml:space="preserve">传真： </w:t>
            </w:r>
          </w:p>
        </w:tc>
        <w:tc>
          <w:tcPr>
            <w:tcW w:w="7440" w:type="dxa"/>
            <w:shd w:val="clear" w:color="auto" w:fill="auto"/>
          </w:tcPr>
          <w:p w14:paraId="0C57E7C9">
            <w:pPr>
              <w:pStyle w:val="7"/>
            </w:pPr>
            <w:r>
              <w:rPr>
                <w:rFonts w:hint="eastAsia"/>
              </w:rPr>
              <w:t xml:space="preserve">010－65182261 </w:t>
            </w:r>
          </w:p>
        </w:tc>
      </w:tr>
      <w:tr w14:paraId="3B138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7D0361">
            <w:pPr>
              <w:pStyle w:val="7"/>
            </w:pPr>
            <w:r>
              <w:rPr>
                <w:rFonts w:hint="eastAsia"/>
              </w:rPr>
              <w:t xml:space="preserve">客户服务电话： </w:t>
            </w:r>
          </w:p>
        </w:tc>
        <w:tc>
          <w:tcPr>
            <w:tcW w:w="7440" w:type="dxa"/>
            <w:shd w:val="clear" w:color="auto" w:fill="auto"/>
          </w:tcPr>
          <w:p w14:paraId="31C97D7F">
            <w:pPr>
              <w:pStyle w:val="7"/>
            </w:pPr>
            <w:r>
              <w:rPr>
                <w:rFonts w:hint="eastAsia"/>
              </w:rPr>
              <w:t xml:space="preserve">4008888108/95587 </w:t>
            </w:r>
          </w:p>
        </w:tc>
      </w:tr>
      <w:tr w14:paraId="6B19E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D8B37C">
            <w:pPr>
              <w:pStyle w:val="7"/>
            </w:pPr>
            <w:r>
              <w:rPr>
                <w:rFonts w:hint="eastAsia"/>
              </w:rPr>
              <w:t xml:space="preserve">网址： </w:t>
            </w:r>
          </w:p>
        </w:tc>
        <w:tc>
          <w:tcPr>
            <w:tcW w:w="7440" w:type="dxa"/>
            <w:shd w:val="clear" w:color="auto" w:fill="auto"/>
          </w:tcPr>
          <w:p w14:paraId="23BFFA1D">
            <w:pPr>
              <w:pStyle w:val="7"/>
            </w:pPr>
            <w:r>
              <w:rPr>
                <w:rFonts w:hint="eastAsia"/>
              </w:rPr>
              <w:t xml:space="preserve">http://www.csc108.com/ </w:t>
            </w:r>
          </w:p>
        </w:tc>
      </w:tr>
    </w:tbl>
    <w:p w14:paraId="5B85DA63">
      <w:pPr>
        <w:pStyle w:val="7"/>
        <w:spacing w:before="0" w:beforeAutospacing="0" w:after="0" w:afterAutospacing="0" w:line="360" w:lineRule="auto"/>
        <w:ind w:firstLine="420"/>
        <w:rPr>
          <w:sz w:val="21"/>
          <w:szCs w:val="21"/>
        </w:rPr>
      </w:pPr>
      <w:r>
        <w:rPr>
          <w:rFonts w:hint="eastAsia"/>
          <w:b/>
          <w:bCs/>
          <w:sz w:val="21"/>
          <w:szCs w:val="21"/>
        </w:rPr>
        <w:t>(3)国信证券股份有限公司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B51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A68E98">
            <w:pPr>
              <w:pStyle w:val="7"/>
            </w:pPr>
            <w:r>
              <w:rPr>
                <w:rFonts w:hint="eastAsia"/>
              </w:rPr>
              <w:t xml:space="preserve">注册地址： </w:t>
            </w:r>
          </w:p>
        </w:tc>
        <w:tc>
          <w:tcPr>
            <w:tcW w:w="7440" w:type="dxa"/>
            <w:shd w:val="clear" w:color="auto" w:fill="auto"/>
          </w:tcPr>
          <w:p w14:paraId="58FAF955">
            <w:pPr>
              <w:pStyle w:val="7"/>
            </w:pPr>
            <w:r>
              <w:rPr>
                <w:rFonts w:hint="eastAsia"/>
              </w:rPr>
              <w:t xml:space="preserve">深圳市罗湖区红岭中路1012号国信证券大厦十六层至二十六层 </w:t>
            </w:r>
          </w:p>
        </w:tc>
      </w:tr>
      <w:tr w14:paraId="102A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24A53F">
            <w:pPr>
              <w:pStyle w:val="7"/>
            </w:pPr>
            <w:r>
              <w:rPr>
                <w:rFonts w:hint="eastAsia"/>
              </w:rPr>
              <w:t xml:space="preserve">办公地址： </w:t>
            </w:r>
          </w:p>
        </w:tc>
        <w:tc>
          <w:tcPr>
            <w:tcW w:w="7440" w:type="dxa"/>
            <w:shd w:val="clear" w:color="auto" w:fill="auto"/>
          </w:tcPr>
          <w:p w14:paraId="06845496">
            <w:pPr>
              <w:pStyle w:val="7"/>
            </w:pPr>
            <w:r>
              <w:rPr>
                <w:rFonts w:hint="eastAsia"/>
              </w:rPr>
              <w:t xml:space="preserve">深圳市福田区福华一路125号国信金融大厦37楼  </w:t>
            </w:r>
          </w:p>
        </w:tc>
      </w:tr>
      <w:tr w14:paraId="782D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5961B4">
            <w:pPr>
              <w:pStyle w:val="7"/>
            </w:pPr>
            <w:r>
              <w:rPr>
                <w:rFonts w:hint="eastAsia"/>
              </w:rPr>
              <w:t xml:space="preserve">法定代表人： </w:t>
            </w:r>
          </w:p>
        </w:tc>
        <w:tc>
          <w:tcPr>
            <w:tcW w:w="7440" w:type="dxa"/>
            <w:shd w:val="clear" w:color="auto" w:fill="auto"/>
          </w:tcPr>
          <w:p w14:paraId="55449B48">
            <w:pPr>
              <w:pStyle w:val="7"/>
            </w:pPr>
            <w:r>
              <w:rPr>
                <w:rFonts w:hint="eastAsia"/>
              </w:rPr>
              <w:t xml:space="preserve">张纳沙 </w:t>
            </w:r>
          </w:p>
        </w:tc>
      </w:tr>
      <w:tr w14:paraId="5EB7E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AB65A">
            <w:pPr>
              <w:pStyle w:val="7"/>
            </w:pPr>
            <w:r>
              <w:rPr>
                <w:rFonts w:hint="eastAsia"/>
              </w:rPr>
              <w:t xml:space="preserve">联系人： </w:t>
            </w:r>
          </w:p>
        </w:tc>
        <w:tc>
          <w:tcPr>
            <w:tcW w:w="7440" w:type="dxa"/>
            <w:shd w:val="clear" w:color="auto" w:fill="auto"/>
          </w:tcPr>
          <w:p w14:paraId="20AF47AF">
            <w:pPr>
              <w:pStyle w:val="7"/>
            </w:pPr>
            <w:r>
              <w:rPr>
                <w:rFonts w:hint="eastAsia"/>
              </w:rPr>
              <w:t xml:space="preserve">于智勇 </w:t>
            </w:r>
          </w:p>
        </w:tc>
      </w:tr>
      <w:tr w14:paraId="37C6C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18298">
            <w:pPr>
              <w:pStyle w:val="7"/>
            </w:pPr>
            <w:r>
              <w:rPr>
                <w:rFonts w:hint="eastAsia"/>
              </w:rPr>
              <w:t xml:space="preserve">电话： </w:t>
            </w:r>
          </w:p>
        </w:tc>
        <w:tc>
          <w:tcPr>
            <w:tcW w:w="7440" w:type="dxa"/>
            <w:shd w:val="clear" w:color="auto" w:fill="auto"/>
          </w:tcPr>
          <w:p w14:paraId="4650F9E0">
            <w:pPr>
              <w:pStyle w:val="7"/>
            </w:pPr>
            <w:r>
              <w:rPr>
                <w:rFonts w:hint="eastAsia"/>
              </w:rPr>
              <w:t xml:space="preserve">0755-81981259 </w:t>
            </w:r>
          </w:p>
        </w:tc>
      </w:tr>
      <w:tr w14:paraId="19E8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B558F">
            <w:pPr>
              <w:pStyle w:val="7"/>
            </w:pPr>
            <w:r>
              <w:rPr>
                <w:rFonts w:hint="eastAsia"/>
              </w:rPr>
              <w:t xml:space="preserve">传真： </w:t>
            </w:r>
          </w:p>
        </w:tc>
        <w:tc>
          <w:tcPr>
            <w:tcW w:w="7440" w:type="dxa"/>
            <w:shd w:val="clear" w:color="auto" w:fill="auto"/>
          </w:tcPr>
          <w:p w14:paraId="0C320D41">
            <w:pPr>
              <w:pStyle w:val="7"/>
            </w:pPr>
            <w:r>
              <w:rPr>
                <w:rFonts w:hint="eastAsia"/>
              </w:rPr>
              <w:t xml:space="preserve">0755-82133952 </w:t>
            </w:r>
          </w:p>
        </w:tc>
      </w:tr>
      <w:tr w14:paraId="49B84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1EF85">
            <w:pPr>
              <w:pStyle w:val="7"/>
            </w:pPr>
            <w:r>
              <w:rPr>
                <w:rFonts w:hint="eastAsia"/>
              </w:rPr>
              <w:t xml:space="preserve">客户服务电话： </w:t>
            </w:r>
          </w:p>
        </w:tc>
        <w:tc>
          <w:tcPr>
            <w:tcW w:w="7440" w:type="dxa"/>
            <w:shd w:val="clear" w:color="auto" w:fill="auto"/>
          </w:tcPr>
          <w:p w14:paraId="1319B94C">
            <w:pPr>
              <w:pStyle w:val="7"/>
            </w:pPr>
            <w:r>
              <w:rPr>
                <w:rFonts w:hint="eastAsia"/>
              </w:rPr>
              <w:t xml:space="preserve">95536 </w:t>
            </w:r>
          </w:p>
        </w:tc>
      </w:tr>
      <w:tr w14:paraId="0D480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3F6C3">
            <w:pPr>
              <w:pStyle w:val="7"/>
            </w:pPr>
            <w:r>
              <w:rPr>
                <w:rFonts w:hint="eastAsia"/>
              </w:rPr>
              <w:t xml:space="preserve">网址： </w:t>
            </w:r>
          </w:p>
        </w:tc>
        <w:tc>
          <w:tcPr>
            <w:tcW w:w="7440" w:type="dxa"/>
            <w:shd w:val="clear" w:color="auto" w:fill="auto"/>
          </w:tcPr>
          <w:p w14:paraId="1443168A">
            <w:pPr>
              <w:pStyle w:val="7"/>
            </w:pPr>
            <w:r>
              <w:rPr>
                <w:rFonts w:hint="eastAsia"/>
              </w:rPr>
              <w:t xml:space="preserve">http://www.guosen.com.cn/ </w:t>
            </w:r>
          </w:p>
        </w:tc>
      </w:tr>
    </w:tbl>
    <w:p w14:paraId="15C322D3">
      <w:pPr>
        <w:pStyle w:val="7"/>
        <w:spacing w:before="0" w:beforeAutospacing="0" w:after="0" w:afterAutospacing="0" w:line="360" w:lineRule="auto"/>
        <w:ind w:firstLine="420"/>
        <w:rPr>
          <w:sz w:val="21"/>
          <w:szCs w:val="21"/>
        </w:rPr>
      </w:pPr>
      <w:r>
        <w:rPr>
          <w:rFonts w:hint="eastAsia"/>
          <w:b/>
          <w:bCs/>
          <w:sz w:val="21"/>
          <w:szCs w:val="21"/>
        </w:rPr>
        <w:t>(4)招商证券股份有限公司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51769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49F74">
            <w:pPr>
              <w:pStyle w:val="7"/>
            </w:pPr>
            <w:r>
              <w:rPr>
                <w:rFonts w:hint="eastAsia"/>
              </w:rPr>
              <w:t xml:space="preserve">注册地址： </w:t>
            </w:r>
          </w:p>
        </w:tc>
        <w:tc>
          <w:tcPr>
            <w:tcW w:w="7440" w:type="dxa"/>
            <w:shd w:val="clear" w:color="auto" w:fill="auto"/>
          </w:tcPr>
          <w:p w14:paraId="3CE69CAC">
            <w:pPr>
              <w:pStyle w:val="7"/>
            </w:pPr>
            <w:r>
              <w:rPr>
                <w:rFonts w:hint="eastAsia"/>
              </w:rPr>
              <w:t xml:space="preserve">深圳市福田区福田街道福华一路111号 </w:t>
            </w:r>
          </w:p>
        </w:tc>
      </w:tr>
      <w:tr w14:paraId="199D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77771">
            <w:pPr>
              <w:pStyle w:val="7"/>
            </w:pPr>
            <w:r>
              <w:rPr>
                <w:rFonts w:hint="eastAsia"/>
              </w:rPr>
              <w:t xml:space="preserve">办公地址： </w:t>
            </w:r>
          </w:p>
        </w:tc>
        <w:tc>
          <w:tcPr>
            <w:tcW w:w="7440" w:type="dxa"/>
            <w:shd w:val="clear" w:color="auto" w:fill="auto"/>
          </w:tcPr>
          <w:p w14:paraId="6CF9C45F">
            <w:pPr>
              <w:pStyle w:val="7"/>
            </w:pPr>
            <w:r>
              <w:rPr>
                <w:rFonts w:hint="eastAsia"/>
              </w:rPr>
              <w:t xml:space="preserve">深圳市福田区福华一路111号招商证券大厦23楼  </w:t>
            </w:r>
          </w:p>
        </w:tc>
      </w:tr>
      <w:tr w14:paraId="7DBF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5FF59">
            <w:pPr>
              <w:pStyle w:val="7"/>
            </w:pPr>
            <w:r>
              <w:rPr>
                <w:rFonts w:hint="eastAsia"/>
              </w:rPr>
              <w:t xml:space="preserve">法定代表人： </w:t>
            </w:r>
          </w:p>
        </w:tc>
        <w:tc>
          <w:tcPr>
            <w:tcW w:w="7440" w:type="dxa"/>
            <w:shd w:val="clear" w:color="auto" w:fill="auto"/>
          </w:tcPr>
          <w:p w14:paraId="6EE7622C">
            <w:pPr>
              <w:pStyle w:val="7"/>
            </w:pPr>
            <w:r>
              <w:rPr>
                <w:rFonts w:hint="eastAsia"/>
              </w:rPr>
              <w:t xml:space="preserve">霍达 </w:t>
            </w:r>
          </w:p>
        </w:tc>
      </w:tr>
      <w:tr w14:paraId="0FBF9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93EBF">
            <w:pPr>
              <w:pStyle w:val="7"/>
            </w:pPr>
            <w:r>
              <w:rPr>
                <w:rFonts w:hint="eastAsia"/>
              </w:rPr>
              <w:t xml:space="preserve">联系人： </w:t>
            </w:r>
          </w:p>
        </w:tc>
        <w:tc>
          <w:tcPr>
            <w:tcW w:w="7440" w:type="dxa"/>
            <w:shd w:val="clear" w:color="auto" w:fill="auto"/>
          </w:tcPr>
          <w:p w14:paraId="31F3DECA">
            <w:pPr>
              <w:pStyle w:val="7"/>
            </w:pPr>
            <w:r>
              <w:rPr>
                <w:rFonts w:hint="eastAsia"/>
              </w:rPr>
              <w:t xml:space="preserve">业清扬 </w:t>
            </w:r>
          </w:p>
        </w:tc>
      </w:tr>
      <w:tr w14:paraId="7ADE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5E223">
            <w:pPr>
              <w:pStyle w:val="7"/>
            </w:pPr>
            <w:r>
              <w:rPr>
                <w:rFonts w:hint="eastAsia"/>
              </w:rPr>
              <w:t xml:space="preserve">电话： </w:t>
            </w:r>
          </w:p>
        </w:tc>
        <w:tc>
          <w:tcPr>
            <w:tcW w:w="7440" w:type="dxa"/>
            <w:shd w:val="clear" w:color="auto" w:fill="auto"/>
          </w:tcPr>
          <w:p w14:paraId="42576ED8">
            <w:pPr>
              <w:pStyle w:val="7"/>
            </w:pPr>
            <w:r>
              <w:rPr>
                <w:rFonts w:hint="eastAsia"/>
              </w:rPr>
              <w:t xml:space="preserve">0755-83081954 </w:t>
            </w:r>
          </w:p>
        </w:tc>
      </w:tr>
      <w:tr w14:paraId="260DA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D4D67">
            <w:pPr>
              <w:pStyle w:val="7"/>
            </w:pPr>
            <w:r>
              <w:rPr>
                <w:rFonts w:hint="eastAsia"/>
              </w:rPr>
              <w:t xml:space="preserve">传真： </w:t>
            </w:r>
          </w:p>
        </w:tc>
        <w:tc>
          <w:tcPr>
            <w:tcW w:w="7440" w:type="dxa"/>
            <w:shd w:val="clear" w:color="auto" w:fill="auto"/>
          </w:tcPr>
          <w:p w14:paraId="0BCE53DA">
            <w:pPr>
              <w:pStyle w:val="7"/>
            </w:pPr>
            <w:r>
              <w:rPr>
                <w:rFonts w:hint="eastAsia"/>
              </w:rPr>
              <w:t xml:space="preserve">0755-83734343 </w:t>
            </w:r>
          </w:p>
        </w:tc>
      </w:tr>
      <w:tr w14:paraId="1B635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38818">
            <w:pPr>
              <w:pStyle w:val="7"/>
            </w:pPr>
            <w:r>
              <w:rPr>
                <w:rFonts w:hint="eastAsia"/>
              </w:rPr>
              <w:t xml:space="preserve">客户服务电话： </w:t>
            </w:r>
          </w:p>
        </w:tc>
        <w:tc>
          <w:tcPr>
            <w:tcW w:w="7440" w:type="dxa"/>
            <w:shd w:val="clear" w:color="auto" w:fill="auto"/>
          </w:tcPr>
          <w:p w14:paraId="4F91B2EF">
            <w:pPr>
              <w:pStyle w:val="7"/>
            </w:pPr>
            <w:r>
              <w:rPr>
                <w:rFonts w:hint="eastAsia"/>
              </w:rPr>
              <w:t xml:space="preserve">95565 </w:t>
            </w:r>
          </w:p>
        </w:tc>
      </w:tr>
      <w:tr w14:paraId="775B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82AFF5">
            <w:pPr>
              <w:pStyle w:val="7"/>
            </w:pPr>
            <w:r>
              <w:rPr>
                <w:rFonts w:hint="eastAsia"/>
              </w:rPr>
              <w:t xml:space="preserve">网址： </w:t>
            </w:r>
          </w:p>
        </w:tc>
        <w:tc>
          <w:tcPr>
            <w:tcW w:w="7440" w:type="dxa"/>
            <w:shd w:val="clear" w:color="auto" w:fill="auto"/>
          </w:tcPr>
          <w:p w14:paraId="6DCC0A85">
            <w:pPr>
              <w:pStyle w:val="7"/>
            </w:pPr>
            <w:r>
              <w:rPr>
                <w:rFonts w:hint="eastAsia"/>
              </w:rPr>
              <w:t xml:space="preserve">http://www.cmschina.com/ </w:t>
            </w:r>
          </w:p>
        </w:tc>
      </w:tr>
    </w:tbl>
    <w:p w14:paraId="2AD59C91">
      <w:pPr>
        <w:pStyle w:val="7"/>
        <w:spacing w:before="0" w:beforeAutospacing="0" w:after="0" w:afterAutospacing="0" w:line="360" w:lineRule="auto"/>
        <w:ind w:firstLine="420"/>
        <w:rPr>
          <w:sz w:val="21"/>
          <w:szCs w:val="21"/>
        </w:rPr>
      </w:pPr>
      <w:r>
        <w:rPr>
          <w:rFonts w:hint="eastAsia"/>
          <w:b/>
          <w:bCs/>
          <w:sz w:val="21"/>
          <w:szCs w:val="21"/>
        </w:rPr>
        <w:t>(5)广发证券股份有限公司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6E9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6D5D7">
            <w:pPr>
              <w:pStyle w:val="7"/>
            </w:pPr>
            <w:r>
              <w:rPr>
                <w:rFonts w:hint="eastAsia"/>
              </w:rPr>
              <w:t xml:space="preserve">注册地址： </w:t>
            </w:r>
          </w:p>
        </w:tc>
        <w:tc>
          <w:tcPr>
            <w:tcW w:w="7440" w:type="dxa"/>
            <w:shd w:val="clear" w:color="auto" w:fill="auto"/>
          </w:tcPr>
          <w:p w14:paraId="4A9ED368">
            <w:pPr>
              <w:pStyle w:val="7"/>
            </w:pPr>
            <w:r>
              <w:rPr>
                <w:rFonts w:hint="eastAsia"/>
              </w:rPr>
              <w:t xml:space="preserve">广州市黄埔区中新广州知识城腾飞一街2号618室 </w:t>
            </w:r>
          </w:p>
        </w:tc>
      </w:tr>
      <w:tr w14:paraId="7383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0A635">
            <w:pPr>
              <w:pStyle w:val="7"/>
            </w:pPr>
            <w:r>
              <w:rPr>
                <w:rFonts w:hint="eastAsia"/>
              </w:rPr>
              <w:t xml:space="preserve">办公地址： </w:t>
            </w:r>
          </w:p>
        </w:tc>
        <w:tc>
          <w:tcPr>
            <w:tcW w:w="7440" w:type="dxa"/>
            <w:shd w:val="clear" w:color="auto" w:fill="auto"/>
          </w:tcPr>
          <w:p w14:paraId="51565D7A">
            <w:pPr>
              <w:pStyle w:val="7"/>
            </w:pPr>
            <w:r>
              <w:rPr>
                <w:rFonts w:hint="eastAsia"/>
              </w:rPr>
              <w:t xml:space="preserve">广州市天河区马场路26号广发证券大厦 </w:t>
            </w:r>
          </w:p>
        </w:tc>
      </w:tr>
      <w:tr w14:paraId="278F3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5AF36">
            <w:pPr>
              <w:pStyle w:val="7"/>
            </w:pPr>
            <w:r>
              <w:rPr>
                <w:rFonts w:hint="eastAsia"/>
              </w:rPr>
              <w:t xml:space="preserve">法定代表人： </w:t>
            </w:r>
          </w:p>
        </w:tc>
        <w:tc>
          <w:tcPr>
            <w:tcW w:w="7440" w:type="dxa"/>
            <w:shd w:val="clear" w:color="auto" w:fill="auto"/>
          </w:tcPr>
          <w:p w14:paraId="232A0FF2">
            <w:pPr>
              <w:pStyle w:val="7"/>
            </w:pPr>
            <w:r>
              <w:rPr>
                <w:rFonts w:hint="eastAsia"/>
              </w:rPr>
              <w:t xml:space="preserve">林传辉 </w:t>
            </w:r>
          </w:p>
        </w:tc>
      </w:tr>
      <w:tr w14:paraId="674D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28516">
            <w:pPr>
              <w:pStyle w:val="7"/>
            </w:pPr>
            <w:r>
              <w:rPr>
                <w:rFonts w:hint="eastAsia"/>
              </w:rPr>
              <w:t xml:space="preserve">联系人： </w:t>
            </w:r>
          </w:p>
        </w:tc>
        <w:tc>
          <w:tcPr>
            <w:tcW w:w="7440" w:type="dxa"/>
            <w:shd w:val="clear" w:color="auto" w:fill="auto"/>
          </w:tcPr>
          <w:p w14:paraId="6B754D0F">
            <w:pPr>
              <w:pStyle w:val="7"/>
            </w:pPr>
            <w:r>
              <w:rPr>
                <w:rFonts w:hint="eastAsia"/>
              </w:rPr>
              <w:t xml:space="preserve">黄岚 </w:t>
            </w:r>
          </w:p>
        </w:tc>
      </w:tr>
      <w:tr w14:paraId="616F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23FF4">
            <w:pPr>
              <w:pStyle w:val="7"/>
            </w:pPr>
            <w:r>
              <w:rPr>
                <w:rFonts w:hint="eastAsia"/>
              </w:rPr>
              <w:t xml:space="preserve">电话： </w:t>
            </w:r>
          </w:p>
        </w:tc>
        <w:tc>
          <w:tcPr>
            <w:tcW w:w="7440" w:type="dxa"/>
            <w:shd w:val="clear" w:color="auto" w:fill="auto"/>
          </w:tcPr>
          <w:p w14:paraId="64B9A310">
            <w:pPr>
              <w:pStyle w:val="7"/>
            </w:pPr>
            <w:r>
              <w:rPr>
                <w:rFonts w:hint="eastAsia"/>
              </w:rPr>
              <w:t xml:space="preserve">020－87555888 </w:t>
            </w:r>
          </w:p>
        </w:tc>
      </w:tr>
      <w:tr w14:paraId="649A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27AF7">
            <w:pPr>
              <w:pStyle w:val="7"/>
            </w:pPr>
            <w:r>
              <w:rPr>
                <w:rFonts w:hint="eastAsia"/>
              </w:rPr>
              <w:t xml:space="preserve">传真： </w:t>
            </w:r>
          </w:p>
        </w:tc>
        <w:tc>
          <w:tcPr>
            <w:tcW w:w="7440" w:type="dxa"/>
            <w:shd w:val="clear" w:color="auto" w:fill="auto"/>
          </w:tcPr>
          <w:p w14:paraId="5A4426E2">
            <w:pPr>
              <w:pStyle w:val="7"/>
            </w:pPr>
            <w:r>
              <w:rPr>
                <w:rFonts w:hint="eastAsia"/>
              </w:rPr>
              <w:t xml:space="preserve">020－87555305 </w:t>
            </w:r>
          </w:p>
        </w:tc>
      </w:tr>
      <w:tr w14:paraId="3338D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28B00">
            <w:pPr>
              <w:pStyle w:val="7"/>
            </w:pPr>
            <w:r>
              <w:rPr>
                <w:rFonts w:hint="eastAsia"/>
              </w:rPr>
              <w:t xml:space="preserve">客户服务电话： </w:t>
            </w:r>
          </w:p>
        </w:tc>
        <w:tc>
          <w:tcPr>
            <w:tcW w:w="7440" w:type="dxa"/>
            <w:shd w:val="clear" w:color="auto" w:fill="auto"/>
          </w:tcPr>
          <w:p w14:paraId="4D500920">
            <w:pPr>
              <w:pStyle w:val="7"/>
            </w:pPr>
            <w:r>
              <w:rPr>
                <w:rFonts w:hint="eastAsia"/>
              </w:rPr>
              <w:t xml:space="preserve">95575、020-95575或致电各地营业网点  </w:t>
            </w:r>
          </w:p>
        </w:tc>
      </w:tr>
      <w:tr w14:paraId="3785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250DE4">
            <w:pPr>
              <w:pStyle w:val="7"/>
            </w:pPr>
            <w:r>
              <w:rPr>
                <w:rFonts w:hint="eastAsia"/>
              </w:rPr>
              <w:t xml:space="preserve">网址： </w:t>
            </w:r>
          </w:p>
        </w:tc>
        <w:tc>
          <w:tcPr>
            <w:tcW w:w="7440" w:type="dxa"/>
            <w:shd w:val="clear" w:color="auto" w:fill="auto"/>
          </w:tcPr>
          <w:p w14:paraId="432CE989">
            <w:pPr>
              <w:pStyle w:val="7"/>
            </w:pPr>
            <w:r>
              <w:rPr>
                <w:rFonts w:hint="eastAsia"/>
              </w:rPr>
              <w:t xml:space="preserve">http://www.gf.com.cn/ </w:t>
            </w:r>
          </w:p>
        </w:tc>
      </w:tr>
    </w:tbl>
    <w:p w14:paraId="443AE150">
      <w:pPr>
        <w:pStyle w:val="7"/>
        <w:spacing w:before="0" w:beforeAutospacing="0" w:after="0" w:afterAutospacing="0" w:line="360" w:lineRule="auto"/>
        <w:ind w:firstLine="420"/>
        <w:rPr>
          <w:sz w:val="21"/>
          <w:szCs w:val="21"/>
        </w:rPr>
      </w:pPr>
      <w:r>
        <w:rPr>
          <w:rFonts w:hint="eastAsia"/>
          <w:b/>
          <w:bCs/>
          <w:sz w:val="21"/>
          <w:szCs w:val="21"/>
        </w:rPr>
        <w:t>(6)中信证券股份有限公司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ECB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A75D173">
            <w:pPr>
              <w:pStyle w:val="7"/>
            </w:pPr>
            <w:r>
              <w:rPr>
                <w:rFonts w:hint="eastAsia"/>
              </w:rPr>
              <w:t xml:space="preserve">注册地址： </w:t>
            </w:r>
          </w:p>
        </w:tc>
        <w:tc>
          <w:tcPr>
            <w:tcW w:w="7440" w:type="dxa"/>
            <w:shd w:val="clear" w:color="auto" w:fill="auto"/>
          </w:tcPr>
          <w:p w14:paraId="499C88FE">
            <w:pPr>
              <w:pStyle w:val="7"/>
            </w:pPr>
            <w:r>
              <w:rPr>
                <w:rFonts w:hint="eastAsia"/>
              </w:rPr>
              <w:t xml:space="preserve">广东省深圳市福田区中心三路8号卓越时代广场（二期）北座 </w:t>
            </w:r>
          </w:p>
        </w:tc>
      </w:tr>
      <w:tr w14:paraId="04629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82613">
            <w:pPr>
              <w:pStyle w:val="7"/>
            </w:pPr>
            <w:r>
              <w:rPr>
                <w:rFonts w:hint="eastAsia"/>
              </w:rPr>
              <w:t xml:space="preserve">办公地址： </w:t>
            </w:r>
          </w:p>
        </w:tc>
        <w:tc>
          <w:tcPr>
            <w:tcW w:w="7440" w:type="dxa"/>
            <w:shd w:val="clear" w:color="auto" w:fill="auto"/>
          </w:tcPr>
          <w:p w14:paraId="6CB1B1BB">
            <w:pPr>
              <w:pStyle w:val="7"/>
            </w:pPr>
            <w:r>
              <w:rPr>
                <w:rFonts w:hint="eastAsia"/>
              </w:rPr>
              <w:t xml:space="preserve">北京朝阳区新源南路6号京城大厦 </w:t>
            </w:r>
          </w:p>
        </w:tc>
      </w:tr>
      <w:tr w14:paraId="6BC34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51655">
            <w:pPr>
              <w:pStyle w:val="7"/>
            </w:pPr>
            <w:r>
              <w:rPr>
                <w:rFonts w:hint="eastAsia"/>
              </w:rPr>
              <w:t xml:space="preserve">法定代表人： </w:t>
            </w:r>
          </w:p>
        </w:tc>
        <w:tc>
          <w:tcPr>
            <w:tcW w:w="7440" w:type="dxa"/>
            <w:shd w:val="clear" w:color="auto" w:fill="auto"/>
          </w:tcPr>
          <w:p w14:paraId="1E176DCE">
            <w:pPr>
              <w:pStyle w:val="7"/>
            </w:pPr>
            <w:r>
              <w:rPr>
                <w:rFonts w:hint="eastAsia"/>
              </w:rPr>
              <w:t xml:space="preserve">张佑君 </w:t>
            </w:r>
          </w:p>
        </w:tc>
      </w:tr>
      <w:tr w14:paraId="68E1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0CC55">
            <w:pPr>
              <w:pStyle w:val="7"/>
            </w:pPr>
            <w:r>
              <w:rPr>
                <w:rFonts w:hint="eastAsia"/>
              </w:rPr>
              <w:t xml:space="preserve">联系人： </w:t>
            </w:r>
          </w:p>
        </w:tc>
        <w:tc>
          <w:tcPr>
            <w:tcW w:w="7440" w:type="dxa"/>
            <w:shd w:val="clear" w:color="auto" w:fill="auto"/>
          </w:tcPr>
          <w:p w14:paraId="0A92EBA7">
            <w:pPr>
              <w:pStyle w:val="7"/>
            </w:pPr>
            <w:r>
              <w:rPr>
                <w:rFonts w:hint="eastAsia"/>
              </w:rPr>
              <w:t xml:space="preserve">杜杰 </w:t>
            </w:r>
          </w:p>
        </w:tc>
      </w:tr>
      <w:tr w14:paraId="7878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613DE">
            <w:pPr>
              <w:pStyle w:val="7"/>
            </w:pPr>
            <w:r>
              <w:rPr>
                <w:rFonts w:hint="eastAsia"/>
              </w:rPr>
              <w:t xml:space="preserve">电话： </w:t>
            </w:r>
          </w:p>
        </w:tc>
        <w:tc>
          <w:tcPr>
            <w:tcW w:w="7440" w:type="dxa"/>
            <w:shd w:val="clear" w:color="auto" w:fill="auto"/>
          </w:tcPr>
          <w:p w14:paraId="0274664C">
            <w:pPr>
              <w:pStyle w:val="7"/>
            </w:pPr>
            <w:r>
              <w:rPr>
                <w:rFonts w:hint="eastAsia"/>
              </w:rPr>
              <w:t xml:space="preserve">010-60833889  </w:t>
            </w:r>
          </w:p>
        </w:tc>
      </w:tr>
      <w:tr w14:paraId="75CB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6B05D">
            <w:pPr>
              <w:pStyle w:val="7"/>
            </w:pPr>
            <w:r>
              <w:rPr>
                <w:rFonts w:hint="eastAsia"/>
              </w:rPr>
              <w:t xml:space="preserve">传真： </w:t>
            </w:r>
          </w:p>
        </w:tc>
        <w:tc>
          <w:tcPr>
            <w:tcW w:w="7440" w:type="dxa"/>
            <w:shd w:val="clear" w:color="auto" w:fill="auto"/>
          </w:tcPr>
          <w:p w14:paraId="1B52C983">
            <w:pPr>
              <w:pStyle w:val="7"/>
            </w:pPr>
            <w:r>
              <w:rPr>
                <w:rFonts w:hint="eastAsia"/>
              </w:rPr>
              <w:t xml:space="preserve">010－84865560 </w:t>
            </w:r>
          </w:p>
        </w:tc>
      </w:tr>
      <w:tr w14:paraId="7B23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3EA17">
            <w:pPr>
              <w:pStyle w:val="7"/>
            </w:pPr>
            <w:r>
              <w:rPr>
                <w:rFonts w:hint="eastAsia"/>
              </w:rPr>
              <w:t xml:space="preserve">客户服务电话： </w:t>
            </w:r>
          </w:p>
        </w:tc>
        <w:tc>
          <w:tcPr>
            <w:tcW w:w="7440" w:type="dxa"/>
            <w:shd w:val="clear" w:color="auto" w:fill="auto"/>
          </w:tcPr>
          <w:p w14:paraId="46DE9D30">
            <w:pPr>
              <w:pStyle w:val="7"/>
            </w:pPr>
            <w:r>
              <w:rPr>
                <w:rFonts w:hint="eastAsia"/>
              </w:rPr>
              <w:t xml:space="preserve">95548 </w:t>
            </w:r>
          </w:p>
        </w:tc>
      </w:tr>
      <w:tr w14:paraId="3D4E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27462">
            <w:pPr>
              <w:pStyle w:val="7"/>
            </w:pPr>
            <w:r>
              <w:rPr>
                <w:rFonts w:hint="eastAsia"/>
              </w:rPr>
              <w:t xml:space="preserve">网址： </w:t>
            </w:r>
          </w:p>
        </w:tc>
        <w:tc>
          <w:tcPr>
            <w:tcW w:w="7440" w:type="dxa"/>
            <w:shd w:val="clear" w:color="auto" w:fill="auto"/>
          </w:tcPr>
          <w:p w14:paraId="4BC2C790">
            <w:pPr>
              <w:pStyle w:val="7"/>
            </w:pPr>
            <w:r>
              <w:rPr>
                <w:rFonts w:hint="eastAsia"/>
              </w:rPr>
              <w:t xml:space="preserve">http://www.cs.ecitic.com/ </w:t>
            </w:r>
          </w:p>
        </w:tc>
      </w:tr>
    </w:tbl>
    <w:p w14:paraId="3F3CC120">
      <w:pPr>
        <w:pStyle w:val="7"/>
        <w:spacing w:before="0" w:beforeAutospacing="0" w:after="0" w:afterAutospacing="0" w:line="360" w:lineRule="auto"/>
        <w:ind w:firstLine="420"/>
        <w:rPr>
          <w:sz w:val="21"/>
          <w:szCs w:val="21"/>
        </w:rPr>
      </w:pPr>
      <w:r>
        <w:rPr>
          <w:rFonts w:hint="eastAsia"/>
          <w:b/>
          <w:bCs/>
          <w:sz w:val="21"/>
          <w:szCs w:val="21"/>
        </w:rPr>
        <w:t>(7)中国银河证券股份有限公司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3E5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C65EB5">
            <w:pPr>
              <w:pStyle w:val="7"/>
            </w:pPr>
            <w:r>
              <w:rPr>
                <w:rFonts w:hint="eastAsia"/>
              </w:rPr>
              <w:t xml:space="preserve">注册地址： </w:t>
            </w:r>
          </w:p>
        </w:tc>
        <w:tc>
          <w:tcPr>
            <w:tcW w:w="7440" w:type="dxa"/>
            <w:shd w:val="clear" w:color="auto" w:fill="auto"/>
          </w:tcPr>
          <w:p w14:paraId="793E20B2">
            <w:pPr>
              <w:pStyle w:val="7"/>
            </w:pPr>
            <w:r>
              <w:rPr>
                <w:rFonts w:hint="eastAsia"/>
              </w:rPr>
              <w:t xml:space="preserve">北京市丰台区西营街8号院1号楼7至18层101 </w:t>
            </w:r>
          </w:p>
        </w:tc>
      </w:tr>
      <w:tr w14:paraId="1F3D7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267B7">
            <w:pPr>
              <w:pStyle w:val="7"/>
            </w:pPr>
            <w:r>
              <w:rPr>
                <w:rFonts w:hint="eastAsia"/>
              </w:rPr>
              <w:t xml:space="preserve">办公地址： </w:t>
            </w:r>
          </w:p>
        </w:tc>
        <w:tc>
          <w:tcPr>
            <w:tcW w:w="7440" w:type="dxa"/>
            <w:shd w:val="clear" w:color="auto" w:fill="auto"/>
          </w:tcPr>
          <w:p w14:paraId="337CC2C9">
            <w:pPr>
              <w:pStyle w:val="7"/>
            </w:pPr>
            <w:r>
              <w:rPr>
                <w:rFonts w:hint="eastAsia"/>
              </w:rPr>
              <w:t xml:space="preserve">北京市丰台区西营街8号院1号楼青海金融大厦 </w:t>
            </w:r>
          </w:p>
        </w:tc>
      </w:tr>
      <w:tr w14:paraId="671AF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76544">
            <w:pPr>
              <w:pStyle w:val="7"/>
            </w:pPr>
            <w:r>
              <w:rPr>
                <w:rFonts w:hint="eastAsia"/>
              </w:rPr>
              <w:t xml:space="preserve">法定代表人： </w:t>
            </w:r>
          </w:p>
        </w:tc>
        <w:tc>
          <w:tcPr>
            <w:tcW w:w="7440" w:type="dxa"/>
            <w:shd w:val="clear" w:color="auto" w:fill="auto"/>
          </w:tcPr>
          <w:p w14:paraId="70B5AFE1">
            <w:pPr>
              <w:pStyle w:val="7"/>
            </w:pPr>
            <w:r>
              <w:rPr>
                <w:rFonts w:hint="eastAsia"/>
              </w:rPr>
              <w:t xml:space="preserve">王晟 </w:t>
            </w:r>
          </w:p>
        </w:tc>
      </w:tr>
      <w:tr w14:paraId="319DA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5A0D97">
            <w:pPr>
              <w:pStyle w:val="7"/>
            </w:pPr>
            <w:r>
              <w:rPr>
                <w:rFonts w:hint="eastAsia"/>
              </w:rPr>
              <w:t xml:space="preserve">电话： </w:t>
            </w:r>
          </w:p>
        </w:tc>
        <w:tc>
          <w:tcPr>
            <w:tcW w:w="7440" w:type="dxa"/>
            <w:shd w:val="clear" w:color="auto" w:fill="auto"/>
          </w:tcPr>
          <w:p w14:paraId="07FCC02F">
            <w:pPr>
              <w:pStyle w:val="7"/>
            </w:pPr>
            <w:r>
              <w:rPr>
                <w:rFonts w:hint="eastAsia"/>
              </w:rPr>
              <w:t xml:space="preserve">010-80928123 </w:t>
            </w:r>
          </w:p>
        </w:tc>
      </w:tr>
      <w:tr w14:paraId="45645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33BA3">
            <w:pPr>
              <w:pStyle w:val="7"/>
            </w:pPr>
            <w:r>
              <w:rPr>
                <w:rFonts w:hint="eastAsia"/>
              </w:rPr>
              <w:t xml:space="preserve">客户服务电话： </w:t>
            </w:r>
          </w:p>
        </w:tc>
        <w:tc>
          <w:tcPr>
            <w:tcW w:w="7440" w:type="dxa"/>
            <w:shd w:val="clear" w:color="auto" w:fill="auto"/>
          </w:tcPr>
          <w:p w14:paraId="7FD608EF">
            <w:pPr>
              <w:pStyle w:val="7"/>
            </w:pPr>
            <w:r>
              <w:rPr>
                <w:rFonts w:hint="eastAsia"/>
              </w:rPr>
              <w:t xml:space="preserve">4008-888-888或95551 </w:t>
            </w:r>
          </w:p>
        </w:tc>
      </w:tr>
      <w:tr w14:paraId="1FB00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4803A">
            <w:pPr>
              <w:pStyle w:val="7"/>
            </w:pPr>
            <w:r>
              <w:rPr>
                <w:rFonts w:hint="eastAsia"/>
              </w:rPr>
              <w:t xml:space="preserve">网址： </w:t>
            </w:r>
          </w:p>
        </w:tc>
        <w:tc>
          <w:tcPr>
            <w:tcW w:w="7440" w:type="dxa"/>
            <w:shd w:val="clear" w:color="auto" w:fill="auto"/>
          </w:tcPr>
          <w:p w14:paraId="0CDBFB73">
            <w:pPr>
              <w:pStyle w:val="7"/>
            </w:pPr>
            <w:r>
              <w:rPr>
                <w:rFonts w:hint="eastAsia"/>
              </w:rPr>
              <w:t xml:space="preserve">http:// www.chinastock.com.cn/ </w:t>
            </w:r>
          </w:p>
        </w:tc>
      </w:tr>
    </w:tbl>
    <w:p w14:paraId="0AF492C7">
      <w:pPr>
        <w:pStyle w:val="7"/>
        <w:spacing w:before="0" w:beforeAutospacing="0" w:after="0" w:afterAutospacing="0" w:line="360" w:lineRule="auto"/>
        <w:ind w:firstLine="420"/>
        <w:rPr>
          <w:sz w:val="21"/>
          <w:szCs w:val="21"/>
        </w:rPr>
      </w:pPr>
      <w:r>
        <w:rPr>
          <w:rFonts w:hint="eastAsia"/>
          <w:b/>
          <w:bCs/>
          <w:sz w:val="21"/>
          <w:szCs w:val="21"/>
        </w:rPr>
        <w:t>(8)海通证券股份有限公司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A63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6B04E">
            <w:pPr>
              <w:pStyle w:val="7"/>
            </w:pPr>
            <w:r>
              <w:rPr>
                <w:rFonts w:hint="eastAsia"/>
              </w:rPr>
              <w:t xml:space="preserve">注册地址： </w:t>
            </w:r>
          </w:p>
        </w:tc>
        <w:tc>
          <w:tcPr>
            <w:tcW w:w="7440" w:type="dxa"/>
            <w:shd w:val="clear" w:color="auto" w:fill="auto"/>
          </w:tcPr>
          <w:p w14:paraId="39D4C3C1">
            <w:pPr>
              <w:pStyle w:val="7"/>
            </w:pPr>
            <w:r>
              <w:rPr>
                <w:rFonts w:hint="eastAsia"/>
              </w:rPr>
              <w:t xml:space="preserve">上海市淮海中路98号 </w:t>
            </w:r>
          </w:p>
        </w:tc>
      </w:tr>
      <w:tr w14:paraId="47208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B5ED0">
            <w:pPr>
              <w:pStyle w:val="7"/>
            </w:pPr>
            <w:r>
              <w:rPr>
                <w:rFonts w:hint="eastAsia"/>
              </w:rPr>
              <w:t xml:space="preserve">办公地址： </w:t>
            </w:r>
          </w:p>
        </w:tc>
        <w:tc>
          <w:tcPr>
            <w:tcW w:w="7440" w:type="dxa"/>
            <w:shd w:val="clear" w:color="auto" w:fill="auto"/>
          </w:tcPr>
          <w:p w14:paraId="735313EE">
            <w:pPr>
              <w:pStyle w:val="7"/>
            </w:pPr>
            <w:r>
              <w:rPr>
                <w:rFonts w:hint="eastAsia"/>
              </w:rPr>
              <w:t xml:space="preserve">上海市广东路689号海通证券大厦 </w:t>
            </w:r>
          </w:p>
        </w:tc>
      </w:tr>
      <w:tr w14:paraId="2E254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B4610">
            <w:pPr>
              <w:pStyle w:val="7"/>
            </w:pPr>
            <w:r>
              <w:rPr>
                <w:rFonts w:hint="eastAsia"/>
              </w:rPr>
              <w:t xml:space="preserve">法定代表人： </w:t>
            </w:r>
          </w:p>
        </w:tc>
        <w:tc>
          <w:tcPr>
            <w:tcW w:w="7440" w:type="dxa"/>
            <w:shd w:val="clear" w:color="auto" w:fill="auto"/>
          </w:tcPr>
          <w:p w14:paraId="239F627F">
            <w:pPr>
              <w:pStyle w:val="7"/>
            </w:pPr>
            <w:r>
              <w:rPr>
                <w:rFonts w:hint="eastAsia"/>
              </w:rPr>
              <w:t xml:space="preserve">周杰 </w:t>
            </w:r>
          </w:p>
        </w:tc>
      </w:tr>
      <w:tr w14:paraId="7891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498F9">
            <w:pPr>
              <w:pStyle w:val="7"/>
            </w:pPr>
            <w:r>
              <w:rPr>
                <w:rFonts w:hint="eastAsia"/>
              </w:rPr>
              <w:t xml:space="preserve">联系人： </w:t>
            </w:r>
          </w:p>
        </w:tc>
        <w:tc>
          <w:tcPr>
            <w:tcW w:w="7440" w:type="dxa"/>
            <w:shd w:val="clear" w:color="auto" w:fill="auto"/>
          </w:tcPr>
          <w:p w14:paraId="4493713E">
            <w:pPr>
              <w:pStyle w:val="7"/>
            </w:pPr>
            <w:r>
              <w:rPr>
                <w:rFonts w:hint="eastAsia"/>
              </w:rPr>
              <w:t xml:space="preserve">李笑鸣 </w:t>
            </w:r>
          </w:p>
        </w:tc>
      </w:tr>
      <w:tr w14:paraId="27A20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CB8D05">
            <w:pPr>
              <w:pStyle w:val="7"/>
            </w:pPr>
            <w:r>
              <w:rPr>
                <w:rFonts w:hint="eastAsia"/>
              </w:rPr>
              <w:t xml:space="preserve">电话： </w:t>
            </w:r>
          </w:p>
        </w:tc>
        <w:tc>
          <w:tcPr>
            <w:tcW w:w="7440" w:type="dxa"/>
            <w:shd w:val="clear" w:color="auto" w:fill="auto"/>
          </w:tcPr>
          <w:p w14:paraId="51ECEEB7">
            <w:pPr>
              <w:pStyle w:val="7"/>
            </w:pPr>
            <w:r>
              <w:rPr>
                <w:rFonts w:hint="eastAsia"/>
              </w:rPr>
              <w:t xml:space="preserve">021-23219275 </w:t>
            </w:r>
          </w:p>
        </w:tc>
      </w:tr>
      <w:tr w14:paraId="70B3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243A3">
            <w:pPr>
              <w:pStyle w:val="7"/>
            </w:pPr>
            <w:r>
              <w:rPr>
                <w:rFonts w:hint="eastAsia"/>
              </w:rPr>
              <w:t xml:space="preserve">传真： </w:t>
            </w:r>
          </w:p>
        </w:tc>
        <w:tc>
          <w:tcPr>
            <w:tcW w:w="7440" w:type="dxa"/>
            <w:shd w:val="clear" w:color="auto" w:fill="auto"/>
          </w:tcPr>
          <w:p w14:paraId="33052779">
            <w:pPr>
              <w:pStyle w:val="7"/>
            </w:pPr>
            <w:r>
              <w:rPr>
                <w:rFonts w:hint="eastAsia"/>
              </w:rPr>
              <w:t xml:space="preserve">021－63602722 </w:t>
            </w:r>
          </w:p>
        </w:tc>
      </w:tr>
      <w:tr w14:paraId="010F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1661F">
            <w:pPr>
              <w:pStyle w:val="7"/>
            </w:pPr>
            <w:r>
              <w:rPr>
                <w:rFonts w:hint="eastAsia"/>
              </w:rPr>
              <w:t xml:space="preserve">客户服务电话： </w:t>
            </w:r>
          </w:p>
        </w:tc>
        <w:tc>
          <w:tcPr>
            <w:tcW w:w="7440" w:type="dxa"/>
            <w:shd w:val="clear" w:color="auto" w:fill="auto"/>
          </w:tcPr>
          <w:p w14:paraId="362C3D46">
            <w:pPr>
              <w:pStyle w:val="7"/>
            </w:pPr>
            <w:r>
              <w:rPr>
                <w:rFonts w:hint="eastAsia"/>
              </w:rPr>
              <w:t xml:space="preserve">95553 </w:t>
            </w:r>
          </w:p>
        </w:tc>
      </w:tr>
      <w:tr w14:paraId="7E030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A9724">
            <w:pPr>
              <w:pStyle w:val="7"/>
            </w:pPr>
            <w:r>
              <w:rPr>
                <w:rFonts w:hint="eastAsia"/>
              </w:rPr>
              <w:t xml:space="preserve">网址： </w:t>
            </w:r>
          </w:p>
        </w:tc>
        <w:tc>
          <w:tcPr>
            <w:tcW w:w="7440" w:type="dxa"/>
            <w:shd w:val="clear" w:color="auto" w:fill="auto"/>
          </w:tcPr>
          <w:p w14:paraId="4518EA9F">
            <w:pPr>
              <w:pStyle w:val="7"/>
            </w:pPr>
            <w:r>
              <w:rPr>
                <w:rFonts w:hint="eastAsia"/>
              </w:rPr>
              <w:t xml:space="preserve">http://www.htsec.com/ </w:t>
            </w:r>
          </w:p>
        </w:tc>
      </w:tr>
    </w:tbl>
    <w:p w14:paraId="7613376E">
      <w:pPr>
        <w:pStyle w:val="7"/>
        <w:spacing w:before="0" w:beforeAutospacing="0" w:after="0" w:afterAutospacing="0" w:line="360" w:lineRule="auto"/>
        <w:ind w:firstLine="420"/>
        <w:rPr>
          <w:sz w:val="21"/>
          <w:szCs w:val="21"/>
        </w:rPr>
      </w:pPr>
      <w:r>
        <w:rPr>
          <w:rFonts w:hint="eastAsia"/>
          <w:b/>
          <w:bCs/>
          <w:sz w:val="21"/>
          <w:szCs w:val="21"/>
        </w:rPr>
        <w:t>(9)申万宏源证券有限公司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01D5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6AB8D">
            <w:pPr>
              <w:pStyle w:val="7"/>
            </w:pPr>
            <w:r>
              <w:rPr>
                <w:rFonts w:hint="eastAsia"/>
              </w:rPr>
              <w:t xml:space="preserve">注册地址： </w:t>
            </w:r>
          </w:p>
        </w:tc>
        <w:tc>
          <w:tcPr>
            <w:tcW w:w="7440" w:type="dxa"/>
            <w:shd w:val="clear" w:color="auto" w:fill="auto"/>
          </w:tcPr>
          <w:p w14:paraId="413EE0A3">
            <w:pPr>
              <w:pStyle w:val="7"/>
            </w:pPr>
            <w:r>
              <w:rPr>
                <w:rFonts w:hint="eastAsia"/>
              </w:rPr>
              <w:t xml:space="preserve">上海市徐汇区长乐路989号45层 </w:t>
            </w:r>
          </w:p>
        </w:tc>
      </w:tr>
      <w:tr w14:paraId="022F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6B528">
            <w:pPr>
              <w:pStyle w:val="7"/>
            </w:pPr>
            <w:r>
              <w:rPr>
                <w:rFonts w:hint="eastAsia"/>
              </w:rPr>
              <w:t xml:space="preserve">办公地址： </w:t>
            </w:r>
          </w:p>
        </w:tc>
        <w:tc>
          <w:tcPr>
            <w:tcW w:w="7440" w:type="dxa"/>
            <w:shd w:val="clear" w:color="auto" w:fill="auto"/>
          </w:tcPr>
          <w:p w14:paraId="2CE641E5">
            <w:pPr>
              <w:pStyle w:val="7"/>
            </w:pPr>
            <w:r>
              <w:rPr>
                <w:rFonts w:hint="eastAsia"/>
              </w:rPr>
              <w:t xml:space="preserve">上海市徐汇区长乐路989号世纪商贸广场45层 </w:t>
            </w:r>
          </w:p>
        </w:tc>
      </w:tr>
      <w:tr w14:paraId="38A89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AAF19">
            <w:pPr>
              <w:pStyle w:val="7"/>
            </w:pPr>
            <w:r>
              <w:rPr>
                <w:rFonts w:hint="eastAsia"/>
              </w:rPr>
              <w:t xml:space="preserve">法定代表人： </w:t>
            </w:r>
          </w:p>
        </w:tc>
        <w:tc>
          <w:tcPr>
            <w:tcW w:w="7440" w:type="dxa"/>
            <w:shd w:val="clear" w:color="auto" w:fill="auto"/>
          </w:tcPr>
          <w:p w14:paraId="7EEDB3B5">
            <w:pPr>
              <w:pStyle w:val="7"/>
            </w:pPr>
            <w:r>
              <w:rPr>
                <w:rFonts w:hint="eastAsia"/>
              </w:rPr>
              <w:t xml:space="preserve">张剑 </w:t>
            </w:r>
          </w:p>
        </w:tc>
      </w:tr>
      <w:tr w14:paraId="1786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27974">
            <w:pPr>
              <w:pStyle w:val="7"/>
            </w:pPr>
            <w:r>
              <w:rPr>
                <w:rFonts w:hint="eastAsia"/>
              </w:rPr>
              <w:t xml:space="preserve">电话： </w:t>
            </w:r>
          </w:p>
        </w:tc>
        <w:tc>
          <w:tcPr>
            <w:tcW w:w="7440" w:type="dxa"/>
            <w:shd w:val="clear" w:color="auto" w:fill="auto"/>
          </w:tcPr>
          <w:p w14:paraId="39A3FE8B">
            <w:pPr>
              <w:pStyle w:val="7"/>
            </w:pPr>
            <w:r>
              <w:rPr>
                <w:rFonts w:hint="eastAsia"/>
              </w:rPr>
              <w:t xml:space="preserve">021-33388999 </w:t>
            </w:r>
          </w:p>
        </w:tc>
      </w:tr>
      <w:tr w14:paraId="11A2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C4EC2">
            <w:pPr>
              <w:pStyle w:val="7"/>
            </w:pPr>
            <w:r>
              <w:rPr>
                <w:rFonts w:hint="eastAsia"/>
              </w:rPr>
              <w:t xml:space="preserve">传真： </w:t>
            </w:r>
          </w:p>
        </w:tc>
        <w:tc>
          <w:tcPr>
            <w:tcW w:w="7440" w:type="dxa"/>
            <w:shd w:val="clear" w:color="auto" w:fill="auto"/>
          </w:tcPr>
          <w:p w14:paraId="3804C224">
            <w:pPr>
              <w:pStyle w:val="7"/>
            </w:pPr>
            <w:r>
              <w:rPr>
                <w:rFonts w:hint="eastAsia"/>
              </w:rPr>
              <w:t xml:space="preserve">021-33388224 </w:t>
            </w:r>
          </w:p>
        </w:tc>
      </w:tr>
      <w:tr w14:paraId="6A21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FA1814">
            <w:pPr>
              <w:pStyle w:val="7"/>
            </w:pPr>
            <w:r>
              <w:rPr>
                <w:rFonts w:hint="eastAsia"/>
              </w:rPr>
              <w:t xml:space="preserve">客户服务电话： </w:t>
            </w:r>
          </w:p>
        </w:tc>
        <w:tc>
          <w:tcPr>
            <w:tcW w:w="7440" w:type="dxa"/>
            <w:shd w:val="clear" w:color="auto" w:fill="auto"/>
          </w:tcPr>
          <w:p w14:paraId="4CF42932">
            <w:pPr>
              <w:pStyle w:val="7"/>
            </w:pPr>
            <w:r>
              <w:rPr>
                <w:rFonts w:hint="eastAsia"/>
              </w:rPr>
              <w:t xml:space="preserve">95523 </w:t>
            </w:r>
          </w:p>
        </w:tc>
      </w:tr>
      <w:tr w14:paraId="2457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71F19">
            <w:pPr>
              <w:pStyle w:val="7"/>
            </w:pPr>
            <w:r>
              <w:rPr>
                <w:rFonts w:hint="eastAsia"/>
              </w:rPr>
              <w:t xml:space="preserve">网址： </w:t>
            </w:r>
          </w:p>
        </w:tc>
        <w:tc>
          <w:tcPr>
            <w:tcW w:w="7440" w:type="dxa"/>
            <w:shd w:val="clear" w:color="auto" w:fill="auto"/>
          </w:tcPr>
          <w:p w14:paraId="41DD75DB">
            <w:pPr>
              <w:pStyle w:val="7"/>
            </w:pPr>
            <w:r>
              <w:rPr>
                <w:rFonts w:hint="eastAsia"/>
              </w:rPr>
              <w:t xml:space="preserve">www.swhysc.com </w:t>
            </w:r>
          </w:p>
        </w:tc>
      </w:tr>
    </w:tbl>
    <w:p w14:paraId="5A49B710">
      <w:pPr>
        <w:pStyle w:val="7"/>
        <w:spacing w:before="0" w:beforeAutospacing="0" w:after="0" w:afterAutospacing="0" w:line="360" w:lineRule="auto"/>
        <w:ind w:firstLine="420"/>
        <w:rPr>
          <w:sz w:val="21"/>
          <w:szCs w:val="21"/>
        </w:rPr>
      </w:pPr>
      <w:r>
        <w:rPr>
          <w:rFonts w:hint="eastAsia"/>
          <w:b/>
          <w:bCs/>
          <w:sz w:val="21"/>
          <w:szCs w:val="21"/>
        </w:rPr>
        <w:t>(10)兴业证券股份有限公司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6F7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42FE1">
            <w:pPr>
              <w:pStyle w:val="7"/>
            </w:pPr>
            <w:r>
              <w:rPr>
                <w:rFonts w:hint="eastAsia"/>
              </w:rPr>
              <w:t xml:space="preserve">注册地址： </w:t>
            </w:r>
          </w:p>
        </w:tc>
        <w:tc>
          <w:tcPr>
            <w:tcW w:w="7440" w:type="dxa"/>
            <w:shd w:val="clear" w:color="auto" w:fill="auto"/>
          </w:tcPr>
          <w:p w14:paraId="79A1C72D">
            <w:pPr>
              <w:pStyle w:val="7"/>
            </w:pPr>
            <w:r>
              <w:rPr>
                <w:rFonts w:hint="eastAsia"/>
              </w:rPr>
              <w:t xml:space="preserve">福州市湖东路268号 </w:t>
            </w:r>
          </w:p>
        </w:tc>
      </w:tr>
      <w:tr w14:paraId="5623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5CB76">
            <w:pPr>
              <w:pStyle w:val="7"/>
            </w:pPr>
            <w:r>
              <w:rPr>
                <w:rFonts w:hint="eastAsia"/>
              </w:rPr>
              <w:t xml:space="preserve">办公地址： </w:t>
            </w:r>
          </w:p>
        </w:tc>
        <w:tc>
          <w:tcPr>
            <w:tcW w:w="7440" w:type="dxa"/>
            <w:shd w:val="clear" w:color="auto" w:fill="auto"/>
          </w:tcPr>
          <w:p w14:paraId="18FF0350">
            <w:pPr>
              <w:pStyle w:val="7"/>
            </w:pPr>
            <w:r>
              <w:rPr>
                <w:rFonts w:hint="eastAsia"/>
              </w:rPr>
              <w:t xml:space="preserve">上海市浦东民生路1199弄五道口广场1号楼21层 </w:t>
            </w:r>
          </w:p>
        </w:tc>
      </w:tr>
      <w:tr w14:paraId="5F686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9DB32">
            <w:pPr>
              <w:pStyle w:val="7"/>
            </w:pPr>
            <w:r>
              <w:rPr>
                <w:rFonts w:hint="eastAsia"/>
              </w:rPr>
              <w:t xml:space="preserve">法定代表人： </w:t>
            </w:r>
          </w:p>
        </w:tc>
        <w:tc>
          <w:tcPr>
            <w:tcW w:w="7440" w:type="dxa"/>
            <w:shd w:val="clear" w:color="auto" w:fill="auto"/>
          </w:tcPr>
          <w:p w14:paraId="6B2E49B9">
            <w:pPr>
              <w:pStyle w:val="7"/>
            </w:pPr>
            <w:r>
              <w:rPr>
                <w:rFonts w:hint="eastAsia"/>
              </w:rPr>
              <w:t xml:space="preserve">杨华辉 </w:t>
            </w:r>
          </w:p>
        </w:tc>
      </w:tr>
      <w:tr w14:paraId="0295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B2CF8">
            <w:pPr>
              <w:pStyle w:val="7"/>
            </w:pPr>
            <w:r>
              <w:rPr>
                <w:rFonts w:hint="eastAsia"/>
              </w:rPr>
              <w:t xml:space="preserve">电话： </w:t>
            </w:r>
          </w:p>
        </w:tc>
        <w:tc>
          <w:tcPr>
            <w:tcW w:w="7440" w:type="dxa"/>
            <w:shd w:val="clear" w:color="auto" w:fill="auto"/>
          </w:tcPr>
          <w:p w14:paraId="374F18EA">
            <w:pPr>
              <w:pStyle w:val="7"/>
            </w:pPr>
            <w:r>
              <w:rPr>
                <w:rFonts w:hint="eastAsia"/>
              </w:rPr>
              <w:t xml:space="preserve">021-38565547 </w:t>
            </w:r>
          </w:p>
        </w:tc>
      </w:tr>
      <w:tr w14:paraId="0388B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ACC0A">
            <w:pPr>
              <w:pStyle w:val="7"/>
            </w:pPr>
            <w:r>
              <w:rPr>
                <w:rFonts w:hint="eastAsia"/>
              </w:rPr>
              <w:t xml:space="preserve">传真： </w:t>
            </w:r>
          </w:p>
        </w:tc>
        <w:tc>
          <w:tcPr>
            <w:tcW w:w="7440" w:type="dxa"/>
            <w:shd w:val="clear" w:color="auto" w:fill="auto"/>
          </w:tcPr>
          <w:p w14:paraId="2033DBA9">
            <w:pPr>
              <w:pStyle w:val="7"/>
            </w:pPr>
            <w:r>
              <w:rPr>
                <w:rFonts w:hint="eastAsia"/>
              </w:rPr>
              <w:t xml:space="preserve">021－38565783 </w:t>
            </w:r>
          </w:p>
        </w:tc>
      </w:tr>
      <w:tr w14:paraId="416E8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278ADF">
            <w:pPr>
              <w:pStyle w:val="7"/>
            </w:pPr>
            <w:r>
              <w:rPr>
                <w:rFonts w:hint="eastAsia"/>
              </w:rPr>
              <w:t xml:space="preserve">客户服务电话： </w:t>
            </w:r>
          </w:p>
        </w:tc>
        <w:tc>
          <w:tcPr>
            <w:tcW w:w="7440" w:type="dxa"/>
            <w:shd w:val="clear" w:color="auto" w:fill="auto"/>
          </w:tcPr>
          <w:p w14:paraId="4861501B">
            <w:pPr>
              <w:pStyle w:val="7"/>
            </w:pPr>
            <w:r>
              <w:rPr>
                <w:rFonts w:hint="eastAsia"/>
              </w:rPr>
              <w:t xml:space="preserve">95562 </w:t>
            </w:r>
          </w:p>
        </w:tc>
      </w:tr>
      <w:tr w14:paraId="3384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3A9936">
            <w:pPr>
              <w:pStyle w:val="7"/>
            </w:pPr>
            <w:r>
              <w:rPr>
                <w:rFonts w:hint="eastAsia"/>
              </w:rPr>
              <w:t xml:space="preserve">网址： </w:t>
            </w:r>
          </w:p>
        </w:tc>
        <w:tc>
          <w:tcPr>
            <w:tcW w:w="7440" w:type="dxa"/>
            <w:shd w:val="clear" w:color="auto" w:fill="auto"/>
          </w:tcPr>
          <w:p w14:paraId="5A2E8E26">
            <w:pPr>
              <w:pStyle w:val="7"/>
            </w:pPr>
            <w:r>
              <w:rPr>
                <w:rFonts w:hint="eastAsia"/>
              </w:rPr>
              <w:t xml:space="preserve">http://www.xyzq.com.cn/ </w:t>
            </w:r>
          </w:p>
        </w:tc>
      </w:tr>
    </w:tbl>
    <w:p w14:paraId="412CAB09">
      <w:pPr>
        <w:pStyle w:val="7"/>
        <w:spacing w:before="0" w:beforeAutospacing="0" w:after="0" w:afterAutospacing="0" w:line="360" w:lineRule="auto"/>
        <w:ind w:firstLine="420"/>
        <w:rPr>
          <w:sz w:val="21"/>
          <w:szCs w:val="21"/>
        </w:rPr>
      </w:pPr>
      <w:r>
        <w:rPr>
          <w:rFonts w:hint="eastAsia"/>
          <w:b/>
          <w:bCs/>
          <w:sz w:val="21"/>
          <w:szCs w:val="21"/>
        </w:rPr>
        <w:t>(11)国投证券股份有限公司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8FA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D72B7">
            <w:pPr>
              <w:pStyle w:val="7"/>
            </w:pPr>
            <w:r>
              <w:rPr>
                <w:rFonts w:hint="eastAsia"/>
              </w:rPr>
              <w:t xml:space="preserve">注册地址： </w:t>
            </w:r>
          </w:p>
        </w:tc>
        <w:tc>
          <w:tcPr>
            <w:tcW w:w="7440" w:type="dxa"/>
            <w:shd w:val="clear" w:color="auto" w:fill="auto"/>
          </w:tcPr>
          <w:p w14:paraId="77F8D0E1">
            <w:pPr>
              <w:pStyle w:val="7"/>
            </w:pPr>
            <w:r>
              <w:rPr>
                <w:rFonts w:hint="eastAsia"/>
              </w:rPr>
              <w:t xml:space="preserve">深圳市福田区福田街道福华一路119号安信金融大厦 </w:t>
            </w:r>
          </w:p>
        </w:tc>
      </w:tr>
      <w:tr w14:paraId="1031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436D2">
            <w:pPr>
              <w:pStyle w:val="7"/>
            </w:pPr>
            <w:r>
              <w:rPr>
                <w:rFonts w:hint="eastAsia"/>
              </w:rPr>
              <w:t xml:space="preserve">办公地址： </w:t>
            </w:r>
          </w:p>
        </w:tc>
        <w:tc>
          <w:tcPr>
            <w:tcW w:w="7440" w:type="dxa"/>
            <w:shd w:val="clear" w:color="auto" w:fill="auto"/>
          </w:tcPr>
          <w:p w14:paraId="45A529FC">
            <w:pPr>
              <w:pStyle w:val="7"/>
            </w:pPr>
            <w:r>
              <w:rPr>
                <w:rFonts w:hint="eastAsia"/>
              </w:rPr>
              <w:t xml:space="preserve">深圳市福田区福田街道福华一路119号安信金融大厦 </w:t>
            </w:r>
          </w:p>
        </w:tc>
      </w:tr>
      <w:tr w14:paraId="65B49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EF2B9">
            <w:pPr>
              <w:pStyle w:val="7"/>
            </w:pPr>
            <w:r>
              <w:rPr>
                <w:rFonts w:hint="eastAsia"/>
              </w:rPr>
              <w:t xml:space="preserve">法定代表人： </w:t>
            </w:r>
          </w:p>
        </w:tc>
        <w:tc>
          <w:tcPr>
            <w:tcW w:w="7440" w:type="dxa"/>
            <w:shd w:val="clear" w:color="auto" w:fill="auto"/>
          </w:tcPr>
          <w:p w14:paraId="1B708AAC">
            <w:pPr>
              <w:pStyle w:val="7"/>
            </w:pPr>
            <w:r>
              <w:rPr>
                <w:rFonts w:hint="eastAsia"/>
              </w:rPr>
              <w:t xml:space="preserve">王苏望 </w:t>
            </w:r>
          </w:p>
        </w:tc>
      </w:tr>
      <w:tr w14:paraId="1878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5C013">
            <w:pPr>
              <w:pStyle w:val="7"/>
            </w:pPr>
            <w:r>
              <w:rPr>
                <w:rFonts w:hint="eastAsia"/>
              </w:rPr>
              <w:t xml:space="preserve">电话： </w:t>
            </w:r>
          </w:p>
        </w:tc>
        <w:tc>
          <w:tcPr>
            <w:tcW w:w="7440" w:type="dxa"/>
            <w:shd w:val="clear" w:color="auto" w:fill="auto"/>
          </w:tcPr>
          <w:p w14:paraId="599B700E">
            <w:pPr>
              <w:pStyle w:val="7"/>
            </w:pPr>
            <w:r>
              <w:rPr>
                <w:rFonts w:hint="eastAsia"/>
              </w:rPr>
              <w:t xml:space="preserve">0755-82558266 </w:t>
            </w:r>
          </w:p>
        </w:tc>
      </w:tr>
      <w:tr w14:paraId="38C4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79E99">
            <w:pPr>
              <w:pStyle w:val="7"/>
            </w:pPr>
            <w:r>
              <w:rPr>
                <w:rFonts w:hint="eastAsia"/>
              </w:rPr>
              <w:t xml:space="preserve">客户服务电话： </w:t>
            </w:r>
          </w:p>
        </w:tc>
        <w:tc>
          <w:tcPr>
            <w:tcW w:w="7440" w:type="dxa"/>
            <w:shd w:val="clear" w:color="auto" w:fill="auto"/>
          </w:tcPr>
          <w:p w14:paraId="093B4896">
            <w:pPr>
              <w:pStyle w:val="7"/>
            </w:pPr>
            <w:r>
              <w:rPr>
                <w:rFonts w:hint="eastAsia"/>
              </w:rPr>
              <w:t xml:space="preserve">95517 </w:t>
            </w:r>
          </w:p>
        </w:tc>
      </w:tr>
      <w:tr w14:paraId="4A5A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9871B">
            <w:pPr>
              <w:pStyle w:val="7"/>
            </w:pPr>
            <w:r>
              <w:rPr>
                <w:rFonts w:hint="eastAsia"/>
              </w:rPr>
              <w:t xml:space="preserve">网址： </w:t>
            </w:r>
          </w:p>
        </w:tc>
        <w:tc>
          <w:tcPr>
            <w:tcW w:w="7440" w:type="dxa"/>
            <w:shd w:val="clear" w:color="auto" w:fill="auto"/>
          </w:tcPr>
          <w:p w14:paraId="2E8FADE3">
            <w:pPr>
              <w:pStyle w:val="7"/>
            </w:pPr>
            <w:r>
              <w:rPr>
                <w:rFonts w:hint="eastAsia"/>
              </w:rPr>
              <w:t xml:space="preserve">http://www.sdicsc.com.cn </w:t>
            </w:r>
          </w:p>
        </w:tc>
      </w:tr>
    </w:tbl>
    <w:p w14:paraId="65EBCCDB">
      <w:pPr>
        <w:pStyle w:val="7"/>
        <w:spacing w:before="0" w:beforeAutospacing="0" w:after="0" w:afterAutospacing="0" w:line="360" w:lineRule="auto"/>
        <w:ind w:firstLine="420"/>
        <w:rPr>
          <w:sz w:val="21"/>
          <w:szCs w:val="21"/>
        </w:rPr>
      </w:pPr>
      <w:r>
        <w:rPr>
          <w:rFonts w:hint="eastAsia"/>
          <w:b/>
          <w:bCs/>
          <w:sz w:val="21"/>
          <w:szCs w:val="21"/>
        </w:rPr>
        <w:t>(12)华泰证券股份有限公司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0D17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82D74">
            <w:pPr>
              <w:pStyle w:val="7"/>
            </w:pPr>
            <w:r>
              <w:rPr>
                <w:rFonts w:hint="eastAsia"/>
              </w:rPr>
              <w:t xml:space="preserve">注册地址： </w:t>
            </w:r>
          </w:p>
        </w:tc>
        <w:tc>
          <w:tcPr>
            <w:tcW w:w="7440" w:type="dxa"/>
            <w:shd w:val="clear" w:color="auto" w:fill="auto"/>
          </w:tcPr>
          <w:p w14:paraId="63A7B1C4">
            <w:pPr>
              <w:pStyle w:val="7"/>
            </w:pPr>
            <w:r>
              <w:rPr>
                <w:rFonts w:hint="eastAsia"/>
              </w:rPr>
              <w:t xml:space="preserve">南京市江东中路228号 </w:t>
            </w:r>
          </w:p>
        </w:tc>
      </w:tr>
      <w:tr w14:paraId="45ACF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0F5F6">
            <w:pPr>
              <w:pStyle w:val="7"/>
            </w:pPr>
            <w:r>
              <w:rPr>
                <w:rFonts w:hint="eastAsia"/>
              </w:rPr>
              <w:t xml:space="preserve">办公地址： </w:t>
            </w:r>
          </w:p>
        </w:tc>
        <w:tc>
          <w:tcPr>
            <w:tcW w:w="7440" w:type="dxa"/>
            <w:shd w:val="clear" w:color="auto" w:fill="auto"/>
          </w:tcPr>
          <w:p w14:paraId="4418D5F7">
            <w:pPr>
              <w:pStyle w:val="7"/>
            </w:pPr>
            <w:r>
              <w:rPr>
                <w:rFonts w:hint="eastAsia"/>
              </w:rPr>
              <w:t xml:space="preserve">南京市建邺区江东中路228号华泰证券广场、深圳市福田区益田路5999号基金大厦 </w:t>
            </w:r>
          </w:p>
        </w:tc>
      </w:tr>
      <w:tr w14:paraId="3DAB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7D398">
            <w:pPr>
              <w:pStyle w:val="7"/>
            </w:pPr>
            <w:r>
              <w:rPr>
                <w:rFonts w:hint="eastAsia"/>
              </w:rPr>
              <w:t xml:space="preserve">法定代表人： </w:t>
            </w:r>
          </w:p>
        </w:tc>
        <w:tc>
          <w:tcPr>
            <w:tcW w:w="7440" w:type="dxa"/>
            <w:shd w:val="clear" w:color="auto" w:fill="auto"/>
          </w:tcPr>
          <w:p w14:paraId="272227B1">
            <w:pPr>
              <w:pStyle w:val="7"/>
            </w:pPr>
            <w:r>
              <w:rPr>
                <w:rFonts w:hint="eastAsia"/>
              </w:rPr>
              <w:t xml:space="preserve">张伟 </w:t>
            </w:r>
          </w:p>
        </w:tc>
      </w:tr>
      <w:tr w14:paraId="31F47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D217A">
            <w:pPr>
              <w:pStyle w:val="7"/>
            </w:pPr>
            <w:r>
              <w:rPr>
                <w:rFonts w:hint="eastAsia"/>
              </w:rPr>
              <w:t xml:space="preserve">电话： </w:t>
            </w:r>
          </w:p>
        </w:tc>
        <w:tc>
          <w:tcPr>
            <w:tcW w:w="7440" w:type="dxa"/>
            <w:shd w:val="clear" w:color="auto" w:fill="auto"/>
          </w:tcPr>
          <w:p w14:paraId="773B42E1">
            <w:pPr>
              <w:pStyle w:val="7"/>
            </w:pPr>
            <w:r>
              <w:rPr>
                <w:rFonts w:hint="eastAsia"/>
              </w:rPr>
              <w:t xml:space="preserve">0755-22660831 </w:t>
            </w:r>
          </w:p>
        </w:tc>
      </w:tr>
      <w:tr w14:paraId="2BBE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FB4F8">
            <w:pPr>
              <w:pStyle w:val="7"/>
            </w:pPr>
            <w:r>
              <w:rPr>
                <w:rFonts w:hint="eastAsia"/>
              </w:rPr>
              <w:t xml:space="preserve">客户服务电话： </w:t>
            </w:r>
          </w:p>
        </w:tc>
        <w:tc>
          <w:tcPr>
            <w:tcW w:w="7440" w:type="dxa"/>
            <w:shd w:val="clear" w:color="auto" w:fill="auto"/>
          </w:tcPr>
          <w:p w14:paraId="0A60F8F1">
            <w:pPr>
              <w:pStyle w:val="7"/>
            </w:pPr>
            <w:r>
              <w:rPr>
                <w:rFonts w:hint="eastAsia"/>
              </w:rPr>
              <w:t xml:space="preserve">95597 </w:t>
            </w:r>
          </w:p>
        </w:tc>
      </w:tr>
      <w:tr w14:paraId="32D18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D0C49">
            <w:pPr>
              <w:pStyle w:val="7"/>
            </w:pPr>
            <w:r>
              <w:rPr>
                <w:rFonts w:hint="eastAsia"/>
              </w:rPr>
              <w:t xml:space="preserve">网址： </w:t>
            </w:r>
          </w:p>
        </w:tc>
        <w:tc>
          <w:tcPr>
            <w:tcW w:w="7440" w:type="dxa"/>
            <w:shd w:val="clear" w:color="auto" w:fill="auto"/>
          </w:tcPr>
          <w:p w14:paraId="641FC85E">
            <w:pPr>
              <w:pStyle w:val="7"/>
            </w:pPr>
            <w:r>
              <w:rPr>
                <w:rFonts w:hint="eastAsia"/>
              </w:rPr>
              <w:t xml:space="preserve">http://www.htsc.com.cn/ </w:t>
            </w:r>
          </w:p>
        </w:tc>
      </w:tr>
    </w:tbl>
    <w:p w14:paraId="1B2854E5">
      <w:pPr>
        <w:pStyle w:val="7"/>
        <w:spacing w:before="0" w:beforeAutospacing="0" w:after="0" w:afterAutospacing="0" w:line="360" w:lineRule="auto"/>
        <w:ind w:firstLine="420"/>
        <w:rPr>
          <w:sz w:val="21"/>
          <w:szCs w:val="21"/>
        </w:rPr>
      </w:pPr>
      <w:r>
        <w:rPr>
          <w:rFonts w:hint="eastAsia"/>
          <w:b/>
          <w:bCs/>
          <w:sz w:val="21"/>
          <w:szCs w:val="21"/>
        </w:rPr>
        <w:t>(13)中信证券（山东）有限责任公司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61A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2E0993">
            <w:pPr>
              <w:pStyle w:val="7"/>
            </w:pPr>
            <w:r>
              <w:rPr>
                <w:rFonts w:hint="eastAsia"/>
              </w:rPr>
              <w:t xml:space="preserve">注册地址： </w:t>
            </w:r>
          </w:p>
        </w:tc>
        <w:tc>
          <w:tcPr>
            <w:tcW w:w="7440" w:type="dxa"/>
            <w:shd w:val="clear" w:color="auto" w:fill="auto"/>
          </w:tcPr>
          <w:p w14:paraId="10F62E18">
            <w:pPr>
              <w:pStyle w:val="7"/>
            </w:pPr>
            <w:r>
              <w:rPr>
                <w:rFonts w:hint="eastAsia"/>
              </w:rPr>
              <w:t xml:space="preserve">青岛市崂山区深圳路222号1号楼2001 </w:t>
            </w:r>
          </w:p>
        </w:tc>
      </w:tr>
      <w:tr w14:paraId="18191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CD26C">
            <w:pPr>
              <w:pStyle w:val="7"/>
            </w:pPr>
            <w:r>
              <w:rPr>
                <w:rFonts w:hint="eastAsia"/>
              </w:rPr>
              <w:t xml:space="preserve">办公地址： </w:t>
            </w:r>
          </w:p>
        </w:tc>
        <w:tc>
          <w:tcPr>
            <w:tcW w:w="7440" w:type="dxa"/>
            <w:shd w:val="clear" w:color="auto" w:fill="auto"/>
          </w:tcPr>
          <w:p w14:paraId="1379CFBF">
            <w:pPr>
              <w:pStyle w:val="7"/>
            </w:pPr>
            <w:r>
              <w:rPr>
                <w:rFonts w:hint="eastAsia"/>
              </w:rPr>
              <w:t xml:space="preserve">青岛市市南区东海西路28号龙翔广场东座5层 </w:t>
            </w:r>
          </w:p>
        </w:tc>
      </w:tr>
      <w:tr w14:paraId="1606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DA803">
            <w:pPr>
              <w:pStyle w:val="7"/>
            </w:pPr>
            <w:r>
              <w:rPr>
                <w:rFonts w:hint="eastAsia"/>
              </w:rPr>
              <w:t xml:space="preserve">法定代表人： </w:t>
            </w:r>
          </w:p>
        </w:tc>
        <w:tc>
          <w:tcPr>
            <w:tcW w:w="7440" w:type="dxa"/>
            <w:shd w:val="clear" w:color="auto" w:fill="auto"/>
          </w:tcPr>
          <w:p w14:paraId="7E996AD5">
            <w:pPr>
              <w:pStyle w:val="7"/>
            </w:pPr>
            <w:r>
              <w:rPr>
                <w:rFonts w:hint="eastAsia"/>
              </w:rPr>
              <w:t xml:space="preserve">肖海峰 </w:t>
            </w:r>
          </w:p>
        </w:tc>
      </w:tr>
      <w:tr w14:paraId="0C40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31A7D">
            <w:pPr>
              <w:pStyle w:val="7"/>
            </w:pPr>
            <w:r>
              <w:rPr>
                <w:rFonts w:hint="eastAsia"/>
              </w:rPr>
              <w:t xml:space="preserve">联系人： </w:t>
            </w:r>
          </w:p>
        </w:tc>
        <w:tc>
          <w:tcPr>
            <w:tcW w:w="7440" w:type="dxa"/>
            <w:shd w:val="clear" w:color="auto" w:fill="auto"/>
          </w:tcPr>
          <w:p w14:paraId="2F706CBB">
            <w:pPr>
              <w:pStyle w:val="7"/>
            </w:pPr>
            <w:r>
              <w:rPr>
                <w:rFonts w:hint="eastAsia"/>
              </w:rPr>
              <w:t xml:space="preserve">赵如意 </w:t>
            </w:r>
          </w:p>
        </w:tc>
      </w:tr>
      <w:tr w14:paraId="5685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5E4AF">
            <w:pPr>
              <w:pStyle w:val="7"/>
            </w:pPr>
            <w:r>
              <w:rPr>
                <w:rFonts w:hint="eastAsia"/>
              </w:rPr>
              <w:t xml:space="preserve">电话： </w:t>
            </w:r>
          </w:p>
        </w:tc>
        <w:tc>
          <w:tcPr>
            <w:tcW w:w="7440" w:type="dxa"/>
            <w:shd w:val="clear" w:color="auto" w:fill="auto"/>
          </w:tcPr>
          <w:p w14:paraId="1F9D43B1">
            <w:pPr>
              <w:pStyle w:val="7"/>
            </w:pPr>
            <w:r>
              <w:rPr>
                <w:rFonts w:hint="eastAsia"/>
              </w:rPr>
              <w:t xml:space="preserve">0532-85725062 </w:t>
            </w:r>
          </w:p>
        </w:tc>
      </w:tr>
      <w:tr w14:paraId="0DA23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9420E">
            <w:pPr>
              <w:pStyle w:val="7"/>
            </w:pPr>
            <w:r>
              <w:rPr>
                <w:rFonts w:hint="eastAsia"/>
              </w:rPr>
              <w:t xml:space="preserve">客户服务电话： </w:t>
            </w:r>
          </w:p>
        </w:tc>
        <w:tc>
          <w:tcPr>
            <w:tcW w:w="7440" w:type="dxa"/>
            <w:shd w:val="clear" w:color="auto" w:fill="auto"/>
          </w:tcPr>
          <w:p w14:paraId="050273AB">
            <w:pPr>
              <w:pStyle w:val="7"/>
            </w:pPr>
            <w:r>
              <w:rPr>
                <w:rFonts w:hint="eastAsia"/>
              </w:rPr>
              <w:t xml:space="preserve">95548 </w:t>
            </w:r>
          </w:p>
        </w:tc>
      </w:tr>
      <w:tr w14:paraId="7B5D7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622B3">
            <w:pPr>
              <w:pStyle w:val="7"/>
            </w:pPr>
            <w:r>
              <w:rPr>
                <w:rFonts w:hint="eastAsia"/>
              </w:rPr>
              <w:t xml:space="preserve">网址： </w:t>
            </w:r>
          </w:p>
        </w:tc>
        <w:tc>
          <w:tcPr>
            <w:tcW w:w="7440" w:type="dxa"/>
            <w:shd w:val="clear" w:color="auto" w:fill="auto"/>
          </w:tcPr>
          <w:p w14:paraId="23BDB5A4">
            <w:pPr>
              <w:pStyle w:val="7"/>
            </w:pPr>
            <w:r>
              <w:rPr>
                <w:rFonts w:hint="eastAsia"/>
              </w:rPr>
              <w:t xml:space="preserve">sd.citics.com </w:t>
            </w:r>
          </w:p>
        </w:tc>
      </w:tr>
    </w:tbl>
    <w:p w14:paraId="69F33472">
      <w:pPr>
        <w:pStyle w:val="7"/>
        <w:spacing w:before="0" w:beforeAutospacing="0" w:after="0" w:afterAutospacing="0" w:line="360" w:lineRule="auto"/>
        <w:ind w:firstLine="420"/>
        <w:rPr>
          <w:sz w:val="21"/>
          <w:szCs w:val="21"/>
        </w:rPr>
      </w:pPr>
      <w:r>
        <w:rPr>
          <w:rFonts w:hint="eastAsia"/>
          <w:b/>
          <w:bCs/>
          <w:sz w:val="21"/>
          <w:szCs w:val="21"/>
        </w:rPr>
        <w:t>(14)东兴证券股份有限公司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FFC9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A7673">
            <w:pPr>
              <w:pStyle w:val="7"/>
            </w:pPr>
            <w:r>
              <w:rPr>
                <w:rFonts w:hint="eastAsia"/>
              </w:rPr>
              <w:t xml:space="preserve">注册地址： </w:t>
            </w:r>
          </w:p>
        </w:tc>
        <w:tc>
          <w:tcPr>
            <w:tcW w:w="7440" w:type="dxa"/>
            <w:shd w:val="clear" w:color="auto" w:fill="auto"/>
          </w:tcPr>
          <w:p w14:paraId="32722BE3">
            <w:pPr>
              <w:pStyle w:val="7"/>
            </w:pPr>
            <w:r>
              <w:rPr>
                <w:rFonts w:hint="eastAsia"/>
              </w:rPr>
              <w:t xml:space="preserve">北京市西城区金融大街5号（新盛大厦）12、15层 </w:t>
            </w:r>
          </w:p>
        </w:tc>
      </w:tr>
      <w:tr w14:paraId="2A29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73204">
            <w:pPr>
              <w:pStyle w:val="7"/>
            </w:pPr>
            <w:r>
              <w:rPr>
                <w:rFonts w:hint="eastAsia"/>
              </w:rPr>
              <w:t xml:space="preserve">办公地址： </w:t>
            </w:r>
          </w:p>
        </w:tc>
        <w:tc>
          <w:tcPr>
            <w:tcW w:w="7440" w:type="dxa"/>
            <w:shd w:val="clear" w:color="auto" w:fill="auto"/>
          </w:tcPr>
          <w:p w14:paraId="55AEEDDD">
            <w:pPr>
              <w:pStyle w:val="7"/>
            </w:pPr>
            <w:r>
              <w:rPr>
                <w:rFonts w:hint="eastAsia"/>
              </w:rPr>
              <w:t xml:space="preserve">北京市西城区金融大街5号新盛大厦B座12-15层 </w:t>
            </w:r>
          </w:p>
        </w:tc>
      </w:tr>
      <w:tr w14:paraId="5CFA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5013D">
            <w:pPr>
              <w:pStyle w:val="7"/>
            </w:pPr>
            <w:r>
              <w:rPr>
                <w:rFonts w:hint="eastAsia"/>
              </w:rPr>
              <w:t xml:space="preserve">法定代表人： </w:t>
            </w:r>
          </w:p>
        </w:tc>
        <w:tc>
          <w:tcPr>
            <w:tcW w:w="7440" w:type="dxa"/>
            <w:shd w:val="clear" w:color="auto" w:fill="auto"/>
          </w:tcPr>
          <w:p w14:paraId="192F3A57">
            <w:pPr>
              <w:pStyle w:val="7"/>
            </w:pPr>
            <w:r>
              <w:rPr>
                <w:rFonts w:hint="eastAsia"/>
              </w:rPr>
              <w:t xml:space="preserve">魏庆华 </w:t>
            </w:r>
          </w:p>
        </w:tc>
      </w:tr>
      <w:tr w14:paraId="17AE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07F51">
            <w:pPr>
              <w:pStyle w:val="7"/>
            </w:pPr>
            <w:r>
              <w:rPr>
                <w:rFonts w:hint="eastAsia"/>
              </w:rPr>
              <w:t xml:space="preserve">联系人： </w:t>
            </w:r>
          </w:p>
        </w:tc>
        <w:tc>
          <w:tcPr>
            <w:tcW w:w="7440" w:type="dxa"/>
            <w:shd w:val="clear" w:color="auto" w:fill="auto"/>
          </w:tcPr>
          <w:p w14:paraId="6EB37C8F">
            <w:pPr>
              <w:pStyle w:val="7"/>
            </w:pPr>
            <w:r>
              <w:rPr>
                <w:rFonts w:hint="eastAsia"/>
              </w:rPr>
              <w:t xml:space="preserve">郑旷怡 </w:t>
            </w:r>
          </w:p>
        </w:tc>
      </w:tr>
      <w:tr w14:paraId="35497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3636F">
            <w:pPr>
              <w:pStyle w:val="7"/>
            </w:pPr>
            <w:r>
              <w:rPr>
                <w:rFonts w:hint="eastAsia"/>
              </w:rPr>
              <w:t xml:space="preserve">电话： </w:t>
            </w:r>
          </w:p>
        </w:tc>
        <w:tc>
          <w:tcPr>
            <w:tcW w:w="7440" w:type="dxa"/>
            <w:shd w:val="clear" w:color="auto" w:fill="auto"/>
          </w:tcPr>
          <w:p w14:paraId="6DB4688F">
            <w:pPr>
              <w:pStyle w:val="7"/>
            </w:pPr>
            <w:r>
              <w:rPr>
                <w:rFonts w:hint="eastAsia"/>
              </w:rPr>
              <w:t xml:space="preserve">010-66559039 </w:t>
            </w:r>
          </w:p>
        </w:tc>
      </w:tr>
      <w:tr w14:paraId="4694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B7B2D">
            <w:pPr>
              <w:pStyle w:val="7"/>
            </w:pPr>
            <w:r>
              <w:rPr>
                <w:rFonts w:hint="eastAsia"/>
              </w:rPr>
              <w:t xml:space="preserve">传真： </w:t>
            </w:r>
          </w:p>
        </w:tc>
        <w:tc>
          <w:tcPr>
            <w:tcW w:w="7440" w:type="dxa"/>
            <w:shd w:val="clear" w:color="auto" w:fill="auto"/>
          </w:tcPr>
          <w:p w14:paraId="4160900D">
            <w:pPr>
              <w:pStyle w:val="7"/>
            </w:pPr>
            <w:r>
              <w:rPr>
                <w:rFonts w:hint="eastAsia"/>
              </w:rPr>
              <w:t xml:space="preserve">010-66555133 </w:t>
            </w:r>
          </w:p>
        </w:tc>
      </w:tr>
      <w:tr w14:paraId="2F3F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432C7">
            <w:pPr>
              <w:pStyle w:val="7"/>
            </w:pPr>
            <w:r>
              <w:rPr>
                <w:rFonts w:hint="eastAsia"/>
              </w:rPr>
              <w:t xml:space="preserve">客户服务电话： </w:t>
            </w:r>
          </w:p>
        </w:tc>
        <w:tc>
          <w:tcPr>
            <w:tcW w:w="7440" w:type="dxa"/>
            <w:shd w:val="clear" w:color="auto" w:fill="auto"/>
          </w:tcPr>
          <w:p w14:paraId="5B0A3409">
            <w:pPr>
              <w:pStyle w:val="7"/>
            </w:pPr>
            <w:r>
              <w:rPr>
                <w:rFonts w:hint="eastAsia"/>
              </w:rPr>
              <w:t xml:space="preserve">95309 </w:t>
            </w:r>
          </w:p>
        </w:tc>
      </w:tr>
      <w:tr w14:paraId="650E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2F5C0">
            <w:pPr>
              <w:pStyle w:val="7"/>
            </w:pPr>
            <w:r>
              <w:rPr>
                <w:rFonts w:hint="eastAsia"/>
              </w:rPr>
              <w:t xml:space="preserve">网址： </w:t>
            </w:r>
          </w:p>
        </w:tc>
        <w:tc>
          <w:tcPr>
            <w:tcW w:w="7440" w:type="dxa"/>
            <w:shd w:val="clear" w:color="auto" w:fill="auto"/>
          </w:tcPr>
          <w:p w14:paraId="2A5905AE">
            <w:pPr>
              <w:pStyle w:val="7"/>
            </w:pPr>
            <w:r>
              <w:rPr>
                <w:rFonts w:hint="eastAsia"/>
              </w:rPr>
              <w:t xml:space="preserve">http://www.dxzq.net </w:t>
            </w:r>
          </w:p>
        </w:tc>
      </w:tr>
    </w:tbl>
    <w:p w14:paraId="1B53AD9A">
      <w:pPr>
        <w:pStyle w:val="7"/>
        <w:spacing w:before="0" w:beforeAutospacing="0" w:after="0" w:afterAutospacing="0" w:line="360" w:lineRule="auto"/>
        <w:ind w:firstLine="420"/>
        <w:rPr>
          <w:sz w:val="21"/>
          <w:szCs w:val="21"/>
        </w:rPr>
      </w:pPr>
      <w:r>
        <w:rPr>
          <w:rFonts w:hint="eastAsia"/>
          <w:b/>
          <w:bCs/>
          <w:sz w:val="21"/>
          <w:szCs w:val="21"/>
        </w:rPr>
        <w:t>(15)东吴证券股份有限公司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358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91FA7">
            <w:pPr>
              <w:pStyle w:val="7"/>
            </w:pPr>
            <w:r>
              <w:rPr>
                <w:rFonts w:hint="eastAsia"/>
              </w:rPr>
              <w:t xml:space="preserve">注册地址： </w:t>
            </w:r>
          </w:p>
        </w:tc>
        <w:tc>
          <w:tcPr>
            <w:tcW w:w="7440" w:type="dxa"/>
            <w:shd w:val="clear" w:color="auto" w:fill="auto"/>
          </w:tcPr>
          <w:p w14:paraId="0A370D4D">
            <w:pPr>
              <w:pStyle w:val="7"/>
            </w:pPr>
            <w:r>
              <w:rPr>
                <w:rFonts w:hint="eastAsia"/>
              </w:rPr>
              <w:t xml:space="preserve">江苏省苏州市翠园路181号 </w:t>
            </w:r>
          </w:p>
        </w:tc>
      </w:tr>
      <w:tr w14:paraId="1E15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D13D1">
            <w:pPr>
              <w:pStyle w:val="7"/>
            </w:pPr>
            <w:r>
              <w:rPr>
                <w:rFonts w:hint="eastAsia"/>
              </w:rPr>
              <w:t xml:space="preserve">办公地址： </w:t>
            </w:r>
          </w:p>
        </w:tc>
        <w:tc>
          <w:tcPr>
            <w:tcW w:w="7440" w:type="dxa"/>
            <w:shd w:val="clear" w:color="auto" w:fill="auto"/>
          </w:tcPr>
          <w:p w14:paraId="7AFB144D">
            <w:pPr>
              <w:pStyle w:val="7"/>
            </w:pPr>
            <w:r>
              <w:rPr>
                <w:rFonts w:hint="eastAsia"/>
              </w:rPr>
              <w:t xml:space="preserve">江苏省苏州市星阳街5号 </w:t>
            </w:r>
          </w:p>
        </w:tc>
      </w:tr>
      <w:tr w14:paraId="0BD7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FFC57">
            <w:pPr>
              <w:pStyle w:val="7"/>
            </w:pPr>
            <w:r>
              <w:rPr>
                <w:rFonts w:hint="eastAsia"/>
              </w:rPr>
              <w:t xml:space="preserve">法定代表人： </w:t>
            </w:r>
          </w:p>
        </w:tc>
        <w:tc>
          <w:tcPr>
            <w:tcW w:w="7440" w:type="dxa"/>
            <w:shd w:val="clear" w:color="auto" w:fill="auto"/>
          </w:tcPr>
          <w:p w14:paraId="5A976717">
            <w:pPr>
              <w:pStyle w:val="7"/>
            </w:pPr>
            <w:r>
              <w:rPr>
                <w:rFonts w:hint="eastAsia"/>
              </w:rPr>
              <w:t xml:space="preserve">范力 </w:t>
            </w:r>
          </w:p>
        </w:tc>
      </w:tr>
      <w:tr w14:paraId="12305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E4E25">
            <w:pPr>
              <w:pStyle w:val="7"/>
            </w:pPr>
            <w:r>
              <w:rPr>
                <w:rFonts w:hint="eastAsia"/>
              </w:rPr>
              <w:t xml:space="preserve">联系人： </w:t>
            </w:r>
          </w:p>
        </w:tc>
        <w:tc>
          <w:tcPr>
            <w:tcW w:w="7440" w:type="dxa"/>
            <w:shd w:val="clear" w:color="auto" w:fill="auto"/>
          </w:tcPr>
          <w:p w14:paraId="5B266111">
            <w:pPr>
              <w:pStyle w:val="7"/>
            </w:pPr>
            <w:r>
              <w:rPr>
                <w:rFonts w:hint="eastAsia"/>
              </w:rPr>
              <w:t xml:space="preserve">陆晓 </w:t>
            </w:r>
          </w:p>
        </w:tc>
      </w:tr>
      <w:tr w14:paraId="44E5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5C668">
            <w:pPr>
              <w:pStyle w:val="7"/>
            </w:pPr>
            <w:r>
              <w:rPr>
                <w:rFonts w:hint="eastAsia"/>
              </w:rPr>
              <w:t xml:space="preserve">电话： </w:t>
            </w:r>
          </w:p>
        </w:tc>
        <w:tc>
          <w:tcPr>
            <w:tcW w:w="7440" w:type="dxa"/>
            <w:shd w:val="clear" w:color="auto" w:fill="auto"/>
          </w:tcPr>
          <w:p w14:paraId="69FEFA56">
            <w:pPr>
              <w:pStyle w:val="7"/>
            </w:pPr>
            <w:r>
              <w:rPr>
                <w:rFonts w:hint="eastAsia"/>
              </w:rPr>
              <w:t xml:space="preserve">0512-62938521 </w:t>
            </w:r>
          </w:p>
        </w:tc>
      </w:tr>
      <w:tr w14:paraId="64A64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24B73">
            <w:pPr>
              <w:pStyle w:val="7"/>
            </w:pPr>
            <w:r>
              <w:rPr>
                <w:rFonts w:hint="eastAsia"/>
              </w:rPr>
              <w:t xml:space="preserve">传真： </w:t>
            </w:r>
          </w:p>
        </w:tc>
        <w:tc>
          <w:tcPr>
            <w:tcW w:w="7440" w:type="dxa"/>
            <w:shd w:val="clear" w:color="auto" w:fill="auto"/>
          </w:tcPr>
          <w:p w14:paraId="28FD3CA3">
            <w:pPr>
              <w:pStyle w:val="7"/>
            </w:pPr>
            <w:r>
              <w:rPr>
                <w:rFonts w:hint="eastAsia"/>
              </w:rPr>
              <w:t xml:space="preserve">0512－65588021 </w:t>
            </w:r>
          </w:p>
        </w:tc>
      </w:tr>
      <w:tr w14:paraId="6A8F4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90A40">
            <w:pPr>
              <w:pStyle w:val="7"/>
            </w:pPr>
            <w:r>
              <w:rPr>
                <w:rFonts w:hint="eastAsia"/>
              </w:rPr>
              <w:t xml:space="preserve">客户服务电话： </w:t>
            </w:r>
          </w:p>
        </w:tc>
        <w:tc>
          <w:tcPr>
            <w:tcW w:w="7440" w:type="dxa"/>
            <w:shd w:val="clear" w:color="auto" w:fill="auto"/>
          </w:tcPr>
          <w:p w14:paraId="76D0DEB6">
            <w:pPr>
              <w:pStyle w:val="7"/>
            </w:pPr>
            <w:r>
              <w:rPr>
                <w:rFonts w:hint="eastAsia"/>
              </w:rPr>
              <w:t xml:space="preserve">95330 </w:t>
            </w:r>
          </w:p>
        </w:tc>
      </w:tr>
      <w:tr w14:paraId="6B95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77C0B">
            <w:pPr>
              <w:pStyle w:val="7"/>
            </w:pPr>
            <w:r>
              <w:rPr>
                <w:rFonts w:hint="eastAsia"/>
              </w:rPr>
              <w:t xml:space="preserve">网址： </w:t>
            </w:r>
          </w:p>
        </w:tc>
        <w:tc>
          <w:tcPr>
            <w:tcW w:w="7440" w:type="dxa"/>
            <w:shd w:val="clear" w:color="auto" w:fill="auto"/>
          </w:tcPr>
          <w:p w14:paraId="4628F644">
            <w:pPr>
              <w:pStyle w:val="7"/>
            </w:pPr>
            <w:r>
              <w:rPr>
                <w:rFonts w:hint="eastAsia"/>
              </w:rPr>
              <w:t xml:space="preserve">https://www.dwzq.com.cn </w:t>
            </w:r>
          </w:p>
        </w:tc>
      </w:tr>
    </w:tbl>
    <w:p w14:paraId="2BACA6DF">
      <w:pPr>
        <w:pStyle w:val="7"/>
        <w:spacing w:before="0" w:beforeAutospacing="0" w:after="0" w:afterAutospacing="0" w:line="360" w:lineRule="auto"/>
        <w:ind w:firstLine="420"/>
        <w:rPr>
          <w:sz w:val="21"/>
          <w:szCs w:val="21"/>
        </w:rPr>
      </w:pPr>
      <w:r>
        <w:rPr>
          <w:rFonts w:hint="eastAsia"/>
          <w:b/>
          <w:bCs/>
          <w:sz w:val="21"/>
          <w:szCs w:val="21"/>
        </w:rPr>
        <w:t>(16)信达证券股份有限公司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FCD7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7DC2F">
            <w:pPr>
              <w:pStyle w:val="7"/>
            </w:pPr>
            <w:r>
              <w:rPr>
                <w:rFonts w:hint="eastAsia"/>
              </w:rPr>
              <w:t xml:space="preserve">注册地址： </w:t>
            </w:r>
          </w:p>
        </w:tc>
        <w:tc>
          <w:tcPr>
            <w:tcW w:w="7440" w:type="dxa"/>
            <w:shd w:val="clear" w:color="auto" w:fill="auto"/>
          </w:tcPr>
          <w:p w14:paraId="0A61CA93">
            <w:pPr>
              <w:pStyle w:val="7"/>
            </w:pPr>
            <w:r>
              <w:rPr>
                <w:rFonts w:hint="eastAsia"/>
              </w:rPr>
              <w:t xml:space="preserve">北京市西城区闹市口大街9号院1号楼 </w:t>
            </w:r>
          </w:p>
        </w:tc>
      </w:tr>
      <w:tr w14:paraId="183A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5987E">
            <w:pPr>
              <w:pStyle w:val="7"/>
            </w:pPr>
            <w:r>
              <w:rPr>
                <w:rFonts w:hint="eastAsia"/>
              </w:rPr>
              <w:t xml:space="preserve">办公地址： </w:t>
            </w:r>
          </w:p>
        </w:tc>
        <w:tc>
          <w:tcPr>
            <w:tcW w:w="7440" w:type="dxa"/>
            <w:shd w:val="clear" w:color="auto" w:fill="auto"/>
          </w:tcPr>
          <w:p w14:paraId="46D7A825">
            <w:pPr>
              <w:pStyle w:val="7"/>
            </w:pPr>
            <w:r>
              <w:rPr>
                <w:rFonts w:hint="eastAsia"/>
              </w:rPr>
              <w:t xml:space="preserve">北京市西城区闹市口大街9号院1号楼 </w:t>
            </w:r>
          </w:p>
        </w:tc>
      </w:tr>
      <w:tr w14:paraId="089C9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91D4B">
            <w:pPr>
              <w:pStyle w:val="7"/>
            </w:pPr>
            <w:r>
              <w:rPr>
                <w:rFonts w:hint="eastAsia"/>
              </w:rPr>
              <w:t xml:space="preserve">法定代表人： </w:t>
            </w:r>
          </w:p>
        </w:tc>
        <w:tc>
          <w:tcPr>
            <w:tcW w:w="7440" w:type="dxa"/>
            <w:shd w:val="clear" w:color="auto" w:fill="auto"/>
          </w:tcPr>
          <w:p w14:paraId="6B2FCA7F">
            <w:pPr>
              <w:pStyle w:val="7"/>
            </w:pPr>
            <w:r>
              <w:rPr>
                <w:rFonts w:hint="eastAsia"/>
              </w:rPr>
              <w:t xml:space="preserve">祝瑞敏 </w:t>
            </w:r>
          </w:p>
        </w:tc>
      </w:tr>
      <w:tr w14:paraId="19CD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A9A9B">
            <w:pPr>
              <w:pStyle w:val="7"/>
            </w:pPr>
            <w:r>
              <w:rPr>
                <w:rFonts w:hint="eastAsia"/>
              </w:rPr>
              <w:t xml:space="preserve">联系人： </w:t>
            </w:r>
          </w:p>
        </w:tc>
        <w:tc>
          <w:tcPr>
            <w:tcW w:w="7440" w:type="dxa"/>
            <w:shd w:val="clear" w:color="auto" w:fill="auto"/>
          </w:tcPr>
          <w:p w14:paraId="59AC7519">
            <w:pPr>
              <w:pStyle w:val="7"/>
            </w:pPr>
            <w:r>
              <w:rPr>
                <w:rFonts w:hint="eastAsia"/>
              </w:rPr>
              <w:t xml:space="preserve">王薇安 </w:t>
            </w:r>
          </w:p>
        </w:tc>
      </w:tr>
      <w:tr w14:paraId="1D72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58987">
            <w:pPr>
              <w:pStyle w:val="7"/>
            </w:pPr>
            <w:r>
              <w:rPr>
                <w:rFonts w:hint="eastAsia"/>
              </w:rPr>
              <w:t xml:space="preserve">电话： </w:t>
            </w:r>
          </w:p>
        </w:tc>
        <w:tc>
          <w:tcPr>
            <w:tcW w:w="7440" w:type="dxa"/>
            <w:shd w:val="clear" w:color="auto" w:fill="auto"/>
          </w:tcPr>
          <w:p w14:paraId="21DA62F6">
            <w:pPr>
              <w:pStyle w:val="7"/>
            </w:pPr>
            <w:r>
              <w:rPr>
                <w:rFonts w:hint="eastAsia"/>
              </w:rPr>
              <w:t xml:space="preserve">010－83252170 </w:t>
            </w:r>
          </w:p>
        </w:tc>
      </w:tr>
      <w:tr w14:paraId="3C28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DBFE7E">
            <w:pPr>
              <w:pStyle w:val="7"/>
            </w:pPr>
            <w:r>
              <w:rPr>
                <w:rFonts w:hint="eastAsia"/>
              </w:rPr>
              <w:t xml:space="preserve">传真： </w:t>
            </w:r>
          </w:p>
        </w:tc>
        <w:tc>
          <w:tcPr>
            <w:tcW w:w="7440" w:type="dxa"/>
            <w:shd w:val="clear" w:color="auto" w:fill="auto"/>
          </w:tcPr>
          <w:p w14:paraId="6EECDE04">
            <w:pPr>
              <w:pStyle w:val="7"/>
            </w:pPr>
            <w:r>
              <w:rPr>
                <w:rFonts w:hint="eastAsia"/>
              </w:rPr>
              <w:t xml:space="preserve">010－63081344 </w:t>
            </w:r>
          </w:p>
        </w:tc>
      </w:tr>
      <w:tr w14:paraId="7A211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9A163">
            <w:pPr>
              <w:pStyle w:val="7"/>
            </w:pPr>
            <w:r>
              <w:rPr>
                <w:rFonts w:hint="eastAsia"/>
              </w:rPr>
              <w:t xml:space="preserve">客户服务电话： </w:t>
            </w:r>
          </w:p>
        </w:tc>
        <w:tc>
          <w:tcPr>
            <w:tcW w:w="7440" w:type="dxa"/>
            <w:shd w:val="clear" w:color="auto" w:fill="auto"/>
          </w:tcPr>
          <w:p w14:paraId="040EB5B3">
            <w:pPr>
              <w:pStyle w:val="7"/>
            </w:pPr>
            <w:r>
              <w:rPr>
                <w:rFonts w:hint="eastAsia"/>
              </w:rPr>
              <w:t xml:space="preserve">95321 </w:t>
            </w:r>
          </w:p>
        </w:tc>
      </w:tr>
      <w:tr w14:paraId="0F046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A234B">
            <w:pPr>
              <w:pStyle w:val="7"/>
            </w:pPr>
            <w:r>
              <w:rPr>
                <w:rFonts w:hint="eastAsia"/>
              </w:rPr>
              <w:t xml:space="preserve">网址： </w:t>
            </w:r>
          </w:p>
        </w:tc>
        <w:tc>
          <w:tcPr>
            <w:tcW w:w="7440" w:type="dxa"/>
            <w:shd w:val="clear" w:color="auto" w:fill="auto"/>
          </w:tcPr>
          <w:p w14:paraId="55B59EF6">
            <w:pPr>
              <w:pStyle w:val="7"/>
            </w:pPr>
            <w:r>
              <w:rPr>
                <w:rFonts w:hint="eastAsia"/>
              </w:rPr>
              <w:t xml:space="preserve">http://www.cindasc.com </w:t>
            </w:r>
          </w:p>
        </w:tc>
      </w:tr>
    </w:tbl>
    <w:p w14:paraId="4DA2CDFA">
      <w:pPr>
        <w:pStyle w:val="7"/>
        <w:spacing w:before="0" w:beforeAutospacing="0" w:after="0" w:afterAutospacing="0" w:line="360" w:lineRule="auto"/>
        <w:ind w:firstLine="420"/>
        <w:rPr>
          <w:sz w:val="21"/>
          <w:szCs w:val="21"/>
        </w:rPr>
      </w:pPr>
      <w:r>
        <w:rPr>
          <w:rFonts w:hint="eastAsia"/>
          <w:b/>
          <w:bCs/>
          <w:sz w:val="21"/>
          <w:szCs w:val="21"/>
        </w:rPr>
        <w:t>(17)方正证券股份有限公司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74B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C9C3DC">
            <w:pPr>
              <w:pStyle w:val="7"/>
            </w:pPr>
            <w:r>
              <w:rPr>
                <w:rFonts w:hint="eastAsia"/>
              </w:rPr>
              <w:t xml:space="preserve">注册地址： </w:t>
            </w:r>
          </w:p>
        </w:tc>
        <w:tc>
          <w:tcPr>
            <w:tcW w:w="7440" w:type="dxa"/>
            <w:shd w:val="clear" w:color="auto" w:fill="auto"/>
          </w:tcPr>
          <w:p w14:paraId="7B495DEF">
            <w:pPr>
              <w:pStyle w:val="7"/>
            </w:pPr>
            <w:r>
              <w:rPr>
                <w:rFonts w:hint="eastAsia"/>
              </w:rPr>
              <w:t xml:space="preserve">湖南长沙芙蓉中路2段华侨国际大厦22-24层 </w:t>
            </w:r>
          </w:p>
        </w:tc>
      </w:tr>
      <w:tr w14:paraId="48EA2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A5F198">
            <w:pPr>
              <w:pStyle w:val="7"/>
            </w:pPr>
            <w:r>
              <w:rPr>
                <w:rFonts w:hint="eastAsia"/>
              </w:rPr>
              <w:t xml:space="preserve">办公地址： </w:t>
            </w:r>
          </w:p>
        </w:tc>
        <w:tc>
          <w:tcPr>
            <w:tcW w:w="7440" w:type="dxa"/>
            <w:shd w:val="clear" w:color="auto" w:fill="auto"/>
          </w:tcPr>
          <w:p w14:paraId="7BAFC70C">
            <w:pPr>
              <w:pStyle w:val="7"/>
            </w:pPr>
            <w:r>
              <w:rPr>
                <w:rFonts w:hint="eastAsia"/>
              </w:rPr>
              <w:t xml:space="preserve">湖南长沙芙蓉中路2段华侨国际大厦22-24层 </w:t>
            </w:r>
          </w:p>
        </w:tc>
      </w:tr>
      <w:tr w14:paraId="586F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F688E2">
            <w:pPr>
              <w:pStyle w:val="7"/>
            </w:pPr>
            <w:r>
              <w:rPr>
                <w:rFonts w:hint="eastAsia"/>
              </w:rPr>
              <w:t xml:space="preserve">法定代表人： </w:t>
            </w:r>
          </w:p>
        </w:tc>
        <w:tc>
          <w:tcPr>
            <w:tcW w:w="7440" w:type="dxa"/>
            <w:shd w:val="clear" w:color="auto" w:fill="auto"/>
          </w:tcPr>
          <w:p w14:paraId="22BBE091">
            <w:pPr>
              <w:pStyle w:val="7"/>
            </w:pPr>
            <w:r>
              <w:rPr>
                <w:rFonts w:hint="eastAsia"/>
              </w:rPr>
              <w:t xml:space="preserve">施华 </w:t>
            </w:r>
          </w:p>
        </w:tc>
      </w:tr>
      <w:tr w14:paraId="16D6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5EC5E">
            <w:pPr>
              <w:pStyle w:val="7"/>
            </w:pPr>
            <w:r>
              <w:rPr>
                <w:rFonts w:hint="eastAsia"/>
              </w:rPr>
              <w:t xml:space="preserve">联系人： </w:t>
            </w:r>
          </w:p>
        </w:tc>
        <w:tc>
          <w:tcPr>
            <w:tcW w:w="7440" w:type="dxa"/>
            <w:shd w:val="clear" w:color="auto" w:fill="auto"/>
          </w:tcPr>
          <w:p w14:paraId="240054FA">
            <w:pPr>
              <w:pStyle w:val="7"/>
            </w:pPr>
            <w:r>
              <w:rPr>
                <w:rFonts w:hint="eastAsia"/>
              </w:rPr>
              <w:t xml:space="preserve">胡创 </w:t>
            </w:r>
          </w:p>
        </w:tc>
      </w:tr>
      <w:tr w14:paraId="217E6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4855C">
            <w:pPr>
              <w:pStyle w:val="7"/>
            </w:pPr>
            <w:r>
              <w:rPr>
                <w:rFonts w:hint="eastAsia"/>
              </w:rPr>
              <w:t xml:space="preserve">电话： </w:t>
            </w:r>
          </w:p>
        </w:tc>
        <w:tc>
          <w:tcPr>
            <w:tcW w:w="7440" w:type="dxa"/>
            <w:shd w:val="clear" w:color="auto" w:fill="auto"/>
          </w:tcPr>
          <w:p w14:paraId="376E73CC">
            <w:pPr>
              <w:pStyle w:val="7"/>
            </w:pPr>
            <w:r>
              <w:rPr>
                <w:rFonts w:hint="eastAsia"/>
              </w:rPr>
              <w:t xml:space="preserve">010-56437060 </w:t>
            </w:r>
          </w:p>
        </w:tc>
      </w:tr>
      <w:tr w14:paraId="49B43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9C8CFC">
            <w:pPr>
              <w:pStyle w:val="7"/>
            </w:pPr>
            <w:r>
              <w:rPr>
                <w:rFonts w:hint="eastAsia"/>
              </w:rPr>
              <w:t xml:space="preserve">传真： </w:t>
            </w:r>
          </w:p>
        </w:tc>
        <w:tc>
          <w:tcPr>
            <w:tcW w:w="7440" w:type="dxa"/>
            <w:shd w:val="clear" w:color="auto" w:fill="auto"/>
          </w:tcPr>
          <w:p w14:paraId="58B4D156">
            <w:pPr>
              <w:pStyle w:val="7"/>
            </w:pPr>
            <w:r>
              <w:rPr>
                <w:rFonts w:hint="eastAsia"/>
              </w:rPr>
              <w:t xml:space="preserve">0731-85832214 </w:t>
            </w:r>
          </w:p>
        </w:tc>
      </w:tr>
      <w:tr w14:paraId="3979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6DA8E">
            <w:pPr>
              <w:pStyle w:val="7"/>
            </w:pPr>
            <w:r>
              <w:rPr>
                <w:rFonts w:hint="eastAsia"/>
              </w:rPr>
              <w:t xml:space="preserve">客户服务电话： </w:t>
            </w:r>
          </w:p>
        </w:tc>
        <w:tc>
          <w:tcPr>
            <w:tcW w:w="7440" w:type="dxa"/>
            <w:shd w:val="clear" w:color="auto" w:fill="auto"/>
          </w:tcPr>
          <w:p w14:paraId="20D0F766">
            <w:pPr>
              <w:pStyle w:val="7"/>
            </w:pPr>
            <w:r>
              <w:rPr>
                <w:rFonts w:hint="eastAsia"/>
              </w:rPr>
              <w:t xml:space="preserve">95571 </w:t>
            </w:r>
          </w:p>
        </w:tc>
      </w:tr>
      <w:tr w14:paraId="09413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80360">
            <w:pPr>
              <w:pStyle w:val="7"/>
            </w:pPr>
            <w:r>
              <w:rPr>
                <w:rFonts w:hint="eastAsia"/>
              </w:rPr>
              <w:t xml:space="preserve">网址： </w:t>
            </w:r>
          </w:p>
        </w:tc>
        <w:tc>
          <w:tcPr>
            <w:tcW w:w="7440" w:type="dxa"/>
            <w:shd w:val="clear" w:color="auto" w:fill="auto"/>
          </w:tcPr>
          <w:p w14:paraId="1F284900">
            <w:pPr>
              <w:pStyle w:val="7"/>
            </w:pPr>
            <w:r>
              <w:rPr>
                <w:rFonts w:hint="eastAsia"/>
              </w:rPr>
              <w:t xml:space="preserve">http://www.foundersc.com </w:t>
            </w:r>
          </w:p>
        </w:tc>
      </w:tr>
    </w:tbl>
    <w:p w14:paraId="77778123">
      <w:pPr>
        <w:pStyle w:val="7"/>
        <w:spacing w:before="0" w:beforeAutospacing="0" w:after="0" w:afterAutospacing="0" w:line="360" w:lineRule="auto"/>
        <w:ind w:firstLine="420"/>
        <w:rPr>
          <w:sz w:val="21"/>
          <w:szCs w:val="21"/>
        </w:rPr>
      </w:pPr>
      <w:r>
        <w:rPr>
          <w:rFonts w:hint="eastAsia"/>
          <w:b/>
          <w:bCs/>
          <w:sz w:val="21"/>
          <w:szCs w:val="21"/>
        </w:rPr>
        <w:t>(18)长城证券股份有限公司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883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6F68B">
            <w:pPr>
              <w:pStyle w:val="7"/>
            </w:pPr>
            <w:r>
              <w:rPr>
                <w:rFonts w:hint="eastAsia"/>
              </w:rPr>
              <w:t xml:space="preserve">注册地址： </w:t>
            </w:r>
          </w:p>
        </w:tc>
        <w:tc>
          <w:tcPr>
            <w:tcW w:w="7440" w:type="dxa"/>
            <w:shd w:val="clear" w:color="auto" w:fill="auto"/>
          </w:tcPr>
          <w:p w14:paraId="2812561E">
            <w:pPr>
              <w:pStyle w:val="7"/>
            </w:pPr>
            <w:r>
              <w:rPr>
                <w:rFonts w:hint="eastAsia"/>
              </w:rPr>
              <w:t xml:space="preserve">深圳市深南大道6008号特区报业大厦16、17层 </w:t>
            </w:r>
          </w:p>
        </w:tc>
      </w:tr>
      <w:tr w14:paraId="5843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11387">
            <w:pPr>
              <w:pStyle w:val="7"/>
            </w:pPr>
            <w:r>
              <w:rPr>
                <w:rFonts w:hint="eastAsia"/>
              </w:rPr>
              <w:t xml:space="preserve">办公地址： </w:t>
            </w:r>
          </w:p>
        </w:tc>
        <w:tc>
          <w:tcPr>
            <w:tcW w:w="7440" w:type="dxa"/>
            <w:shd w:val="clear" w:color="auto" w:fill="auto"/>
          </w:tcPr>
          <w:p w14:paraId="5D990E50">
            <w:pPr>
              <w:pStyle w:val="7"/>
            </w:pPr>
            <w:r>
              <w:rPr>
                <w:rFonts w:hint="eastAsia"/>
              </w:rPr>
              <w:t xml:space="preserve">深圳市深南大道6008号特区报业大厦14、16、17层 </w:t>
            </w:r>
          </w:p>
        </w:tc>
      </w:tr>
      <w:tr w14:paraId="6297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BFC97">
            <w:pPr>
              <w:pStyle w:val="7"/>
            </w:pPr>
            <w:r>
              <w:rPr>
                <w:rFonts w:hint="eastAsia"/>
              </w:rPr>
              <w:t xml:space="preserve">法定代表人： </w:t>
            </w:r>
          </w:p>
        </w:tc>
        <w:tc>
          <w:tcPr>
            <w:tcW w:w="7440" w:type="dxa"/>
            <w:shd w:val="clear" w:color="auto" w:fill="auto"/>
          </w:tcPr>
          <w:p w14:paraId="7E817C13">
            <w:pPr>
              <w:pStyle w:val="7"/>
            </w:pPr>
            <w:r>
              <w:rPr>
                <w:rFonts w:hint="eastAsia"/>
              </w:rPr>
              <w:t xml:space="preserve">丁益 </w:t>
            </w:r>
          </w:p>
        </w:tc>
      </w:tr>
      <w:tr w14:paraId="250F3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60934D">
            <w:pPr>
              <w:pStyle w:val="7"/>
            </w:pPr>
            <w:r>
              <w:rPr>
                <w:rFonts w:hint="eastAsia"/>
              </w:rPr>
              <w:t xml:space="preserve">联系人： </w:t>
            </w:r>
          </w:p>
        </w:tc>
        <w:tc>
          <w:tcPr>
            <w:tcW w:w="7440" w:type="dxa"/>
            <w:shd w:val="clear" w:color="auto" w:fill="auto"/>
          </w:tcPr>
          <w:p w14:paraId="1DAA0AF1">
            <w:pPr>
              <w:pStyle w:val="7"/>
            </w:pPr>
            <w:r>
              <w:rPr>
                <w:rFonts w:hint="eastAsia"/>
              </w:rPr>
              <w:t xml:space="preserve">沈晓 </w:t>
            </w:r>
          </w:p>
        </w:tc>
      </w:tr>
      <w:tr w14:paraId="2E42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32461">
            <w:pPr>
              <w:pStyle w:val="7"/>
            </w:pPr>
            <w:r>
              <w:rPr>
                <w:rFonts w:hint="eastAsia"/>
              </w:rPr>
              <w:t xml:space="preserve">电话： </w:t>
            </w:r>
          </w:p>
        </w:tc>
        <w:tc>
          <w:tcPr>
            <w:tcW w:w="7440" w:type="dxa"/>
            <w:shd w:val="clear" w:color="auto" w:fill="auto"/>
          </w:tcPr>
          <w:p w14:paraId="67726430">
            <w:pPr>
              <w:pStyle w:val="7"/>
            </w:pPr>
            <w:r>
              <w:rPr>
                <w:rFonts w:hint="eastAsia"/>
              </w:rPr>
              <w:t xml:space="preserve">0755-83464734 </w:t>
            </w:r>
          </w:p>
        </w:tc>
      </w:tr>
      <w:tr w14:paraId="6CB63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5C349">
            <w:pPr>
              <w:pStyle w:val="7"/>
            </w:pPr>
            <w:r>
              <w:rPr>
                <w:rFonts w:hint="eastAsia"/>
              </w:rPr>
              <w:t xml:space="preserve">传真： </w:t>
            </w:r>
          </w:p>
        </w:tc>
        <w:tc>
          <w:tcPr>
            <w:tcW w:w="7440" w:type="dxa"/>
            <w:shd w:val="clear" w:color="auto" w:fill="auto"/>
          </w:tcPr>
          <w:p w14:paraId="179C0B75">
            <w:pPr>
              <w:pStyle w:val="7"/>
            </w:pPr>
            <w:r>
              <w:rPr>
                <w:rFonts w:hint="eastAsia"/>
              </w:rPr>
              <w:t xml:space="preserve">0755－83515567 </w:t>
            </w:r>
          </w:p>
        </w:tc>
      </w:tr>
      <w:tr w14:paraId="19A33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F2683">
            <w:pPr>
              <w:pStyle w:val="7"/>
            </w:pPr>
            <w:r>
              <w:rPr>
                <w:rFonts w:hint="eastAsia"/>
              </w:rPr>
              <w:t xml:space="preserve">客户服务电话： </w:t>
            </w:r>
          </w:p>
        </w:tc>
        <w:tc>
          <w:tcPr>
            <w:tcW w:w="7440" w:type="dxa"/>
            <w:shd w:val="clear" w:color="auto" w:fill="auto"/>
          </w:tcPr>
          <w:p w14:paraId="773B88AD">
            <w:pPr>
              <w:pStyle w:val="7"/>
            </w:pPr>
            <w:r>
              <w:rPr>
                <w:rFonts w:hint="eastAsia"/>
              </w:rPr>
              <w:t xml:space="preserve">4006666888 </w:t>
            </w:r>
          </w:p>
        </w:tc>
      </w:tr>
      <w:tr w14:paraId="051F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320E30">
            <w:pPr>
              <w:pStyle w:val="7"/>
            </w:pPr>
            <w:r>
              <w:rPr>
                <w:rFonts w:hint="eastAsia"/>
              </w:rPr>
              <w:t xml:space="preserve">网址： </w:t>
            </w:r>
          </w:p>
        </w:tc>
        <w:tc>
          <w:tcPr>
            <w:tcW w:w="7440" w:type="dxa"/>
            <w:shd w:val="clear" w:color="auto" w:fill="auto"/>
          </w:tcPr>
          <w:p w14:paraId="4E7CFE01">
            <w:pPr>
              <w:pStyle w:val="7"/>
            </w:pPr>
            <w:r>
              <w:rPr>
                <w:rFonts w:hint="eastAsia"/>
              </w:rPr>
              <w:t xml:space="preserve">http://www.cgws.com </w:t>
            </w:r>
          </w:p>
        </w:tc>
      </w:tr>
    </w:tbl>
    <w:p w14:paraId="1349E70F">
      <w:pPr>
        <w:pStyle w:val="7"/>
        <w:spacing w:before="0" w:beforeAutospacing="0" w:after="0" w:afterAutospacing="0" w:line="360" w:lineRule="auto"/>
        <w:ind w:firstLine="420"/>
        <w:rPr>
          <w:sz w:val="21"/>
          <w:szCs w:val="21"/>
        </w:rPr>
      </w:pPr>
      <w:r>
        <w:rPr>
          <w:rFonts w:hint="eastAsia"/>
          <w:b/>
          <w:bCs/>
          <w:sz w:val="21"/>
          <w:szCs w:val="21"/>
        </w:rPr>
        <w:t>(19)光大证券股份有限公司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05C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9BFF0">
            <w:pPr>
              <w:pStyle w:val="7"/>
            </w:pPr>
            <w:r>
              <w:rPr>
                <w:rFonts w:hint="eastAsia"/>
              </w:rPr>
              <w:t xml:space="preserve">注册地址： </w:t>
            </w:r>
          </w:p>
        </w:tc>
        <w:tc>
          <w:tcPr>
            <w:tcW w:w="7440" w:type="dxa"/>
            <w:shd w:val="clear" w:color="auto" w:fill="auto"/>
          </w:tcPr>
          <w:p w14:paraId="759EB6B2">
            <w:pPr>
              <w:pStyle w:val="7"/>
            </w:pPr>
            <w:r>
              <w:rPr>
                <w:rFonts w:hint="eastAsia"/>
              </w:rPr>
              <w:t xml:space="preserve">上海市静安区新闸路1508号 </w:t>
            </w:r>
          </w:p>
        </w:tc>
      </w:tr>
      <w:tr w14:paraId="370C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BCD13">
            <w:pPr>
              <w:pStyle w:val="7"/>
            </w:pPr>
            <w:r>
              <w:rPr>
                <w:rFonts w:hint="eastAsia"/>
              </w:rPr>
              <w:t xml:space="preserve">办公地址： </w:t>
            </w:r>
          </w:p>
        </w:tc>
        <w:tc>
          <w:tcPr>
            <w:tcW w:w="7440" w:type="dxa"/>
            <w:shd w:val="clear" w:color="auto" w:fill="auto"/>
          </w:tcPr>
          <w:p w14:paraId="2E503F91">
            <w:pPr>
              <w:pStyle w:val="7"/>
            </w:pPr>
            <w:r>
              <w:rPr>
                <w:rFonts w:hint="eastAsia"/>
              </w:rPr>
              <w:t xml:space="preserve">上海市静安区新闸路1508号 </w:t>
            </w:r>
          </w:p>
        </w:tc>
      </w:tr>
      <w:tr w14:paraId="3B3CC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BA4250">
            <w:pPr>
              <w:pStyle w:val="7"/>
            </w:pPr>
            <w:r>
              <w:rPr>
                <w:rFonts w:hint="eastAsia"/>
              </w:rPr>
              <w:t xml:space="preserve">法定代表人： </w:t>
            </w:r>
          </w:p>
        </w:tc>
        <w:tc>
          <w:tcPr>
            <w:tcW w:w="7440" w:type="dxa"/>
            <w:shd w:val="clear" w:color="auto" w:fill="auto"/>
          </w:tcPr>
          <w:p w14:paraId="27534820">
            <w:pPr>
              <w:pStyle w:val="7"/>
            </w:pPr>
            <w:r>
              <w:rPr>
                <w:rFonts w:hint="eastAsia"/>
              </w:rPr>
              <w:t xml:space="preserve">刘秋明 </w:t>
            </w:r>
          </w:p>
        </w:tc>
      </w:tr>
      <w:tr w14:paraId="3DB99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6D61D6">
            <w:pPr>
              <w:pStyle w:val="7"/>
            </w:pPr>
            <w:r>
              <w:rPr>
                <w:rFonts w:hint="eastAsia"/>
              </w:rPr>
              <w:t xml:space="preserve">联系人： </w:t>
            </w:r>
          </w:p>
        </w:tc>
        <w:tc>
          <w:tcPr>
            <w:tcW w:w="7440" w:type="dxa"/>
            <w:shd w:val="clear" w:color="auto" w:fill="auto"/>
          </w:tcPr>
          <w:p w14:paraId="1CC94B38">
            <w:pPr>
              <w:pStyle w:val="7"/>
            </w:pPr>
            <w:r>
              <w:rPr>
                <w:rFonts w:hint="eastAsia"/>
              </w:rPr>
              <w:t xml:space="preserve">李芳芳 </w:t>
            </w:r>
          </w:p>
        </w:tc>
      </w:tr>
      <w:tr w14:paraId="32CB1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DE5C9">
            <w:pPr>
              <w:pStyle w:val="7"/>
            </w:pPr>
            <w:r>
              <w:rPr>
                <w:rFonts w:hint="eastAsia"/>
              </w:rPr>
              <w:t xml:space="preserve">电话： </w:t>
            </w:r>
          </w:p>
        </w:tc>
        <w:tc>
          <w:tcPr>
            <w:tcW w:w="7440" w:type="dxa"/>
            <w:shd w:val="clear" w:color="auto" w:fill="auto"/>
          </w:tcPr>
          <w:p w14:paraId="07D3EA2A">
            <w:pPr>
              <w:pStyle w:val="7"/>
            </w:pPr>
            <w:r>
              <w:rPr>
                <w:rFonts w:hint="eastAsia"/>
              </w:rPr>
              <w:t xml:space="preserve">021-22169089 </w:t>
            </w:r>
          </w:p>
        </w:tc>
      </w:tr>
      <w:tr w14:paraId="5A0BD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8C4C6">
            <w:pPr>
              <w:pStyle w:val="7"/>
            </w:pPr>
            <w:r>
              <w:rPr>
                <w:rFonts w:hint="eastAsia"/>
              </w:rPr>
              <w:t xml:space="preserve">传真： </w:t>
            </w:r>
          </w:p>
        </w:tc>
        <w:tc>
          <w:tcPr>
            <w:tcW w:w="7440" w:type="dxa"/>
            <w:shd w:val="clear" w:color="auto" w:fill="auto"/>
          </w:tcPr>
          <w:p w14:paraId="660D31AA">
            <w:pPr>
              <w:pStyle w:val="7"/>
            </w:pPr>
            <w:r>
              <w:rPr>
                <w:rFonts w:hint="eastAsia"/>
              </w:rPr>
              <w:t xml:space="preserve">021－22169134 </w:t>
            </w:r>
          </w:p>
        </w:tc>
      </w:tr>
      <w:tr w14:paraId="1862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B3984">
            <w:pPr>
              <w:pStyle w:val="7"/>
            </w:pPr>
            <w:r>
              <w:rPr>
                <w:rFonts w:hint="eastAsia"/>
              </w:rPr>
              <w:t xml:space="preserve">客户服务电话： </w:t>
            </w:r>
          </w:p>
        </w:tc>
        <w:tc>
          <w:tcPr>
            <w:tcW w:w="7440" w:type="dxa"/>
            <w:shd w:val="clear" w:color="auto" w:fill="auto"/>
          </w:tcPr>
          <w:p w14:paraId="17D5DC1F">
            <w:pPr>
              <w:pStyle w:val="7"/>
            </w:pPr>
            <w:r>
              <w:rPr>
                <w:rFonts w:hint="eastAsia"/>
              </w:rPr>
              <w:t xml:space="preserve">4008888788；95525 </w:t>
            </w:r>
          </w:p>
        </w:tc>
      </w:tr>
      <w:tr w14:paraId="14B17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CD253">
            <w:pPr>
              <w:pStyle w:val="7"/>
            </w:pPr>
            <w:r>
              <w:rPr>
                <w:rFonts w:hint="eastAsia"/>
              </w:rPr>
              <w:t xml:space="preserve">网址： </w:t>
            </w:r>
          </w:p>
        </w:tc>
        <w:tc>
          <w:tcPr>
            <w:tcW w:w="7440" w:type="dxa"/>
            <w:shd w:val="clear" w:color="auto" w:fill="auto"/>
          </w:tcPr>
          <w:p w14:paraId="11C39211">
            <w:pPr>
              <w:pStyle w:val="7"/>
            </w:pPr>
            <w:r>
              <w:rPr>
                <w:rFonts w:hint="eastAsia"/>
              </w:rPr>
              <w:t xml:space="preserve">http://www.ebscn.com/ </w:t>
            </w:r>
          </w:p>
        </w:tc>
      </w:tr>
    </w:tbl>
    <w:p w14:paraId="0D7F1617">
      <w:pPr>
        <w:pStyle w:val="7"/>
        <w:spacing w:before="0" w:beforeAutospacing="0" w:after="0" w:afterAutospacing="0" w:line="360" w:lineRule="auto"/>
        <w:ind w:firstLine="420"/>
        <w:rPr>
          <w:sz w:val="21"/>
          <w:szCs w:val="21"/>
        </w:rPr>
      </w:pPr>
      <w:r>
        <w:rPr>
          <w:rFonts w:hint="eastAsia"/>
          <w:b/>
          <w:bCs/>
          <w:sz w:val="21"/>
          <w:szCs w:val="21"/>
        </w:rPr>
        <w:t>(20)中信证券华南股份有限公司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3924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4EA6540">
            <w:pPr>
              <w:pStyle w:val="7"/>
            </w:pPr>
            <w:r>
              <w:rPr>
                <w:rFonts w:hint="eastAsia"/>
              </w:rPr>
              <w:t xml:space="preserve">注册地址： </w:t>
            </w:r>
          </w:p>
        </w:tc>
        <w:tc>
          <w:tcPr>
            <w:tcW w:w="7440" w:type="dxa"/>
            <w:shd w:val="clear" w:color="auto" w:fill="auto"/>
          </w:tcPr>
          <w:p w14:paraId="19528896">
            <w:pPr>
              <w:pStyle w:val="7"/>
            </w:pPr>
            <w:r>
              <w:rPr>
                <w:rFonts w:hint="eastAsia"/>
              </w:rPr>
              <w:t xml:space="preserve">广州市天河区珠江西路5号广州国际金融中心主塔19层、20层 </w:t>
            </w:r>
          </w:p>
        </w:tc>
      </w:tr>
      <w:tr w14:paraId="01959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98B0C">
            <w:pPr>
              <w:pStyle w:val="7"/>
            </w:pPr>
            <w:r>
              <w:rPr>
                <w:rFonts w:hint="eastAsia"/>
              </w:rPr>
              <w:t xml:space="preserve">办公地址： </w:t>
            </w:r>
          </w:p>
        </w:tc>
        <w:tc>
          <w:tcPr>
            <w:tcW w:w="7440" w:type="dxa"/>
            <w:shd w:val="clear" w:color="auto" w:fill="auto"/>
          </w:tcPr>
          <w:p w14:paraId="2B35D451">
            <w:pPr>
              <w:pStyle w:val="7"/>
            </w:pPr>
            <w:r>
              <w:rPr>
                <w:rFonts w:hint="eastAsia"/>
              </w:rPr>
              <w:t xml:space="preserve">广州市天河区珠江西路5号广州国际金融中心主塔19层、20层 </w:t>
            </w:r>
          </w:p>
        </w:tc>
      </w:tr>
      <w:tr w14:paraId="13B3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E7119">
            <w:pPr>
              <w:pStyle w:val="7"/>
            </w:pPr>
            <w:r>
              <w:rPr>
                <w:rFonts w:hint="eastAsia"/>
              </w:rPr>
              <w:t xml:space="preserve">法定代表人： </w:t>
            </w:r>
          </w:p>
        </w:tc>
        <w:tc>
          <w:tcPr>
            <w:tcW w:w="7440" w:type="dxa"/>
            <w:shd w:val="clear" w:color="auto" w:fill="auto"/>
          </w:tcPr>
          <w:p w14:paraId="11ADD584">
            <w:pPr>
              <w:pStyle w:val="7"/>
            </w:pPr>
            <w:r>
              <w:rPr>
                <w:rFonts w:hint="eastAsia"/>
              </w:rPr>
              <w:t xml:space="preserve">陈可可 </w:t>
            </w:r>
          </w:p>
        </w:tc>
      </w:tr>
      <w:tr w14:paraId="7FDD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2B25E">
            <w:pPr>
              <w:pStyle w:val="7"/>
            </w:pPr>
            <w:r>
              <w:rPr>
                <w:rFonts w:hint="eastAsia"/>
              </w:rPr>
              <w:t xml:space="preserve">联系人： </w:t>
            </w:r>
          </w:p>
        </w:tc>
        <w:tc>
          <w:tcPr>
            <w:tcW w:w="7440" w:type="dxa"/>
            <w:shd w:val="clear" w:color="auto" w:fill="auto"/>
          </w:tcPr>
          <w:p w14:paraId="680A8ABA">
            <w:pPr>
              <w:pStyle w:val="7"/>
            </w:pPr>
            <w:r>
              <w:rPr>
                <w:rFonts w:hint="eastAsia"/>
              </w:rPr>
              <w:t xml:space="preserve">郭杏燕 </w:t>
            </w:r>
          </w:p>
        </w:tc>
      </w:tr>
      <w:tr w14:paraId="60E88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D068610">
            <w:pPr>
              <w:pStyle w:val="7"/>
            </w:pPr>
            <w:r>
              <w:rPr>
                <w:rFonts w:hint="eastAsia"/>
              </w:rPr>
              <w:t xml:space="preserve">电话： </w:t>
            </w:r>
          </w:p>
        </w:tc>
        <w:tc>
          <w:tcPr>
            <w:tcW w:w="7440" w:type="dxa"/>
            <w:shd w:val="clear" w:color="auto" w:fill="auto"/>
          </w:tcPr>
          <w:p w14:paraId="3DEF60E4">
            <w:pPr>
              <w:pStyle w:val="7"/>
            </w:pPr>
            <w:r>
              <w:rPr>
                <w:rFonts w:hint="eastAsia"/>
              </w:rPr>
              <w:t xml:space="preserve">020-88836999 </w:t>
            </w:r>
          </w:p>
        </w:tc>
      </w:tr>
      <w:tr w14:paraId="1DA6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46002">
            <w:pPr>
              <w:pStyle w:val="7"/>
            </w:pPr>
            <w:r>
              <w:rPr>
                <w:rFonts w:hint="eastAsia"/>
              </w:rPr>
              <w:t xml:space="preserve">传真： </w:t>
            </w:r>
          </w:p>
        </w:tc>
        <w:tc>
          <w:tcPr>
            <w:tcW w:w="7440" w:type="dxa"/>
            <w:shd w:val="clear" w:color="auto" w:fill="auto"/>
          </w:tcPr>
          <w:p w14:paraId="076AC9A6">
            <w:pPr>
              <w:pStyle w:val="7"/>
            </w:pPr>
            <w:r>
              <w:rPr>
                <w:rFonts w:hint="eastAsia"/>
              </w:rPr>
              <w:t xml:space="preserve">020-88836984 </w:t>
            </w:r>
          </w:p>
        </w:tc>
      </w:tr>
      <w:tr w14:paraId="5784B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6B90A">
            <w:pPr>
              <w:pStyle w:val="7"/>
            </w:pPr>
            <w:r>
              <w:rPr>
                <w:rFonts w:hint="eastAsia"/>
              </w:rPr>
              <w:t xml:space="preserve">客户服务电话： </w:t>
            </w:r>
          </w:p>
        </w:tc>
        <w:tc>
          <w:tcPr>
            <w:tcW w:w="7440" w:type="dxa"/>
            <w:shd w:val="clear" w:color="auto" w:fill="auto"/>
          </w:tcPr>
          <w:p w14:paraId="674A3C85">
            <w:pPr>
              <w:pStyle w:val="7"/>
            </w:pPr>
            <w:r>
              <w:rPr>
                <w:rFonts w:hint="eastAsia"/>
              </w:rPr>
              <w:t xml:space="preserve">95548 </w:t>
            </w:r>
          </w:p>
        </w:tc>
      </w:tr>
      <w:tr w14:paraId="001C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7210A">
            <w:pPr>
              <w:pStyle w:val="7"/>
            </w:pPr>
            <w:r>
              <w:rPr>
                <w:rFonts w:hint="eastAsia"/>
              </w:rPr>
              <w:t xml:space="preserve">网址： </w:t>
            </w:r>
          </w:p>
        </w:tc>
        <w:tc>
          <w:tcPr>
            <w:tcW w:w="7440" w:type="dxa"/>
            <w:shd w:val="clear" w:color="auto" w:fill="auto"/>
          </w:tcPr>
          <w:p w14:paraId="73AC6E61">
            <w:pPr>
              <w:pStyle w:val="7"/>
            </w:pPr>
            <w:r>
              <w:rPr>
                <w:rFonts w:hint="eastAsia"/>
              </w:rPr>
              <w:t xml:space="preserve">http://www.gzs.com.cn </w:t>
            </w:r>
          </w:p>
        </w:tc>
      </w:tr>
    </w:tbl>
    <w:p w14:paraId="59F6ABF5">
      <w:pPr>
        <w:pStyle w:val="7"/>
        <w:spacing w:before="0" w:beforeAutospacing="0" w:after="0" w:afterAutospacing="0" w:line="360" w:lineRule="auto"/>
        <w:ind w:firstLine="420"/>
        <w:rPr>
          <w:sz w:val="21"/>
          <w:szCs w:val="21"/>
        </w:rPr>
      </w:pPr>
      <w:r>
        <w:rPr>
          <w:rFonts w:hint="eastAsia"/>
          <w:b/>
          <w:bCs/>
          <w:sz w:val="21"/>
          <w:szCs w:val="21"/>
        </w:rPr>
        <w:t>(21)东北证券股份有限公司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41AF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7E8B1">
            <w:pPr>
              <w:pStyle w:val="7"/>
            </w:pPr>
            <w:r>
              <w:rPr>
                <w:rFonts w:hint="eastAsia"/>
              </w:rPr>
              <w:t xml:space="preserve">注册地址： </w:t>
            </w:r>
          </w:p>
        </w:tc>
        <w:tc>
          <w:tcPr>
            <w:tcW w:w="7440" w:type="dxa"/>
            <w:shd w:val="clear" w:color="auto" w:fill="auto"/>
          </w:tcPr>
          <w:p w14:paraId="789DE091">
            <w:pPr>
              <w:pStyle w:val="7"/>
            </w:pPr>
            <w:r>
              <w:rPr>
                <w:rFonts w:hint="eastAsia"/>
              </w:rPr>
              <w:t xml:space="preserve">长春市生态大街6666号 </w:t>
            </w:r>
          </w:p>
        </w:tc>
      </w:tr>
      <w:tr w14:paraId="33F9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C1D2C0">
            <w:pPr>
              <w:pStyle w:val="7"/>
            </w:pPr>
            <w:r>
              <w:rPr>
                <w:rFonts w:hint="eastAsia"/>
              </w:rPr>
              <w:t xml:space="preserve">办公地址： </w:t>
            </w:r>
          </w:p>
        </w:tc>
        <w:tc>
          <w:tcPr>
            <w:tcW w:w="7440" w:type="dxa"/>
            <w:shd w:val="clear" w:color="auto" w:fill="auto"/>
          </w:tcPr>
          <w:p w14:paraId="042A8516">
            <w:pPr>
              <w:pStyle w:val="7"/>
            </w:pPr>
            <w:r>
              <w:rPr>
                <w:rFonts w:hint="eastAsia"/>
              </w:rPr>
              <w:t xml:space="preserve">长春市生态大街6666号 </w:t>
            </w:r>
          </w:p>
        </w:tc>
      </w:tr>
      <w:tr w14:paraId="2BDA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BE78E">
            <w:pPr>
              <w:pStyle w:val="7"/>
            </w:pPr>
            <w:r>
              <w:rPr>
                <w:rFonts w:hint="eastAsia"/>
              </w:rPr>
              <w:t xml:space="preserve">法定代表人： </w:t>
            </w:r>
          </w:p>
        </w:tc>
        <w:tc>
          <w:tcPr>
            <w:tcW w:w="7440" w:type="dxa"/>
            <w:shd w:val="clear" w:color="auto" w:fill="auto"/>
          </w:tcPr>
          <w:p w14:paraId="57C54A39">
            <w:pPr>
              <w:pStyle w:val="7"/>
            </w:pPr>
            <w:r>
              <w:rPr>
                <w:rFonts w:hint="eastAsia"/>
              </w:rPr>
              <w:t xml:space="preserve">李福春 </w:t>
            </w:r>
          </w:p>
        </w:tc>
      </w:tr>
      <w:tr w14:paraId="3903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EDDE6">
            <w:pPr>
              <w:pStyle w:val="7"/>
            </w:pPr>
            <w:r>
              <w:rPr>
                <w:rFonts w:hint="eastAsia"/>
              </w:rPr>
              <w:t xml:space="preserve">联系人： </w:t>
            </w:r>
          </w:p>
        </w:tc>
        <w:tc>
          <w:tcPr>
            <w:tcW w:w="7440" w:type="dxa"/>
            <w:shd w:val="clear" w:color="auto" w:fill="auto"/>
          </w:tcPr>
          <w:p w14:paraId="0BB0CADF">
            <w:pPr>
              <w:pStyle w:val="7"/>
            </w:pPr>
            <w:r>
              <w:rPr>
                <w:rFonts w:hint="eastAsia"/>
              </w:rPr>
              <w:t xml:space="preserve">安岩岩 </w:t>
            </w:r>
          </w:p>
        </w:tc>
      </w:tr>
      <w:tr w14:paraId="5FD9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2A909">
            <w:pPr>
              <w:pStyle w:val="7"/>
            </w:pPr>
            <w:r>
              <w:rPr>
                <w:rFonts w:hint="eastAsia"/>
              </w:rPr>
              <w:t xml:space="preserve">电话： </w:t>
            </w:r>
          </w:p>
        </w:tc>
        <w:tc>
          <w:tcPr>
            <w:tcW w:w="7440" w:type="dxa"/>
            <w:shd w:val="clear" w:color="auto" w:fill="auto"/>
          </w:tcPr>
          <w:p w14:paraId="6954B60A">
            <w:pPr>
              <w:pStyle w:val="7"/>
            </w:pPr>
            <w:r>
              <w:rPr>
                <w:rFonts w:hint="eastAsia"/>
              </w:rPr>
              <w:t xml:space="preserve">0431-85096517 </w:t>
            </w:r>
          </w:p>
        </w:tc>
      </w:tr>
      <w:tr w14:paraId="5F54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9F048D">
            <w:pPr>
              <w:pStyle w:val="7"/>
            </w:pPr>
            <w:r>
              <w:rPr>
                <w:rFonts w:hint="eastAsia"/>
              </w:rPr>
              <w:t xml:space="preserve">传真： </w:t>
            </w:r>
          </w:p>
        </w:tc>
        <w:tc>
          <w:tcPr>
            <w:tcW w:w="7440" w:type="dxa"/>
            <w:shd w:val="clear" w:color="auto" w:fill="auto"/>
          </w:tcPr>
          <w:p w14:paraId="6A949267">
            <w:pPr>
              <w:pStyle w:val="7"/>
            </w:pPr>
            <w:r>
              <w:rPr>
                <w:rFonts w:hint="eastAsia"/>
              </w:rPr>
              <w:t xml:space="preserve">0431-85096795 </w:t>
            </w:r>
          </w:p>
        </w:tc>
      </w:tr>
      <w:tr w14:paraId="5364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25EDC7">
            <w:pPr>
              <w:pStyle w:val="7"/>
            </w:pPr>
            <w:r>
              <w:rPr>
                <w:rFonts w:hint="eastAsia"/>
              </w:rPr>
              <w:t xml:space="preserve">客户服务电话： </w:t>
            </w:r>
          </w:p>
        </w:tc>
        <w:tc>
          <w:tcPr>
            <w:tcW w:w="7440" w:type="dxa"/>
            <w:shd w:val="clear" w:color="auto" w:fill="auto"/>
          </w:tcPr>
          <w:p w14:paraId="17D3688E">
            <w:pPr>
              <w:pStyle w:val="7"/>
            </w:pPr>
            <w:r>
              <w:rPr>
                <w:rFonts w:hint="eastAsia"/>
              </w:rPr>
              <w:t xml:space="preserve">95360 </w:t>
            </w:r>
          </w:p>
        </w:tc>
      </w:tr>
      <w:tr w14:paraId="7424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1DB9D">
            <w:pPr>
              <w:pStyle w:val="7"/>
            </w:pPr>
            <w:r>
              <w:rPr>
                <w:rFonts w:hint="eastAsia"/>
              </w:rPr>
              <w:t xml:space="preserve">网址： </w:t>
            </w:r>
          </w:p>
        </w:tc>
        <w:tc>
          <w:tcPr>
            <w:tcW w:w="7440" w:type="dxa"/>
            <w:shd w:val="clear" w:color="auto" w:fill="auto"/>
          </w:tcPr>
          <w:p w14:paraId="2057DD11">
            <w:pPr>
              <w:pStyle w:val="7"/>
            </w:pPr>
            <w:r>
              <w:rPr>
                <w:rFonts w:hint="eastAsia"/>
              </w:rPr>
              <w:t xml:space="preserve">http://www.nesc.cn </w:t>
            </w:r>
          </w:p>
        </w:tc>
      </w:tr>
    </w:tbl>
    <w:p w14:paraId="7CBD372D">
      <w:pPr>
        <w:pStyle w:val="7"/>
        <w:spacing w:before="0" w:beforeAutospacing="0" w:after="0" w:afterAutospacing="0" w:line="360" w:lineRule="auto"/>
        <w:ind w:firstLine="420"/>
        <w:rPr>
          <w:sz w:val="21"/>
          <w:szCs w:val="21"/>
        </w:rPr>
      </w:pPr>
      <w:r>
        <w:rPr>
          <w:rFonts w:hint="eastAsia"/>
          <w:b/>
          <w:bCs/>
          <w:sz w:val="21"/>
          <w:szCs w:val="21"/>
        </w:rPr>
        <w:t>(22)浙商证券股份有限公司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2EE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F2CCC">
            <w:pPr>
              <w:pStyle w:val="7"/>
            </w:pPr>
            <w:r>
              <w:rPr>
                <w:rFonts w:hint="eastAsia"/>
              </w:rPr>
              <w:t xml:space="preserve">注册地址： </w:t>
            </w:r>
          </w:p>
        </w:tc>
        <w:tc>
          <w:tcPr>
            <w:tcW w:w="7440" w:type="dxa"/>
            <w:shd w:val="clear" w:color="auto" w:fill="auto"/>
          </w:tcPr>
          <w:p w14:paraId="5B66863C">
            <w:pPr>
              <w:pStyle w:val="7"/>
            </w:pPr>
            <w:r>
              <w:rPr>
                <w:rFonts w:hint="eastAsia"/>
              </w:rPr>
              <w:t xml:space="preserve">浙江省杭州市江干区五星路201号 </w:t>
            </w:r>
          </w:p>
        </w:tc>
      </w:tr>
      <w:tr w14:paraId="6B09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A3F458">
            <w:pPr>
              <w:pStyle w:val="7"/>
            </w:pPr>
            <w:r>
              <w:rPr>
                <w:rFonts w:hint="eastAsia"/>
              </w:rPr>
              <w:t xml:space="preserve">办公地址： </w:t>
            </w:r>
          </w:p>
        </w:tc>
        <w:tc>
          <w:tcPr>
            <w:tcW w:w="7440" w:type="dxa"/>
            <w:shd w:val="clear" w:color="auto" w:fill="auto"/>
          </w:tcPr>
          <w:p w14:paraId="44D6DA99">
            <w:pPr>
              <w:pStyle w:val="7"/>
            </w:pPr>
            <w:r>
              <w:rPr>
                <w:rFonts w:hint="eastAsia"/>
              </w:rPr>
              <w:t xml:space="preserve">浙江省杭州市江干区四季青街道五星路201号浙商证券5楼 </w:t>
            </w:r>
          </w:p>
        </w:tc>
      </w:tr>
      <w:tr w14:paraId="45A87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3B239">
            <w:pPr>
              <w:pStyle w:val="7"/>
            </w:pPr>
            <w:r>
              <w:rPr>
                <w:rFonts w:hint="eastAsia"/>
              </w:rPr>
              <w:t xml:space="preserve">法定代表人： </w:t>
            </w:r>
          </w:p>
        </w:tc>
        <w:tc>
          <w:tcPr>
            <w:tcW w:w="7440" w:type="dxa"/>
            <w:shd w:val="clear" w:color="auto" w:fill="auto"/>
          </w:tcPr>
          <w:p w14:paraId="4A502819">
            <w:pPr>
              <w:pStyle w:val="7"/>
            </w:pPr>
            <w:r>
              <w:rPr>
                <w:rFonts w:hint="eastAsia"/>
              </w:rPr>
              <w:t xml:space="preserve">吴承根 </w:t>
            </w:r>
          </w:p>
        </w:tc>
      </w:tr>
      <w:tr w14:paraId="7DBF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E7629">
            <w:pPr>
              <w:pStyle w:val="7"/>
            </w:pPr>
            <w:r>
              <w:rPr>
                <w:rFonts w:hint="eastAsia"/>
              </w:rPr>
              <w:t xml:space="preserve">联系人： </w:t>
            </w:r>
          </w:p>
        </w:tc>
        <w:tc>
          <w:tcPr>
            <w:tcW w:w="7440" w:type="dxa"/>
            <w:shd w:val="clear" w:color="auto" w:fill="auto"/>
          </w:tcPr>
          <w:p w14:paraId="336040B9">
            <w:pPr>
              <w:pStyle w:val="7"/>
            </w:pPr>
            <w:r>
              <w:rPr>
                <w:rFonts w:hint="eastAsia"/>
              </w:rPr>
              <w:t xml:space="preserve">沈高亮 </w:t>
            </w:r>
          </w:p>
        </w:tc>
      </w:tr>
      <w:tr w14:paraId="564BE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1658E8">
            <w:pPr>
              <w:pStyle w:val="7"/>
            </w:pPr>
            <w:r>
              <w:rPr>
                <w:rFonts w:hint="eastAsia"/>
              </w:rPr>
              <w:t xml:space="preserve">电话： </w:t>
            </w:r>
          </w:p>
        </w:tc>
        <w:tc>
          <w:tcPr>
            <w:tcW w:w="7440" w:type="dxa"/>
            <w:shd w:val="clear" w:color="auto" w:fill="auto"/>
          </w:tcPr>
          <w:p w14:paraId="1BC4AC62">
            <w:pPr>
              <w:pStyle w:val="7"/>
            </w:pPr>
            <w:r>
              <w:rPr>
                <w:rFonts w:hint="eastAsia"/>
              </w:rPr>
              <w:t xml:space="preserve">0571-87902239 </w:t>
            </w:r>
          </w:p>
        </w:tc>
      </w:tr>
      <w:tr w14:paraId="284D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659C42">
            <w:pPr>
              <w:pStyle w:val="7"/>
            </w:pPr>
            <w:r>
              <w:rPr>
                <w:rFonts w:hint="eastAsia"/>
              </w:rPr>
              <w:t xml:space="preserve">传真： </w:t>
            </w:r>
          </w:p>
        </w:tc>
        <w:tc>
          <w:tcPr>
            <w:tcW w:w="7440" w:type="dxa"/>
            <w:shd w:val="clear" w:color="auto" w:fill="auto"/>
          </w:tcPr>
          <w:p w14:paraId="200E23F0">
            <w:pPr>
              <w:pStyle w:val="7"/>
            </w:pPr>
            <w:r>
              <w:rPr>
                <w:rFonts w:hint="eastAsia"/>
              </w:rPr>
              <w:t xml:space="preserve">0571－87901913 </w:t>
            </w:r>
          </w:p>
        </w:tc>
      </w:tr>
      <w:tr w14:paraId="55BE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B3DD1E">
            <w:pPr>
              <w:pStyle w:val="7"/>
            </w:pPr>
            <w:r>
              <w:rPr>
                <w:rFonts w:hint="eastAsia"/>
              </w:rPr>
              <w:t xml:space="preserve">客户服务电话： </w:t>
            </w:r>
          </w:p>
        </w:tc>
        <w:tc>
          <w:tcPr>
            <w:tcW w:w="7440" w:type="dxa"/>
            <w:shd w:val="clear" w:color="auto" w:fill="auto"/>
          </w:tcPr>
          <w:p w14:paraId="2A881F42">
            <w:pPr>
              <w:pStyle w:val="7"/>
            </w:pPr>
            <w:r>
              <w:rPr>
                <w:rFonts w:hint="eastAsia"/>
              </w:rPr>
              <w:t xml:space="preserve">95345 </w:t>
            </w:r>
          </w:p>
        </w:tc>
      </w:tr>
      <w:tr w14:paraId="42F94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F0238">
            <w:pPr>
              <w:pStyle w:val="7"/>
            </w:pPr>
            <w:r>
              <w:rPr>
                <w:rFonts w:hint="eastAsia"/>
              </w:rPr>
              <w:t xml:space="preserve">网址： </w:t>
            </w:r>
          </w:p>
        </w:tc>
        <w:tc>
          <w:tcPr>
            <w:tcW w:w="7440" w:type="dxa"/>
            <w:shd w:val="clear" w:color="auto" w:fill="auto"/>
          </w:tcPr>
          <w:p w14:paraId="1EA04B4E">
            <w:pPr>
              <w:pStyle w:val="7"/>
            </w:pPr>
            <w:r>
              <w:rPr>
                <w:rFonts w:hint="eastAsia"/>
              </w:rPr>
              <w:t xml:space="preserve">http://www.stocke.com.cn/ </w:t>
            </w:r>
          </w:p>
        </w:tc>
      </w:tr>
    </w:tbl>
    <w:p w14:paraId="22432CD1">
      <w:pPr>
        <w:pStyle w:val="7"/>
        <w:spacing w:before="0" w:beforeAutospacing="0" w:after="0" w:afterAutospacing="0" w:line="360" w:lineRule="auto"/>
        <w:ind w:firstLine="420"/>
        <w:rPr>
          <w:sz w:val="21"/>
          <w:szCs w:val="21"/>
        </w:rPr>
      </w:pPr>
      <w:r>
        <w:rPr>
          <w:rFonts w:hint="eastAsia"/>
          <w:b/>
          <w:bCs/>
          <w:sz w:val="21"/>
          <w:szCs w:val="21"/>
        </w:rPr>
        <w:t>(23)平安证券股份有限公司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59C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79875">
            <w:pPr>
              <w:pStyle w:val="7"/>
            </w:pPr>
            <w:r>
              <w:rPr>
                <w:rFonts w:hint="eastAsia"/>
              </w:rPr>
              <w:t xml:space="preserve">注册地址： </w:t>
            </w:r>
          </w:p>
        </w:tc>
        <w:tc>
          <w:tcPr>
            <w:tcW w:w="7440" w:type="dxa"/>
            <w:shd w:val="clear" w:color="auto" w:fill="auto"/>
          </w:tcPr>
          <w:p w14:paraId="1CD60236">
            <w:pPr>
              <w:pStyle w:val="7"/>
            </w:pPr>
            <w:r>
              <w:rPr>
                <w:rFonts w:hint="eastAsia"/>
              </w:rPr>
              <w:t xml:space="preserve">深圳市福田区福田街道益田路5023号平安金融中心B座第22-25层 </w:t>
            </w:r>
          </w:p>
        </w:tc>
      </w:tr>
      <w:tr w14:paraId="5C45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F491A">
            <w:pPr>
              <w:pStyle w:val="7"/>
            </w:pPr>
            <w:r>
              <w:rPr>
                <w:rFonts w:hint="eastAsia"/>
              </w:rPr>
              <w:t xml:space="preserve">办公地址： </w:t>
            </w:r>
          </w:p>
        </w:tc>
        <w:tc>
          <w:tcPr>
            <w:tcW w:w="7440" w:type="dxa"/>
            <w:shd w:val="clear" w:color="auto" w:fill="auto"/>
          </w:tcPr>
          <w:p w14:paraId="6E1CD756">
            <w:pPr>
              <w:pStyle w:val="7"/>
            </w:pPr>
            <w:r>
              <w:rPr>
                <w:rFonts w:hint="eastAsia"/>
              </w:rPr>
              <w:t xml:space="preserve">深圳市福田区福田街道益田路5023号平安金融中心B座第22-25层 </w:t>
            </w:r>
          </w:p>
        </w:tc>
      </w:tr>
      <w:tr w14:paraId="2D96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EEDE7">
            <w:pPr>
              <w:pStyle w:val="7"/>
            </w:pPr>
            <w:r>
              <w:rPr>
                <w:rFonts w:hint="eastAsia"/>
              </w:rPr>
              <w:t xml:space="preserve">法定代表人： </w:t>
            </w:r>
          </w:p>
        </w:tc>
        <w:tc>
          <w:tcPr>
            <w:tcW w:w="7440" w:type="dxa"/>
            <w:shd w:val="clear" w:color="auto" w:fill="auto"/>
          </w:tcPr>
          <w:p w14:paraId="6B04C28E">
            <w:pPr>
              <w:pStyle w:val="7"/>
            </w:pPr>
            <w:r>
              <w:rPr>
                <w:rFonts w:hint="eastAsia"/>
              </w:rPr>
              <w:t xml:space="preserve">何之江 </w:t>
            </w:r>
          </w:p>
        </w:tc>
      </w:tr>
      <w:tr w14:paraId="1FBA7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D01BC">
            <w:pPr>
              <w:pStyle w:val="7"/>
            </w:pPr>
            <w:r>
              <w:rPr>
                <w:rFonts w:hint="eastAsia"/>
              </w:rPr>
              <w:t xml:space="preserve">联系人： </w:t>
            </w:r>
          </w:p>
        </w:tc>
        <w:tc>
          <w:tcPr>
            <w:tcW w:w="7440" w:type="dxa"/>
            <w:shd w:val="clear" w:color="auto" w:fill="auto"/>
          </w:tcPr>
          <w:p w14:paraId="7B82FA36">
            <w:pPr>
              <w:pStyle w:val="7"/>
            </w:pPr>
            <w:r>
              <w:rPr>
                <w:rFonts w:hint="eastAsia"/>
              </w:rPr>
              <w:t xml:space="preserve">王阳 </w:t>
            </w:r>
          </w:p>
        </w:tc>
      </w:tr>
      <w:tr w14:paraId="01F64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51C703">
            <w:pPr>
              <w:pStyle w:val="7"/>
            </w:pPr>
            <w:r>
              <w:rPr>
                <w:rFonts w:hint="eastAsia"/>
              </w:rPr>
              <w:t xml:space="preserve">电话： </w:t>
            </w:r>
          </w:p>
        </w:tc>
        <w:tc>
          <w:tcPr>
            <w:tcW w:w="7440" w:type="dxa"/>
            <w:shd w:val="clear" w:color="auto" w:fill="auto"/>
          </w:tcPr>
          <w:p w14:paraId="4CD4BDF2">
            <w:pPr>
              <w:pStyle w:val="7"/>
            </w:pPr>
            <w:r>
              <w:rPr>
                <w:rFonts w:hint="eastAsia"/>
              </w:rPr>
              <w:t xml:space="preserve">021-38632136 </w:t>
            </w:r>
          </w:p>
        </w:tc>
      </w:tr>
      <w:tr w14:paraId="7F16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00B7C">
            <w:pPr>
              <w:pStyle w:val="7"/>
            </w:pPr>
            <w:r>
              <w:rPr>
                <w:rFonts w:hint="eastAsia"/>
              </w:rPr>
              <w:t xml:space="preserve">传真： </w:t>
            </w:r>
          </w:p>
        </w:tc>
        <w:tc>
          <w:tcPr>
            <w:tcW w:w="7440" w:type="dxa"/>
            <w:shd w:val="clear" w:color="auto" w:fill="auto"/>
          </w:tcPr>
          <w:p w14:paraId="058FF49B">
            <w:pPr>
              <w:pStyle w:val="7"/>
            </w:pPr>
            <w:r>
              <w:rPr>
                <w:rFonts w:hint="eastAsia"/>
              </w:rPr>
              <w:t xml:space="preserve">0755－82400862 </w:t>
            </w:r>
          </w:p>
        </w:tc>
      </w:tr>
      <w:tr w14:paraId="4D39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CFC5A7">
            <w:pPr>
              <w:pStyle w:val="7"/>
            </w:pPr>
            <w:r>
              <w:rPr>
                <w:rFonts w:hint="eastAsia"/>
              </w:rPr>
              <w:t xml:space="preserve">客户服务电话： </w:t>
            </w:r>
          </w:p>
        </w:tc>
        <w:tc>
          <w:tcPr>
            <w:tcW w:w="7440" w:type="dxa"/>
            <w:shd w:val="clear" w:color="auto" w:fill="auto"/>
          </w:tcPr>
          <w:p w14:paraId="6183FC78">
            <w:pPr>
              <w:pStyle w:val="7"/>
            </w:pPr>
            <w:r>
              <w:rPr>
                <w:rFonts w:hint="eastAsia"/>
              </w:rPr>
              <w:t xml:space="preserve">0755-22628888/95511-8 </w:t>
            </w:r>
          </w:p>
        </w:tc>
      </w:tr>
      <w:tr w14:paraId="378B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89C108">
            <w:pPr>
              <w:pStyle w:val="7"/>
            </w:pPr>
            <w:r>
              <w:rPr>
                <w:rFonts w:hint="eastAsia"/>
              </w:rPr>
              <w:t xml:space="preserve">网址： </w:t>
            </w:r>
          </w:p>
        </w:tc>
        <w:tc>
          <w:tcPr>
            <w:tcW w:w="7440" w:type="dxa"/>
            <w:shd w:val="clear" w:color="auto" w:fill="auto"/>
          </w:tcPr>
          <w:p w14:paraId="578B23E5">
            <w:pPr>
              <w:pStyle w:val="7"/>
            </w:pPr>
            <w:r>
              <w:rPr>
                <w:rFonts w:hint="eastAsia"/>
              </w:rPr>
              <w:t xml:space="preserve">http:www.stock.pingan.com </w:t>
            </w:r>
          </w:p>
        </w:tc>
      </w:tr>
    </w:tbl>
    <w:p w14:paraId="62B33BA0">
      <w:pPr>
        <w:pStyle w:val="7"/>
        <w:spacing w:before="0" w:beforeAutospacing="0" w:after="0" w:afterAutospacing="0" w:line="360" w:lineRule="auto"/>
        <w:ind w:firstLine="420"/>
        <w:rPr>
          <w:sz w:val="21"/>
          <w:szCs w:val="21"/>
        </w:rPr>
      </w:pPr>
      <w:r>
        <w:rPr>
          <w:rFonts w:hint="eastAsia"/>
          <w:b/>
          <w:bCs/>
          <w:sz w:val="21"/>
          <w:szCs w:val="21"/>
        </w:rPr>
        <w:t>(24)华安证券股份有限公司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3DD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6EDFCA">
            <w:pPr>
              <w:pStyle w:val="7"/>
            </w:pPr>
            <w:r>
              <w:rPr>
                <w:rFonts w:hint="eastAsia"/>
              </w:rPr>
              <w:t xml:space="preserve">注册地址： </w:t>
            </w:r>
          </w:p>
        </w:tc>
        <w:tc>
          <w:tcPr>
            <w:tcW w:w="7440" w:type="dxa"/>
            <w:shd w:val="clear" w:color="auto" w:fill="auto"/>
          </w:tcPr>
          <w:p w14:paraId="41BEDC4B">
            <w:pPr>
              <w:pStyle w:val="7"/>
            </w:pPr>
            <w:r>
              <w:rPr>
                <w:rFonts w:hint="eastAsia"/>
              </w:rPr>
              <w:t xml:space="preserve">安徽省合肥市政务文化新区天鹅湖路198号 </w:t>
            </w:r>
          </w:p>
        </w:tc>
      </w:tr>
      <w:tr w14:paraId="30F34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8D304">
            <w:pPr>
              <w:pStyle w:val="7"/>
            </w:pPr>
            <w:r>
              <w:rPr>
                <w:rFonts w:hint="eastAsia"/>
              </w:rPr>
              <w:t xml:space="preserve">办公地址： </w:t>
            </w:r>
          </w:p>
        </w:tc>
        <w:tc>
          <w:tcPr>
            <w:tcW w:w="7440" w:type="dxa"/>
            <w:shd w:val="clear" w:color="auto" w:fill="auto"/>
          </w:tcPr>
          <w:p w14:paraId="1B323C20">
            <w:pPr>
              <w:pStyle w:val="7"/>
            </w:pPr>
            <w:r>
              <w:rPr>
                <w:rFonts w:hint="eastAsia"/>
              </w:rPr>
              <w:t xml:space="preserve">安徽省合肥市南二环959号财智中心B1座 </w:t>
            </w:r>
          </w:p>
        </w:tc>
      </w:tr>
      <w:tr w14:paraId="42960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68654">
            <w:pPr>
              <w:pStyle w:val="7"/>
            </w:pPr>
            <w:r>
              <w:rPr>
                <w:rFonts w:hint="eastAsia"/>
              </w:rPr>
              <w:t xml:space="preserve">法定代表人： </w:t>
            </w:r>
          </w:p>
        </w:tc>
        <w:tc>
          <w:tcPr>
            <w:tcW w:w="7440" w:type="dxa"/>
            <w:shd w:val="clear" w:color="auto" w:fill="auto"/>
          </w:tcPr>
          <w:p w14:paraId="06A742D1">
            <w:pPr>
              <w:pStyle w:val="7"/>
            </w:pPr>
            <w:r>
              <w:rPr>
                <w:rFonts w:hint="eastAsia"/>
              </w:rPr>
              <w:t xml:space="preserve">章宏韬 </w:t>
            </w:r>
          </w:p>
        </w:tc>
      </w:tr>
      <w:tr w14:paraId="402B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88061">
            <w:pPr>
              <w:pStyle w:val="7"/>
            </w:pPr>
            <w:r>
              <w:rPr>
                <w:rFonts w:hint="eastAsia"/>
              </w:rPr>
              <w:t xml:space="preserve">联系人： </w:t>
            </w:r>
          </w:p>
        </w:tc>
        <w:tc>
          <w:tcPr>
            <w:tcW w:w="7440" w:type="dxa"/>
            <w:shd w:val="clear" w:color="auto" w:fill="auto"/>
          </w:tcPr>
          <w:p w14:paraId="06A14536">
            <w:pPr>
              <w:pStyle w:val="7"/>
            </w:pPr>
            <w:r>
              <w:rPr>
                <w:rFonts w:hint="eastAsia"/>
              </w:rPr>
              <w:t xml:space="preserve">孙懿 </w:t>
            </w:r>
          </w:p>
        </w:tc>
      </w:tr>
      <w:tr w14:paraId="429BE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E73A2">
            <w:pPr>
              <w:pStyle w:val="7"/>
            </w:pPr>
            <w:r>
              <w:rPr>
                <w:rFonts w:hint="eastAsia"/>
              </w:rPr>
              <w:t xml:space="preserve">电话： </w:t>
            </w:r>
          </w:p>
        </w:tc>
        <w:tc>
          <w:tcPr>
            <w:tcW w:w="7440" w:type="dxa"/>
            <w:shd w:val="clear" w:color="auto" w:fill="auto"/>
          </w:tcPr>
          <w:p w14:paraId="41408129">
            <w:pPr>
              <w:pStyle w:val="7"/>
            </w:pPr>
            <w:r>
              <w:rPr>
                <w:rFonts w:hint="eastAsia"/>
              </w:rPr>
              <w:t xml:space="preserve">0551-65161821 </w:t>
            </w:r>
          </w:p>
        </w:tc>
      </w:tr>
      <w:tr w14:paraId="29981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AC0A4">
            <w:pPr>
              <w:pStyle w:val="7"/>
            </w:pPr>
            <w:r>
              <w:rPr>
                <w:rFonts w:hint="eastAsia"/>
              </w:rPr>
              <w:t xml:space="preserve">传真： </w:t>
            </w:r>
          </w:p>
        </w:tc>
        <w:tc>
          <w:tcPr>
            <w:tcW w:w="7440" w:type="dxa"/>
            <w:shd w:val="clear" w:color="auto" w:fill="auto"/>
          </w:tcPr>
          <w:p w14:paraId="59EB204E">
            <w:pPr>
              <w:pStyle w:val="7"/>
            </w:pPr>
            <w:r>
              <w:rPr>
                <w:rFonts w:hint="eastAsia"/>
              </w:rPr>
              <w:t xml:space="preserve">0551－65161672 </w:t>
            </w:r>
          </w:p>
        </w:tc>
      </w:tr>
      <w:tr w14:paraId="3DD6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32D87">
            <w:pPr>
              <w:pStyle w:val="7"/>
            </w:pPr>
            <w:r>
              <w:rPr>
                <w:rFonts w:hint="eastAsia"/>
              </w:rPr>
              <w:t xml:space="preserve">客户服务电话： </w:t>
            </w:r>
          </w:p>
        </w:tc>
        <w:tc>
          <w:tcPr>
            <w:tcW w:w="7440" w:type="dxa"/>
            <w:shd w:val="clear" w:color="auto" w:fill="auto"/>
          </w:tcPr>
          <w:p w14:paraId="3B713201">
            <w:pPr>
              <w:pStyle w:val="7"/>
            </w:pPr>
            <w:r>
              <w:rPr>
                <w:rFonts w:hint="eastAsia"/>
              </w:rPr>
              <w:t xml:space="preserve">95318 </w:t>
            </w:r>
          </w:p>
        </w:tc>
      </w:tr>
      <w:tr w14:paraId="2909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0EAC8">
            <w:pPr>
              <w:pStyle w:val="7"/>
            </w:pPr>
            <w:r>
              <w:rPr>
                <w:rFonts w:hint="eastAsia"/>
              </w:rPr>
              <w:t xml:space="preserve">网址： </w:t>
            </w:r>
          </w:p>
        </w:tc>
        <w:tc>
          <w:tcPr>
            <w:tcW w:w="7440" w:type="dxa"/>
            <w:shd w:val="clear" w:color="auto" w:fill="auto"/>
          </w:tcPr>
          <w:p w14:paraId="22DDFA6D">
            <w:pPr>
              <w:pStyle w:val="7"/>
            </w:pPr>
            <w:r>
              <w:rPr>
                <w:rFonts w:hint="eastAsia"/>
              </w:rPr>
              <w:t xml:space="preserve">http://www.hazq.com/ </w:t>
            </w:r>
          </w:p>
        </w:tc>
      </w:tr>
    </w:tbl>
    <w:p w14:paraId="41379114">
      <w:pPr>
        <w:pStyle w:val="7"/>
        <w:spacing w:before="0" w:beforeAutospacing="0" w:after="0" w:afterAutospacing="0" w:line="360" w:lineRule="auto"/>
        <w:ind w:firstLine="420"/>
        <w:rPr>
          <w:sz w:val="21"/>
          <w:szCs w:val="21"/>
        </w:rPr>
      </w:pPr>
      <w:r>
        <w:rPr>
          <w:rFonts w:hint="eastAsia"/>
          <w:b/>
          <w:bCs/>
          <w:sz w:val="21"/>
          <w:szCs w:val="21"/>
        </w:rPr>
        <w:t>(25)东莞证券股份有限公司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9B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97307">
            <w:pPr>
              <w:pStyle w:val="7"/>
            </w:pPr>
            <w:r>
              <w:rPr>
                <w:rFonts w:hint="eastAsia"/>
              </w:rPr>
              <w:t xml:space="preserve">注册地址： </w:t>
            </w:r>
          </w:p>
        </w:tc>
        <w:tc>
          <w:tcPr>
            <w:tcW w:w="7440" w:type="dxa"/>
            <w:shd w:val="clear" w:color="auto" w:fill="auto"/>
          </w:tcPr>
          <w:p w14:paraId="174E45F8">
            <w:pPr>
              <w:pStyle w:val="7"/>
            </w:pPr>
            <w:r>
              <w:rPr>
                <w:rFonts w:hint="eastAsia"/>
              </w:rPr>
              <w:t xml:space="preserve">东莞市莞城区可园南路1号金源中心30楼 </w:t>
            </w:r>
          </w:p>
        </w:tc>
      </w:tr>
      <w:tr w14:paraId="61C92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19759">
            <w:pPr>
              <w:pStyle w:val="7"/>
            </w:pPr>
            <w:r>
              <w:rPr>
                <w:rFonts w:hint="eastAsia"/>
              </w:rPr>
              <w:t xml:space="preserve">办公地址： </w:t>
            </w:r>
          </w:p>
        </w:tc>
        <w:tc>
          <w:tcPr>
            <w:tcW w:w="7440" w:type="dxa"/>
            <w:shd w:val="clear" w:color="auto" w:fill="auto"/>
          </w:tcPr>
          <w:p w14:paraId="62C81485">
            <w:pPr>
              <w:pStyle w:val="7"/>
            </w:pPr>
            <w:r>
              <w:rPr>
                <w:rFonts w:hint="eastAsia"/>
              </w:rPr>
              <w:t xml:space="preserve">东莞市莞城区可园南路1号金源中心30楼 </w:t>
            </w:r>
          </w:p>
        </w:tc>
      </w:tr>
      <w:tr w14:paraId="0AD42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EC0F7C">
            <w:pPr>
              <w:pStyle w:val="7"/>
            </w:pPr>
            <w:r>
              <w:rPr>
                <w:rFonts w:hint="eastAsia"/>
              </w:rPr>
              <w:t xml:space="preserve">法定代表人： </w:t>
            </w:r>
          </w:p>
        </w:tc>
        <w:tc>
          <w:tcPr>
            <w:tcW w:w="7440" w:type="dxa"/>
            <w:shd w:val="clear" w:color="auto" w:fill="auto"/>
          </w:tcPr>
          <w:p w14:paraId="1015D1AC">
            <w:pPr>
              <w:pStyle w:val="7"/>
            </w:pPr>
            <w:r>
              <w:rPr>
                <w:rFonts w:hint="eastAsia"/>
              </w:rPr>
              <w:t xml:space="preserve">陈照星 </w:t>
            </w:r>
          </w:p>
        </w:tc>
      </w:tr>
      <w:tr w14:paraId="73243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57DFB">
            <w:pPr>
              <w:pStyle w:val="7"/>
            </w:pPr>
            <w:r>
              <w:rPr>
                <w:rFonts w:hint="eastAsia"/>
              </w:rPr>
              <w:t xml:space="preserve">联系人： </w:t>
            </w:r>
          </w:p>
        </w:tc>
        <w:tc>
          <w:tcPr>
            <w:tcW w:w="7440" w:type="dxa"/>
            <w:shd w:val="clear" w:color="auto" w:fill="auto"/>
          </w:tcPr>
          <w:p w14:paraId="7B6A1F3F">
            <w:pPr>
              <w:pStyle w:val="7"/>
            </w:pPr>
            <w:r>
              <w:rPr>
                <w:rFonts w:hint="eastAsia"/>
              </w:rPr>
              <w:t xml:space="preserve">叶玉琪 </w:t>
            </w:r>
          </w:p>
        </w:tc>
      </w:tr>
      <w:tr w14:paraId="5574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52F48">
            <w:pPr>
              <w:pStyle w:val="7"/>
            </w:pPr>
            <w:r>
              <w:rPr>
                <w:rFonts w:hint="eastAsia"/>
              </w:rPr>
              <w:t xml:space="preserve">电话： </w:t>
            </w:r>
          </w:p>
        </w:tc>
        <w:tc>
          <w:tcPr>
            <w:tcW w:w="7440" w:type="dxa"/>
            <w:shd w:val="clear" w:color="auto" w:fill="auto"/>
          </w:tcPr>
          <w:p w14:paraId="1F4CFB95">
            <w:pPr>
              <w:pStyle w:val="7"/>
            </w:pPr>
            <w:r>
              <w:rPr>
                <w:rFonts w:hint="eastAsia"/>
              </w:rPr>
              <w:t xml:space="preserve">0769-22119351 </w:t>
            </w:r>
          </w:p>
        </w:tc>
      </w:tr>
      <w:tr w14:paraId="3232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5F1AF">
            <w:pPr>
              <w:pStyle w:val="7"/>
            </w:pPr>
            <w:r>
              <w:rPr>
                <w:rFonts w:hint="eastAsia"/>
              </w:rPr>
              <w:t xml:space="preserve">传真： </w:t>
            </w:r>
          </w:p>
        </w:tc>
        <w:tc>
          <w:tcPr>
            <w:tcW w:w="7440" w:type="dxa"/>
            <w:shd w:val="clear" w:color="auto" w:fill="auto"/>
          </w:tcPr>
          <w:p w14:paraId="70F817B3">
            <w:pPr>
              <w:pStyle w:val="7"/>
            </w:pPr>
            <w:r>
              <w:rPr>
                <w:rFonts w:hint="eastAsia"/>
              </w:rPr>
              <w:t xml:space="preserve">0769-22115712 </w:t>
            </w:r>
          </w:p>
        </w:tc>
      </w:tr>
      <w:tr w14:paraId="5F288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BDC9F5">
            <w:pPr>
              <w:pStyle w:val="7"/>
            </w:pPr>
            <w:r>
              <w:rPr>
                <w:rFonts w:hint="eastAsia"/>
              </w:rPr>
              <w:t xml:space="preserve">客户服务电话： </w:t>
            </w:r>
          </w:p>
        </w:tc>
        <w:tc>
          <w:tcPr>
            <w:tcW w:w="7440" w:type="dxa"/>
            <w:shd w:val="clear" w:color="auto" w:fill="auto"/>
          </w:tcPr>
          <w:p w14:paraId="711AD17A">
            <w:pPr>
              <w:pStyle w:val="7"/>
            </w:pPr>
            <w:r>
              <w:rPr>
                <w:rFonts w:hint="eastAsia"/>
              </w:rPr>
              <w:t xml:space="preserve">95328 </w:t>
            </w:r>
          </w:p>
        </w:tc>
      </w:tr>
      <w:tr w14:paraId="6BAAB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41E5D0">
            <w:pPr>
              <w:pStyle w:val="7"/>
            </w:pPr>
            <w:r>
              <w:rPr>
                <w:rFonts w:hint="eastAsia"/>
              </w:rPr>
              <w:t xml:space="preserve">网址： </w:t>
            </w:r>
          </w:p>
        </w:tc>
        <w:tc>
          <w:tcPr>
            <w:tcW w:w="7440" w:type="dxa"/>
            <w:shd w:val="clear" w:color="auto" w:fill="auto"/>
          </w:tcPr>
          <w:p w14:paraId="38860EFA">
            <w:pPr>
              <w:pStyle w:val="7"/>
            </w:pPr>
            <w:r>
              <w:rPr>
                <w:rFonts w:hint="eastAsia"/>
              </w:rPr>
              <w:t xml:space="preserve">http://www.dgzq.com.cn </w:t>
            </w:r>
          </w:p>
        </w:tc>
      </w:tr>
    </w:tbl>
    <w:p w14:paraId="079DD454">
      <w:pPr>
        <w:pStyle w:val="7"/>
        <w:spacing w:before="0" w:beforeAutospacing="0" w:after="0" w:afterAutospacing="0" w:line="360" w:lineRule="auto"/>
        <w:ind w:firstLine="420"/>
        <w:rPr>
          <w:sz w:val="21"/>
          <w:szCs w:val="21"/>
        </w:rPr>
      </w:pPr>
      <w:r>
        <w:rPr>
          <w:rFonts w:hint="eastAsia"/>
          <w:b/>
          <w:bCs/>
          <w:sz w:val="21"/>
          <w:szCs w:val="21"/>
        </w:rPr>
        <w:t>(26)恒泰证券股份有限公司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6D3C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9BE6D">
            <w:pPr>
              <w:pStyle w:val="7"/>
            </w:pPr>
            <w:r>
              <w:rPr>
                <w:rFonts w:hint="eastAsia"/>
              </w:rPr>
              <w:t xml:space="preserve">注册地址： </w:t>
            </w:r>
          </w:p>
        </w:tc>
        <w:tc>
          <w:tcPr>
            <w:tcW w:w="7440" w:type="dxa"/>
            <w:shd w:val="clear" w:color="auto" w:fill="auto"/>
          </w:tcPr>
          <w:p w14:paraId="08CD92D1">
            <w:pPr>
              <w:pStyle w:val="7"/>
            </w:pPr>
            <w:r>
              <w:rPr>
                <w:rFonts w:hint="eastAsia"/>
              </w:rPr>
              <w:t xml:space="preserve">内蒙古呼和浩特市新城区海拉尔东街满世尚都办公商业综合楼 </w:t>
            </w:r>
          </w:p>
        </w:tc>
      </w:tr>
      <w:tr w14:paraId="77A6A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E638F">
            <w:pPr>
              <w:pStyle w:val="7"/>
            </w:pPr>
            <w:r>
              <w:rPr>
                <w:rFonts w:hint="eastAsia"/>
              </w:rPr>
              <w:t xml:space="preserve">法定代表人： </w:t>
            </w:r>
          </w:p>
        </w:tc>
        <w:tc>
          <w:tcPr>
            <w:tcW w:w="7440" w:type="dxa"/>
            <w:shd w:val="clear" w:color="auto" w:fill="auto"/>
          </w:tcPr>
          <w:p w14:paraId="3674647E">
            <w:pPr>
              <w:pStyle w:val="7"/>
            </w:pPr>
            <w:r>
              <w:rPr>
                <w:rFonts w:hint="eastAsia"/>
              </w:rPr>
              <w:t xml:space="preserve">祝艳辉 </w:t>
            </w:r>
          </w:p>
        </w:tc>
      </w:tr>
      <w:tr w14:paraId="40556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DA3A95">
            <w:pPr>
              <w:pStyle w:val="7"/>
            </w:pPr>
            <w:r>
              <w:rPr>
                <w:rFonts w:hint="eastAsia"/>
              </w:rPr>
              <w:t xml:space="preserve">联系人： </w:t>
            </w:r>
          </w:p>
        </w:tc>
        <w:tc>
          <w:tcPr>
            <w:tcW w:w="7440" w:type="dxa"/>
            <w:shd w:val="clear" w:color="auto" w:fill="auto"/>
          </w:tcPr>
          <w:p w14:paraId="552F2451">
            <w:pPr>
              <w:pStyle w:val="7"/>
            </w:pPr>
            <w:r>
              <w:rPr>
                <w:rFonts w:hint="eastAsia"/>
              </w:rPr>
              <w:t xml:space="preserve">熊丽 </w:t>
            </w:r>
          </w:p>
        </w:tc>
      </w:tr>
      <w:tr w14:paraId="2650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443EA">
            <w:pPr>
              <w:pStyle w:val="7"/>
            </w:pPr>
            <w:r>
              <w:rPr>
                <w:rFonts w:hint="eastAsia"/>
              </w:rPr>
              <w:t xml:space="preserve">电话： </w:t>
            </w:r>
          </w:p>
        </w:tc>
        <w:tc>
          <w:tcPr>
            <w:tcW w:w="7440" w:type="dxa"/>
            <w:shd w:val="clear" w:color="auto" w:fill="auto"/>
          </w:tcPr>
          <w:p w14:paraId="4FCBE3C3">
            <w:pPr>
              <w:pStyle w:val="7"/>
            </w:pPr>
            <w:r>
              <w:rPr>
                <w:rFonts w:hint="eastAsia"/>
              </w:rPr>
              <w:t xml:space="preserve">0471－4972675 </w:t>
            </w:r>
          </w:p>
        </w:tc>
      </w:tr>
      <w:tr w14:paraId="43B3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A229E">
            <w:pPr>
              <w:pStyle w:val="7"/>
            </w:pPr>
            <w:r>
              <w:rPr>
                <w:rFonts w:hint="eastAsia"/>
              </w:rPr>
              <w:t xml:space="preserve">客户服务电话： </w:t>
            </w:r>
          </w:p>
        </w:tc>
        <w:tc>
          <w:tcPr>
            <w:tcW w:w="7440" w:type="dxa"/>
            <w:shd w:val="clear" w:color="auto" w:fill="auto"/>
          </w:tcPr>
          <w:p w14:paraId="353C79F3">
            <w:pPr>
              <w:pStyle w:val="7"/>
            </w:pPr>
            <w:r>
              <w:rPr>
                <w:rFonts w:hint="eastAsia"/>
              </w:rPr>
              <w:t xml:space="preserve">956088 </w:t>
            </w:r>
          </w:p>
        </w:tc>
      </w:tr>
      <w:tr w14:paraId="2EE1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ADEEA1">
            <w:pPr>
              <w:pStyle w:val="7"/>
            </w:pPr>
            <w:r>
              <w:rPr>
                <w:rFonts w:hint="eastAsia"/>
              </w:rPr>
              <w:t xml:space="preserve">网址： </w:t>
            </w:r>
          </w:p>
        </w:tc>
        <w:tc>
          <w:tcPr>
            <w:tcW w:w="7440" w:type="dxa"/>
            <w:shd w:val="clear" w:color="auto" w:fill="auto"/>
          </w:tcPr>
          <w:p w14:paraId="646010BF">
            <w:pPr>
              <w:pStyle w:val="7"/>
            </w:pPr>
            <w:r>
              <w:rPr>
                <w:rFonts w:hint="eastAsia"/>
              </w:rPr>
              <w:t xml:space="preserve">http://www.cnht.com.cn/ </w:t>
            </w:r>
          </w:p>
        </w:tc>
      </w:tr>
    </w:tbl>
    <w:p w14:paraId="600D8CA0">
      <w:pPr>
        <w:pStyle w:val="7"/>
        <w:spacing w:before="0" w:beforeAutospacing="0" w:after="0" w:afterAutospacing="0" w:line="360" w:lineRule="auto"/>
        <w:ind w:firstLine="420"/>
        <w:rPr>
          <w:sz w:val="21"/>
          <w:szCs w:val="21"/>
        </w:rPr>
      </w:pPr>
      <w:r>
        <w:rPr>
          <w:rFonts w:hint="eastAsia"/>
          <w:b/>
          <w:bCs/>
          <w:sz w:val="21"/>
          <w:szCs w:val="21"/>
        </w:rPr>
        <w:t>(27)国盛证券有限责任公司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3364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ED6A2">
            <w:pPr>
              <w:pStyle w:val="7"/>
            </w:pPr>
            <w:r>
              <w:rPr>
                <w:rFonts w:hint="eastAsia"/>
              </w:rPr>
              <w:t xml:space="preserve">注册地址： </w:t>
            </w:r>
          </w:p>
        </w:tc>
        <w:tc>
          <w:tcPr>
            <w:tcW w:w="7440" w:type="dxa"/>
            <w:shd w:val="clear" w:color="auto" w:fill="auto"/>
          </w:tcPr>
          <w:p w14:paraId="7EC0C461">
            <w:pPr>
              <w:pStyle w:val="7"/>
            </w:pPr>
            <w:r>
              <w:rPr>
                <w:rFonts w:hint="eastAsia"/>
              </w:rPr>
              <w:t xml:space="preserve">江西省南昌市新建区子实路1589号 </w:t>
            </w:r>
          </w:p>
        </w:tc>
      </w:tr>
      <w:tr w14:paraId="57667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6DF990">
            <w:pPr>
              <w:pStyle w:val="7"/>
            </w:pPr>
            <w:r>
              <w:rPr>
                <w:rFonts w:hint="eastAsia"/>
              </w:rPr>
              <w:t xml:space="preserve">办公地址： </w:t>
            </w:r>
          </w:p>
        </w:tc>
        <w:tc>
          <w:tcPr>
            <w:tcW w:w="7440" w:type="dxa"/>
            <w:shd w:val="clear" w:color="auto" w:fill="auto"/>
          </w:tcPr>
          <w:p w14:paraId="3BF7B351">
            <w:pPr>
              <w:pStyle w:val="7"/>
            </w:pPr>
            <w:r>
              <w:rPr>
                <w:rFonts w:hint="eastAsia"/>
              </w:rPr>
              <w:t xml:space="preserve">江西省南昌市红谷滩新区凤凰中大道1115号北京银行大厦 </w:t>
            </w:r>
          </w:p>
        </w:tc>
      </w:tr>
      <w:tr w14:paraId="55335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850F73">
            <w:pPr>
              <w:pStyle w:val="7"/>
            </w:pPr>
            <w:r>
              <w:rPr>
                <w:rFonts w:hint="eastAsia"/>
              </w:rPr>
              <w:t xml:space="preserve">法定代表人： </w:t>
            </w:r>
          </w:p>
        </w:tc>
        <w:tc>
          <w:tcPr>
            <w:tcW w:w="7440" w:type="dxa"/>
            <w:shd w:val="clear" w:color="auto" w:fill="auto"/>
          </w:tcPr>
          <w:p w14:paraId="428D743F">
            <w:pPr>
              <w:pStyle w:val="7"/>
            </w:pPr>
            <w:r>
              <w:rPr>
                <w:rFonts w:hint="eastAsia"/>
              </w:rPr>
              <w:t xml:space="preserve">刘朝东 </w:t>
            </w:r>
          </w:p>
        </w:tc>
      </w:tr>
      <w:tr w14:paraId="4372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C1B45">
            <w:pPr>
              <w:pStyle w:val="7"/>
            </w:pPr>
            <w:r>
              <w:rPr>
                <w:rFonts w:hint="eastAsia"/>
              </w:rPr>
              <w:t xml:space="preserve">联系人： </w:t>
            </w:r>
          </w:p>
        </w:tc>
        <w:tc>
          <w:tcPr>
            <w:tcW w:w="7440" w:type="dxa"/>
            <w:shd w:val="clear" w:color="auto" w:fill="auto"/>
          </w:tcPr>
          <w:p w14:paraId="775B8AFC">
            <w:pPr>
              <w:pStyle w:val="7"/>
            </w:pPr>
            <w:r>
              <w:rPr>
                <w:rFonts w:hint="eastAsia"/>
              </w:rPr>
              <w:t xml:space="preserve">占文驰 </w:t>
            </w:r>
          </w:p>
        </w:tc>
      </w:tr>
      <w:tr w14:paraId="2CE1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06D7D">
            <w:pPr>
              <w:pStyle w:val="7"/>
            </w:pPr>
            <w:r>
              <w:rPr>
                <w:rFonts w:hint="eastAsia"/>
              </w:rPr>
              <w:t xml:space="preserve">电话： </w:t>
            </w:r>
          </w:p>
        </w:tc>
        <w:tc>
          <w:tcPr>
            <w:tcW w:w="7440" w:type="dxa"/>
            <w:shd w:val="clear" w:color="auto" w:fill="auto"/>
          </w:tcPr>
          <w:p w14:paraId="30BAF380">
            <w:pPr>
              <w:pStyle w:val="7"/>
            </w:pPr>
            <w:r>
              <w:rPr>
                <w:rFonts w:hint="eastAsia"/>
              </w:rPr>
              <w:t xml:space="preserve">0791－86283372 </w:t>
            </w:r>
          </w:p>
        </w:tc>
      </w:tr>
      <w:tr w14:paraId="53EE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CEAC6">
            <w:pPr>
              <w:pStyle w:val="7"/>
            </w:pPr>
            <w:r>
              <w:rPr>
                <w:rFonts w:hint="eastAsia"/>
              </w:rPr>
              <w:t xml:space="preserve">传真： </w:t>
            </w:r>
          </w:p>
        </w:tc>
        <w:tc>
          <w:tcPr>
            <w:tcW w:w="7440" w:type="dxa"/>
            <w:shd w:val="clear" w:color="auto" w:fill="auto"/>
          </w:tcPr>
          <w:p w14:paraId="2B4BD278">
            <w:pPr>
              <w:pStyle w:val="7"/>
            </w:pPr>
            <w:r>
              <w:rPr>
                <w:rFonts w:hint="eastAsia"/>
              </w:rPr>
              <w:t xml:space="preserve">0791－6289395 </w:t>
            </w:r>
          </w:p>
        </w:tc>
      </w:tr>
      <w:tr w14:paraId="435F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5BB87">
            <w:pPr>
              <w:pStyle w:val="7"/>
            </w:pPr>
            <w:r>
              <w:rPr>
                <w:rFonts w:hint="eastAsia"/>
              </w:rPr>
              <w:t xml:space="preserve">客户服务电话： </w:t>
            </w:r>
          </w:p>
        </w:tc>
        <w:tc>
          <w:tcPr>
            <w:tcW w:w="7440" w:type="dxa"/>
            <w:shd w:val="clear" w:color="auto" w:fill="auto"/>
          </w:tcPr>
          <w:p w14:paraId="0ED78511">
            <w:pPr>
              <w:pStyle w:val="7"/>
            </w:pPr>
            <w:r>
              <w:rPr>
                <w:rFonts w:hint="eastAsia"/>
              </w:rPr>
              <w:t xml:space="preserve">956080 </w:t>
            </w:r>
          </w:p>
        </w:tc>
      </w:tr>
      <w:tr w14:paraId="74692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9B80D">
            <w:pPr>
              <w:pStyle w:val="7"/>
            </w:pPr>
            <w:r>
              <w:rPr>
                <w:rFonts w:hint="eastAsia"/>
              </w:rPr>
              <w:t xml:space="preserve">网址： </w:t>
            </w:r>
          </w:p>
        </w:tc>
        <w:tc>
          <w:tcPr>
            <w:tcW w:w="7440" w:type="dxa"/>
            <w:shd w:val="clear" w:color="auto" w:fill="auto"/>
          </w:tcPr>
          <w:p w14:paraId="3EBB5A50">
            <w:pPr>
              <w:pStyle w:val="7"/>
            </w:pPr>
            <w:r>
              <w:rPr>
                <w:rFonts w:hint="eastAsia"/>
              </w:rPr>
              <w:t xml:space="preserve">https://www.gszq.com/ </w:t>
            </w:r>
          </w:p>
        </w:tc>
      </w:tr>
    </w:tbl>
    <w:p w14:paraId="040938F6">
      <w:pPr>
        <w:pStyle w:val="7"/>
        <w:spacing w:before="0" w:beforeAutospacing="0" w:after="0" w:afterAutospacing="0" w:line="360" w:lineRule="auto"/>
        <w:ind w:firstLine="420"/>
        <w:rPr>
          <w:sz w:val="21"/>
          <w:szCs w:val="21"/>
        </w:rPr>
      </w:pPr>
      <w:r>
        <w:rPr>
          <w:rFonts w:hint="eastAsia"/>
          <w:b/>
          <w:bCs/>
          <w:sz w:val="21"/>
          <w:szCs w:val="21"/>
        </w:rPr>
        <w:t>(28)华西证券股份有限公司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F9A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FE1BA">
            <w:pPr>
              <w:pStyle w:val="7"/>
            </w:pPr>
            <w:r>
              <w:rPr>
                <w:rFonts w:hint="eastAsia"/>
              </w:rPr>
              <w:t xml:space="preserve">注册地址： </w:t>
            </w:r>
          </w:p>
        </w:tc>
        <w:tc>
          <w:tcPr>
            <w:tcW w:w="7440" w:type="dxa"/>
            <w:shd w:val="clear" w:color="auto" w:fill="auto"/>
          </w:tcPr>
          <w:p w14:paraId="707B54C5">
            <w:pPr>
              <w:pStyle w:val="7"/>
            </w:pPr>
            <w:r>
              <w:rPr>
                <w:rFonts w:hint="eastAsia"/>
              </w:rPr>
              <w:t xml:space="preserve">四川省成都市高新区天府二街198号华西证券大厦 </w:t>
            </w:r>
          </w:p>
        </w:tc>
      </w:tr>
      <w:tr w14:paraId="606A4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47101">
            <w:pPr>
              <w:pStyle w:val="7"/>
            </w:pPr>
            <w:r>
              <w:rPr>
                <w:rFonts w:hint="eastAsia"/>
              </w:rPr>
              <w:t xml:space="preserve">办公地址： </w:t>
            </w:r>
          </w:p>
        </w:tc>
        <w:tc>
          <w:tcPr>
            <w:tcW w:w="7440" w:type="dxa"/>
            <w:shd w:val="clear" w:color="auto" w:fill="auto"/>
          </w:tcPr>
          <w:p w14:paraId="42C45153">
            <w:pPr>
              <w:pStyle w:val="7"/>
            </w:pPr>
            <w:r>
              <w:rPr>
                <w:rFonts w:hint="eastAsia"/>
              </w:rPr>
              <w:t xml:space="preserve">四川省成都市高新区天府二街198号华西证券大厦 </w:t>
            </w:r>
          </w:p>
        </w:tc>
      </w:tr>
      <w:tr w14:paraId="5C86C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2C073">
            <w:pPr>
              <w:pStyle w:val="7"/>
            </w:pPr>
            <w:r>
              <w:rPr>
                <w:rFonts w:hint="eastAsia"/>
              </w:rPr>
              <w:t xml:space="preserve">法定代表人： </w:t>
            </w:r>
          </w:p>
        </w:tc>
        <w:tc>
          <w:tcPr>
            <w:tcW w:w="7440" w:type="dxa"/>
            <w:shd w:val="clear" w:color="auto" w:fill="auto"/>
          </w:tcPr>
          <w:p w14:paraId="782718DB">
            <w:pPr>
              <w:pStyle w:val="7"/>
            </w:pPr>
            <w:r>
              <w:rPr>
                <w:rFonts w:hint="eastAsia"/>
              </w:rPr>
              <w:t xml:space="preserve">杨炯洋 </w:t>
            </w:r>
          </w:p>
        </w:tc>
      </w:tr>
      <w:tr w14:paraId="46A98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6966B">
            <w:pPr>
              <w:pStyle w:val="7"/>
            </w:pPr>
            <w:r>
              <w:rPr>
                <w:rFonts w:hint="eastAsia"/>
              </w:rPr>
              <w:t xml:space="preserve">联系人： </w:t>
            </w:r>
          </w:p>
        </w:tc>
        <w:tc>
          <w:tcPr>
            <w:tcW w:w="7440" w:type="dxa"/>
            <w:shd w:val="clear" w:color="auto" w:fill="auto"/>
          </w:tcPr>
          <w:p w14:paraId="6C8F88F8">
            <w:pPr>
              <w:pStyle w:val="7"/>
            </w:pPr>
            <w:r>
              <w:rPr>
                <w:rFonts w:hint="eastAsia"/>
              </w:rPr>
              <w:t xml:space="preserve">赵静静 </w:t>
            </w:r>
          </w:p>
        </w:tc>
      </w:tr>
      <w:tr w14:paraId="37C5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2BD2A2">
            <w:pPr>
              <w:pStyle w:val="7"/>
            </w:pPr>
            <w:r>
              <w:rPr>
                <w:rFonts w:hint="eastAsia"/>
              </w:rPr>
              <w:t xml:space="preserve">电话： </w:t>
            </w:r>
          </w:p>
        </w:tc>
        <w:tc>
          <w:tcPr>
            <w:tcW w:w="7440" w:type="dxa"/>
            <w:shd w:val="clear" w:color="auto" w:fill="auto"/>
          </w:tcPr>
          <w:p w14:paraId="67FA4223">
            <w:pPr>
              <w:pStyle w:val="7"/>
            </w:pPr>
            <w:r>
              <w:rPr>
                <w:rFonts w:hint="eastAsia"/>
              </w:rPr>
              <w:t xml:space="preserve">010-58124967 </w:t>
            </w:r>
          </w:p>
        </w:tc>
      </w:tr>
      <w:tr w14:paraId="00BD5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5BB922">
            <w:pPr>
              <w:pStyle w:val="7"/>
            </w:pPr>
            <w:r>
              <w:rPr>
                <w:rFonts w:hint="eastAsia"/>
              </w:rPr>
              <w:t xml:space="preserve">传真： </w:t>
            </w:r>
          </w:p>
        </w:tc>
        <w:tc>
          <w:tcPr>
            <w:tcW w:w="7440" w:type="dxa"/>
            <w:shd w:val="clear" w:color="auto" w:fill="auto"/>
          </w:tcPr>
          <w:p w14:paraId="1256E49E">
            <w:pPr>
              <w:pStyle w:val="7"/>
            </w:pPr>
            <w:r>
              <w:rPr>
                <w:rFonts w:hint="eastAsia"/>
              </w:rPr>
              <w:t xml:space="preserve">028-86150040 </w:t>
            </w:r>
          </w:p>
        </w:tc>
      </w:tr>
      <w:tr w14:paraId="0EC70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C9467">
            <w:pPr>
              <w:pStyle w:val="7"/>
            </w:pPr>
            <w:r>
              <w:rPr>
                <w:rFonts w:hint="eastAsia"/>
              </w:rPr>
              <w:t xml:space="preserve">客户服务电话： </w:t>
            </w:r>
          </w:p>
        </w:tc>
        <w:tc>
          <w:tcPr>
            <w:tcW w:w="7440" w:type="dxa"/>
            <w:shd w:val="clear" w:color="auto" w:fill="auto"/>
          </w:tcPr>
          <w:p w14:paraId="13748ACA">
            <w:pPr>
              <w:pStyle w:val="7"/>
            </w:pPr>
            <w:r>
              <w:rPr>
                <w:rFonts w:hint="eastAsia"/>
              </w:rPr>
              <w:t xml:space="preserve">95584 </w:t>
            </w:r>
          </w:p>
        </w:tc>
      </w:tr>
      <w:tr w14:paraId="6661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DBCE1">
            <w:pPr>
              <w:pStyle w:val="7"/>
            </w:pPr>
            <w:r>
              <w:rPr>
                <w:rFonts w:hint="eastAsia"/>
              </w:rPr>
              <w:t xml:space="preserve">网址： </w:t>
            </w:r>
          </w:p>
        </w:tc>
        <w:tc>
          <w:tcPr>
            <w:tcW w:w="7440" w:type="dxa"/>
            <w:shd w:val="clear" w:color="auto" w:fill="auto"/>
          </w:tcPr>
          <w:p w14:paraId="45336210">
            <w:pPr>
              <w:pStyle w:val="7"/>
            </w:pPr>
            <w:r>
              <w:rPr>
                <w:rFonts w:hint="eastAsia"/>
              </w:rPr>
              <w:t xml:space="preserve">https://www.hx168.com.cn/ </w:t>
            </w:r>
          </w:p>
        </w:tc>
      </w:tr>
    </w:tbl>
    <w:p w14:paraId="61C1AC66">
      <w:pPr>
        <w:pStyle w:val="7"/>
        <w:spacing w:before="0" w:beforeAutospacing="0" w:after="0" w:afterAutospacing="0" w:line="360" w:lineRule="auto"/>
        <w:ind w:firstLine="420"/>
        <w:rPr>
          <w:sz w:val="21"/>
          <w:szCs w:val="21"/>
        </w:rPr>
      </w:pPr>
      <w:r>
        <w:rPr>
          <w:rFonts w:hint="eastAsia"/>
          <w:b/>
          <w:bCs/>
          <w:sz w:val="21"/>
          <w:szCs w:val="21"/>
        </w:rPr>
        <w:t>(29)申万宏源西部证券有限公司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F25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36A04D7">
            <w:pPr>
              <w:pStyle w:val="7"/>
            </w:pPr>
            <w:r>
              <w:rPr>
                <w:rFonts w:hint="eastAsia"/>
              </w:rPr>
              <w:t xml:space="preserve">注册地址： </w:t>
            </w:r>
          </w:p>
        </w:tc>
        <w:tc>
          <w:tcPr>
            <w:tcW w:w="7440" w:type="dxa"/>
            <w:shd w:val="clear" w:color="auto" w:fill="auto"/>
          </w:tcPr>
          <w:p w14:paraId="58748368">
            <w:pPr>
              <w:pStyle w:val="7"/>
            </w:pPr>
            <w:r>
              <w:rPr>
                <w:rFonts w:hint="eastAsia"/>
              </w:rPr>
              <w:t xml:space="preserve">新疆乌鲁木齐市高新区（新市区）北京南路358号大成国际大厦20楼2005室 </w:t>
            </w:r>
          </w:p>
        </w:tc>
      </w:tr>
      <w:tr w14:paraId="535D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D5CE8">
            <w:pPr>
              <w:pStyle w:val="7"/>
            </w:pPr>
            <w:r>
              <w:rPr>
                <w:rFonts w:hint="eastAsia"/>
              </w:rPr>
              <w:t xml:space="preserve">办公地址： </w:t>
            </w:r>
          </w:p>
        </w:tc>
        <w:tc>
          <w:tcPr>
            <w:tcW w:w="7440" w:type="dxa"/>
            <w:shd w:val="clear" w:color="auto" w:fill="auto"/>
          </w:tcPr>
          <w:p w14:paraId="05B03384">
            <w:pPr>
              <w:pStyle w:val="7"/>
            </w:pPr>
            <w:r>
              <w:rPr>
                <w:rFonts w:hint="eastAsia"/>
              </w:rPr>
              <w:t xml:space="preserve">新疆乌鲁木齐市高新区（新市区）北京南路358号大成国际大厦20楼2005室 </w:t>
            </w:r>
          </w:p>
        </w:tc>
      </w:tr>
      <w:tr w14:paraId="0A31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58EE14">
            <w:pPr>
              <w:pStyle w:val="7"/>
            </w:pPr>
            <w:r>
              <w:rPr>
                <w:rFonts w:hint="eastAsia"/>
              </w:rPr>
              <w:t xml:space="preserve">法定代表人： </w:t>
            </w:r>
          </w:p>
        </w:tc>
        <w:tc>
          <w:tcPr>
            <w:tcW w:w="7440" w:type="dxa"/>
            <w:shd w:val="clear" w:color="auto" w:fill="auto"/>
          </w:tcPr>
          <w:p w14:paraId="4A2B4D99">
            <w:pPr>
              <w:pStyle w:val="7"/>
            </w:pPr>
            <w:r>
              <w:rPr>
                <w:rFonts w:hint="eastAsia"/>
              </w:rPr>
              <w:t xml:space="preserve">王献军  </w:t>
            </w:r>
          </w:p>
        </w:tc>
      </w:tr>
      <w:tr w14:paraId="0D226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4939A">
            <w:pPr>
              <w:pStyle w:val="7"/>
            </w:pPr>
            <w:r>
              <w:rPr>
                <w:rFonts w:hint="eastAsia"/>
              </w:rPr>
              <w:t xml:space="preserve">联系人： </w:t>
            </w:r>
          </w:p>
        </w:tc>
        <w:tc>
          <w:tcPr>
            <w:tcW w:w="7440" w:type="dxa"/>
            <w:shd w:val="clear" w:color="auto" w:fill="auto"/>
          </w:tcPr>
          <w:p w14:paraId="2B2D57EA">
            <w:pPr>
              <w:pStyle w:val="7"/>
            </w:pPr>
            <w:r>
              <w:rPr>
                <w:rFonts w:hint="eastAsia"/>
              </w:rPr>
              <w:t xml:space="preserve">梁丽 </w:t>
            </w:r>
          </w:p>
        </w:tc>
      </w:tr>
      <w:tr w14:paraId="6FB9A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ACC61">
            <w:pPr>
              <w:pStyle w:val="7"/>
            </w:pPr>
            <w:r>
              <w:rPr>
                <w:rFonts w:hint="eastAsia"/>
              </w:rPr>
              <w:t xml:space="preserve">电话： </w:t>
            </w:r>
          </w:p>
        </w:tc>
        <w:tc>
          <w:tcPr>
            <w:tcW w:w="7440" w:type="dxa"/>
            <w:shd w:val="clear" w:color="auto" w:fill="auto"/>
          </w:tcPr>
          <w:p w14:paraId="02807587">
            <w:pPr>
              <w:pStyle w:val="7"/>
            </w:pPr>
            <w:r>
              <w:rPr>
                <w:rFonts w:hint="eastAsia"/>
              </w:rPr>
              <w:t xml:space="preserve">0991-2307105 </w:t>
            </w:r>
          </w:p>
        </w:tc>
      </w:tr>
      <w:tr w14:paraId="66E4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C085E">
            <w:pPr>
              <w:pStyle w:val="7"/>
            </w:pPr>
            <w:r>
              <w:rPr>
                <w:rFonts w:hint="eastAsia"/>
              </w:rPr>
              <w:t xml:space="preserve">传真： </w:t>
            </w:r>
          </w:p>
        </w:tc>
        <w:tc>
          <w:tcPr>
            <w:tcW w:w="7440" w:type="dxa"/>
            <w:shd w:val="clear" w:color="auto" w:fill="auto"/>
          </w:tcPr>
          <w:p w14:paraId="0BE622E5">
            <w:pPr>
              <w:pStyle w:val="7"/>
            </w:pPr>
            <w:r>
              <w:rPr>
                <w:rFonts w:hint="eastAsia"/>
              </w:rPr>
              <w:t xml:space="preserve">010-88085195 </w:t>
            </w:r>
          </w:p>
        </w:tc>
      </w:tr>
      <w:tr w14:paraId="2FB4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0DB5B">
            <w:pPr>
              <w:pStyle w:val="7"/>
            </w:pPr>
            <w:r>
              <w:rPr>
                <w:rFonts w:hint="eastAsia"/>
              </w:rPr>
              <w:t xml:space="preserve">客户服务电话： </w:t>
            </w:r>
          </w:p>
        </w:tc>
        <w:tc>
          <w:tcPr>
            <w:tcW w:w="7440" w:type="dxa"/>
            <w:shd w:val="clear" w:color="auto" w:fill="auto"/>
          </w:tcPr>
          <w:p w14:paraId="236CBB77">
            <w:pPr>
              <w:pStyle w:val="7"/>
            </w:pPr>
            <w:r>
              <w:rPr>
                <w:rFonts w:hint="eastAsia"/>
              </w:rPr>
              <w:t xml:space="preserve">95523或4008895523 </w:t>
            </w:r>
          </w:p>
        </w:tc>
      </w:tr>
      <w:tr w14:paraId="4911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6CE4F">
            <w:pPr>
              <w:pStyle w:val="7"/>
            </w:pPr>
            <w:r>
              <w:rPr>
                <w:rFonts w:hint="eastAsia"/>
              </w:rPr>
              <w:t xml:space="preserve">网址： </w:t>
            </w:r>
          </w:p>
        </w:tc>
        <w:tc>
          <w:tcPr>
            <w:tcW w:w="7440" w:type="dxa"/>
            <w:shd w:val="clear" w:color="auto" w:fill="auto"/>
          </w:tcPr>
          <w:p w14:paraId="5F598058">
            <w:pPr>
              <w:pStyle w:val="7"/>
            </w:pPr>
            <w:r>
              <w:rPr>
                <w:rFonts w:hint="eastAsia"/>
              </w:rPr>
              <w:t xml:space="preserve">www.swhysc.com </w:t>
            </w:r>
          </w:p>
        </w:tc>
      </w:tr>
    </w:tbl>
    <w:p w14:paraId="1A607BB7">
      <w:pPr>
        <w:pStyle w:val="7"/>
        <w:spacing w:before="0" w:beforeAutospacing="0" w:after="0" w:afterAutospacing="0" w:line="360" w:lineRule="auto"/>
        <w:ind w:firstLine="420"/>
        <w:rPr>
          <w:sz w:val="21"/>
          <w:szCs w:val="21"/>
        </w:rPr>
      </w:pPr>
      <w:r>
        <w:rPr>
          <w:rFonts w:hint="eastAsia"/>
          <w:b/>
          <w:bCs/>
          <w:sz w:val="21"/>
          <w:szCs w:val="21"/>
        </w:rPr>
        <w:t>(30)中泰证券股份有限公司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151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00065">
            <w:pPr>
              <w:pStyle w:val="7"/>
            </w:pPr>
            <w:r>
              <w:rPr>
                <w:rFonts w:hint="eastAsia"/>
              </w:rPr>
              <w:t xml:space="preserve">注册地址： </w:t>
            </w:r>
          </w:p>
        </w:tc>
        <w:tc>
          <w:tcPr>
            <w:tcW w:w="7440" w:type="dxa"/>
            <w:shd w:val="clear" w:color="auto" w:fill="auto"/>
          </w:tcPr>
          <w:p w14:paraId="2AEEA83B">
            <w:pPr>
              <w:pStyle w:val="7"/>
            </w:pPr>
            <w:r>
              <w:rPr>
                <w:rFonts w:hint="eastAsia"/>
              </w:rPr>
              <w:t xml:space="preserve">济南市市中区经七路86号 </w:t>
            </w:r>
          </w:p>
        </w:tc>
      </w:tr>
      <w:tr w14:paraId="1AA5A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0B2026">
            <w:pPr>
              <w:pStyle w:val="7"/>
            </w:pPr>
            <w:r>
              <w:rPr>
                <w:rFonts w:hint="eastAsia"/>
              </w:rPr>
              <w:t xml:space="preserve">办公地址： </w:t>
            </w:r>
          </w:p>
        </w:tc>
        <w:tc>
          <w:tcPr>
            <w:tcW w:w="7440" w:type="dxa"/>
            <w:shd w:val="clear" w:color="auto" w:fill="auto"/>
          </w:tcPr>
          <w:p w14:paraId="63B680D5">
            <w:pPr>
              <w:pStyle w:val="7"/>
            </w:pPr>
            <w:r>
              <w:rPr>
                <w:rFonts w:hint="eastAsia"/>
              </w:rPr>
              <w:t xml:space="preserve">山东省济南市市中区经七路86号证券大厦2309 </w:t>
            </w:r>
          </w:p>
        </w:tc>
      </w:tr>
      <w:tr w14:paraId="5AE15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B48AFF">
            <w:pPr>
              <w:pStyle w:val="7"/>
            </w:pPr>
            <w:r>
              <w:rPr>
                <w:rFonts w:hint="eastAsia"/>
              </w:rPr>
              <w:t xml:space="preserve">法定代表人： </w:t>
            </w:r>
          </w:p>
        </w:tc>
        <w:tc>
          <w:tcPr>
            <w:tcW w:w="7440" w:type="dxa"/>
            <w:shd w:val="clear" w:color="auto" w:fill="auto"/>
          </w:tcPr>
          <w:p w14:paraId="1C516718">
            <w:pPr>
              <w:pStyle w:val="7"/>
            </w:pPr>
            <w:r>
              <w:rPr>
                <w:rFonts w:hint="eastAsia"/>
              </w:rPr>
              <w:t xml:space="preserve">王洪 </w:t>
            </w:r>
          </w:p>
        </w:tc>
      </w:tr>
      <w:tr w14:paraId="3B8D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11ED9A">
            <w:pPr>
              <w:pStyle w:val="7"/>
            </w:pPr>
            <w:r>
              <w:rPr>
                <w:rFonts w:hint="eastAsia"/>
              </w:rPr>
              <w:t xml:space="preserve">联系人： </w:t>
            </w:r>
          </w:p>
        </w:tc>
        <w:tc>
          <w:tcPr>
            <w:tcW w:w="7440" w:type="dxa"/>
            <w:shd w:val="clear" w:color="auto" w:fill="auto"/>
          </w:tcPr>
          <w:p w14:paraId="243C442F">
            <w:pPr>
              <w:pStyle w:val="7"/>
            </w:pPr>
            <w:r>
              <w:rPr>
                <w:rFonts w:hint="eastAsia"/>
              </w:rPr>
              <w:t xml:space="preserve">张峰源 </w:t>
            </w:r>
          </w:p>
        </w:tc>
      </w:tr>
      <w:tr w14:paraId="51F91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820AE">
            <w:pPr>
              <w:pStyle w:val="7"/>
            </w:pPr>
            <w:r>
              <w:rPr>
                <w:rFonts w:hint="eastAsia"/>
              </w:rPr>
              <w:t xml:space="preserve">电话： </w:t>
            </w:r>
          </w:p>
        </w:tc>
        <w:tc>
          <w:tcPr>
            <w:tcW w:w="7440" w:type="dxa"/>
            <w:shd w:val="clear" w:color="auto" w:fill="auto"/>
          </w:tcPr>
          <w:p w14:paraId="57E72541">
            <w:pPr>
              <w:pStyle w:val="7"/>
            </w:pPr>
            <w:r>
              <w:rPr>
                <w:rFonts w:hint="eastAsia"/>
              </w:rPr>
              <w:t xml:space="preserve">021-20315719 </w:t>
            </w:r>
          </w:p>
        </w:tc>
      </w:tr>
      <w:tr w14:paraId="5CDC8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6DDB6">
            <w:pPr>
              <w:pStyle w:val="7"/>
            </w:pPr>
            <w:r>
              <w:rPr>
                <w:rFonts w:hint="eastAsia"/>
              </w:rPr>
              <w:t xml:space="preserve">客户服务电话： </w:t>
            </w:r>
          </w:p>
        </w:tc>
        <w:tc>
          <w:tcPr>
            <w:tcW w:w="7440" w:type="dxa"/>
            <w:shd w:val="clear" w:color="auto" w:fill="auto"/>
          </w:tcPr>
          <w:p w14:paraId="69834184">
            <w:pPr>
              <w:pStyle w:val="7"/>
            </w:pPr>
            <w:r>
              <w:rPr>
                <w:rFonts w:hint="eastAsia"/>
              </w:rPr>
              <w:t xml:space="preserve">95538 </w:t>
            </w:r>
          </w:p>
        </w:tc>
      </w:tr>
      <w:tr w14:paraId="4AA80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90E36">
            <w:pPr>
              <w:pStyle w:val="7"/>
            </w:pPr>
            <w:r>
              <w:rPr>
                <w:rFonts w:hint="eastAsia"/>
              </w:rPr>
              <w:t xml:space="preserve">网址： </w:t>
            </w:r>
          </w:p>
        </w:tc>
        <w:tc>
          <w:tcPr>
            <w:tcW w:w="7440" w:type="dxa"/>
            <w:shd w:val="clear" w:color="auto" w:fill="auto"/>
          </w:tcPr>
          <w:p w14:paraId="26E08A36">
            <w:pPr>
              <w:pStyle w:val="7"/>
            </w:pPr>
            <w:r>
              <w:rPr>
                <w:rFonts w:hint="eastAsia"/>
              </w:rPr>
              <w:t xml:space="preserve">www.zts.com.cn </w:t>
            </w:r>
          </w:p>
        </w:tc>
      </w:tr>
    </w:tbl>
    <w:p w14:paraId="3384705C">
      <w:pPr>
        <w:pStyle w:val="7"/>
        <w:spacing w:before="0" w:beforeAutospacing="0" w:after="0" w:afterAutospacing="0" w:line="360" w:lineRule="auto"/>
        <w:ind w:firstLine="420"/>
        <w:rPr>
          <w:sz w:val="21"/>
          <w:szCs w:val="21"/>
        </w:rPr>
      </w:pPr>
      <w:r>
        <w:rPr>
          <w:rFonts w:hint="eastAsia"/>
          <w:b/>
          <w:bCs/>
          <w:sz w:val="21"/>
          <w:szCs w:val="21"/>
        </w:rPr>
        <w:t>(31)西部证券股份有限公司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567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AC0C5">
            <w:pPr>
              <w:pStyle w:val="7"/>
            </w:pPr>
            <w:r>
              <w:rPr>
                <w:rFonts w:hint="eastAsia"/>
              </w:rPr>
              <w:t xml:space="preserve">注册地址： </w:t>
            </w:r>
          </w:p>
        </w:tc>
        <w:tc>
          <w:tcPr>
            <w:tcW w:w="7440" w:type="dxa"/>
            <w:shd w:val="clear" w:color="auto" w:fill="auto"/>
          </w:tcPr>
          <w:p w14:paraId="1875BA3D">
            <w:pPr>
              <w:pStyle w:val="7"/>
            </w:pPr>
            <w:r>
              <w:rPr>
                <w:rFonts w:hint="eastAsia"/>
              </w:rPr>
              <w:t xml:space="preserve">陕西省西安市新城区东新街319号8幢10000室  </w:t>
            </w:r>
          </w:p>
        </w:tc>
      </w:tr>
      <w:tr w14:paraId="149B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254CB">
            <w:pPr>
              <w:pStyle w:val="7"/>
            </w:pPr>
            <w:r>
              <w:rPr>
                <w:rFonts w:hint="eastAsia"/>
              </w:rPr>
              <w:t xml:space="preserve">办公地址： </w:t>
            </w:r>
          </w:p>
        </w:tc>
        <w:tc>
          <w:tcPr>
            <w:tcW w:w="7440" w:type="dxa"/>
            <w:shd w:val="clear" w:color="auto" w:fill="auto"/>
          </w:tcPr>
          <w:p w14:paraId="61CCCF03">
            <w:pPr>
              <w:pStyle w:val="7"/>
            </w:pPr>
            <w:r>
              <w:rPr>
                <w:rFonts w:hint="eastAsia"/>
              </w:rPr>
              <w:t xml:space="preserve">西安市新城区东新街319号 </w:t>
            </w:r>
          </w:p>
        </w:tc>
      </w:tr>
      <w:tr w14:paraId="589B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F93BD">
            <w:pPr>
              <w:pStyle w:val="7"/>
            </w:pPr>
            <w:r>
              <w:rPr>
                <w:rFonts w:hint="eastAsia"/>
              </w:rPr>
              <w:t xml:space="preserve">法定代表人： </w:t>
            </w:r>
          </w:p>
        </w:tc>
        <w:tc>
          <w:tcPr>
            <w:tcW w:w="7440" w:type="dxa"/>
            <w:shd w:val="clear" w:color="auto" w:fill="auto"/>
          </w:tcPr>
          <w:p w14:paraId="6A4DA30B">
            <w:pPr>
              <w:pStyle w:val="7"/>
            </w:pPr>
            <w:r>
              <w:rPr>
                <w:rFonts w:hint="eastAsia"/>
              </w:rPr>
              <w:t xml:space="preserve">徐朝晖 </w:t>
            </w:r>
          </w:p>
        </w:tc>
      </w:tr>
      <w:tr w14:paraId="6E7A5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4BE68">
            <w:pPr>
              <w:pStyle w:val="7"/>
            </w:pPr>
            <w:r>
              <w:rPr>
                <w:rFonts w:hint="eastAsia"/>
              </w:rPr>
              <w:t xml:space="preserve">联系人： </w:t>
            </w:r>
          </w:p>
        </w:tc>
        <w:tc>
          <w:tcPr>
            <w:tcW w:w="7440" w:type="dxa"/>
            <w:shd w:val="clear" w:color="auto" w:fill="auto"/>
          </w:tcPr>
          <w:p w14:paraId="61F0E7F6">
            <w:pPr>
              <w:pStyle w:val="7"/>
            </w:pPr>
            <w:r>
              <w:rPr>
                <w:rFonts w:hint="eastAsia"/>
              </w:rPr>
              <w:t xml:space="preserve">张吉安 </w:t>
            </w:r>
          </w:p>
        </w:tc>
      </w:tr>
      <w:tr w14:paraId="6C78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CE1BD">
            <w:pPr>
              <w:pStyle w:val="7"/>
            </w:pPr>
            <w:r>
              <w:rPr>
                <w:rFonts w:hint="eastAsia"/>
              </w:rPr>
              <w:t xml:space="preserve">电话： </w:t>
            </w:r>
          </w:p>
        </w:tc>
        <w:tc>
          <w:tcPr>
            <w:tcW w:w="7440" w:type="dxa"/>
            <w:shd w:val="clear" w:color="auto" w:fill="auto"/>
          </w:tcPr>
          <w:p w14:paraId="09623F8C">
            <w:pPr>
              <w:pStyle w:val="7"/>
            </w:pPr>
            <w:r>
              <w:rPr>
                <w:rFonts w:hint="eastAsia"/>
              </w:rPr>
              <w:t xml:space="preserve">029-87211668 </w:t>
            </w:r>
          </w:p>
        </w:tc>
      </w:tr>
      <w:tr w14:paraId="6137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49CB1">
            <w:pPr>
              <w:pStyle w:val="7"/>
            </w:pPr>
            <w:r>
              <w:rPr>
                <w:rFonts w:hint="eastAsia"/>
              </w:rPr>
              <w:t xml:space="preserve">传真： </w:t>
            </w:r>
          </w:p>
        </w:tc>
        <w:tc>
          <w:tcPr>
            <w:tcW w:w="7440" w:type="dxa"/>
            <w:shd w:val="clear" w:color="auto" w:fill="auto"/>
          </w:tcPr>
          <w:p w14:paraId="4CB5547C">
            <w:pPr>
              <w:pStyle w:val="7"/>
            </w:pPr>
            <w:r>
              <w:rPr>
                <w:rFonts w:hint="eastAsia"/>
              </w:rPr>
              <w:t xml:space="preserve">029-87406117 </w:t>
            </w:r>
          </w:p>
        </w:tc>
      </w:tr>
      <w:tr w14:paraId="0656F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182E4">
            <w:pPr>
              <w:pStyle w:val="7"/>
            </w:pPr>
            <w:r>
              <w:rPr>
                <w:rFonts w:hint="eastAsia"/>
              </w:rPr>
              <w:t xml:space="preserve">客户服务电话： </w:t>
            </w:r>
          </w:p>
        </w:tc>
        <w:tc>
          <w:tcPr>
            <w:tcW w:w="7440" w:type="dxa"/>
            <w:shd w:val="clear" w:color="auto" w:fill="auto"/>
          </w:tcPr>
          <w:p w14:paraId="18474884">
            <w:pPr>
              <w:pStyle w:val="7"/>
            </w:pPr>
            <w:r>
              <w:rPr>
                <w:rFonts w:hint="eastAsia"/>
              </w:rPr>
              <w:t xml:space="preserve">95582 </w:t>
            </w:r>
          </w:p>
        </w:tc>
      </w:tr>
      <w:tr w14:paraId="7E522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8AF0F">
            <w:pPr>
              <w:pStyle w:val="7"/>
            </w:pPr>
            <w:r>
              <w:rPr>
                <w:rFonts w:hint="eastAsia"/>
              </w:rPr>
              <w:t xml:space="preserve">网址： </w:t>
            </w:r>
          </w:p>
        </w:tc>
        <w:tc>
          <w:tcPr>
            <w:tcW w:w="7440" w:type="dxa"/>
            <w:shd w:val="clear" w:color="auto" w:fill="auto"/>
          </w:tcPr>
          <w:p w14:paraId="7586BC94">
            <w:pPr>
              <w:pStyle w:val="7"/>
            </w:pPr>
            <w:r>
              <w:rPr>
                <w:rFonts w:hint="eastAsia"/>
              </w:rPr>
              <w:t xml:space="preserve">http://www.west95582.com/ </w:t>
            </w:r>
          </w:p>
        </w:tc>
      </w:tr>
    </w:tbl>
    <w:p w14:paraId="3D96BA1C">
      <w:pPr>
        <w:pStyle w:val="7"/>
        <w:spacing w:before="0" w:beforeAutospacing="0" w:after="0" w:afterAutospacing="0" w:line="360" w:lineRule="auto"/>
        <w:ind w:firstLine="420"/>
        <w:rPr>
          <w:sz w:val="21"/>
          <w:szCs w:val="21"/>
        </w:rPr>
      </w:pPr>
      <w:r>
        <w:rPr>
          <w:rFonts w:hint="eastAsia"/>
          <w:b/>
          <w:bCs/>
          <w:sz w:val="21"/>
          <w:szCs w:val="21"/>
        </w:rPr>
        <w:t>(32)中国中金财富证券有限公司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8BFE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58652">
            <w:pPr>
              <w:pStyle w:val="7"/>
            </w:pPr>
            <w:r>
              <w:rPr>
                <w:rFonts w:hint="eastAsia"/>
              </w:rPr>
              <w:t xml:space="preserve">注册地址： </w:t>
            </w:r>
          </w:p>
        </w:tc>
        <w:tc>
          <w:tcPr>
            <w:tcW w:w="7440" w:type="dxa"/>
            <w:shd w:val="clear" w:color="auto" w:fill="auto"/>
          </w:tcPr>
          <w:p w14:paraId="5B408C38">
            <w:pPr>
              <w:pStyle w:val="7"/>
            </w:pPr>
            <w:r>
              <w:rPr>
                <w:rFonts w:hint="eastAsia"/>
              </w:rPr>
              <w:t xml:space="preserve">深圳市南山区粤海街道海珠社区科苑南路2666号中国华润大厦L4601-4608 </w:t>
            </w:r>
          </w:p>
        </w:tc>
      </w:tr>
      <w:tr w14:paraId="0A4E1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7F5FD4">
            <w:pPr>
              <w:pStyle w:val="7"/>
            </w:pPr>
            <w:r>
              <w:rPr>
                <w:rFonts w:hint="eastAsia"/>
              </w:rPr>
              <w:t xml:space="preserve">办公地址： </w:t>
            </w:r>
          </w:p>
        </w:tc>
        <w:tc>
          <w:tcPr>
            <w:tcW w:w="7440" w:type="dxa"/>
            <w:shd w:val="clear" w:color="auto" w:fill="auto"/>
          </w:tcPr>
          <w:p w14:paraId="20B86585">
            <w:pPr>
              <w:pStyle w:val="7"/>
            </w:pPr>
            <w:r>
              <w:rPr>
                <w:rFonts w:hint="eastAsia"/>
              </w:rPr>
              <w:t xml:space="preserve">深圳市福田区益田路与福中路交界处荣超商务中心A栋第18-21层及第04层 </w:t>
            </w:r>
          </w:p>
        </w:tc>
      </w:tr>
      <w:tr w14:paraId="6F47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8AE58">
            <w:pPr>
              <w:pStyle w:val="7"/>
            </w:pPr>
            <w:r>
              <w:rPr>
                <w:rFonts w:hint="eastAsia"/>
              </w:rPr>
              <w:t xml:space="preserve">法定代表人： </w:t>
            </w:r>
          </w:p>
        </w:tc>
        <w:tc>
          <w:tcPr>
            <w:tcW w:w="7440" w:type="dxa"/>
            <w:shd w:val="clear" w:color="auto" w:fill="auto"/>
          </w:tcPr>
          <w:p w14:paraId="3735D5F1">
            <w:pPr>
              <w:pStyle w:val="7"/>
            </w:pPr>
            <w:r>
              <w:rPr>
                <w:rFonts w:hint="eastAsia"/>
              </w:rPr>
              <w:t xml:space="preserve">高涛 </w:t>
            </w:r>
          </w:p>
        </w:tc>
      </w:tr>
      <w:tr w14:paraId="0CA5B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C889C">
            <w:pPr>
              <w:pStyle w:val="7"/>
            </w:pPr>
            <w:r>
              <w:rPr>
                <w:rFonts w:hint="eastAsia"/>
              </w:rPr>
              <w:t xml:space="preserve">联系人： </w:t>
            </w:r>
          </w:p>
        </w:tc>
        <w:tc>
          <w:tcPr>
            <w:tcW w:w="7440" w:type="dxa"/>
            <w:shd w:val="clear" w:color="auto" w:fill="auto"/>
          </w:tcPr>
          <w:p w14:paraId="2FB93A2B">
            <w:pPr>
              <w:pStyle w:val="7"/>
            </w:pPr>
            <w:r>
              <w:rPr>
                <w:rFonts w:hint="eastAsia"/>
              </w:rPr>
              <w:t xml:space="preserve">万玉琳 </w:t>
            </w:r>
          </w:p>
        </w:tc>
      </w:tr>
      <w:tr w14:paraId="4F00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3AACF1">
            <w:pPr>
              <w:pStyle w:val="7"/>
            </w:pPr>
            <w:r>
              <w:rPr>
                <w:rFonts w:hint="eastAsia"/>
              </w:rPr>
              <w:t xml:space="preserve">电话： </w:t>
            </w:r>
          </w:p>
        </w:tc>
        <w:tc>
          <w:tcPr>
            <w:tcW w:w="7440" w:type="dxa"/>
            <w:shd w:val="clear" w:color="auto" w:fill="auto"/>
          </w:tcPr>
          <w:p w14:paraId="493924D1">
            <w:pPr>
              <w:pStyle w:val="7"/>
            </w:pPr>
            <w:r>
              <w:rPr>
                <w:rFonts w:hint="eastAsia"/>
              </w:rPr>
              <w:t xml:space="preserve">0755-82026907 </w:t>
            </w:r>
          </w:p>
        </w:tc>
      </w:tr>
      <w:tr w14:paraId="5AD83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25150">
            <w:pPr>
              <w:pStyle w:val="7"/>
            </w:pPr>
            <w:r>
              <w:rPr>
                <w:rFonts w:hint="eastAsia"/>
              </w:rPr>
              <w:t xml:space="preserve">传真： </w:t>
            </w:r>
          </w:p>
        </w:tc>
        <w:tc>
          <w:tcPr>
            <w:tcW w:w="7440" w:type="dxa"/>
            <w:shd w:val="clear" w:color="auto" w:fill="auto"/>
          </w:tcPr>
          <w:p w14:paraId="0DB6E996">
            <w:pPr>
              <w:pStyle w:val="7"/>
            </w:pPr>
            <w:r>
              <w:rPr>
                <w:rFonts w:hint="eastAsia"/>
              </w:rPr>
              <w:t xml:space="preserve">0755-82026539 </w:t>
            </w:r>
          </w:p>
        </w:tc>
      </w:tr>
      <w:tr w14:paraId="26AC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A39AE">
            <w:pPr>
              <w:pStyle w:val="7"/>
            </w:pPr>
            <w:r>
              <w:rPr>
                <w:rFonts w:hint="eastAsia"/>
              </w:rPr>
              <w:t xml:space="preserve">客户服务电话： </w:t>
            </w:r>
          </w:p>
        </w:tc>
        <w:tc>
          <w:tcPr>
            <w:tcW w:w="7440" w:type="dxa"/>
            <w:shd w:val="clear" w:color="auto" w:fill="auto"/>
          </w:tcPr>
          <w:p w14:paraId="68EAC6B0">
            <w:pPr>
              <w:pStyle w:val="7"/>
            </w:pPr>
            <w:r>
              <w:rPr>
                <w:rFonts w:hint="eastAsia"/>
              </w:rPr>
              <w:t xml:space="preserve">4006008008/95532 </w:t>
            </w:r>
          </w:p>
        </w:tc>
      </w:tr>
      <w:tr w14:paraId="6ABF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A40305">
            <w:pPr>
              <w:pStyle w:val="7"/>
            </w:pPr>
            <w:r>
              <w:rPr>
                <w:rFonts w:hint="eastAsia"/>
              </w:rPr>
              <w:t xml:space="preserve">网址： </w:t>
            </w:r>
          </w:p>
        </w:tc>
        <w:tc>
          <w:tcPr>
            <w:tcW w:w="7440" w:type="dxa"/>
            <w:shd w:val="clear" w:color="auto" w:fill="auto"/>
          </w:tcPr>
          <w:p w14:paraId="52C9AEB0">
            <w:pPr>
              <w:pStyle w:val="7"/>
            </w:pPr>
            <w:r>
              <w:rPr>
                <w:rFonts w:hint="eastAsia"/>
              </w:rPr>
              <w:t xml:space="preserve">http://www.china-invs.cn/ </w:t>
            </w:r>
          </w:p>
        </w:tc>
      </w:tr>
    </w:tbl>
    <w:p w14:paraId="73BEDA92">
      <w:pPr>
        <w:pStyle w:val="7"/>
        <w:spacing w:before="0" w:beforeAutospacing="0" w:after="0" w:afterAutospacing="0" w:line="360" w:lineRule="auto"/>
        <w:ind w:firstLine="420"/>
        <w:rPr>
          <w:sz w:val="21"/>
          <w:szCs w:val="21"/>
        </w:rPr>
      </w:pPr>
      <w:r>
        <w:rPr>
          <w:rFonts w:hint="eastAsia"/>
          <w:b/>
          <w:bCs/>
          <w:sz w:val="21"/>
          <w:szCs w:val="21"/>
        </w:rPr>
        <w:t>(33)东方财富证券股份有限公司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9E7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B0B6B">
            <w:pPr>
              <w:pStyle w:val="7"/>
            </w:pPr>
            <w:r>
              <w:rPr>
                <w:rFonts w:hint="eastAsia"/>
              </w:rPr>
              <w:t xml:space="preserve">注册地址： </w:t>
            </w:r>
          </w:p>
        </w:tc>
        <w:tc>
          <w:tcPr>
            <w:tcW w:w="7440" w:type="dxa"/>
            <w:shd w:val="clear" w:color="auto" w:fill="auto"/>
          </w:tcPr>
          <w:p w14:paraId="7851B5B3">
            <w:pPr>
              <w:pStyle w:val="7"/>
            </w:pPr>
            <w:r>
              <w:rPr>
                <w:rFonts w:hint="eastAsia"/>
              </w:rPr>
              <w:t xml:space="preserve">西藏自治区拉萨市柳梧新区国际总部城10栋楼 </w:t>
            </w:r>
          </w:p>
        </w:tc>
      </w:tr>
      <w:tr w14:paraId="7B1E2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501262">
            <w:pPr>
              <w:pStyle w:val="7"/>
            </w:pPr>
            <w:r>
              <w:rPr>
                <w:rFonts w:hint="eastAsia"/>
              </w:rPr>
              <w:t xml:space="preserve">办公地址： </w:t>
            </w:r>
          </w:p>
        </w:tc>
        <w:tc>
          <w:tcPr>
            <w:tcW w:w="7440" w:type="dxa"/>
            <w:shd w:val="clear" w:color="auto" w:fill="auto"/>
          </w:tcPr>
          <w:p w14:paraId="5D52F8A2">
            <w:pPr>
              <w:pStyle w:val="7"/>
            </w:pPr>
            <w:r>
              <w:rPr>
                <w:rFonts w:hint="eastAsia"/>
              </w:rPr>
              <w:t xml:space="preserve">上海市徐汇区宛平南路88号金座东方财富大厦 </w:t>
            </w:r>
          </w:p>
        </w:tc>
      </w:tr>
      <w:tr w14:paraId="5060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8635F">
            <w:pPr>
              <w:pStyle w:val="7"/>
            </w:pPr>
            <w:r>
              <w:rPr>
                <w:rFonts w:hint="eastAsia"/>
              </w:rPr>
              <w:t xml:space="preserve">法定代表人： </w:t>
            </w:r>
          </w:p>
        </w:tc>
        <w:tc>
          <w:tcPr>
            <w:tcW w:w="7440" w:type="dxa"/>
            <w:shd w:val="clear" w:color="auto" w:fill="auto"/>
          </w:tcPr>
          <w:p w14:paraId="6AB842F9">
            <w:pPr>
              <w:pStyle w:val="7"/>
            </w:pPr>
            <w:r>
              <w:rPr>
                <w:rFonts w:hint="eastAsia"/>
              </w:rPr>
              <w:t xml:space="preserve">戴彦 </w:t>
            </w:r>
          </w:p>
        </w:tc>
      </w:tr>
      <w:tr w14:paraId="59635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BA553">
            <w:pPr>
              <w:pStyle w:val="7"/>
            </w:pPr>
            <w:r>
              <w:rPr>
                <w:rFonts w:hint="eastAsia"/>
              </w:rPr>
              <w:t xml:space="preserve">联系人： </w:t>
            </w:r>
          </w:p>
        </w:tc>
        <w:tc>
          <w:tcPr>
            <w:tcW w:w="7440" w:type="dxa"/>
            <w:shd w:val="clear" w:color="auto" w:fill="auto"/>
          </w:tcPr>
          <w:p w14:paraId="75235469">
            <w:pPr>
              <w:pStyle w:val="7"/>
            </w:pPr>
            <w:r>
              <w:rPr>
                <w:rFonts w:hint="eastAsia"/>
              </w:rPr>
              <w:t xml:space="preserve">付佳 </w:t>
            </w:r>
          </w:p>
        </w:tc>
      </w:tr>
      <w:tr w14:paraId="51AA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DA4AB">
            <w:pPr>
              <w:pStyle w:val="7"/>
            </w:pPr>
            <w:r>
              <w:rPr>
                <w:rFonts w:hint="eastAsia"/>
              </w:rPr>
              <w:t xml:space="preserve">电话： </w:t>
            </w:r>
          </w:p>
        </w:tc>
        <w:tc>
          <w:tcPr>
            <w:tcW w:w="7440" w:type="dxa"/>
            <w:shd w:val="clear" w:color="auto" w:fill="auto"/>
          </w:tcPr>
          <w:p w14:paraId="046FA2E5">
            <w:pPr>
              <w:pStyle w:val="7"/>
            </w:pPr>
            <w:r>
              <w:rPr>
                <w:rFonts w:hint="eastAsia"/>
              </w:rPr>
              <w:t xml:space="preserve">021-23586603 </w:t>
            </w:r>
          </w:p>
        </w:tc>
      </w:tr>
      <w:tr w14:paraId="2F096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7DB73A">
            <w:pPr>
              <w:pStyle w:val="7"/>
            </w:pPr>
            <w:r>
              <w:rPr>
                <w:rFonts w:hint="eastAsia"/>
              </w:rPr>
              <w:t xml:space="preserve">传真： </w:t>
            </w:r>
          </w:p>
        </w:tc>
        <w:tc>
          <w:tcPr>
            <w:tcW w:w="7440" w:type="dxa"/>
            <w:shd w:val="clear" w:color="auto" w:fill="auto"/>
          </w:tcPr>
          <w:p w14:paraId="2C9E4B6B">
            <w:pPr>
              <w:pStyle w:val="7"/>
            </w:pPr>
            <w:r>
              <w:rPr>
                <w:rFonts w:hint="eastAsia"/>
              </w:rPr>
              <w:t xml:space="preserve">021-23586860 </w:t>
            </w:r>
          </w:p>
        </w:tc>
      </w:tr>
      <w:tr w14:paraId="1AAF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5EDD5">
            <w:pPr>
              <w:pStyle w:val="7"/>
            </w:pPr>
            <w:r>
              <w:rPr>
                <w:rFonts w:hint="eastAsia"/>
              </w:rPr>
              <w:t xml:space="preserve">客户服务电话： </w:t>
            </w:r>
          </w:p>
        </w:tc>
        <w:tc>
          <w:tcPr>
            <w:tcW w:w="7440" w:type="dxa"/>
            <w:shd w:val="clear" w:color="auto" w:fill="auto"/>
          </w:tcPr>
          <w:p w14:paraId="4A7AAA6B">
            <w:pPr>
              <w:pStyle w:val="7"/>
            </w:pPr>
            <w:r>
              <w:rPr>
                <w:rFonts w:hint="eastAsia"/>
              </w:rPr>
              <w:t xml:space="preserve">95357 </w:t>
            </w:r>
          </w:p>
        </w:tc>
      </w:tr>
      <w:tr w14:paraId="5012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948D3D">
            <w:pPr>
              <w:pStyle w:val="7"/>
            </w:pPr>
            <w:r>
              <w:rPr>
                <w:rFonts w:hint="eastAsia"/>
              </w:rPr>
              <w:t xml:space="preserve">网址： </w:t>
            </w:r>
          </w:p>
        </w:tc>
        <w:tc>
          <w:tcPr>
            <w:tcW w:w="7440" w:type="dxa"/>
            <w:shd w:val="clear" w:color="auto" w:fill="auto"/>
          </w:tcPr>
          <w:p w14:paraId="1EDA00EC">
            <w:pPr>
              <w:pStyle w:val="7"/>
            </w:pPr>
            <w:r>
              <w:rPr>
                <w:rFonts w:hint="eastAsia"/>
              </w:rPr>
              <w:t xml:space="preserve">http://www.18.cn </w:t>
            </w:r>
          </w:p>
        </w:tc>
      </w:tr>
    </w:tbl>
    <w:p w14:paraId="0151062C">
      <w:pPr>
        <w:pStyle w:val="7"/>
        <w:spacing w:before="0" w:beforeAutospacing="0" w:after="0" w:afterAutospacing="0" w:line="360" w:lineRule="auto"/>
        <w:ind w:firstLine="420"/>
        <w:rPr>
          <w:sz w:val="21"/>
          <w:szCs w:val="21"/>
        </w:rPr>
      </w:pPr>
      <w:r>
        <w:rPr>
          <w:rFonts w:hint="eastAsia"/>
          <w:b/>
          <w:bCs/>
          <w:sz w:val="21"/>
          <w:szCs w:val="21"/>
        </w:rPr>
        <w:t>(34)江海证券有限公司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65C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2EF21B">
            <w:pPr>
              <w:pStyle w:val="7"/>
            </w:pPr>
            <w:r>
              <w:rPr>
                <w:rFonts w:hint="eastAsia"/>
              </w:rPr>
              <w:t xml:space="preserve">注册地址： </w:t>
            </w:r>
          </w:p>
        </w:tc>
        <w:tc>
          <w:tcPr>
            <w:tcW w:w="7440" w:type="dxa"/>
            <w:shd w:val="clear" w:color="auto" w:fill="auto"/>
          </w:tcPr>
          <w:p w14:paraId="131E2E7F">
            <w:pPr>
              <w:pStyle w:val="7"/>
            </w:pPr>
            <w:r>
              <w:rPr>
                <w:rFonts w:hint="eastAsia"/>
              </w:rPr>
              <w:t xml:space="preserve">黑龙江省哈尔滨市香坊区赣水路56号 </w:t>
            </w:r>
          </w:p>
        </w:tc>
      </w:tr>
      <w:tr w14:paraId="745EB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35029">
            <w:pPr>
              <w:pStyle w:val="7"/>
            </w:pPr>
            <w:r>
              <w:rPr>
                <w:rFonts w:hint="eastAsia"/>
              </w:rPr>
              <w:t xml:space="preserve">办公地址： </w:t>
            </w:r>
          </w:p>
        </w:tc>
        <w:tc>
          <w:tcPr>
            <w:tcW w:w="7440" w:type="dxa"/>
            <w:shd w:val="clear" w:color="auto" w:fill="auto"/>
          </w:tcPr>
          <w:p w14:paraId="41EF5B57">
            <w:pPr>
              <w:pStyle w:val="7"/>
            </w:pPr>
            <w:r>
              <w:rPr>
                <w:rFonts w:hint="eastAsia"/>
              </w:rPr>
              <w:t xml:space="preserve">黑龙江省哈尔滨市香坊区赣水路56号 </w:t>
            </w:r>
          </w:p>
        </w:tc>
      </w:tr>
      <w:tr w14:paraId="65D4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AB6CC">
            <w:pPr>
              <w:pStyle w:val="7"/>
            </w:pPr>
            <w:r>
              <w:rPr>
                <w:rFonts w:hint="eastAsia"/>
              </w:rPr>
              <w:t xml:space="preserve">法定代表人： </w:t>
            </w:r>
          </w:p>
        </w:tc>
        <w:tc>
          <w:tcPr>
            <w:tcW w:w="7440" w:type="dxa"/>
            <w:shd w:val="clear" w:color="auto" w:fill="auto"/>
          </w:tcPr>
          <w:p w14:paraId="0D3335A9">
            <w:pPr>
              <w:pStyle w:val="7"/>
            </w:pPr>
            <w:r>
              <w:rPr>
                <w:rFonts w:hint="eastAsia"/>
              </w:rPr>
              <w:t xml:space="preserve">孙名扬 </w:t>
            </w:r>
          </w:p>
        </w:tc>
      </w:tr>
      <w:tr w14:paraId="7AAC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8C4E1">
            <w:pPr>
              <w:pStyle w:val="7"/>
            </w:pPr>
            <w:r>
              <w:rPr>
                <w:rFonts w:hint="eastAsia"/>
              </w:rPr>
              <w:t xml:space="preserve">联系人： </w:t>
            </w:r>
          </w:p>
        </w:tc>
        <w:tc>
          <w:tcPr>
            <w:tcW w:w="7440" w:type="dxa"/>
            <w:shd w:val="clear" w:color="auto" w:fill="auto"/>
          </w:tcPr>
          <w:p w14:paraId="610C0519">
            <w:pPr>
              <w:pStyle w:val="7"/>
            </w:pPr>
            <w:r>
              <w:rPr>
                <w:rFonts w:hint="eastAsia"/>
              </w:rPr>
              <w:t xml:space="preserve">王金娇 </w:t>
            </w:r>
          </w:p>
        </w:tc>
      </w:tr>
      <w:tr w14:paraId="1F196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44878">
            <w:pPr>
              <w:pStyle w:val="7"/>
            </w:pPr>
            <w:r>
              <w:rPr>
                <w:rFonts w:hint="eastAsia"/>
              </w:rPr>
              <w:t xml:space="preserve">电话： </w:t>
            </w:r>
          </w:p>
        </w:tc>
        <w:tc>
          <w:tcPr>
            <w:tcW w:w="7440" w:type="dxa"/>
            <w:shd w:val="clear" w:color="auto" w:fill="auto"/>
          </w:tcPr>
          <w:p w14:paraId="4672B735">
            <w:pPr>
              <w:pStyle w:val="7"/>
            </w:pPr>
            <w:r>
              <w:rPr>
                <w:rFonts w:hint="eastAsia"/>
              </w:rPr>
              <w:t xml:space="preserve">0451-87765732 </w:t>
            </w:r>
          </w:p>
        </w:tc>
      </w:tr>
      <w:tr w14:paraId="2EEC5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19EED">
            <w:pPr>
              <w:pStyle w:val="7"/>
            </w:pPr>
            <w:r>
              <w:rPr>
                <w:rFonts w:hint="eastAsia"/>
              </w:rPr>
              <w:t xml:space="preserve">传真： </w:t>
            </w:r>
          </w:p>
        </w:tc>
        <w:tc>
          <w:tcPr>
            <w:tcW w:w="7440" w:type="dxa"/>
            <w:shd w:val="clear" w:color="auto" w:fill="auto"/>
          </w:tcPr>
          <w:p w14:paraId="2E3F68F3">
            <w:pPr>
              <w:pStyle w:val="7"/>
            </w:pPr>
            <w:r>
              <w:rPr>
                <w:rFonts w:hint="eastAsia"/>
              </w:rPr>
              <w:t xml:space="preserve">0451－82287211 </w:t>
            </w:r>
          </w:p>
        </w:tc>
      </w:tr>
      <w:tr w14:paraId="0C5C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954DE">
            <w:pPr>
              <w:pStyle w:val="7"/>
            </w:pPr>
            <w:r>
              <w:rPr>
                <w:rFonts w:hint="eastAsia"/>
              </w:rPr>
              <w:t xml:space="preserve">客户服务电话： </w:t>
            </w:r>
          </w:p>
        </w:tc>
        <w:tc>
          <w:tcPr>
            <w:tcW w:w="7440" w:type="dxa"/>
            <w:shd w:val="clear" w:color="auto" w:fill="auto"/>
          </w:tcPr>
          <w:p w14:paraId="21BC0A22">
            <w:pPr>
              <w:pStyle w:val="7"/>
            </w:pPr>
            <w:r>
              <w:rPr>
                <w:rFonts w:hint="eastAsia"/>
              </w:rPr>
              <w:t xml:space="preserve">956007 </w:t>
            </w:r>
          </w:p>
        </w:tc>
      </w:tr>
      <w:tr w14:paraId="7533B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E895DE">
            <w:pPr>
              <w:pStyle w:val="7"/>
            </w:pPr>
            <w:r>
              <w:rPr>
                <w:rFonts w:hint="eastAsia"/>
              </w:rPr>
              <w:t xml:space="preserve">网址： </w:t>
            </w:r>
          </w:p>
        </w:tc>
        <w:tc>
          <w:tcPr>
            <w:tcW w:w="7440" w:type="dxa"/>
            <w:shd w:val="clear" w:color="auto" w:fill="auto"/>
          </w:tcPr>
          <w:p w14:paraId="2294AFCF">
            <w:pPr>
              <w:pStyle w:val="7"/>
            </w:pPr>
            <w:r>
              <w:rPr>
                <w:rFonts w:hint="eastAsia"/>
              </w:rPr>
              <w:t xml:space="preserve">http://www.jhzq.com.cn </w:t>
            </w:r>
          </w:p>
        </w:tc>
      </w:tr>
    </w:tbl>
    <w:p w14:paraId="72F88552">
      <w:pPr>
        <w:pStyle w:val="7"/>
        <w:spacing w:before="0" w:beforeAutospacing="0" w:after="0" w:afterAutospacing="0" w:line="360" w:lineRule="auto"/>
        <w:ind w:firstLine="420"/>
        <w:rPr>
          <w:sz w:val="21"/>
          <w:szCs w:val="21"/>
        </w:rPr>
      </w:pPr>
      <w:r>
        <w:rPr>
          <w:rFonts w:hint="eastAsia"/>
          <w:b/>
          <w:bCs/>
          <w:sz w:val="21"/>
          <w:szCs w:val="21"/>
        </w:rPr>
        <w:t>(35)国金证券股份有限公司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7E7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A0E5A">
            <w:pPr>
              <w:pStyle w:val="7"/>
            </w:pPr>
            <w:r>
              <w:rPr>
                <w:rFonts w:hint="eastAsia"/>
              </w:rPr>
              <w:t xml:space="preserve">注册地址： </w:t>
            </w:r>
          </w:p>
        </w:tc>
        <w:tc>
          <w:tcPr>
            <w:tcW w:w="7440" w:type="dxa"/>
            <w:shd w:val="clear" w:color="auto" w:fill="auto"/>
          </w:tcPr>
          <w:p w14:paraId="46384667">
            <w:pPr>
              <w:pStyle w:val="7"/>
            </w:pPr>
            <w:r>
              <w:rPr>
                <w:rFonts w:hint="eastAsia"/>
              </w:rPr>
              <w:t xml:space="preserve">四川省成都市东城根上街95号 </w:t>
            </w:r>
          </w:p>
        </w:tc>
      </w:tr>
      <w:tr w14:paraId="6AC6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3F4DF">
            <w:pPr>
              <w:pStyle w:val="7"/>
            </w:pPr>
            <w:r>
              <w:rPr>
                <w:rFonts w:hint="eastAsia"/>
              </w:rPr>
              <w:t xml:space="preserve">办公地址： </w:t>
            </w:r>
          </w:p>
        </w:tc>
        <w:tc>
          <w:tcPr>
            <w:tcW w:w="7440" w:type="dxa"/>
            <w:shd w:val="clear" w:color="auto" w:fill="auto"/>
          </w:tcPr>
          <w:p w14:paraId="5F745E89">
            <w:pPr>
              <w:pStyle w:val="7"/>
            </w:pPr>
            <w:r>
              <w:rPr>
                <w:rFonts w:hint="eastAsia"/>
              </w:rPr>
              <w:t xml:space="preserve">四川省成都市东城根上街95号 </w:t>
            </w:r>
          </w:p>
        </w:tc>
      </w:tr>
      <w:tr w14:paraId="64CD2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A3EE5">
            <w:pPr>
              <w:pStyle w:val="7"/>
            </w:pPr>
            <w:r>
              <w:rPr>
                <w:rFonts w:hint="eastAsia"/>
              </w:rPr>
              <w:t xml:space="preserve">法定代表人： </w:t>
            </w:r>
          </w:p>
        </w:tc>
        <w:tc>
          <w:tcPr>
            <w:tcW w:w="7440" w:type="dxa"/>
            <w:shd w:val="clear" w:color="auto" w:fill="auto"/>
          </w:tcPr>
          <w:p w14:paraId="65D3B109">
            <w:pPr>
              <w:pStyle w:val="7"/>
            </w:pPr>
            <w:r>
              <w:rPr>
                <w:rFonts w:hint="eastAsia"/>
              </w:rPr>
              <w:t xml:space="preserve">冉云 </w:t>
            </w:r>
          </w:p>
        </w:tc>
      </w:tr>
      <w:tr w14:paraId="074BE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16254">
            <w:pPr>
              <w:pStyle w:val="7"/>
            </w:pPr>
            <w:r>
              <w:rPr>
                <w:rFonts w:hint="eastAsia"/>
              </w:rPr>
              <w:t xml:space="preserve">联系人： </w:t>
            </w:r>
          </w:p>
        </w:tc>
        <w:tc>
          <w:tcPr>
            <w:tcW w:w="7440" w:type="dxa"/>
            <w:shd w:val="clear" w:color="auto" w:fill="auto"/>
          </w:tcPr>
          <w:p w14:paraId="07D44736">
            <w:pPr>
              <w:pStyle w:val="7"/>
            </w:pPr>
            <w:r>
              <w:rPr>
                <w:rFonts w:hint="eastAsia"/>
              </w:rPr>
              <w:t xml:space="preserve">贾鹏 </w:t>
            </w:r>
          </w:p>
        </w:tc>
      </w:tr>
      <w:tr w14:paraId="5CD7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9D84ED">
            <w:pPr>
              <w:pStyle w:val="7"/>
            </w:pPr>
            <w:r>
              <w:rPr>
                <w:rFonts w:hint="eastAsia"/>
              </w:rPr>
              <w:t xml:space="preserve">电话： </w:t>
            </w:r>
          </w:p>
        </w:tc>
        <w:tc>
          <w:tcPr>
            <w:tcW w:w="7440" w:type="dxa"/>
            <w:shd w:val="clear" w:color="auto" w:fill="auto"/>
          </w:tcPr>
          <w:p w14:paraId="3B134329">
            <w:pPr>
              <w:pStyle w:val="7"/>
            </w:pPr>
            <w:r>
              <w:rPr>
                <w:rFonts w:hint="eastAsia"/>
              </w:rPr>
              <w:t xml:space="preserve">028-86690057、028-86690058 </w:t>
            </w:r>
          </w:p>
        </w:tc>
      </w:tr>
      <w:tr w14:paraId="0F34E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C864A">
            <w:pPr>
              <w:pStyle w:val="7"/>
            </w:pPr>
            <w:r>
              <w:rPr>
                <w:rFonts w:hint="eastAsia"/>
              </w:rPr>
              <w:t xml:space="preserve">传真： </w:t>
            </w:r>
          </w:p>
        </w:tc>
        <w:tc>
          <w:tcPr>
            <w:tcW w:w="7440" w:type="dxa"/>
            <w:shd w:val="clear" w:color="auto" w:fill="auto"/>
          </w:tcPr>
          <w:p w14:paraId="7A193D11">
            <w:pPr>
              <w:pStyle w:val="7"/>
            </w:pPr>
            <w:r>
              <w:rPr>
                <w:rFonts w:hint="eastAsia"/>
              </w:rPr>
              <w:t xml:space="preserve">028-86690126 </w:t>
            </w:r>
          </w:p>
        </w:tc>
      </w:tr>
      <w:tr w14:paraId="0342B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B4E91">
            <w:pPr>
              <w:pStyle w:val="7"/>
            </w:pPr>
            <w:r>
              <w:rPr>
                <w:rFonts w:hint="eastAsia"/>
              </w:rPr>
              <w:t xml:space="preserve">客户服务电话： </w:t>
            </w:r>
          </w:p>
        </w:tc>
        <w:tc>
          <w:tcPr>
            <w:tcW w:w="7440" w:type="dxa"/>
            <w:shd w:val="clear" w:color="auto" w:fill="auto"/>
          </w:tcPr>
          <w:p w14:paraId="577ABDD7">
            <w:pPr>
              <w:pStyle w:val="7"/>
            </w:pPr>
            <w:r>
              <w:rPr>
                <w:rFonts w:hint="eastAsia"/>
              </w:rPr>
              <w:t xml:space="preserve">4006-600109/95310 </w:t>
            </w:r>
          </w:p>
        </w:tc>
      </w:tr>
      <w:tr w14:paraId="419C9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86739FB">
            <w:pPr>
              <w:pStyle w:val="7"/>
            </w:pPr>
            <w:r>
              <w:rPr>
                <w:rFonts w:hint="eastAsia"/>
              </w:rPr>
              <w:t xml:space="preserve">网址： </w:t>
            </w:r>
          </w:p>
        </w:tc>
        <w:tc>
          <w:tcPr>
            <w:tcW w:w="7440" w:type="dxa"/>
            <w:shd w:val="clear" w:color="auto" w:fill="auto"/>
          </w:tcPr>
          <w:p w14:paraId="58063963">
            <w:pPr>
              <w:pStyle w:val="7"/>
            </w:pPr>
            <w:r>
              <w:rPr>
                <w:rFonts w:hint="eastAsia"/>
              </w:rPr>
              <w:t xml:space="preserve">http://www.gjzq.com.cn </w:t>
            </w:r>
          </w:p>
        </w:tc>
      </w:tr>
    </w:tbl>
    <w:p w14:paraId="02E98C99">
      <w:pPr>
        <w:pStyle w:val="7"/>
        <w:spacing w:before="0" w:beforeAutospacing="0" w:after="0" w:afterAutospacing="0" w:line="360" w:lineRule="auto"/>
        <w:ind w:firstLine="420"/>
        <w:rPr>
          <w:sz w:val="21"/>
          <w:szCs w:val="21"/>
        </w:rPr>
      </w:pPr>
      <w:r>
        <w:rPr>
          <w:rFonts w:hint="eastAsia"/>
          <w:b/>
          <w:bCs/>
          <w:sz w:val="21"/>
          <w:szCs w:val="21"/>
        </w:rPr>
        <w:t>(36)华宝证券股份有限公司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C679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30D50">
            <w:pPr>
              <w:pStyle w:val="7"/>
            </w:pPr>
            <w:r>
              <w:rPr>
                <w:rFonts w:hint="eastAsia"/>
              </w:rPr>
              <w:t xml:space="preserve">注册地址： </w:t>
            </w:r>
          </w:p>
        </w:tc>
        <w:tc>
          <w:tcPr>
            <w:tcW w:w="7440" w:type="dxa"/>
            <w:shd w:val="clear" w:color="auto" w:fill="auto"/>
          </w:tcPr>
          <w:p w14:paraId="4C157EE8">
            <w:pPr>
              <w:pStyle w:val="7"/>
            </w:pPr>
            <w:r>
              <w:rPr>
                <w:rFonts w:hint="eastAsia"/>
              </w:rPr>
              <w:t xml:space="preserve">上海市浦东新区世纪大道100号上海环球金融中心57楼 </w:t>
            </w:r>
          </w:p>
        </w:tc>
      </w:tr>
      <w:tr w14:paraId="10EC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177E0">
            <w:pPr>
              <w:pStyle w:val="7"/>
            </w:pPr>
            <w:r>
              <w:rPr>
                <w:rFonts w:hint="eastAsia"/>
              </w:rPr>
              <w:t xml:space="preserve">办公地址： </w:t>
            </w:r>
          </w:p>
        </w:tc>
        <w:tc>
          <w:tcPr>
            <w:tcW w:w="7440" w:type="dxa"/>
            <w:shd w:val="clear" w:color="auto" w:fill="auto"/>
          </w:tcPr>
          <w:p w14:paraId="37754F3F">
            <w:pPr>
              <w:pStyle w:val="7"/>
            </w:pPr>
            <w:r>
              <w:rPr>
                <w:rFonts w:hint="eastAsia"/>
              </w:rPr>
              <w:t xml:space="preserve">上海市浦东新区世纪大道100号上海环球金融中心57楼 </w:t>
            </w:r>
          </w:p>
        </w:tc>
      </w:tr>
      <w:tr w14:paraId="7951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906C8">
            <w:pPr>
              <w:pStyle w:val="7"/>
            </w:pPr>
            <w:r>
              <w:rPr>
                <w:rFonts w:hint="eastAsia"/>
              </w:rPr>
              <w:t xml:space="preserve">法定代表人： </w:t>
            </w:r>
          </w:p>
        </w:tc>
        <w:tc>
          <w:tcPr>
            <w:tcW w:w="7440" w:type="dxa"/>
            <w:shd w:val="clear" w:color="auto" w:fill="auto"/>
          </w:tcPr>
          <w:p w14:paraId="50F03CF1">
            <w:pPr>
              <w:pStyle w:val="7"/>
            </w:pPr>
            <w:r>
              <w:rPr>
                <w:rFonts w:hint="eastAsia"/>
              </w:rPr>
              <w:t xml:space="preserve">刘加海 </w:t>
            </w:r>
          </w:p>
        </w:tc>
      </w:tr>
      <w:tr w14:paraId="64FF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DF348">
            <w:pPr>
              <w:pStyle w:val="7"/>
            </w:pPr>
            <w:r>
              <w:rPr>
                <w:rFonts w:hint="eastAsia"/>
              </w:rPr>
              <w:t xml:space="preserve">联系人： </w:t>
            </w:r>
          </w:p>
        </w:tc>
        <w:tc>
          <w:tcPr>
            <w:tcW w:w="7440" w:type="dxa"/>
            <w:shd w:val="clear" w:color="auto" w:fill="auto"/>
          </w:tcPr>
          <w:p w14:paraId="1BF30A68">
            <w:pPr>
              <w:pStyle w:val="7"/>
            </w:pPr>
            <w:r>
              <w:rPr>
                <w:rFonts w:hint="eastAsia"/>
              </w:rPr>
              <w:t xml:space="preserve">刘闻川 </w:t>
            </w:r>
          </w:p>
        </w:tc>
      </w:tr>
      <w:tr w14:paraId="0B62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61EE0">
            <w:pPr>
              <w:pStyle w:val="7"/>
            </w:pPr>
            <w:r>
              <w:rPr>
                <w:rFonts w:hint="eastAsia"/>
              </w:rPr>
              <w:t xml:space="preserve">电话： </w:t>
            </w:r>
          </w:p>
        </w:tc>
        <w:tc>
          <w:tcPr>
            <w:tcW w:w="7440" w:type="dxa"/>
            <w:shd w:val="clear" w:color="auto" w:fill="auto"/>
          </w:tcPr>
          <w:p w14:paraId="3A35E933">
            <w:pPr>
              <w:pStyle w:val="7"/>
            </w:pPr>
            <w:r>
              <w:rPr>
                <w:rFonts w:hint="eastAsia"/>
              </w:rPr>
              <w:t xml:space="preserve">021-68777222   </w:t>
            </w:r>
          </w:p>
        </w:tc>
      </w:tr>
      <w:tr w14:paraId="3F423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54540">
            <w:pPr>
              <w:pStyle w:val="7"/>
            </w:pPr>
            <w:r>
              <w:rPr>
                <w:rFonts w:hint="eastAsia"/>
              </w:rPr>
              <w:t xml:space="preserve">传真： </w:t>
            </w:r>
          </w:p>
        </w:tc>
        <w:tc>
          <w:tcPr>
            <w:tcW w:w="7440" w:type="dxa"/>
            <w:shd w:val="clear" w:color="auto" w:fill="auto"/>
          </w:tcPr>
          <w:p w14:paraId="4B81B01F">
            <w:pPr>
              <w:pStyle w:val="7"/>
            </w:pPr>
            <w:r>
              <w:rPr>
                <w:rFonts w:hint="eastAsia"/>
              </w:rPr>
              <w:t xml:space="preserve">021－68777822 </w:t>
            </w:r>
          </w:p>
        </w:tc>
      </w:tr>
      <w:tr w14:paraId="21DB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DE9E50">
            <w:pPr>
              <w:pStyle w:val="7"/>
            </w:pPr>
            <w:r>
              <w:rPr>
                <w:rFonts w:hint="eastAsia"/>
              </w:rPr>
              <w:t xml:space="preserve">客户服务电话： </w:t>
            </w:r>
          </w:p>
        </w:tc>
        <w:tc>
          <w:tcPr>
            <w:tcW w:w="7440" w:type="dxa"/>
            <w:shd w:val="clear" w:color="auto" w:fill="auto"/>
          </w:tcPr>
          <w:p w14:paraId="511033F3">
            <w:pPr>
              <w:pStyle w:val="7"/>
            </w:pPr>
            <w:r>
              <w:rPr>
                <w:rFonts w:hint="eastAsia"/>
              </w:rPr>
              <w:t xml:space="preserve">4008209898;021-38929908 </w:t>
            </w:r>
          </w:p>
        </w:tc>
      </w:tr>
      <w:tr w14:paraId="6577F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66FECB">
            <w:pPr>
              <w:pStyle w:val="7"/>
            </w:pPr>
            <w:r>
              <w:rPr>
                <w:rFonts w:hint="eastAsia"/>
              </w:rPr>
              <w:t xml:space="preserve">网址： </w:t>
            </w:r>
          </w:p>
        </w:tc>
        <w:tc>
          <w:tcPr>
            <w:tcW w:w="7440" w:type="dxa"/>
            <w:shd w:val="clear" w:color="auto" w:fill="auto"/>
          </w:tcPr>
          <w:p w14:paraId="394633AC">
            <w:pPr>
              <w:pStyle w:val="7"/>
            </w:pPr>
            <w:r>
              <w:rPr>
                <w:rFonts w:hint="eastAsia"/>
              </w:rPr>
              <w:t xml:space="preserve">http://www.cnhbstock.com </w:t>
            </w:r>
          </w:p>
        </w:tc>
      </w:tr>
    </w:tbl>
    <w:p w14:paraId="48A28033">
      <w:pPr>
        <w:pStyle w:val="7"/>
        <w:spacing w:before="0" w:beforeAutospacing="0" w:after="0" w:afterAutospacing="0" w:line="360" w:lineRule="auto"/>
        <w:ind w:firstLine="420"/>
        <w:rPr>
          <w:sz w:val="21"/>
          <w:szCs w:val="21"/>
        </w:rPr>
      </w:pPr>
      <w:r>
        <w:rPr>
          <w:rFonts w:hint="eastAsia"/>
          <w:b/>
          <w:bCs/>
          <w:sz w:val="21"/>
          <w:szCs w:val="21"/>
        </w:rPr>
        <w:t>(37)爱建证券有限责任公司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16F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3D5BA">
            <w:pPr>
              <w:pStyle w:val="7"/>
            </w:pPr>
            <w:r>
              <w:rPr>
                <w:rFonts w:hint="eastAsia"/>
              </w:rPr>
              <w:t xml:space="preserve">注册地址： </w:t>
            </w:r>
          </w:p>
        </w:tc>
        <w:tc>
          <w:tcPr>
            <w:tcW w:w="7440" w:type="dxa"/>
            <w:shd w:val="clear" w:color="auto" w:fill="auto"/>
          </w:tcPr>
          <w:p w14:paraId="6BDF285E">
            <w:pPr>
              <w:pStyle w:val="7"/>
            </w:pPr>
            <w:r>
              <w:rPr>
                <w:rFonts w:hint="eastAsia"/>
              </w:rPr>
              <w:t xml:space="preserve">中国（上海）自由贸易试验区世纪大道1600号1幢32楼 </w:t>
            </w:r>
          </w:p>
        </w:tc>
      </w:tr>
      <w:tr w14:paraId="7A2E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DB4EE">
            <w:pPr>
              <w:pStyle w:val="7"/>
            </w:pPr>
            <w:r>
              <w:rPr>
                <w:rFonts w:hint="eastAsia"/>
              </w:rPr>
              <w:t xml:space="preserve">办公地址： </w:t>
            </w:r>
          </w:p>
        </w:tc>
        <w:tc>
          <w:tcPr>
            <w:tcW w:w="7440" w:type="dxa"/>
            <w:shd w:val="clear" w:color="auto" w:fill="auto"/>
          </w:tcPr>
          <w:p w14:paraId="0738841D">
            <w:pPr>
              <w:pStyle w:val="7"/>
            </w:pPr>
            <w:r>
              <w:rPr>
                <w:rFonts w:hint="eastAsia"/>
              </w:rPr>
              <w:t xml:space="preserve">上海市浦东新区世纪大道1600号32楼 </w:t>
            </w:r>
          </w:p>
        </w:tc>
      </w:tr>
      <w:tr w14:paraId="47EE7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8D7A5">
            <w:pPr>
              <w:pStyle w:val="7"/>
            </w:pPr>
            <w:r>
              <w:rPr>
                <w:rFonts w:hint="eastAsia"/>
              </w:rPr>
              <w:t xml:space="preserve">法定代表人： </w:t>
            </w:r>
          </w:p>
        </w:tc>
        <w:tc>
          <w:tcPr>
            <w:tcW w:w="7440" w:type="dxa"/>
            <w:shd w:val="clear" w:color="auto" w:fill="auto"/>
          </w:tcPr>
          <w:p w14:paraId="2B2F5294">
            <w:pPr>
              <w:pStyle w:val="7"/>
            </w:pPr>
            <w:r>
              <w:rPr>
                <w:rFonts w:hint="eastAsia"/>
              </w:rPr>
              <w:t xml:space="preserve">祝健 </w:t>
            </w:r>
          </w:p>
        </w:tc>
      </w:tr>
      <w:tr w14:paraId="34C20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14171">
            <w:pPr>
              <w:pStyle w:val="7"/>
            </w:pPr>
            <w:r>
              <w:rPr>
                <w:rFonts w:hint="eastAsia"/>
              </w:rPr>
              <w:t xml:space="preserve">联系人： </w:t>
            </w:r>
          </w:p>
        </w:tc>
        <w:tc>
          <w:tcPr>
            <w:tcW w:w="7440" w:type="dxa"/>
            <w:shd w:val="clear" w:color="auto" w:fill="auto"/>
          </w:tcPr>
          <w:p w14:paraId="64481BF5">
            <w:pPr>
              <w:pStyle w:val="7"/>
            </w:pPr>
            <w:r>
              <w:rPr>
                <w:rFonts w:hint="eastAsia"/>
              </w:rPr>
              <w:t xml:space="preserve">姚盛盛 </w:t>
            </w:r>
          </w:p>
        </w:tc>
      </w:tr>
      <w:tr w14:paraId="72EC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05928">
            <w:pPr>
              <w:pStyle w:val="7"/>
            </w:pPr>
            <w:r>
              <w:rPr>
                <w:rFonts w:hint="eastAsia"/>
              </w:rPr>
              <w:t xml:space="preserve">电话： </w:t>
            </w:r>
          </w:p>
        </w:tc>
        <w:tc>
          <w:tcPr>
            <w:tcW w:w="7440" w:type="dxa"/>
            <w:shd w:val="clear" w:color="auto" w:fill="auto"/>
          </w:tcPr>
          <w:p w14:paraId="59268504">
            <w:pPr>
              <w:pStyle w:val="7"/>
            </w:pPr>
            <w:r>
              <w:rPr>
                <w:rFonts w:hint="eastAsia"/>
              </w:rPr>
              <w:t xml:space="preserve">021-32229888 </w:t>
            </w:r>
          </w:p>
        </w:tc>
      </w:tr>
      <w:tr w14:paraId="6F111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A24F7">
            <w:pPr>
              <w:pStyle w:val="7"/>
            </w:pPr>
            <w:r>
              <w:rPr>
                <w:rFonts w:hint="eastAsia"/>
              </w:rPr>
              <w:t xml:space="preserve">传真： </w:t>
            </w:r>
          </w:p>
        </w:tc>
        <w:tc>
          <w:tcPr>
            <w:tcW w:w="7440" w:type="dxa"/>
            <w:shd w:val="clear" w:color="auto" w:fill="auto"/>
          </w:tcPr>
          <w:p w14:paraId="05A10A85">
            <w:pPr>
              <w:pStyle w:val="7"/>
            </w:pPr>
            <w:r>
              <w:rPr>
                <w:rFonts w:hint="eastAsia"/>
              </w:rPr>
              <w:t xml:space="preserve">021- 68728703 </w:t>
            </w:r>
          </w:p>
        </w:tc>
      </w:tr>
      <w:tr w14:paraId="6D62D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B98B2B">
            <w:pPr>
              <w:pStyle w:val="7"/>
            </w:pPr>
            <w:r>
              <w:rPr>
                <w:rFonts w:hint="eastAsia"/>
              </w:rPr>
              <w:t xml:space="preserve">客户服务电话： </w:t>
            </w:r>
          </w:p>
        </w:tc>
        <w:tc>
          <w:tcPr>
            <w:tcW w:w="7440" w:type="dxa"/>
            <w:shd w:val="clear" w:color="auto" w:fill="auto"/>
          </w:tcPr>
          <w:p w14:paraId="19E59CFD">
            <w:pPr>
              <w:pStyle w:val="7"/>
            </w:pPr>
            <w:r>
              <w:rPr>
                <w:rFonts w:hint="eastAsia"/>
              </w:rPr>
              <w:t xml:space="preserve">4001-962-502 </w:t>
            </w:r>
          </w:p>
        </w:tc>
      </w:tr>
      <w:tr w14:paraId="3A12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F1901">
            <w:pPr>
              <w:pStyle w:val="7"/>
            </w:pPr>
            <w:r>
              <w:rPr>
                <w:rFonts w:hint="eastAsia"/>
              </w:rPr>
              <w:t xml:space="preserve">网址： </w:t>
            </w:r>
          </w:p>
        </w:tc>
        <w:tc>
          <w:tcPr>
            <w:tcW w:w="7440" w:type="dxa"/>
            <w:shd w:val="clear" w:color="auto" w:fill="auto"/>
          </w:tcPr>
          <w:p w14:paraId="49090246">
            <w:pPr>
              <w:pStyle w:val="7"/>
            </w:pPr>
            <w:r>
              <w:rPr>
                <w:rFonts w:hint="eastAsia"/>
              </w:rPr>
              <w:t xml:space="preserve">http://www.ajzq.com </w:t>
            </w:r>
          </w:p>
        </w:tc>
      </w:tr>
    </w:tbl>
    <w:p w14:paraId="75C60E32">
      <w:pPr>
        <w:pStyle w:val="7"/>
        <w:spacing w:before="0" w:beforeAutospacing="0" w:after="0" w:afterAutospacing="0" w:line="360" w:lineRule="auto"/>
        <w:ind w:firstLine="420"/>
        <w:rPr>
          <w:sz w:val="21"/>
          <w:szCs w:val="21"/>
        </w:rPr>
      </w:pPr>
      <w:r>
        <w:rPr>
          <w:rFonts w:hint="eastAsia"/>
          <w:b/>
          <w:bCs/>
          <w:sz w:val="21"/>
          <w:szCs w:val="21"/>
        </w:rPr>
        <w:t>(38)华创证券有限责任公司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50A57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91295C">
            <w:pPr>
              <w:pStyle w:val="7"/>
            </w:pPr>
            <w:r>
              <w:rPr>
                <w:rFonts w:hint="eastAsia"/>
              </w:rPr>
              <w:t xml:space="preserve">注册地址： </w:t>
            </w:r>
          </w:p>
        </w:tc>
        <w:tc>
          <w:tcPr>
            <w:tcW w:w="7440" w:type="dxa"/>
            <w:shd w:val="clear" w:color="auto" w:fill="auto"/>
          </w:tcPr>
          <w:p w14:paraId="4B747A00">
            <w:pPr>
              <w:pStyle w:val="7"/>
            </w:pPr>
            <w:r>
              <w:rPr>
                <w:rFonts w:hint="eastAsia"/>
              </w:rPr>
              <w:t xml:space="preserve">贵州省贵阳市 </w:t>
            </w:r>
          </w:p>
        </w:tc>
      </w:tr>
      <w:tr w14:paraId="534B0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BEBFD">
            <w:pPr>
              <w:pStyle w:val="7"/>
            </w:pPr>
            <w:r>
              <w:rPr>
                <w:rFonts w:hint="eastAsia"/>
              </w:rPr>
              <w:t xml:space="preserve">办公地址： </w:t>
            </w:r>
          </w:p>
        </w:tc>
        <w:tc>
          <w:tcPr>
            <w:tcW w:w="7440" w:type="dxa"/>
            <w:shd w:val="clear" w:color="auto" w:fill="auto"/>
          </w:tcPr>
          <w:p w14:paraId="0F86E62E">
            <w:pPr>
              <w:pStyle w:val="7"/>
            </w:pPr>
            <w:r>
              <w:rPr>
                <w:rFonts w:hint="eastAsia"/>
              </w:rPr>
              <w:t xml:space="preserve">贵州省贵阳市中华北路216号华创大厦 </w:t>
            </w:r>
          </w:p>
        </w:tc>
      </w:tr>
      <w:tr w14:paraId="368CE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10EA2">
            <w:pPr>
              <w:pStyle w:val="7"/>
            </w:pPr>
            <w:r>
              <w:rPr>
                <w:rFonts w:hint="eastAsia"/>
              </w:rPr>
              <w:t xml:space="preserve">法定代表人： </w:t>
            </w:r>
          </w:p>
        </w:tc>
        <w:tc>
          <w:tcPr>
            <w:tcW w:w="7440" w:type="dxa"/>
            <w:shd w:val="clear" w:color="auto" w:fill="auto"/>
          </w:tcPr>
          <w:p w14:paraId="0A84709E">
            <w:pPr>
              <w:pStyle w:val="7"/>
            </w:pPr>
            <w:r>
              <w:rPr>
                <w:rFonts w:hint="eastAsia"/>
              </w:rPr>
              <w:t xml:space="preserve">陶永泽 </w:t>
            </w:r>
          </w:p>
        </w:tc>
      </w:tr>
      <w:tr w14:paraId="49C72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EFB36">
            <w:pPr>
              <w:pStyle w:val="7"/>
            </w:pPr>
            <w:r>
              <w:rPr>
                <w:rFonts w:hint="eastAsia"/>
              </w:rPr>
              <w:t xml:space="preserve">联系人： </w:t>
            </w:r>
          </w:p>
        </w:tc>
        <w:tc>
          <w:tcPr>
            <w:tcW w:w="7440" w:type="dxa"/>
            <w:shd w:val="clear" w:color="auto" w:fill="auto"/>
          </w:tcPr>
          <w:p w14:paraId="0D5D4A98">
            <w:pPr>
              <w:pStyle w:val="7"/>
            </w:pPr>
            <w:r>
              <w:rPr>
                <w:rFonts w:hint="eastAsia"/>
              </w:rPr>
              <w:t xml:space="preserve">郭佳来 </w:t>
            </w:r>
          </w:p>
        </w:tc>
      </w:tr>
      <w:tr w14:paraId="74C36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8CB27">
            <w:pPr>
              <w:pStyle w:val="7"/>
            </w:pPr>
            <w:r>
              <w:rPr>
                <w:rFonts w:hint="eastAsia"/>
              </w:rPr>
              <w:t xml:space="preserve">电话： </w:t>
            </w:r>
          </w:p>
        </w:tc>
        <w:tc>
          <w:tcPr>
            <w:tcW w:w="7440" w:type="dxa"/>
            <w:shd w:val="clear" w:color="auto" w:fill="auto"/>
          </w:tcPr>
          <w:p w14:paraId="506E989E">
            <w:pPr>
              <w:pStyle w:val="7"/>
            </w:pPr>
            <w:r>
              <w:rPr>
                <w:rFonts w:hint="eastAsia"/>
              </w:rPr>
              <w:t xml:space="preserve">021-60762618 </w:t>
            </w:r>
          </w:p>
        </w:tc>
      </w:tr>
      <w:tr w14:paraId="289F9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37AE9">
            <w:pPr>
              <w:pStyle w:val="7"/>
            </w:pPr>
            <w:r>
              <w:rPr>
                <w:rFonts w:hint="eastAsia"/>
              </w:rPr>
              <w:t xml:space="preserve">传真： </w:t>
            </w:r>
          </w:p>
        </w:tc>
        <w:tc>
          <w:tcPr>
            <w:tcW w:w="7440" w:type="dxa"/>
            <w:shd w:val="clear" w:color="auto" w:fill="auto"/>
          </w:tcPr>
          <w:p w14:paraId="3335BF68">
            <w:pPr>
              <w:pStyle w:val="7"/>
            </w:pPr>
            <w:r>
              <w:rPr>
                <w:rFonts w:hint="eastAsia"/>
              </w:rPr>
              <w:t xml:space="preserve">021-60762700 </w:t>
            </w:r>
          </w:p>
        </w:tc>
      </w:tr>
      <w:tr w14:paraId="2650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23136">
            <w:pPr>
              <w:pStyle w:val="7"/>
            </w:pPr>
            <w:r>
              <w:rPr>
                <w:rFonts w:hint="eastAsia"/>
              </w:rPr>
              <w:t xml:space="preserve">客户服务电话： </w:t>
            </w:r>
          </w:p>
        </w:tc>
        <w:tc>
          <w:tcPr>
            <w:tcW w:w="7440" w:type="dxa"/>
            <w:shd w:val="clear" w:color="auto" w:fill="auto"/>
          </w:tcPr>
          <w:p w14:paraId="3AD2450C">
            <w:pPr>
              <w:pStyle w:val="7"/>
            </w:pPr>
            <w:r>
              <w:rPr>
                <w:rFonts w:hint="eastAsia"/>
              </w:rPr>
              <w:t xml:space="preserve">4008666689 </w:t>
            </w:r>
          </w:p>
        </w:tc>
      </w:tr>
      <w:tr w14:paraId="1325E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9E095">
            <w:pPr>
              <w:pStyle w:val="7"/>
            </w:pPr>
            <w:r>
              <w:rPr>
                <w:rFonts w:hint="eastAsia"/>
              </w:rPr>
              <w:t xml:space="preserve">网址： </w:t>
            </w:r>
          </w:p>
        </w:tc>
        <w:tc>
          <w:tcPr>
            <w:tcW w:w="7440" w:type="dxa"/>
            <w:shd w:val="clear" w:color="auto" w:fill="auto"/>
          </w:tcPr>
          <w:p w14:paraId="4C8EBC25">
            <w:pPr>
              <w:pStyle w:val="7"/>
            </w:pPr>
            <w:r>
              <w:rPr>
                <w:rFonts w:hint="eastAsia"/>
              </w:rPr>
              <w:t xml:space="preserve">http://www.hczq.com/ </w:t>
            </w:r>
          </w:p>
        </w:tc>
      </w:tr>
    </w:tbl>
    <w:p w14:paraId="49C2BC59">
      <w:pPr>
        <w:pStyle w:val="7"/>
        <w:spacing w:before="0" w:beforeAutospacing="0" w:after="0" w:afterAutospacing="0" w:line="360" w:lineRule="auto"/>
        <w:ind w:firstLine="420"/>
        <w:rPr>
          <w:sz w:val="21"/>
          <w:szCs w:val="21"/>
        </w:rPr>
      </w:pPr>
      <w:r>
        <w:rPr>
          <w:rFonts w:hint="eastAsia"/>
          <w:b/>
          <w:bCs/>
          <w:sz w:val="21"/>
          <w:szCs w:val="21"/>
        </w:rPr>
        <w:t>(39)万和证券股份有限公司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FA6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F33936">
            <w:pPr>
              <w:pStyle w:val="7"/>
            </w:pPr>
            <w:r>
              <w:rPr>
                <w:rFonts w:hint="eastAsia"/>
              </w:rPr>
              <w:t xml:space="preserve">注册地址： </w:t>
            </w:r>
          </w:p>
        </w:tc>
        <w:tc>
          <w:tcPr>
            <w:tcW w:w="7440" w:type="dxa"/>
            <w:shd w:val="clear" w:color="auto" w:fill="auto"/>
          </w:tcPr>
          <w:p w14:paraId="17F73657">
            <w:pPr>
              <w:pStyle w:val="7"/>
            </w:pPr>
            <w:r>
              <w:rPr>
                <w:rFonts w:hint="eastAsia"/>
              </w:rPr>
              <w:t xml:space="preserve">海南省海口市南沙路49号通信广场二楼 </w:t>
            </w:r>
          </w:p>
        </w:tc>
      </w:tr>
      <w:tr w14:paraId="2BC6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FA215">
            <w:pPr>
              <w:pStyle w:val="7"/>
            </w:pPr>
            <w:r>
              <w:rPr>
                <w:rFonts w:hint="eastAsia"/>
              </w:rPr>
              <w:t xml:space="preserve">办公地址： </w:t>
            </w:r>
          </w:p>
        </w:tc>
        <w:tc>
          <w:tcPr>
            <w:tcW w:w="7440" w:type="dxa"/>
            <w:shd w:val="clear" w:color="auto" w:fill="auto"/>
          </w:tcPr>
          <w:p w14:paraId="35D779C1">
            <w:pPr>
              <w:pStyle w:val="7"/>
            </w:pPr>
            <w:r>
              <w:rPr>
                <w:rFonts w:hint="eastAsia"/>
              </w:rPr>
              <w:t xml:space="preserve">深圳市福田区深南大道7028号时代科技大厦20层西厅 </w:t>
            </w:r>
          </w:p>
        </w:tc>
      </w:tr>
      <w:tr w14:paraId="2061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E9122">
            <w:pPr>
              <w:pStyle w:val="7"/>
            </w:pPr>
            <w:r>
              <w:rPr>
                <w:rFonts w:hint="eastAsia"/>
              </w:rPr>
              <w:t xml:space="preserve">法定代表人： </w:t>
            </w:r>
          </w:p>
        </w:tc>
        <w:tc>
          <w:tcPr>
            <w:tcW w:w="7440" w:type="dxa"/>
            <w:shd w:val="clear" w:color="auto" w:fill="auto"/>
          </w:tcPr>
          <w:p w14:paraId="2A6B2D31">
            <w:pPr>
              <w:pStyle w:val="7"/>
            </w:pPr>
            <w:r>
              <w:rPr>
                <w:rFonts w:hint="eastAsia"/>
              </w:rPr>
              <w:t xml:space="preserve">甘卫斌 </w:t>
            </w:r>
          </w:p>
        </w:tc>
      </w:tr>
      <w:tr w14:paraId="4F5C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B2C8F">
            <w:pPr>
              <w:pStyle w:val="7"/>
            </w:pPr>
            <w:r>
              <w:rPr>
                <w:rFonts w:hint="eastAsia"/>
              </w:rPr>
              <w:t xml:space="preserve">联系人： </w:t>
            </w:r>
          </w:p>
        </w:tc>
        <w:tc>
          <w:tcPr>
            <w:tcW w:w="7440" w:type="dxa"/>
            <w:shd w:val="clear" w:color="auto" w:fill="auto"/>
          </w:tcPr>
          <w:p w14:paraId="69507438">
            <w:pPr>
              <w:pStyle w:val="7"/>
            </w:pPr>
            <w:r>
              <w:rPr>
                <w:rFonts w:hint="eastAsia"/>
              </w:rPr>
              <w:t xml:space="preserve">张雷 </w:t>
            </w:r>
          </w:p>
        </w:tc>
      </w:tr>
      <w:tr w14:paraId="7A34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8AFD5">
            <w:pPr>
              <w:pStyle w:val="7"/>
            </w:pPr>
            <w:r>
              <w:rPr>
                <w:rFonts w:hint="eastAsia"/>
              </w:rPr>
              <w:t xml:space="preserve">电话： </w:t>
            </w:r>
          </w:p>
        </w:tc>
        <w:tc>
          <w:tcPr>
            <w:tcW w:w="7440" w:type="dxa"/>
            <w:shd w:val="clear" w:color="auto" w:fill="auto"/>
          </w:tcPr>
          <w:p w14:paraId="2936BBDD">
            <w:pPr>
              <w:pStyle w:val="7"/>
            </w:pPr>
            <w:r>
              <w:rPr>
                <w:rFonts w:hint="eastAsia"/>
              </w:rPr>
              <w:t xml:space="preserve">0755-82830333 </w:t>
            </w:r>
          </w:p>
        </w:tc>
      </w:tr>
      <w:tr w14:paraId="0BC7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5A685">
            <w:pPr>
              <w:pStyle w:val="7"/>
            </w:pPr>
            <w:r>
              <w:rPr>
                <w:rFonts w:hint="eastAsia"/>
              </w:rPr>
              <w:t xml:space="preserve">传真： </w:t>
            </w:r>
          </w:p>
        </w:tc>
        <w:tc>
          <w:tcPr>
            <w:tcW w:w="7440" w:type="dxa"/>
            <w:shd w:val="clear" w:color="auto" w:fill="auto"/>
          </w:tcPr>
          <w:p w14:paraId="6F875073">
            <w:pPr>
              <w:pStyle w:val="7"/>
            </w:pPr>
            <w:r>
              <w:rPr>
                <w:rFonts w:hint="eastAsia"/>
              </w:rPr>
              <w:t xml:space="preserve">0755-25170093 </w:t>
            </w:r>
          </w:p>
        </w:tc>
      </w:tr>
      <w:tr w14:paraId="19E9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3D829">
            <w:pPr>
              <w:pStyle w:val="7"/>
            </w:pPr>
            <w:r>
              <w:rPr>
                <w:rFonts w:hint="eastAsia"/>
              </w:rPr>
              <w:t xml:space="preserve">客户服务电话： </w:t>
            </w:r>
          </w:p>
        </w:tc>
        <w:tc>
          <w:tcPr>
            <w:tcW w:w="7440" w:type="dxa"/>
            <w:shd w:val="clear" w:color="auto" w:fill="auto"/>
          </w:tcPr>
          <w:p w14:paraId="434B6D8D">
            <w:pPr>
              <w:pStyle w:val="7"/>
            </w:pPr>
            <w:r>
              <w:rPr>
                <w:rFonts w:hint="eastAsia"/>
              </w:rPr>
              <w:t xml:space="preserve">4008-882-882 </w:t>
            </w:r>
          </w:p>
        </w:tc>
      </w:tr>
      <w:tr w14:paraId="4C2C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36B010">
            <w:pPr>
              <w:pStyle w:val="7"/>
            </w:pPr>
            <w:r>
              <w:rPr>
                <w:rFonts w:hint="eastAsia"/>
              </w:rPr>
              <w:t xml:space="preserve">网址： </w:t>
            </w:r>
          </w:p>
        </w:tc>
        <w:tc>
          <w:tcPr>
            <w:tcW w:w="7440" w:type="dxa"/>
            <w:shd w:val="clear" w:color="auto" w:fill="auto"/>
          </w:tcPr>
          <w:p w14:paraId="6A66829F">
            <w:pPr>
              <w:pStyle w:val="7"/>
            </w:pPr>
            <w:r>
              <w:rPr>
                <w:rFonts w:hint="eastAsia"/>
              </w:rPr>
              <w:t xml:space="preserve">http://www.vanho.cn </w:t>
            </w:r>
          </w:p>
        </w:tc>
      </w:tr>
    </w:tbl>
    <w:p w14:paraId="15B77BE7">
      <w:pPr>
        <w:pStyle w:val="7"/>
        <w:spacing w:before="0" w:beforeAutospacing="0" w:after="0" w:afterAutospacing="0" w:line="360" w:lineRule="auto"/>
        <w:ind w:firstLine="420"/>
        <w:rPr>
          <w:sz w:val="21"/>
          <w:szCs w:val="21"/>
        </w:rPr>
      </w:pPr>
      <w:r>
        <w:rPr>
          <w:rFonts w:hint="eastAsia"/>
          <w:b/>
          <w:bCs/>
          <w:sz w:val="21"/>
          <w:szCs w:val="21"/>
        </w:rPr>
        <w:t>(40)华金证券股份有限公司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01E6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64277">
            <w:pPr>
              <w:pStyle w:val="7"/>
            </w:pPr>
            <w:r>
              <w:rPr>
                <w:rFonts w:hint="eastAsia"/>
              </w:rPr>
              <w:t xml:space="preserve">注册地址： </w:t>
            </w:r>
          </w:p>
        </w:tc>
        <w:tc>
          <w:tcPr>
            <w:tcW w:w="7440" w:type="dxa"/>
            <w:shd w:val="clear" w:color="auto" w:fill="auto"/>
          </w:tcPr>
          <w:p w14:paraId="00751D37">
            <w:pPr>
              <w:pStyle w:val="7"/>
            </w:pPr>
            <w:r>
              <w:rPr>
                <w:rFonts w:hint="eastAsia"/>
              </w:rPr>
              <w:t xml:space="preserve">上海市静安区天目西路128号1902室 </w:t>
            </w:r>
          </w:p>
        </w:tc>
      </w:tr>
      <w:tr w14:paraId="7E9A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32F17">
            <w:pPr>
              <w:pStyle w:val="7"/>
            </w:pPr>
            <w:r>
              <w:rPr>
                <w:rFonts w:hint="eastAsia"/>
              </w:rPr>
              <w:t xml:space="preserve">办公地址： </w:t>
            </w:r>
          </w:p>
        </w:tc>
        <w:tc>
          <w:tcPr>
            <w:tcW w:w="7440" w:type="dxa"/>
            <w:shd w:val="clear" w:color="auto" w:fill="auto"/>
          </w:tcPr>
          <w:p w14:paraId="25FE4B0C">
            <w:pPr>
              <w:pStyle w:val="7"/>
            </w:pPr>
            <w:r>
              <w:rPr>
                <w:rFonts w:hint="eastAsia"/>
              </w:rPr>
              <w:t xml:space="preserve">上海市浦东新区杨高南路759号27层（陆家嘴世纪金融广场2号楼） </w:t>
            </w:r>
          </w:p>
        </w:tc>
      </w:tr>
      <w:tr w14:paraId="459CD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085274">
            <w:pPr>
              <w:pStyle w:val="7"/>
            </w:pPr>
            <w:r>
              <w:rPr>
                <w:rFonts w:hint="eastAsia"/>
              </w:rPr>
              <w:t xml:space="preserve">法定代表人： </w:t>
            </w:r>
          </w:p>
        </w:tc>
        <w:tc>
          <w:tcPr>
            <w:tcW w:w="7440" w:type="dxa"/>
            <w:shd w:val="clear" w:color="auto" w:fill="auto"/>
          </w:tcPr>
          <w:p w14:paraId="157B72BF">
            <w:pPr>
              <w:pStyle w:val="7"/>
            </w:pPr>
            <w:r>
              <w:rPr>
                <w:rFonts w:hint="eastAsia"/>
              </w:rPr>
              <w:t xml:space="preserve">燕文波 </w:t>
            </w:r>
          </w:p>
        </w:tc>
      </w:tr>
      <w:tr w14:paraId="6CEF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C7C21">
            <w:pPr>
              <w:pStyle w:val="7"/>
            </w:pPr>
            <w:r>
              <w:rPr>
                <w:rFonts w:hint="eastAsia"/>
              </w:rPr>
              <w:t xml:space="preserve">联系人： </w:t>
            </w:r>
          </w:p>
        </w:tc>
        <w:tc>
          <w:tcPr>
            <w:tcW w:w="7440" w:type="dxa"/>
            <w:shd w:val="clear" w:color="auto" w:fill="auto"/>
          </w:tcPr>
          <w:p w14:paraId="052B23F5">
            <w:pPr>
              <w:pStyle w:val="7"/>
            </w:pPr>
            <w:r>
              <w:rPr>
                <w:rFonts w:hint="eastAsia"/>
              </w:rPr>
              <w:t xml:space="preserve">秦臻 </w:t>
            </w:r>
          </w:p>
        </w:tc>
      </w:tr>
      <w:tr w14:paraId="559B3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BBD25">
            <w:pPr>
              <w:pStyle w:val="7"/>
            </w:pPr>
            <w:r>
              <w:rPr>
                <w:rFonts w:hint="eastAsia"/>
              </w:rPr>
              <w:t xml:space="preserve">电话： </w:t>
            </w:r>
          </w:p>
        </w:tc>
        <w:tc>
          <w:tcPr>
            <w:tcW w:w="7440" w:type="dxa"/>
            <w:shd w:val="clear" w:color="auto" w:fill="auto"/>
          </w:tcPr>
          <w:p w14:paraId="33F5A5BA">
            <w:pPr>
              <w:pStyle w:val="7"/>
            </w:pPr>
            <w:r>
              <w:rPr>
                <w:rFonts w:hint="eastAsia"/>
              </w:rPr>
              <w:t xml:space="preserve">021-20655588 </w:t>
            </w:r>
          </w:p>
        </w:tc>
      </w:tr>
      <w:tr w14:paraId="2427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2039A">
            <w:pPr>
              <w:pStyle w:val="7"/>
            </w:pPr>
            <w:r>
              <w:rPr>
                <w:rFonts w:hint="eastAsia"/>
              </w:rPr>
              <w:t xml:space="preserve">传真： </w:t>
            </w:r>
          </w:p>
        </w:tc>
        <w:tc>
          <w:tcPr>
            <w:tcW w:w="7440" w:type="dxa"/>
            <w:shd w:val="clear" w:color="auto" w:fill="auto"/>
          </w:tcPr>
          <w:p w14:paraId="3812EE0A">
            <w:pPr>
              <w:pStyle w:val="7"/>
            </w:pPr>
            <w:r>
              <w:rPr>
                <w:rFonts w:hint="eastAsia"/>
              </w:rPr>
              <w:t xml:space="preserve">021-50390850 </w:t>
            </w:r>
          </w:p>
        </w:tc>
      </w:tr>
      <w:tr w14:paraId="2F87A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08F24">
            <w:pPr>
              <w:pStyle w:val="7"/>
            </w:pPr>
            <w:r>
              <w:rPr>
                <w:rFonts w:hint="eastAsia"/>
              </w:rPr>
              <w:t xml:space="preserve">客户服务电话： </w:t>
            </w:r>
          </w:p>
        </w:tc>
        <w:tc>
          <w:tcPr>
            <w:tcW w:w="7440" w:type="dxa"/>
            <w:shd w:val="clear" w:color="auto" w:fill="auto"/>
          </w:tcPr>
          <w:p w14:paraId="3E219B8D">
            <w:pPr>
              <w:pStyle w:val="7"/>
            </w:pPr>
            <w:r>
              <w:rPr>
                <w:rFonts w:hint="eastAsia"/>
              </w:rPr>
              <w:t xml:space="preserve">956011 </w:t>
            </w:r>
          </w:p>
        </w:tc>
      </w:tr>
      <w:tr w14:paraId="783AA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450AC">
            <w:pPr>
              <w:pStyle w:val="7"/>
            </w:pPr>
            <w:r>
              <w:rPr>
                <w:rFonts w:hint="eastAsia"/>
              </w:rPr>
              <w:t xml:space="preserve">网址： </w:t>
            </w:r>
          </w:p>
        </w:tc>
        <w:tc>
          <w:tcPr>
            <w:tcW w:w="7440" w:type="dxa"/>
            <w:shd w:val="clear" w:color="auto" w:fill="auto"/>
          </w:tcPr>
          <w:p w14:paraId="10C85C60">
            <w:pPr>
              <w:pStyle w:val="7"/>
            </w:pPr>
            <w:r>
              <w:rPr>
                <w:rFonts w:hint="eastAsia"/>
              </w:rPr>
              <w:t xml:space="preserve">https://www.huajinsc.cn </w:t>
            </w:r>
          </w:p>
        </w:tc>
      </w:tr>
    </w:tbl>
    <w:p w14:paraId="32AA59A3">
      <w:pPr>
        <w:pStyle w:val="7"/>
        <w:spacing w:before="0" w:beforeAutospacing="0" w:after="0" w:afterAutospacing="0" w:line="360" w:lineRule="auto"/>
        <w:ind w:firstLine="420"/>
        <w:rPr>
          <w:sz w:val="21"/>
          <w:szCs w:val="21"/>
        </w:rPr>
      </w:pPr>
      <w:r>
        <w:rPr>
          <w:rFonts w:hint="eastAsia"/>
          <w:b/>
          <w:bCs/>
          <w:sz w:val="21"/>
          <w:szCs w:val="21"/>
        </w:rPr>
        <w:t>(41)联储证券股份有限公司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DDA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B73C31">
            <w:pPr>
              <w:pStyle w:val="7"/>
            </w:pPr>
            <w:r>
              <w:rPr>
                <w:rFonts w:hint="eastAsia"/>
              </w:rPr>
              <w:t xml:space="preserve">注册地址： </w:t>
            </w:r>
          </w:p>
        </w:tc>
        <w:tc>
          <w:tcPr>
            <w:tcW w:w="7440" w:type="dxa"/>
            <w:shd w:val="clear" w:color="auto" w:fill="auto"/>
          </w:tcPr>
          <w:p w14:paraId="4A1D7DB0">
            <w:pPr>
              <w:pStyle w:val="7"/>
            </w:pPr>
            <w:r>
              <w:rPr>
                <w:rFonts w:hint="eastAsia"/>
              </w:rPr>
              <w:t xml:space="preserve">深圳市福田区华强北路圣廷苑酒店B座26楼 </w:t>
            </w:r>
          </w:p>
        </w:tc>
      </w:tr>
      <w:tr w14:paraId="68E1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64D8A">
            <w:pPr>
              <w:pStyle w:val="7"/>
            </w:pPr>
            <w:r>
              <w:rPr>
                <w:rFonts w:hint="eastAsia"/>
              </w:rPr>
              <w:t xml:space="preserve">办公地址： </w:t>
            </w:r>
          </w:p>
        </w:tc>
        <w:tc>
          <w:tcPr>
            <w:tcW w:w="7440" w:type="dxa"/>
            <w:shd w:val="clear" w:color="auto" w:fill="auto"/>
          </w:tcPr>
          <w:p w14:paraId="637B8488">
            <w:pPr>
              <w:pStyle w:val="7"/>
            </w:pPr>
            <w:r>
              <w:rPr>
                <w:rFonts w:hint="eastAsia"/>
              </w:rPr>
              <w:t xml:space="preserve">深圳市福田区华强北路圣廷苑酒店B座26楼 </w:t>
            </w:r>
          </w:p>
        </w:tc>
      </w:tr>
      <w:tr w14:paraId="3066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7E43D">
            <w:pPr>
              <w:pStyle w:val="7"/>
            </w:pPr>
            <w:r>
              <w:rPr>
                <w:rFonts w:hint="eastAsia"/>
              </w:rPr>
              <w:t xml:space="preserve">法定代表人： </w:t>
            </w:r>
          </w:p>
        </w:tc>
        <w:tc>
          <w:tcPr>
            <w:tcW w:w="7440" w:type="dxa"/>
            <w:shd w:val="clear" w:color="auto" w:fill="auto"/>
          </w:tcPr>
          <w:p w14:paraId="71AF1401">
            <w:pPr>
              <w:pStyle w:val="7"/>
            </w:pPr>
            <w:r>
              <w:rPr>
                <w:rFonts w:hint="eastAsia"/>
              </w:rPr>
              <w:t xml:space="preserve">吕春卫 </w:t>
            </w:r>
          </w:p>
        </w:tc>
      </w:tr>
      <w:tr w14:paraId="04FE7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4EA69">
            <w:pPr>
              <w:pStyle w:val="7"/>
            </w:pPr>
            <w:r>
              <w:rPr>
                <w:rFonts w:hint="eastAsia"/>
              </w:rPr>
              <w:t xml:space="preserve">联系人： </w:t>
            </w:r>
          </w:p>
        </w:tc>
        <w:tc>
          <w:tcPr>
            <w:tcW w:w="7440" w:type="dxa"/>
            <w:shd w:val="clear" w:color="auto" w:fill="auto"/>
          </w:tcPr>
          <w:p w14:paraId="38C4235D">
            <w:pPr>
              <w:pStyle w:val="7"/>
            </w:pPr>
            <w:r>
              <w:rPr>
                <w:rFonts w:hint="eastAsia"/>
              </w:rPr>
              <w:t xml:space="preserve">张婉婷 </w:t>
            </w:r>
          </w:p>
        </w:tc>
      </w:tr>
      <w:tr w14:paraId="6852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6D29F6">
            <w:pPr>
              <w:pStyle w:val="7"/>
            </w:pPr>
            <w:r>
              <w:rPr>
                <w:rFonts w:hint="eastAsia"/>
              </w:rPr>
              <w:t xml:space="preserve">电话： </w:t>
            </w:r>
          </w:p>
        </w:tc>
        <w:tc>
          <w:tcPr>
            <w:tcW w:w="7440" w:type="dxa"/>
            <w:shd w:val="clear" w:color="auto" w:fill="auto"/>
          </w:tcPr>
          <w:p w14:paraId="3CD77102">
            <w:pPr>
              <w:pStyle w:val="7"/>
            </w:pPr>
            <w:r>
              <w:rPr>
                <w:rFonts w:hint="eastAsia"/>
              </w:rPr>
              <w:t xml:space="preserve">010-86499765  </w:t>
            </w:r>
          </w:p>
        </w:tc>
      </w:tr>
      <w:tr w14:paraId="6C4EF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1B9463">
            <w:pPr>
              <w:pStyle w:val="7"/>
            </w:pPr>
            <w:r>
              <w:rPr>
                <w:rFonts w:hint="eastAsia"/>
              </w:rPr>
              <w:t xml:space="preserve">传真： </w:t>
            </w:r>
          </w:p>
        </w:tc>
        <w:tc>
          <w:tcPr>
            <w:tcW w:w="7440" w:type="dxa"/>
            <w:shd w:val="clear" w:color="auto" w:fill="auto"/>
          </w:tcPr>
          <w:p w14:paraId="2588E5CD">
            <w:pPr>
              <w:pStyle w:val="7"/>
            </w:pPr>
            <w:r>
              <w:rPr>
                <w:rFonts w:hint="eastAsia"/>
              </w:rPr>
              <w:t xml:space="preserve">0755-82075835 </w:t>
            </w:r>
          </w:p>
        </w:tc>
      </w:tr>
      <w:tr w14:paraId="0F3AE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3A3B76">
            <w:pPr>
              <w:pStyle w:val="7"/>
            </w:pPr>
            <w:r>
              <w:rPr>
                <w:rFonts w:hint="eastAsia"/>
              </w:rPr>
              <w:t xml:space="preserve">客户服务电话： </w:t>
            </w:r>
          </w:p>
        </w:tc>
        <w:tc>
          <w:tcPr>
            <w:tcW w:w="7440" w:type="dxa"/>
            <w:shd w:val="clear" w:color="auto" w:fill="auto"/>
          </w:tcPr>
          <w:p w14:paraId="77194796">
            <w:pPr>
              <w:pStyle w:val="7"/>
            </w:pPr>
            <w:r>
              <w:rPr>
                <w:rFonts w:hint="eastAsia"/>
              </w:rPr>
              <w:t xml:space="preserve">4006206868/010-56177851 </w:t>
            </w:r>
          </w:p>
        </w:tc>
      </w:tr>
      <w:tr w14:paraId="27DF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8F371">
            <w:pPr>
              <w:pStyle w:val="7"/>
            </w:pPr>
            <w:r>
              <w:rPr>
                <w:rFonts w:hint="eastAsia"/>
              </w:rPr>
              <w:t xml:space="preserve">网址： </w:t>
            </w:r>
          </w:p>
        </w:tc>
        <w:tc>
          <w:tcPr>
            <w:tcW w:w="7440" w:type="dxa"/>
            <w:shd w:val="clear" w:color="auto" w:fill="auto"/>
          </w:tcPr>
          <w:p w14:paraId="393E0264">
            <w:pPr>
              <w:pStyle w:val="7"/>
            </w:pPr>
            <w:r>
              <w:rPr>
                <w:rFonts w:hint="eastAsia"/>
              </w:rPr>
              <w:t xml:space="preserve">http://www.lczq.com/ </w:t>
            </w:r>
          </w:p>
        </w:tc>
      </w:tr>
    </w:tbl>
    <w:p w14:paraId="091A7D92">
      <w:pPr>
        <w:rPr>
          <w:rFonts w:ascii="宋体" w:hAnsi="宋体" w:eastAsia="宋体"/>
          <w:sz w:val="24"/>
          <w:szCs w:val="24"/>
        </w:rPr>
      </w:pPr>
      <w:bookmarkStart w:id="58" w:name="field_0_allproxysaletables_1_end"/>
      <w:bookmarkEnd w:id="58"/>
      <w:r>
        <w:rPr>
          <w:rFonts w:ascii="宋体" w:hAnsi="宋体" w:eastAsia="宋体"/>
        </w:rPr>
        <w:t xml:space="preserve">  </w:t>
      </w:r>
    </w:p>
    <w:p w14:paraId="5208668C">
      <w:pPr>
        <w:pStyle w:val="7"/>
        <w:spacing w:before="0" w:beforeAutospacing="0" w:after="0" w:afterAutospacing="0" w:line="360" w:lineRule="auto"/>
        <w:ind w:firstLine="420"/>
        <w:rPr>
          <w:sz w:val="21"/>
          <w:szCs w:val="21"/>
        </w:rPr>
      </w:pPr>
      <w:r>
        <w:rPr>
          <w:rFonts w:hint="eastAsia"/>
          <w:sz w:val="21"/>
          <w:szCs w:val="21"/>
        </w:rPr>
        <w:t xml:space="preserve">2．二级市场交易代理券商    </w:t>
      </w:r>
    </w:p>
    <w:p w14:paraId="320AA97F">
      <w:pPr>
        <w:pStyle w:val="7"/>
        <w:spacing w:before="0" w:beforeAutospacing="0" w:after="0" w:afterAutospacing="0" w:line="360" w:lineRule="auto"/>
        <w:ind w:firstLine="420"/>
        <w:rPr>
          <w:sz w:val="21"/>
          <w:szCs w:val="21"/>
        </w:rPr>
      </w:pPr>
      <w:r>
        <w:rPr>
          <w:rFonts w:hint="eastAsia"/>
          <w:sz w:val="21"/>
          <w:szCs w:val="21"/>
        </w:rPr>
        <w:t xml:space="preserve">包括具有经纪业务资格及深圳证券交易所会员资格的所有证券公司。   </w:t>
      </w:r>
    </w:p>
    <w:p w14:paraId="1CD72485">
      <w:pPr>
        <w:pStyle w:val="7"/>
        <w:spacing w:before="0" w:beforeAutospacing="0" w:after="0" w:afterAutospacing="0" w:line="360" w:lineRule="auto"/>
        <w:ind w:firstLine="420"/>
        <w:rPr>
          <w:sz w:val="21"/>
          <w:szCs w:val="21"/>
        </w:rPr>
      </w:pPr>
      <w:r>
        <w:rPr>
          <w:rFonts w:hint="eastAsia"/>
          <w:sz w:val="21"/>
          <w:szCs w:val="21"/>
        </w:rPr>
        <w:t>3．基金管理人可根据有关法律法规，选择其他符合要求的机构代理发售本基金，并及</w:t>
      </w:r>
      <w:bookmarkStart w:id="59" w:name="chapter_level1_7_56_section_2_end"/>
      <w:bookmarkEnd w:id="59"/>
      <w:r>
        <w:rPr>
          <w:rFonts w:hint="eastAsia"/>
          <w:sz w:val="21"/>
          <w:szCs w:val="21"/>
        </w:rPr>
        <w:t xml:space="preserve">时公告。 </w:t>
      </w:r>
    </w:p>
    <w:p w14:paraId="4BF1CE9D">
      <w:pPr>
        <w:pStyle w:val="7"/>
        <w:spacing w:before="0" w:beforeAutospacing="0" w:after="0" w:afterAutospacing="0" w:line="360" w:lineRule="auto"/>
        <w:ind w:firstLine="420"/>
        <w:rPr>
          <w:sz w:val="21"/>
          <w:szCs w:val="21"/>
        </w:rPr>
      </w:pPr>
      <w:bookmarkStart w:id="60" w:name="chapter_level1_7_56_section_3"/>
      <w:bookmarkEnd w:id="60"/>
      <w:r>
        <w:rPr>
          <w:rStyle w:val="11"/>
          <w:rFonts w:hint="eastAsia"/>
          <w:sz w:val="21"/>
          <w:szCs w:val="21"/>
        </w:rPr>
        <w:t>二、登记机构</w:t>
      </w:r>
    </w:p>
    <w:p w14:paraId="3649240A">
      <w:pPr>
        <w:pStyle w:val="7"/>
        <w:spacing w:before="0" w:beforeAutospacing="0" w:after="0" w:afterAutospacing="0" w:line="360" w:lineRule="auto"/>
        <w:ind w:firstLine="420"/>
        <w:rPr>
          <w:sz w:val="21"/>
          <w:szCs w:val="21"/>
        </w:rPr>
      </w:pPr>
      <w:bookmarkStart w:id="61" w:name="field_0_registercompanyinfo_1_start"/>
      <w:bookmarkEnd w:id="61"/>
      <w:r>
        <w:rPr>
          <w:rFonts w:hint="eastAsia"/>
          <w:sz w:val="21"/>
          <w:szCs w:val="21"/>
        </w:rPr>
        <w:t xml:space="preserve">名称：中国证券登记结算有限责任公司  </w:t>
      </w:r>
    </w:p>
    <w:p w14:paraId="6681A1E1">
      <w:pPr>
        <w:pStyle w:val="7"/>
        <w:spacing w:before="0" w:beforeAutospacing="0" w:after="0" w:afterAutospacing="0" w:line="360" w:lineRule="auto"/>
        <w:ind w:firstLine="420"/>
        <w:rPr>
          <w:sz w:val="21"/>
          <w:szCs w:val="21"/>
        </w:rPr>
      </w:pPr>
      <w:r>
        <w:rPr>
          <w:rFonts w:hint="eastAsia"/>
          <w:sz w:val="21"/>
          <w:szCs w:val="21"/>
        </w:rPr>
        <w:t xml:space="preserve">注册地址：北京市西城区太平桥大街17号 </w:t>
      </w:r>
    </w:p>
    <w:p w14:paraId="70D0EF80">
      <w:pPr>
        <w:pStyle w:val="7"/>
        <w:spacing w:before="0" w:beforeAutospacing="0" w:after="0" w:afterAutospacing="0" w:line="360" w:lineRule="auto"/>
        <w:ind w:firstLine="420"/>
        <w:rPr>
          <w:sz w:val="21"/>
          <w:szCs w:val="21"/>
        </w:rPr>
      </w:pPr>
      <w:r>
        <w:rPr>
          <w:rFonts w:hint="eastAsia"/>
          <w:sz w:val="21"/>
          <w:szCs w:val="21"/>
        </w:rPr>
        <w:t xml:space="preserve">办公地址：北京市西城区太平桥大街17号 </w:t>
      </w:r>
    </w:p>
    <w:p w14:paraId="4E9B07D3">
      <w:pPr>
        <w:pStyle w:val="7"/>
        <w:spacing w:before="0" w:beforeAutospacing="0" w:after="0" w:afterAutospacing="0" w:line="360" w:lineRule="auto"/>
        <w:ind w:firstLine="420"/>
        <w:rPr>
          <w:sz w:val="21"/>
          <w:szCs w:val="21"/>
        </w:rPr>
      </w:pPr>
      <w:r>
        <w:rPr>
          <w:rFonts w:hint="eastAsia"/>
          <w:sz w:val="21"/>
          <w:szCs w:val="21"/>
        </w:rPr>
        <w:t xml:space="preserve">法定代表人：于文强 </w:t>
      </w:r>
    </w:p>
    <w:p w14:paraId="3E1AA536">
      <w:pPr>
        <w:pStyle w:val="7"/>
        <w:spacing w:before="0" w:beforeAutospacing="0" w:after="0" w:afterAutospacing="0" w:line="360" w:lineRule="auto"/>
        <w:ind w:firstLine="420"/>
        <w:rPr>
          <w:sz w:val="21"/>
          <w:szCs w:val="21"/>
        </w:rPr>
      </w:pPr>
      <w:r>
        <w:rPr>
          <w:rFonts w:hint="eastAsia"/>
          <w:sz w:val="21"/>
          <w:szCs w:val="21"/>
        </w:rPr>
        <w:t xml:space="preserve">电  话：0755-25946013 </w:t>
      </w:r>
    </w:p>
    <w:p w14:paraId="573169CE">
      <w:pPr>
        <w:pStyle w:val="7"/>
        <w:spacing w:before="0" w:beforeAutospacing="0" w:after="0" w:afterAutospacing="0" w:line="360" w:lineRule="auto"/>
        <w:ind w:firstLine="420"/>
        <w:rPr>
          <w:sz w:val="21"/>
          <w:szCs w:val="21"/>
        </w:rPr>
      </w:pPr>
      <w:r>
        <w:rPr>
          <w:rFonts w:hint="eastAsia"/>
          <w:sz w:val="21"/>
          <w:szCs w:val="21"/>
        </w:rPr>
        <w:t xml:space="preserve">传  真：0755-25987122 </w:t>
      </w:r>
    </w:p>
    <w:p w14:paraId="590E0969">
      <w:pPr>
        <w:pStyle w:val="7"/>
        <w:spacing w:before="0" w:beforeAutospacing="0" w:after="0" w:afterAutospacing="0" w:line="360" w:lineRule="auto"/>
        <w:ind w:firstLine="420"/>
        <w:rPr>
          <w:sz w:val="21"/>
          <w:szCs w:val="21"/>
        </w:rPr>
      </w:pPr>
      <w:r>
        <w:rPr>
          <w:rFonts w:hint="eastAsia"/>
          <w:sz w:val="21"/>
          <w:szCs w:val="21"/>
        </w:rPr>
        <w:t xml:space="preserve">联系人：严峰 </w:t>
      </w:r>
      <w:bookmarkStart w:id="62" w:name="field_0_registercompanyinfo_1_end"/>
      <w:bookmarkEnd w:id="62"/>
      <w:r>
        <w:rPr>
          <w:rFonts w:hint="eastAsia"/>
          <w:sz w:val="21"/>
          <w:szCs w:val="21"/>
        </w:rPr>
        <w:t xml:space="preserve">  </w:t>
      </w:r>
    </w:p>
    <w:p w14:paraId="53939C4F">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A1320DB">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6611CD0F">
      <w:pPr>
        <w:pStyle w:val="7"/>
        <w:spacing w:before="0" w:beforeAutospacing="0" w:after="0" w:afterAutospacing="0" w:line="360" w:lineRule="auto"/>
        <w:ind w:firstLine="420"/>
        <w:rPr>
          <w:sz w:val="21"/>
          <w:szCs w:val="21"/>
        </w:rPr>
      </w:pPr>
      <w:r>
        <w:rPr>
          <w:rFonts w:hint="eastAsia"/>
          <w:sz w:val="21"/>
          <w:szCs w:val="21"/>
        </w:rPr>
        <w:t xml:space="preserve">注册地址：上海市浦东新区浦东南路256号华夏银行大厦14楼 </w:t>
      </w:r>
    </w:p>
    <w:p w14:paraId="4164A5CB">
      <w:pPr>
        <w:pStyle w:val="7"/>
        <w:spacing w:before="0" w:beforeAutospacing="0" w:after="0" w:afterAutospacing="0" w:line="360" w:lineRule="auto"/>
        <w:ind w:firstLine="420"/>
        <w:rPr>
          <w:sz w:val="21"/>
          <w:szCs w:val="21"/>
        </w:rPr>
      </w:pPr>
      <w:r>
        <w:rPr>
          <w:rFonts w:hint="eastAsia"/>
          <w:sz w:val="21"/>
          <w:szCs w:val="21"/>
        </w:rPr>
        <w:t xml:space="preserve">办公地址：上海市浦东新区浦东南路256号华夏银行大厦14楼 </w:t>
      </w:r>
    </w:p>
    <w:p w14:paraId="6D66FB40">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609322A5">
      <w:pPr>
        <w:pStyle w:val="7"/>
        <w:spacing w:before="0" w:beforeAutospacing="0" w:after="0" w:afterAutospacing="0" w:line="360" w:lineRule="auto"/>
        <w:ind w:firstLine="420"/>
        <w:rPr>
          <w:sz w:val="21"/>
          <w:szCs w:val="21"/>
        </w:rPr>
      </w:pPr>
      <w:r>
        <w:rPr>
          <w:rFonts w:hint="eastAsia"/>
          <w:sz w:val="21"/>
          <w:szCs w:val="21"/>
        </w:rPr>
        <w:t xml:space="preserve">电话： 021- 51150298 </w:t>
      </w:r>
    </w:p>
    <w:p w14:paraId="546791E2">
      <w:pPr>
        <w:pStyle w:val="7"/>
        <w:spacing w:before="0" w:beforeAutospacing="0" w:after="0" w:afterAutospacing="0" w:line="360" w:lineRule="auto"/>
        <w:ind w:firstLine="420"/>
        <w:rPr>
          <w:sz w:val="21"/>
          <w:szCs w:val="21"/>
        </w:rPr>
      </w:pPr>
      <w:r>
        <w:rPr>
          <w:rFonts w:hint="eastAsia"/>
          <w:sz w:val="21"/>
          <w:szCs w:val="21"/>
        </w:rPr>
        <w:t xml:space="preserve">传真： 021- 51150398 </w:t>
      </w:r>
    </w:p>
    <w:p w14:paraId="055B556C">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6CFAA965">
      <w:pPr>
        <w:pStyle w:val="7"/>
        <w:spacing w:before="0" w:beforeAutospacing="0" w:after="0" w:afterAutospacing="0" w:line="360" w:lineRule="auto"/>
        <w:ind w:firstLine="420"/>
        <w:rPr>
          <w:sz w:val="21"/>
          <w:szCs w:val="21"/>
        </w:rPr>
      </w:pPr>
      <w:r>
        <w:rPr>
          <w:rFonts w:hint="eastAsia"/>
          <w:sz w:val="21"/>
          <w:szCs w:val="21"/>
        </w:rPr>
        <w:t xml:space="preserve">经办律师：廖海、刘佳 </w:t>
      </w:r>
    </w:p>
    <w:p w14:paraId="5B85847B">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B0BAA99">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63" w:name="field_0_verifyaccountorgfullname_1"/>
      <w:r>
        <w:rPr>
          <w:rFonts w:hint="eastAsia"/>
          <w:sz w:val="21"/>
          <w:szCs w:val="21"/>
        </w:rPr>
        <w:t>安永华明会计师事务所（特殊普通合伙）</w:t>
      </w:r>
      <w:bookmarkEnd w:id="63"/>
      <w:r>
        <w:rPr>
          <w:rFonts w:hint="eastAsia"/>
          <w:sz w:val="21"/>
          <w:szCs w:val="21"/>
        </w:rPr>
        <w:t xml:space="preserve">  </w:t>
      </w:r>
    </w:p>
    <w:p w14:paraId="2D5A73DB">
      <w:pPr>
        <w:pStyle w:val="7"/>
        <w:spacing w:before="0" w:beforeAutospacing="0" w:after="0" w:afterAutospacing="0" w:line="360" w:lineRule="auto"/>
        <w:ind w:firstLine="420"/>
        <w:rPr>
          <w:sz w:val="21"/>
          <w:szCs w:val="21"/>
        </w:rPr>
      </w:pPr>
      <w:bookmarkStart w:id="64" w:name="field_0_verifyaccountcompanyinfo_1_start"/>
      <w:bookmarkEnd w:id="64"/>
      <w:r>
        <w:rPr>
          <w:rFonts w:hint="eastAsia"/>
          <w:sz w:val="21"/>
          <w:szCs w:val="21"/>
        </w:rPr>
        <w:t xml:space="preserve">名称：安永华明会计师事务所（特殊普通合伙） </w:t>
      </w:r>
    </w:p>
    <w:p w14:paraId="2A54E080">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7353377E">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347C581">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7E2B2139">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5E8B73C1">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2D11C86B">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2241D5BF">
      <w:pPr>
        <w:pStyle w:val="7"/>
        <w:spacing w:before="0" w:beforeAutospacing="0" w:after="0" w:afterAutospacing="0" w:line="360" w:lineRule="auto"/>
        <w:ind w:firstLine="420"/>
        <w:rPr>
          <w:sz w:val="21"/>
          <w:szCs w:val="21"/>
        </w:rPr>
      </w:pPr>
      <w:r>
        <w:rPr>
          <w:rFonts w:hint="eastAsia"/>
          <w:sz w:val="21"/>
          <w:szCs w:val="21"/>
        </w:rPr>
        <w:t xml:space="preserve">联系人：朱燕 </w:t>
      </w:r>
      <w:bookmarkStart w:id="65" w:name="field_0_verifyaccountcompanyinfo_1_end"/>
      <w:bookmarkEnd w:id="65"/>
      <w:r>
        <w:rPr>
          <w:rFonts w:hint="eastAsia"/>
          <w:sz w:val="21"/>
          <w:szCs w:val="21"/>
        </w:rPr>
        <w:t xml:space="preserve">  </w:t>
      </w:r>
    </w:p>
    <w:p w14:paraId="652917AC">
      <w:pPr>
        <w:pStyle w:val="7"/>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6" w:name="field_0_accountingorgfullname_1"/>
      <w:r>
        <w:rPr>
          <w:rFonts w:hint="eastAsia"/>
          <w:sz w:val="21"/>
          <w:szCs w:val="21"/>
        </w:rPr>
        <w:t>容诚会计师事务所</w:t>
      </w:r>
      <w:r>
        <w:rPr>
          <w:sz w:val="21"/>
          <w:szCs w:val="21"/>
        </w:rPr>
        <w:t>(特殊普通合伙)</w:t>
      </w:r>
      <w:bookmarkEnd w:id="66"/>
      <w:r>
        <w:rPr>
          <w:rFonts w:hint="eastAsia"/>
          <w:sz w:val="21"/>
          <w:szCs w:val="21"/>
        </w:rPr>
        <w:t xml:space="preserve">  </w:t>
      </w:r>
    </w:p>
    <w:p w14:paraId="6E3ED4D7">
      <w:pPr>
        <w:pStyle w:val="7"/>
        <w:spacing w:before="0" w:beforeAutospacing="0" w:after="0" w:afterAutospacing="0" w:line="360" w:lineRule="auto"/>
        <w:ind w:firstLine="420"/>
        <w:rPr>
          <w:sz w:val="21"/>
          <w:szCs w:val="21"/>
        </w:rPr>
      </w:pPr>
      <w:bookmarkStart w:id="67" w:name="field_0_accountingcompanyinfo_1_start"/>
      <w:bookmarkEnd w:id="67"/>
      <w:r>
        <w:rPr>
          <w:rFonts w:hint="eastAsia"/>
          <w:sz w:val="21"/>
          <w:szCs w:val="21"/>
        </w:rPr>
        <w:t xml:space="preserve">名称：容诚会计师事务所（特殊普通合伙） </w:t>
      </w:r>
    </w:p>
    <w:p w14:paraId="54D9E87A">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7EAF7A3E">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1921484F">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62806EB4">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0A8FFEB6">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1EEA3351">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74DAE32C">
      <w:pPr>
        <w:pStyle w:val="7"/>
        <w:spacing w:before="0" w:beforeAutospacing="0" w:after="0" w:afterAutospacing="0" w:line="360" w:lineRule="auto"/>
        <w:ind w:firstLine="420"/>
        <w:rPr>
          <w:sz w:val="21"/>
          <w:szCs w:val="21"/>
        </w:rPr>
      </w:pPr>
      <w:bookmarkStart w:id="68" w:name="chapter_level1_7_56_section_3_end"/>
      <w:bookmarkEnd w:id="68"/>
      <w:r>
        <w:rPr>
          <w:rFonts w:hint="eastAsia"/>
          <w:sz w:val="21"/>
          <w:szCs w:val="21"/>
        </w:rPr>
        <w:t xml:space="preserve">经办注册会计师：薛竞 吴琳杰 </w:t>
      </w:r>
      <w:bookmarkStart w:id="69" w:name="field_0_accountingcompanyinfo_1_end"/>
      <w:bookmarkEnd w:id="69"/>
      <w:r>
        <w:rPr>
          <w:rFonts w:hint="eastAsia"/>
          <w:sz w:val="21"/>
          <w:szCs w:val="21"/>
        </w:rPr>
        <w:t xml:space="preserve">  </w:t>
      </w:r>
    </w:p>
    <w:p w14:paraId="75135355">
      <w:pPr>
        <w:widowControl/>
        <w:jc w:val="left"/>
        <w:rPr>
          <w:rFonts w:ascii="宋体" w:hAnsi="宋体" w:eastAsia="宋体"/>
        </w:rPr>
      </w:pPr>
      <w:r>
        <w:rPr>
          <w:rFonts w:ascii="宋体" w:hAnsi="宋体" w:eastAsia="宋体"/>
        </w:rPr>
        <w:br w:type="page"/>
      </w:r>
    </w:p>
    <w:p w14:paraId="26A3AC96">
      <w:pPr>
        <w:pStyle w:val="2"/>
        <w:jc w:val="center"/>
        <w:rPr>
          <w:rFonts w:ascii="宋体" w:hAnsi="宋体" w:eastAsia="宋体"/>
          <w:sz w:val="30"/>
        </w:rPr>
      </w:pPr>
      <w:bookmarkStart w:id="70" w:name="chapter_level1_9_58"/>
      <w:bookmarkStart w:id="71" w:name="_Toc207950929"/>
      <w:r>
        <w:rPr>
          <w:rFonts w:hint="eastAsia" w:ascii="宋体" w:hAnsi="宋体" w:eastAsia="宋体"/>
          <w:sz w:val="30"/>
        </w:rPr>
        <w:t>第六部分 基金的募集与基金合同的生效</w:t>
      </w:r>
      <w:bookmarkEnd w:id="70"/>
      <w:bookmarkEnd w:id="71"/>
    </w:p>
    <w:p w14:paraId="0A2446D2">
      <w:pPr>
        <w:pStyle w:val="7"/>
        <w:spacing w:before="0" w:beforeAutospacing="0" w:after="0" w:afterAutospacing="0" w:line="360" w:lineRule="auto"/>
        <w:ind w:firstLine="420"/>
        <w:rPr>
          <w:sz w:val="21"/>
          <w:szCs w:val="21"/>
        </w:rPr>
      </w:pPr>
      <w:bookmarkStart w:id="72" w:name="chapter_level1_9_58_section_1"/>
      <w:bookmarkEnd w:id="72"/>
      <w:r>
        <w:rPr>
          <w:rFonts w:hint="eastAsia"/>
          <w:b/>
          <w:bCs/>
          <w:sz w:val="21"/>
          <w:szCs w:val="21"/>
        </w:rPr>
        <w:t>一．基金的募集</w:t>
      </w:r>
    </w:p>
    <w:p w14:paraId="3CBCD604">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3" w:name="field_2343_approveddate_1"/>
      <w:r>
        <w:rPr>
          <w:sz w:val="21"/>
          <w:szCs w:val="21"/>
        </w:rPr>
        <w:t>2024年1月2日</w:t>
      </w:r>
      <w:bookmarkEnd w:id="73"/>
      <w:r>
        <w:rPr>
          <w:rFonts w:hint="eastAsia"/>
          <w:sz w:val="21"/>
          <w:szCs w:val="21"/>
        </w:rPr>
        <w:t>证监许可</w:t>
      </w:r>
      <w:bookmarkStart w:id="74" w:name="field_2343_lotnumber_1"/>
      <w:r>
        <w:rPr>
          <w:sz w:val="21"/>
          <w:szCs w:val="21"/>
        </w:rPr>
        <w:t>[2024]6</w:t>
      </w:r>
      <w:bookmarkEnd w:id="74"/>
      <w:r>
        <w:rPr>
          <w:rFonts w:hint="eastAsia"/>
          <w:sz w:val="21"/>
          <w:szCs w:val="21"/>
        </w:rPr>
        <w:t xml:space="preserve">号文准予募集注册。 </w:t>
      </w:r>
    </w:p>
    <w:p w14:paraId="2E2DE593">
      <w:pPr>
        <w:pStyle w:val="7"/>
        <w:spacing w:before="0" w:beforeAutospacing="0" w:after="0" w:afterAutospacing="0" w:line="360" w:lineRule="auto"/>
        <w:ind w:firstLine="420"/>
        <w:rPr>
          <w:sz w:val="21"/>
          <w:szCs w:val="21"/>
        </w:rPr>
      </w:pPr>
      <w:r>
        <w:rPr>
          <w:rFonts w:hint="eastAsia"/>
          <w:sz w:val="21"/>
          <w:szCs w:val="21"/>
        </w:rPr>
        <w:t>本基金募集期自</w:t>
      </w:r>
      <w:bookmarkStart w:id="75" w:name="field_58_raisebegindate_1"/>
      <w:r>
        <w:rPr>
          <w:sz w:val="21"/>
          <w:szCs w:val="21"/>
        </w:rPr>
        <w:t>2024年3月18日</w:t>
      </w:r>
      <w:bookmarkEnd w:id="75"/>
      <w:r>
        <w:rPr>
          <w:rFonts w:hint="eastAsia"/>
          <w:sz w:val="21"/>
          <w:szCs w:val="21"/>
        </w:rPr>
        <w:t>至</w:t>
      </w:r>
      <w:bookmarkStart w:id="76" w:name="field_58_raiseenddate_1"/>
      <w:r>
        <w:rPr>
          <w:sz w:val="21"/>
          <w:szCs w:val="21"/>
        </w:rPr>
        <w:t>2024年3月29日</w:t>
      </w:r>
      <w:bookmarkEnd w:id="76"/>
      <w:r>
        <w:rPr>
          <w:rFonts w:hint="eastAsia"/>
          <w:sz w:val="21"/>
          <w:szCs w:val="21"/>
        </w:rPr>
        <w:t>期间，基金份额共募集</w:t>
      </w:r>
      <w:bookmarkStart w:id="77" w:name="field_58_raisetotal_1"/>
      <w:r>
        <w:rPr>
          <w:sz w:val="21"/>
          <w:szCs w:val="21"/>
        </w:rPr>
        <w:t>276,121,621.00</w:t>
      </w:r>
      <w:bookmarkEnd w:id="77"/>
      <w:r>
        <w:rPr>
          <w:rFonts w:hint="eastAsia"/>
          <w:sz w:val="21"/>
          <w:szCs w:val="21"/>
        </w:rPr>
        <w:t>份（含利息结转的份额），募集有效认购总户数为</w:t>
      </w:r>
      <w:bookmarkStart w:id="78" w:name="field_58_effectivetotal_1"/>
      <w:r>
        <w:rPr>
          <w:sz w:val="21"/>
          <w:szCs w:val="21"/>
        </w:rPr>
        <w:t>2811</w:t>
      </w:r>
      <w:bookmarkEnd w:id="78"/>
      <w:r>
        <w:rPr>
          <w:rFonts w:hint="eastAsia"/>
          <w:sz w:val="21"/>
          <w:szCs w:val="21"/>
        </w:rPr>
        <w:t xml:space="preserve">户。 </w:t>
      </w:r>
    </w:p>
    <w:p w14:paraId="6D3F4F82">
      <w:pPr>
        <w:pStyle w:val="7"/>
        <w:spacing w:before="0" w:beforeAutospacing="0" w:after="0" w:afterAutospacing="0" w:line="360" w:lineRule="auto"/>
        <w:ind w:firstLine="420"/>
        <w:rPr>
          <w:sz w:val="21"/>
          <w:szCs w:val="21"/>
        </w:rPr>
      </w:pPr>
      <w:r>
        <w:rPr>
          <w:rFonts w:hint="eastAsia"/>
          <w:sz w:val="21"/>
          <w:szCs w:val="21"/>
        </w:rPr>
        <w:t>本基金的运作方式为</w:t>
      </w:r>
      <w:bookmarkStart w:id="79" w:name="field_58_operation_1"/>
      <w:r>
        <w:rPr>
          <w:rFonts w:hint="eastAsia"/>
          <w:sz w:val="21"/>
          <w:szCs w:val="21"/>
        </w:rPr>
        <w:t>交易型开放式</w:t>
      </w:r>
      <w:bookmarkEnd w:id="79"/>
      <w:r>
        <w:rPr>
          <w:rFonts w:hint="eastAsia"/>
          <w:sz w:val="21"/>
          <w:szCs w:val="21"/>
        </w:rPr>
        <w:t>，存续期间为</w:t>
      </w:r>
      <w:bookmarkStart w:id="80" w:name="field_58_duration_1"/>
      <w:r>
        <w:rPr>
          <w:rFonts w:hint="eastAsia"/>
          <w:sz w:val="21"/>
          <w:szCs w:val="21"/>
        </w:rPr>
        <w:t>不定期</w:t>
      </w:r>
      <w:bookmarkEnd w:id="80"/>
      <w:r>
        <w:rPr>
          <w:rFonts w:hint="eastAsia"/>
          <w:sz w:val="21"/>
          <w:szCs w:val="21"/>
        </w:rPr>
        <w:t xml:space="preserve">。 </w:t>
      </w:r>
    </w:p>
    <w:p w14:paraId="17F45BF0">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2DABC111">
      <w:pPr>
        <w:pStyle w:val="7"/>
        <w:spacing w:before="0" w:beforeAutospacing="0" w:after="0" w:afterAutospacing="0" w:line="360" w:lineRule="auto"/>
        <w:ind w:firstLine="420"/>
        <w:rPr>
          <w:sz w:val="21"/>
          <w:szCs w:val="21"/>
        </w:rPr>
      </w:pPr>
      <w:bookmarkStart w:id="81" w:name="chapter_level1_9_58_section_1_end"/>
      <w:bookmarkEnd w:id="81"/>
      <w:r>
        <w:rPr>
          <w:rFonts w:hint="eastAsia"/>
          <w:sz w:val="21"/>
          <w:szCs w:val="21"/>
        </w:rPr>
        <w:t>本基金的基金合同已于</w:t>
      </w:r>
      <w:bookmarkStart w:id="82" w:name="field_0_foundday_1"/>
      <w:r>
        <w:rPr>
          <w:sz w:val="21"/>
          <w:szCs w:val="21"/>
        </w:rPr>
        <w:t>2024年4月8日</w:t>
      </w:r>
      <w:bookmarkEnd w:id="82"/>
      <w:r>
        <w:rPr>
          <w:rFonts w:hint="eastAsia"/>
          <w:sz w:val="21"/>
          <w:szCs w:val="21"/>
        </w:rPr>
        <w:t xml:space="preserve">正式生效。 </w:t>
      </w:r>
    </w:p>
    <w:p w14:paraId="19042DA3">
      <w:pPr>
        <w:pStyle w:val="7"/>
        <w:spacing w:before="0" w:beforeAutospacing="0" w:after="0" w:afterAutospacing="0" w:line="360" w:lineRule="auto"/>
        <w:ind w:firstLine="420"/>
        <w:rPr>
          <w:sz w:val="21"/>
          <w:szCs w:val="21"/>
        </w:rPr>
      </w:pPr>
      <w:bookmarkStart w:id="83" w:name="chapter_level1_9_58_section_2"/>
      <w:bookmarkEnd w:id="83"/>
      <w:r>
        <w:rPr>
          <w:rStyle w:val="11"/>
          <w:rFonts w:hint="eastAsia"/>
          <w:sz w:val="21"/>
          <w:szCs w:val="21"/>
        </w:rPr>
        <w:t>三、基金存续期内的基金份额持有人数量和资产规模</w:t>
      </w:r>
    </w:p>
    <w:p w14:paraId="46EDEEE9">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3C019B7B">
      <w:pPr>
        <w:pStyle w:val="7"/>
        <w:spacing w:before="0" w:beforeAutospacing="0" w:after="0" w:afterAutospacing="0" w:line="360" w:lineRule="auto"/>
        <w:ind w:firstLine="420"/>
        <w:rPr>
          <w:sz w:val="21"/>
          <w:szCs w:val="21"/>
        </w:rPr>
      </w:pPr>
      <w:bookmarkStart w:id="84" w:name="chapter_level1_9_58_section_2_end"/>
      <w:bookmarkEnd w:id="84"/>
      <w:r>
        <w:rPr>
          <w:rFonts w:hint="eastAsia"/>
          <w:sz w:val="21"/>
          <w:szCs w:val="21"/>
        </w:rPr>
        <w:t xml:space="preserve">法律法规或中国证监会另有规定时，从其规定。 </w:t>
      </w:r>
    </w:p>
    <w:p w14:paraId="1CEEED68">
      <w:pPr>
        <w:widowControl/>
        <w:jc w:val="left"/>
        <w:rPr>
          <w:rFonts w:ascii="宋体" w:hAnsi="宋体" w:eastAsia="宋体"/>
        </w:rPr>
      </w:pPr>
      <w:r>
        <w:rPr>
          <w:rFonts w:ascii="宋体" w:hAnsi="宋体" w:eastAsia="宋体"/>
        </w:rPr>
        <w:br w:type="page"/>
      </w:r>
    </w:p>
    <w:p w14:paraId="751C1DBB">
      <w:pPr>
        <w:pStyle w:val="2"/>
        <w:jc w:val="center"/>
        <w:rPr>
          <w:rFonts w:ascii="宋体" w:hAnsi="宋体" w:eastAsia="宋体"/>
          <w:sz w:val="30"/>
        </w:rPr>
      </w:pPr>
      <w:bookmarkStart w:id="85" w:name="chapter_level1_10_81356"/>
      <w:bookmarkStart w:id="86" w:name="_Toc207950930"/>
      <w:r>
        <w:rPr>
          <w:rFonts w:hint="eastAsia" w:ascii="宋体" w:hAnsi="宋体" w:eastAsia="宋体"/>
          <w:sz w:val="30"/>
        </w:rPr>
        <w:t>第七部分  基金的份额折算与变更登记</w:t>
      </w:r>
      <w:bookmarkEnd w:id="85"/>
      <w:bookmarkEnd w:id="86"/>
    </w:p>
    <w:p w14:paraId="7CDC37A8">
      <w:pPr>
        <w:pStyle w:val="7"/>
        <w:spacing w:before="0" w:beforeAutospacing="0" w:after="0" w:afterAutospacing="0" w:line="360" w:lineRule="auto"/>
        <w:ind w:firstLine="420"/>
        <w:rPr>
          <w:sz w:val="21"/>
          <w:szCs w:val="21"/>
        </w:rPr>
      </w:pPr>
      <w:bookmarkStart w:id="87" w:name="chapter_level1_10_81356_section_1"/>
      <w:bookmarkEnd w:id="87"/>
      <w:r>
        <w:rPr>
          <w:rFonts w:hint="eastAsia"/>
          <w:sz w:val="21"/>
          <w:szCs w:val="21"/>
        </w:rPr>
        <w:t xml:space="preserve">基金合同生效后，本基金可以进行份额折算。 </w:t>
      </w:r>
    </w:p>
    <w:p w14:paraId="671A6147">
      <w:pPr>
        <w:pStyle w:val="7"/>
        <w:spacing w:before="0" w:beforeAutospacing="0" w:after="0" w:afterAutospacing="0" w:line="360" w:lineRule="auto"/>
        <w:ind w:firstLine="420"/>
        <w:rPr>
          <w:sz w:val="21"/>
          <w:szCs w:val="21"/>
        </w:rPr>
      </w:pPr>
      <w:r>
        <w:rPr>
          <w:rStyle w:val="11"/>
          <w:rFonts w:hint="eastAsia"/>
          <w:sz w:val="21"/>
          <w:szCs w:val="21"/>
        </w:rPr>
        <w:t>一、基金份额折算的时间</w:t>
      </w:r>
    </w:p>
    <w:p w14:paraId="61D3A86D">
      <w:pPr>
        <w:pStyle w:val="7"/>
        <w:spacing w:before="0" w:beforeAutospacing="0" w:after="0" w:afterAutospacing="0" w:line="360" w:lineRule="auto"/>
        <w:ind w:firstLine="420"/>
        <w:rPr>
          <w:sz w:val="21"/>
          <w:szCs w:val="21"/>
        </w:rPr>
      </w:pPr>
      <w:r>
        <w:rPr>
          <w:rFonts w:hint="eastAsia"/>
          <w:sz w:val="21"/>
          <w:szCs w:val="21"/>
        </w:rPr>
        <w:t xml:space="preserve">基金管理人应事先确定基金份额折算日，并依照《信息披露办法》的有关规定进行公告。 </w:t>
      </w:r>
    </w:p>
    <w:p w14:paraId="268FD9EE">
      <w:pPr>
        <w:pStyle w:val="7"/>
        <w:spacing w:before="0" w:beforeAutospacing="0" w:after="0" w:afterAutospacing="0" w:line="360" w:lineRule="auto"/>
        <w:ind w:firstLine="420"/>
        <w:rPr>
          <w:sz w:val="21"/>
          <w:szCs w:val="21"/>
        </w:rPr>
      </w:pPr>
      <w:r>
        <w:rPr>
          <w:rStyle w:val="11"/>
          <w:rFonts w:hint="eastAsia"/>
          <w:sz w:val="21"/>
          <w:szCs w:val="21"/>
        </w:rPr>
        <w:t>二、基金份额折算的原则</w:t>
      </w:r>
    </w:p>
    <w:p w14:paraId="6B57E9C3">
      <w:pPr>
        <w:pStyle w:val="7"/>
        <w:spacing w:before="0" w:beforeAutospacing="0" w:after="0" w:afterAutospacing="0" w:line="360" w:lineRule="auto"/>
        <w:ind w:firstLine="420"/>
        <w:rPr>
          <w:sz w:val="21"/>
          <w:szCs w:val="21"/>
        </w:rPr>
      </w:pPr>
      <w:r>
        <w:rPr>
          <w:rFonts w:hint="eastAsia"/>
          <w:sz w:val="21"/>
          <w:szCs w:val="21"/>
        </w:rPr>
        <w:t xml:space="preserve">基金份额折算由基金管理人向登记机构申请办理，并由登记机构进行基金份额的变更登记。基金份额折算的比例和具体安排见基金管理人届时发布的相关公告。 </w:t>
      </w:r>
    </w:p>
    <w:p w14:paraId="6862A8D5">
      <w:pPr>
        <w:pStyle w:val="7"/>
        <w:spacing w:before="0" w:beforeAutospacing="0" w:after="0" w:afterAutospacing="0" w:line="360" w:lineRule="auto"/>
        <w:ind w:firstLine="420"/>
        <w:rPr>
          <w:sz w:val="21"/>
          <w:szCs w:val="21"/>
        </w:rPr>
      </w:pPr>
      <w:r>
        <w:rPr>
          <w:rFonts w:hint="eastAsia"/>
          <w:sz w:val="21"/>
          <w:szCs w:val="21"/>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 </w:t>
      </w:r>
    </w:p>
    <w:p w14:paraId="56199442">
      <w:pPr>
        <w:pStyle w:val="7"/>
        <w:spacing w:before="0" w:beforeAutospacing="0" w:after="0" w:afterAutospacing="0" w:line="360" w:lineRule="auto"/>
        <w:ind w:firstLine="420"/>
        <w:rPr>
          <w:sz w:val="21"/>
          <w:szCs w:val="21"/>
        </w:rPr>
      </w:pPr>
      <w:r>
        <w:rPr>
          <w:rFonts w:hint="eastAsia"/>
          <w:sz w:val="21"/>
          <w:szCs w:val="21"/>
        </w:rPr>
        <w:t xml:space="preserve">如果基金份额折算过程中发生不可抗力等特殊情形，基金管理人可延迟办理基金份额折算。 </w:t>
      </w:r>
    </w:p>
    <w:p w14:paraId="043CD266">
      <w:pPr>
        <w:pStyle w:val="7"/>
        <w:spacing w:before="0" w:beforeAutospacing="0" w:after="0" w:afterAutospacing="0" w:line="360" w:lineRule="auto"/>
        <w:ind w:firstLine="420"/>
        <w:rPr>
          <w:sz w:val="21"/>
          <w:szCs w:val="21"/>
        </w:rPr>
      </w:pPr>
      <w:r>
        <w:rPr>
          <w:rStyle w:val="11"/>
          <w:rFonts w:hint="eastAsia"/>
          <w:sz w:val="21"/>
          <w:szCs w:val="21"/>
        </w:rPr>
        <w:t>三、基金份额折算的方法</w:t>
      </w:r>
    </w:p>
    <w:p w14:paraId="646CF143">
      <w:pPr>
        <w:pStyle w:val="7"/>
        <w:spacing w:before="0" w:beforeAutospacing="0" w:after="0" w:afterAutospacing="0" w:line="360" w:lineRule="auto"/>
        <w:ind w:firstLine="420"/>
        <w:rPr>
          <w:sz w:val="21"/>
          <w:szCs w:val="21"/>
        </w:rPr>
      </w:pPr>
      <w:bookmarkStart w:id="88" w:name="chapter_level1_10_81356_section_1_end"/>
      <w:bookmarkEnd w:id="88"/>
      <w:r>
        <w:rPr>
          <w:rFonts w:hint="eastAsia"/>
          <w:sz w:val="21"/>
          <w:szCs w:val="21"/>
        </w:rPr>
        <w:t xml:space="preserve">基金份额折算的具体方法在份额折算公告中列示。 </w:t>
      </w:r>
    </w:p>
    <w:p w14:paraId="3F27693A">
      <w:pPr>
        <w:widowControl/>
        <w:jc w:val="left"/>
        <w:rPr>
          <w:rFonts w:ascii="宋体" w:hAnsi="宋体" w:eastAsia="宋体"/>
        </w:rPr>
      </w:pPr>
      <w:r>
        <w:rPr>
          <w:rFonts w:ascii="宋体" w:hAnsi="宋体" w:eastAsia="宋体"/>
        </w:rPr>
        <w:br w:type="page"/>
      </w:r>
    </w:p>
    <w:p w14:paraId="677642C4">
      <w:pPr>
        <w:pStyle w:val="2"/>
        <w:jc w:val="center"/>
        <w:rPr>
          <w:rFonts w:ascii="宋体" w:hAnsi="宋体" w:eastAsia="宋体"/>
          <w:sz w:val="30"/>
        </w:rPr>
      </w:pPr>
      <w:bookmarkStart w:id="89" w:name="_Toc207950931"/>
      <w:bookmarkStart w:id="90" w:name="chapter_level1_11_81357"/>
      <w:r>
        <w:rPr>
          <w:rFonts w:hint="eastAsia" w:ascii="宋体" w:hAnsi="宋体" w:eastAsia="宋体"/>
          <w:sz w:val="30"/>
        </w:rPr>
        <w:t>第八部分  基金份额的上市交易</w:t>
      </w:r>
      <w:bookmarkEnd w:id="89"/>
      <w:bookmarkEnd w:id="90"/>
    </w:p>
    <w:p w14:paraId="067D393D">
      <w:pPr>
        <w:pStyle w:val="7"/>
        <w:spacing w:before="0" w:beforeAutospacing="0" w:after="0" w:afterAutospacing="0" w:line="360" w:lineRule="auto"/>
        <w:ind w:firstLine="420"/>
        <w:rPr>
          <w:sz w:val="21"/>
          <w:szCs w:val="21"/>
        </w:rPr>
      </w:pPr>
      <w:bookmarkStart w:id="91" w:name="chapter_level1_11_81357_section_1"/>
      <w:bookmarkEnd w:id="91"/>
      <w:r>
        <w:rPr>
          <w:rStyle w:val="11"/>
          <w:rFonts w:hint="eastAsia"/>
          <w:sz w:val="21"/>
          <w:szCs w:val="21"/>
        </w:rPr>
        <w:t>一、基金上市</w:t>
      </w:r>
    </w:p>
    <w:p w14:paraId="21AA6A33">
      <w:pPr>
        <w:pStyle w:val="7"/>
        <w:spacing w:before="0" w:beforeAutospacing="0" w:after="0" w:afterAutospacing="0" w:line="360" w:lineRule="auto"/>
        <w:ind w:firstLine="420"/>
        <w:rPr>
          <w:sz w:val="21"/>
          <w:szCs w:val="21"/>
        </w:rPr>
      </w:pPr>
      <w:r>
        <w:rPr>
          <w:rFonts w:hint="eastAsia"/>
          <w:sz w:val="21"/>
          <w:szCs w:val="21"/>
        </w:rPr>
        <w:t xml:space="preserve">本基金于2024年4月16日起在深圳证券交易所上市交易。 </w:t>
      </w:r>
    </w:p>
    <w:p w14:paraId="03C39E7D">
      <w:pPr>
        <w:pStyle w:val="7"/>
        <w:spacing w:before="0" w:beforeAutospacing="0" w:after="0" w:afterAutospacing="0" w:line="360" w:lineRule="auto"/>
        <w:ind w:firstLine="420"/>
        <w:rPr>
          <w:sz w:val="21"/>
          <w:szCs w:val="21"/>
        </w:rPr>
      </w:pPr>
      <w:r>
        <w:rPr>
          <w:rStyle w:val="11"/>
          <w:rFonts w:hint="eastAsia"/>
          <w:sz w:val="21"/>
          <w:szCs w:val="21"/>
        </w:rPr>
        <w:t>二、基金份额的上市交易</w:t>
      </w:r>
    </w:p>
    <w:p w14:paraId="48AE589D">
      <w:pPr>
        <w:pStyle w:val="7"/>
        <w:spacing w:before="0" w:beforeAutospacing="0" w:after="0" w:afterAutospacing="0" w:line="360" w:lineRule="auto"/>
        <w:ind w:firstLine="420"/>
        <w:rPr>
          <w:sz w:val="21"/>
          <w:szCs w:val="21"/>
        </w:rPr>
      </w:pPr>
      <w:r>
        <w:rPr>
          <w:rFonts w:hint="eastAsia"/>
          <w:sz w:val="21"/>
          <w:szCs w:val="21"/>
        </w:rPr>
        <w:t xml:space="preserve">基金份额在深圳证券交易所的上市交易应遵照《深圳证券交易所交易规则》、《深圳证券交易所证券投资基金上市规则》、《深圳证券交易所证券投资基金交易和申购赎回实施细则》等有关规定。 </w:t>
      </w:r>
    </w:p>
    <w:p w14:paraId="13DCC761">
      <w:pPr>
        <w:pStyle w:val="7"/>
        <w:spacing w:before="0" w:beforeAutospacing="0" w:after="0" w:afterAutospacing="0" w:line="360" w:lineRule="auto"/>
        <w:ind w:firstLine="420"/>
        <w:rPr>
          <w:sz w:val="21"/>
          <w:szCs w:val="21"/>
        </w:rPr>
      </w:pPr>
      <w:r>
        <w:rPr>
          <w:rStyle w:val="11"/>
          <w:rFonts w:hint="eastAsia"/>
          <w:sz w:val="21"/>
          <w:szCs w:val="21"/>
        </w:rPr>
        <w:t>三、停复牌、暂停上市、恢复上市或终止上市的情形和处理方式</w:t>
      </w:r>
    </w:p>
    <w:p w14:paraId="512AEB14">
      <w:pPr>
        <w:pStyle w:val="7"/>
        <w:spacing w:before="0" w:beforeAutospacing="0" w:after="0" w:afterAutospacing="0" w:line="360" w:lineRule="auto"/>
        <w:ind w:firstLine="420"/>
        <w:rPr>
          <w:sz w:val="21"/>
          <w:szCs w:val="21"/>
        </w:rPr>
      </w:pPr>
      <w:r>
        <w:rPr>
          <w:rFonts w:hint="eastAsia"/>
          <w:sz w:val="21"/>
          <w:szCs w:val="21"/>
        </w:rPr>
        <w:t xml:space="preserve">本基金份额在深圳证券交易所上市后，如遇停复牌、暂停上市、恢复上市或终止上市的情形，按照《深圳证券交易所证券投资基金上市规则》的相关规定执行。 </w:t>
      </w:r>
    </w:p>
    <w:p w14:paraId="32A4C3E6">
      <w:pPr>
        <w:pStyle w:val="7"/>
        <w:spacing w:before="0" w:beforeAutospacing="0" w:after="0" w:afterAutospacing="0" w:line="360" w:lineRule="auto"/>
        <w:ind w:firstLine="420"/>
        <w:rPr>
          <w:sz w:val="21"/>
          <w:szCs w:val="21"/>
        </w:rPr>
      </w:pPr>
      <w:r>
        <w:rPr>
          <w:rFonts w:hint="eastAsia"/>
          <w:sz w:val="21"/>
          <w:szCs w:val="21"/>
        </w:rPr>
        <w:t xml:space="preserve">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 </w:t>
      </w:r>
    </w:p>
    <w:p w14:paraId="4ADCE7DE">
      <w:pPr>
        <w:pStyle w:val="7"/>
        <w:spacing w:before="0" w:beforeAutospacing="0" w:after="0" w:afterAutospacing="0" w:line="360" w:lineRule="auto"/>
        <w:ind w:firstLine="420"/>
        <w:rPr>
          <w:sz w:val="21"/>
          <w:szCs w:val="21"/>
        </w:rPr>
      </w:pPr>
      <w:r>
        <w:rPr>
          <w:rStyle w:val="11"/>
          <w:rFonts w:hint="eastAsia"/>
          <w:sz w:val="21"/>
          <w:szCs w:val="21"/>
        </w:rPr>
        <w:t>四、基金份额参考净值的计算与公告</w:t>
      </w:r>
    </w:p>
    <w:p w14:paraId="3CA768E7">
      <w:pPr>
        <w:pStyle w:val="7"/>
        <w:spacing w:before="0" w:beforeAutospacing="0" w:after="0" w:afterAutospacing="0" w:line="360" w:lineRule="auto"/>
        <w:ind w:firstLine="420"/>
        <w:rPr>
          <w:sz w:val="21"/>
          <w:szCs w:val="21"/>
        </w:rPr>
      </w:pPr>
      <w:r>
        <w:rPr>
          <w:rFonts w:hint="eastAsia"/>
          <w:sz w:val="21"/>
          <w:szCs w:val="21"/>
        </w:rPr>
        <w:t xml:space="preserve">基金管理人在每一个交易日开市前向深圳证券交易所提供当日的申购赎回清单，本基金基金份额参考净值（IOPV）由基金管理人或基金管理人委托的机构计算，并交由深圳证券交易所对外公布，仅供投资人交易、申购、赎回基金份额时参考。 </w:t>
      </w:r>
    </w:p>
    <w:p w14:paraId="65AB97A6">
      <w:pPr>
        <w:pStyle w:val="7"/>
        <w:spacing w:before="0" w:beforeAutospacing="0" w:after="0" w:afterAutospacing="0" w:line="360" w:lineRule="auto"/>
        <w:ind w:firstLine="420"/>
        <w:rPr>
          <w:sz w:val="21"/>
          <w:szCs w:val="21"/>
        </w:rPr>
      </w:pPr>
      <w:r>
        <w:rPr>
          <w:rFonts w:hint="eastAsia"/>
          <w:sz w:val="21"/>
          <w:szCs w:val="21"/>
        </w:rPr>
        <w:t xml:space="preserve">（1）基金份额参考净值的计算公式： </w:t>
      </w:r>
    </w:p>
    <w:p w14:paraId="11B16B03">
      <w:pPr>
        <w:pStyle w:val="7"/>
        <w:spacing w:before="0" w:beforeAutospacing="0" w:after="0" w:afterAutospacing="0" w:line="360" w:lineRule="auto"/>
        <w:ind w:firstLine="420"/>
        <w:rPr>
          <w:sz w:val="21"/>
          <w:szCs w:val="21"/>
        </w:rPr>
      </w:pPr>
      <w:r>
        <w:rPr>
          <w:rFonts w:hint="eastAsia"/>
          <w:sz w:val="21"/>
          <w:szCs w:val="21"/>
        </w:rPr>
        <w:t xml:space="preserve">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差额）／最小申购、赎回单位所对应的基金份额 </w:t>
      </w:r>
    </w:p>
    <w:p w14:paraId="661F1396">
      <w:pPr>
        <w:pStyle w:val="7"/>
        <w:spacing w:before="0" w:beforeAutospacing="0" w:after="0" w:afterAutospacing="0" w:line="360" w:lineRule="auto"/>
        <w:ind w:firstLine="420"/>
        <w:rPr>
          <w:sz w:val="21"/>
          <w:szCs w:val="21"/>
        </w:rPr>
      </w:pPr>
      <w:r>
        <w:rPr>
          <w:rFonts w:hint="eastAsia"/>
          <w:sz w:val="21"/>
          <w:szCs w:val="21"/>
        </w:rPr>
        <w:t xml:space="preserve">（2）基金份额参考净值的计算以四舍五入的方法保留小数点后4位，若基金管理人或者基金管理人委托的其他机构调整有关基金份额参考净值保留位数，本基金将进行相应调整。 </w:t>
      </w:r>
    </w:p>
    <w:p w14:paraId="119134CE">
      <w:pPr>
        <w:pStyle w:val="7"/>
        <w:spacing w:before="0" w:beforeAutospacing="0" w:after="0" w:afterAutospacing="0" w:line="360" w:lineRule="auto"/>
        <w:ind w:firstLine="420"/>
        <w:rPr>
          <w:sz w:val="21"/>
          <w:szCs w:val="21"/>
        </w:rPr>
      </w:pPr>
      <w:r>
        <w:rPr>
          <w:rFonts w:hint="eastAsia"/>
          <w:sz w:val="21"/>
          <w:szCs w:val="21"/>
        </w:rPr>
        <w:t xml:space="preserve">（3）基金管理人可以调整基金份额参考净值的计算公式，并予以公告。如深圳证券交易所对基金份额参考净值的计算方法另有规定的，从其规定。 </w:t>
      </w:r>
    </w:p>
    <w:p w14:paraId="42F67847">
      <w:pPr>
        <w:pStyle w:val="7"/>
        <w:spacing w:before="0" w:beforeAutospacing="0" w:after="0" w:afterAutospacing="0" w:line="360" w:lineRule="auto"/>
        <w:ind w:firstLine="420"/>
        <w:rPr>
          <w:sz w:val="21"/>
          <w:szCs w:val="21"/>
        </w:rPr>
      </w:pPr>
      <w:r>
        <w:rPr>
          <w:rStyle w:val="11"/>
          <w:rFonts w:hint="eastAsia"/>
          <w:sz w:val="21"/>
          <w:szCs w:val="21"/>
        </w:rPr>
        <w:t>五、其他</w:t>
      </w:r>
    </w:p>
    <w:p w14:paraId="3CA0D872">
      <w:pPr>
        <w:pStyle w:val="7"/>
        <w:spacing w:before="0" w:beforeAutospacing="0" w:after="0" w:afterAutospacing="0" w:line="360" w:lineRule="auto"/>
        <w:ind w:firstLine="420"/>
        <w:rPr>
          <w:sz w:val="21"/>
          <w:szCs w:val="21"/>
        </w:rPr>
      </w:pPr>
      <w:r>
        <w:rPr>
          <w:rFonts w:hint="eastAsia"/>
          <w:sz w:val="21"/>
          <w:szCs w:val="21"/>
        </w:rPr>
        <w:t xml:space="preserve">若深圳证券交易所、中国证券登记结算有限责任公司增加了基金上市交易的新功能，本基金管理人可以在履行适当的程序后增加相应功能。 </w:t>
      </w:r>
    </w:p>
    <w:p w14:paraId="3801EDBC">
      <w:pPr>
        <w:pStyle w:val="7"/>
        <w:spacing w:before="0" w:beforeAutospacing="0" w:after="0" w:afterAutospacing="0" w:line="360" w:lineRule="auto"/>
        <w:ind w:firstLine="420"/>
        <w:rPr>
          <w:sz w:val="21"/>
          <w:szCs w:val="21"/>
        </w:rPr>
      </w:pPr>
      <w:r>
        <w:rPr>
          <w:rFonts w:hint="eastAsia"/>
          <w:sz w:val="21"/>
          <w:szCs w:val="21"/>
        </w:rPr>
        <w:t xml:space="preserve">相关法律法规、中国证监会、登记机构或深圳证券交易所对基金上市交易的规则等相关规定内容进行调整的，本基金按照新规定执行，若由此需要对基金合同进行修订的，无需召开基金份额持有人大会。 </w:t>
      </w:r>
    </w:p>
    <w:p w14:paraId="441BC5F2">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在不违反法律法规且对基金份额持有人利益无实质不利影响的前提下，基金管理人在履行适当的程序后，本基金可以申请在包括境外交易所在内的其他证券交易所上市交易，而无</w:t>
      </w:r>
      <w:bookmarkStart w:id="92" w:name="chapter_level1_11_81357_section_1_end"/>
      <w:bookmarkEnd w:id="92"/>
      <w:r>
        <w:rPr>
          <w:rFonts w:hint="eastAsia"/>
          <w:sz w:val="21"/>
          <w:szCs w:val="21"/>
        </w:rPr>
        <w:t xml:space="preserve">需召开基金份额持有人大会。 </w:t>
      </w:r>
    </w:p>
    <w:p w14:paraId="2575E1C4">
      <w:pPr>
        <w:widowControl/>
        <w:jc w:val="left"/>
        <w:rPr>
          <w:rFonts w:ascii="宋体" w:hAnsi="宋体" w:eastAsia="宋体"/>
        </w:rPr>
      </w:pPr>
      <w:r>
        <w:rPr>
          <w:rFonts w:ascii="宋体" w:hAnsi="宋体" w:eastAsia="宋体"/>
        </w:rPr>
        <w:br w:type="page"/>
      </w:r>
    </w:p>
    <w:p w14:paraId="02C9BC0B">
      <w:pPr>
        <w:pStyle w:val="2"/>
        <w:jc w:val="center"/>
        <w:rPr>
          <w:rFonts w:ascii="宋体" w:hAnsi="宋体" w:eastAsia="宋体"/>
          <w:sz w:val="30"/>
        </w:rPr>
      </w:pPr>
      <w:bookmarkStart w:id="93" w:name="_Toc207950932"/>
      <w:bookmarkStart w:id="94" w:name="chapter_level1_12_59"/>
      <w:bookmarkStart w:id="208" w:name="_GoBack"/>
      <w:bookmarkEnd w:id="208"/>
      <w:r>
        <w:rPr>
          <w:rFonts w:hint="eastAsia" w:ascii="宋体" w:hAnsi="宋体" w:eastAsia="宋体"/>
          <w:sz w:val="30"/>
        </w:rPr>
        <w:t>第九部分  基金份额的申购与赎回</w:t>
      </w:r>
      <w:bookmarkEnd w:id="93"/>
      <w:bookmarkEnd w:id="94"/>
    </w:p>
    <w:p w14:paraId="53B89273">
      <w:pPr>
        <w:pStyle w:val="7"/>
        <w:spacing w:before="0" w:beforeAutospacing="0" w:after="0" w:afterAutospacing="0" w:line="360" w:lineRule="auto"/>
        <w:ind w:firstLine="420"/>
        <w:rPr>
          <w:sz w:val="21"/>
          <w:szCs w:val="21"/>
        </w:rPr>
      </w:pPr>
      <w:bookmarkStart w:id="95" w:name="chapter_level1_12_59_section_1"/>
      <w:bookmarkEnd w:id="95"/>
      <w:r>
        <w:rPr>
          <w:rStyle w:val="11"/>
          <w:rFonts w:hint="eastAsia"/>
          <w:sz w:val="21"/>
          <w:szCs w:val="21"/>
        </w:rPr>
        <w:t>一、申购和赎回场所</w:t>
      </w:r>
    </w:p>
    <w:p w14:paraId="77B1189C">
      <w:pPr>
        <w:pStyle w:val="7"/>
        <w:spacing w:before="0" w:beforeAutospacing="0" w:after="0" w:afterAutospacing="0" w:line="360" w:lineRule="auto"/>
        <w:ind w:firstLine="420"/>
        <w:rPr>
          <w:sz w:val="21"/>
          <w:szCs w:val="21"/>
        </w:rPr>
      </w:pPr>
      <w:r>
        <w:rPr>
          <w:rFonts w:hint="eastAsia"/>
          <w:sz w:val="21"/>
          <w:szCs w:val="21"/>
        </w:rPr>
        <w:t xml:space="preserve">本基金投资人应当通过申购、赎回代理券商办理基金申购、赎回业务的营业场所或按申购、赎回代理券商提供的其他方式办理本基金的申购和赎回。 </w:t>
      </w:r>
    </w:p>
    <w:p w14:paraId="6B0387A8">
      <w:pPr>
        <w:pStyle w:val="7"/>
        <w:spacing w:before="0" w:beforeAutospacing="0" w:after="0" w:afterAutospacing="0" w:line="360" w:lineRule="auto"/>
        <w:ind w:firstLine="420"/>
        <w:rPr>
          <w:sz w:val="21"/>
          <w:szCs w:val="21"/>
        </w:rPr>
      </w:pPr>
      <w:r>
        <w:rPr>
          <w:rFonts w:hint="eastAsia"/>
          <w:sz w:val="21"/>
          <w:szCs w:val="21"/>
        </w:rPr>
        <w:t xml:space="preserve">基金管理人在开始申购、赎回业务前公告申购、赎回代理券商的名单，并可依据实际情况变更申购、赎回代理券商并在基金管理人网站公示。基金管理人在确定、变更申购、赎回代理券商名单时，均应在公告之前报请深圳证券交易所认可。 </w:t>
      </w:r>
    </w:p>
    <w:p w14:paraId="49FF661F">
      <w:pPr>
        <w:pStyle w:val="7"/>
        <w:spacing w:before="0" w:beforeAutospacing="0" w:after="0" w:afterAutospacing="0" w:line="360" w:lineRule="auto"/>
        <w:ind w:firstLine="420"/>
        <w:rPr>
          <w:sz w:val="21"/>
          <w:szCs w:val="21"/>
        </w:rPr>
      </w:pPr>
      <w:r>
        <w:rPr>
          <w:rFonts w:hint="eastAsia"/>
          <w:sz w:val="21"/>
          <w:szCs w:val="21"/>
        </w:rPr>
        <w:t>在法律法规、基金合同及未来条件允许的情况下，基金管理人直销机构可以开通申购赎</w:t>
      </w:r>
      <w:bookmarkStart w:id="96" w:name="chapter_level1_12_59_section_1_end"/>
      <w:bookmarkEnd w:id="96"/>
      <w:r>
        <w:rPr>
          <w:rFonts w:hint="eastAsia"/>
          <w:sz w:val="21"/>
          <w:szCs w:val="21"/>
        </w:rPr>
        <w:t xml:space="preserve">回业务，具体业务的办理时间及办理方式基金管理人将另行公告。 </w:t>
      </w:r>
    </w:p>
    <w:p w14:paraId="749322CE">
      <w:pPr>
        <w:pStyle w:val="7"/>
        <w:spacing w:before="0" w:beforeAutospacing="0" w:after="0" w:afterAutospacing="0" w:line="360" w:lineRule="auto"/>
        <w:ind w:firstLine="420"/>
        <w:rPr>
          <w:sz w:val="21"/>
          <w:szCs w:val="21"/>
        </w:rPr>
      </w:pPr>
      <w:bookmarkStart w:id="97" w:name="chapter_level1_12_59_section_2"/>
      <w:bookmarkEnd w:id="97"/>
      <w:r>
        <w:rPr>
          <w:rStyle w:val="11"/>
          <w:rFonts w:hint="eastAsia"/>
          <w:sz w:val="21"/>
          <w:szCs w:val="21"/>
        </w:rPr>
        <w:t>二、申购与赎回的开放日及时间</w:t>
      </w:r>
    </w:p>
    <w:p w14:paraId="062E5E7F">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3DAE5C76">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若本基金参与港股通交易且该交易日为非港股通交易日时，则基金管理人可根据实际情况决定本基金是否开放申购、赎回业务，具体以届时提前发布的公告为准），但基金管理人根据法律法规、中国证监会的要求或基金合同的规定公告暂停申购、赎回时除外。 </w:t>
      </w:r>
    </w:p>
    <w:p w14:paraId="0AB11E1E">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6A44F020">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2084E17">
      <w:pPr>
        <w:pStyle w:val="7"/>
        <w:spacing w:before="0" w:beforeAutospacing="0" w:after="0" w:afterAutospacing="0" w:line="360" w:lineRule="auto"/>
        <w:ind w:firstLine="420"/>
        <w:rPr>
          <w:sz w:val="21"/>
          <w:szCs w:val="21"/>
        </w:rPr>
      </w:pPr>
      <w:bookmarkStart w:id="98" w:name="chapter_level1_12_59_section_2_end"/>
      <w:bookmarkEnd w:id="98"/>
      <w:r>
        <w:rPr>
          <w:rFonts w:hint="eastAsia"/>
          <w:sz w:val="21"/>
          <w:szCs w:val="21"/>
        </w:rPr>
        <w:t xml:space="preserve">本基金已于2024年4月16日开放日常申购、赎回业务。 </w:t>
      </w:r>
    </w:p>
    <w:p w14:paraId="3D78AADB">
      <w:pPr>
        <w:pStyle w:val="7"/>
        <w:spacing w:before="0" w:beforeAutospacing="0" w:after="0" w:afterAutospacing="0" w:line="360" w:lineRule="auto"/>
        <w:ind w:firstLine="420"/>
        <w:rPr>
          <w:sz w:val="21"/>
          <w:szCs w:val="21"/>
        </w:rPr>
      </w:pPr>
      <w:bookmarkStart w:id="99" w:name="chapter_level1_12_59_section_3"/>
      <w:bookmarkEnd w:id="99"/>
      <w:r>
        <w:rPr>
          <w:rStyle w:val="11"/>
          <w:rFonts w:hint="eastAsia"/>
          <w:sz w:val="21"/>
          <w:szCs w:val="21"/>
        </w:rPr>
        <w:t>三、申购与赎回的原则</w:t>
      </w:r>
    </w:p>
    <w:p w14:paraId="35C3097F">
      <w:pPr>
        <w:pStyle w:val="7"/>
        <w:spacing w:before="0" w:beforeAutospacing="0" w:after="0" w:afterAutospacing="0" w:line="360" w:lineRule="auto"/>
        <w:ind w:firstLine="420"/>
        <w:rPr>
          <w:sz w:val="21"/>
          <w:szCs w:val="21"/>
        </w:rPr>
      </w:pPr>
      <w:r>
        <w:rPr>
          <w:rFonts w:hint="eastAsia"/>
          <w:sz w:val="21"/>
          <w:szCs w:val="21"/>
        </w:rPr>
        <w:t xml:space="preserve">1、“份额申购、份额赎回”原则，即申购、赎回均以份额申请； </w:t>
      </w:r>
    </w:p>
    <w:p w14:paraId="5D5E0883">
      <w:pPr>
        <w:pStyle w:val="7"/>
        <w:spacing w:before="0" w:beforeAutospacing="0" w:after="0" w:afterAutospacing="0" w:line="360" w:lineRule="auto"/>
        <w:ind w:firstLine="420"/>
        <w:rPr>
          <w:sz w:val="21"/>
          <w:szCs w:val="21"/>
        </w:rPr>
      </w:pPr>
      <w:r>
        <w:rPr>
          <w:rFonts w:hint="eastAsia"/>
          <w:sz w:val="21"/>
          <w:szCs w:val="21"/>
        </w:rPr>
        <w:t xml:space="preserve">2、本基金的申购对价、赎回对价包括组合证券、现金替代、现金差额和/或其他对价； </w:t>
      </w:r>
    </w:p>
    <w:p w14:paraId="522D04FB">
      <w:pPr>
        <w:pStyle w:val="7"/>
        <w:spacing w:before="0" w:beforeAutospacing="0" w:after="0" w:afterAutospacing="0" w:line="360" w:lineRule="auto"/>
        <w:ind w:firstLine="420"/>
        <w:rPr>
          <w:sz w:val="21"/>
          <w:szCs w:val="21"/>
        </w:rPr>
      </w:pPr>
      <w:r>
        <w:rPr>
          <w:rFonts w:hint="eastAsia"/>
          <w:sz w:val="21"/>
          <w:szCs w:val="21"/>
        </w:rPr>
        <w:t xml:space="preserve">3、申购、赎回申请提交后不得撤销； </w:t>
      </w:r>
    </w:p>
    <w:p w14:paraId="22033754">
      <w:pPr>
        <w:pStyle w:val="7"/>
        <w:spacing w:before="0" w:beforeAutospacing="0" w:after="0" w:afterAutospacing="0" w:line="360" w:lineRule="auto"/>
        <w:ind w:firstLine="420"/>
        <w:rPr>
          <w:sz w:val="21"/>
          <w:szCs w:val="21"/>
        </w:rPr>
      </w:pPr>
      <w:r>
        <w:rPr>
          <w:rFonts w:hint="eastAsia"/>
          <w:sz w:val="21"/>
          <w:szCs w:val="21"/>
        </w:rPr>
        <w:t xml:space="preserve">4、申购、赎回应遵守业务规则及其他相关规定； </w:t>
      </w:r>
    </w:p>
    <w:p w14:paraId="51838B10">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65958EA8">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基金管理人可在不违反法律法规的情况下，对上述原则进行调整。基金管理人必须在新原则开始实施前依照《信息披露办法》的有关规定在规定媒介上公告。 </w:t>
      </w:r>
    </w:p>
    <w:p w14:paraId="3B5E9249">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65E4F484">
      <w:pPr>
        <w:pStyle w:val="7"/>
        <w:spacing w:before="0" w:beforeAutospacing="0" w:after="0" w:afterAutospacing="0" w:line="360" w:lineRule="auto"/>
        <w:ind w:firstLine="420"/>
        <w:rPr>
          <w:sz w:val="21"/>
          <w:szCs w:val="21"/>
        </w:rPr>
      </w:pPr>
      <w:r>
        <w:rPr>
          <w:rFonts w:hint="eastAsia"/>
          <w:sz w:val="21"/>
          <w:szCs w:val="21"/>
        </w:rPr>
        <w:t xml:space="preserve">本基金按照深圳证券交易所及中国证券登记结算有限责任公司的相关规定进行申购、赎回，具体业务的办理时间请参见相关公告。本基金支持通过深圳证券交易所及/或通过登记机构的两种模式进行申购、赎回，两种模式分别适用不同的程序。本基金办理相关业务的时间及规定请参见相关公告。 </w:t>
      </w:r>
    </w:p>
    <w:p w14:paraId="47E85B45">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14:paraId="470EC727">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86BF914">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14:paraId="5F021F01">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和现金，则赎回成立，登记机构确认赎回时，赎回生效。投资人在提交申购申请时须按申购赎回清单的规定备足申购对价，投资人在提交赎回申请时须持有足够的基金份额余额和现金，否则所提交的申购、赎回申请不成立。 </w:t>
      </w:r>
    </w:p>
    <w:p w14:paraId="0EF17885">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14:paraId="223BCA79">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或失败。 </w:t>
      </w:r>
    </w:p>
    <w:p w14:paraId="08CECA07">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3C3B7158">
      <w:pPr>
        <w:pStyle w:val="7"/>
        <w:spacing w:before="0" w:beforeAutospacing="0" w:after="0" w:afterAutospacing="0" w:line="360" w:lineRule="auto"/>
        <w:ind w:firstLine="420"/>
        <w:rPr>
          <w:sz w:val="21"/>
          <w:szCs w:val="21"/>
        </w:rPr>
      </w:pPr>
      <w:r>
        <w:rPr>
          <w:rFonts w:hint="eastAsia"/>
          <w:sz w:val="21"/>
          <w:szCs w:val="21"/>
        </w:rPr>
        <w:t xml:space="preserve">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 </w:t>
      </w:r>
    </w:p>
    <w:p w14:paraId="26E4F3E0">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需召开持有人大会审议。 </w:t>
      </w:r>
    </w:p>
    <w:p w14:paraId="283DA1BB">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65BE673A">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本基金申购赎回过程中涉及的组合证券和基金份额、现金替代、现金差额、现金替代退补款及其他对价的清算交收适用中国证券登记结算有限责任公司及相关证券交易所最新的相关规则。 </w:t>
      </w:r>
    </w:p>
    <w:p w14:paraId="1F769698">
      <w:pPr>
        <w:pStyle w:val="7"/>
        <w:spacing w:before="0" w:beforeAutospacing="0" w:after="0" w:afterAutospacing="0" w:line="360" w:lineRule="auto"/>
        <w:ind w:firstLine="420"/>
        <w:rPr>
          <w:sz w:val="21"/>
          <w:szCs w:val="21"/>
        </w:rPr>
      </w:pPr>
      <w:r>
        <w:rPr>
          <w:rFonts w:hint="eastAsia"/>
          <w:sz w:val="21"/>
          <w:szCs w:val="21"/>
        </w:rPr>
        <w:t xml:space="preserve">对于本基金的申购业务采用多边净额结算的方式，即对本基金申购对应的份额、深市组合证券及其现金替代、沪市组合证券的现金替代采用多边净额结算；对于本基金的赎回业务采用多边净额结算的方式，即对本基金赎回对应的份额、深市组合证券及其现金替代、沪市组合证券的现金替代采用多边净额结算；本基金上述申购赎回业务涉及的现金差额和现金替代退补款采用代收代付。 </w:t>
      </w:r>
    </w:p>
    <w:p w14:paraId="3EDF0E45">
      <w:pPr>
        <w:pStyle w:val="7"/>
        <w:spacing w:before="0" w:beforeAutospacing="0" w:after="0" w:afterAutospacing="0" w:line="360" w:lineRule="auto"/>
        <w:ind w:firstLine="420"/>
        <w:rPr>
          <w:sz w:val="21"/>
          <w:szCs w:val="21"/>
        </w:rPr>
      </w:pPr>
      <w:r>
        <w:rPr>
          <w:rFonts w:hint="eastAsia"/>
          <w:sz w:val="21"/>
          <w:szCs w:val="21"/>
        </w:rPr>
        <w:t xml:space="preserve">投资者T日申购成功后，登记机构在T日收市后为投资者办理深圳证券交易所上市的成份股交收与基金份额的交收登记以及现金替代的清算；在T+2日内办理现金替代的交收以及现金差额的清算交收；并将结果发送给申购赎回代理券商、基金管理人和基金托管人。 </w:t>
      </w:r>
    </w:p>
    <w:p w14:paraId="3B5109B3">
      <w:pPr>
        <w:pStyle w:val="7"/>
        <w:spacing w:before="0" w:beforeAutospacing="0" w:after="0" w:afterAutospacing="0" w:line="360" w:lineRule="auto"/>
        <w:ind w:firstLine="420"/>
        <w:rPr>
          <w:sz w:val="21"/>
          <w:szCs w:val="21"/>
        </w:rPr>
      </w:pPr>
      <w:r>
        <w:rPr>
          <w:rFonts w:hint="eastAsia"/>
          <w:sz w:val="21"/>
          <w:szCs w:val="21"/>
        </w:rPr>
        <w:t xml:space="preserve">投资者T日赎回成功后，登记机构在T日收市后办理深圳证券交易所上市的成份股交收与基金份额的注销以及现金替代的清算；在T+2日内办理现金替代的交收以及现金差额的清算交收；并将结果发送给申购赎回代理券商、基金管理人和基金托管人。 </w:t>
      </w:r>
    </w:p>
    <w:p w14:paraId="7849B8BF">
      <w:pPr>
        <w:pStyle w:val="7"/>
        <w:spacing w:before="0" w:beforeAutospacing="0" w:after="0" w:afterAutospacing="0" w:line="360" w:lineRule="auto"/>
        <w:ind w:firstLine="420"/>
        <w:rPr>
          <w:sz w:val="21"/>
          <w:szCs w:val="21"/>
        </w:rPr>
      </w:pPr>
      <w:r>
        <w:rPr>
          <w:rFonts w:hint="eastAsia"/>
          <w:sz w:val="21"/>
          <w:szCs w:val="21"/>
        </w:rPr>
        <w:t xml:space="preserve">如果登记机构、基金管理人、申购赎回代理券商之间在清算交收时发现不能正常履约的情形，则依据相关业务规则的有关规定和其他相关约定进行处理。如相关业务规则发生变化，则按最新规定办理。 </w:t>
      </w:r>
    </w:p>
    <w:p w14:paraId="2AD0F3C3">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 </w:t>
      </w:r>
    </w:p>
    <w:p w14:paraId="7543C3BD">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 </w:t>
      </w:r>
    </w:p>
    <w:p w14:paraId="5D3E726C">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14:paraId="114AB2BB">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61540FA8">
      <w:pPr>
        <w:pStyle w:val="7"/>
        <w:spacing w:before="0" w:beforeAutospacing="0" w:after="0" w:afterAutospacing="0" w:line="360" w:lineRule="auto"/>
        <w:ind w:firstLine="420"/>
        <w:rPr>
          <w:sz w:val="21"/>
          <w:szCs w:val="21"/>
        </w:rPr>
      </w:pPr>
      <w:r>
        <w:rPr>
          <w:rFonts w:hint="eastAsia"/>
          <w:sz w:val="21"/>
          <w:szCs w:val="21"/>
        </w:rPr>
        <w:t xml:space="preserve">投资人必须根据申购、赎回代理券商或基金管理人规定的程序，在开放日的具体业务办理时间内提出申购或赎回的申请。 </w:t>
      </w:r>
    </w:p>
    <w:p w14:paraId="205213C7">
      <w:pPr>
        <w:pStyle w:val="7"/>
        <w:spacing w:before="0" w:beforeAutospacing="0" w:after="0" w:afterAutospacing="0" w:line="360" w:lineRule="auto"/>
        <w:ind w:firstLine="420"/>
        <w:rPr>
          <w:sz w:val="21"/>
          <w:szCs w:val="21"/>
        </w:rPr>
      </w:pPr>
      <w:r>
        <w:rPr>
          <w:rFonts w:hint="eastAsia"/>
          <w:sz w:val="21"/>
          <w:szCs w:val="21"/>
        </w:rPr>
        <w:t xml:space="preserve">投资人交付申购对价，申购成立；登记机构确认申请时，申购生效。投资人在提交赎回申请时有足够的基金份额和现金，则赎回成立，登记机构确认赎回时，赎回生效。投资人在提交申购申请时须按申购赎回清单的规定备足申购对价，投资人在提交赎回申请时须持有足够的基金份额余额和现金，否则所提交的申购、赎回申请不成立。 </w:t>
      </w:r>
    </w:p>
    <w:p w14:paraId="3D542EE9">
      <w:pPr>
        <w:pStyle w:val="7"/>
        <w:spacing w:before="0" w:beforeAutospacing="0" w:after="0" w:afterAutospacing="0" w:line="360" w:lineRule="auto"/>
        <w:ind w:firstLine="420"/>
        <w:rPr>
          <w:sz w:val="21"/>
          <w:szCs w:val="21"/>
        </w:rPr>
      </w:pPr>
      <w:r>
        <w:rPr>
          <w:rFonts w:hint="eastAsia"/>
          <w:sz w:val="21"/>
          <w:szCs w:val="21"/>
        </w:rPr>
        <w:t xml:space="preserve">2、申购和赎回申请的确认 </w:t>
      </w:r>
    </w:p>
    <w:p w14:paraId="05D89046">
      <w:pPr>
        <w:pStyle w:val="7"/>
        <w:spacing w:before="0" w:beforeAutospacing="0" w:after="0" w:afterAutospacing="0" w:line="360" w:lineRule="auto"/>
        <w:ind w:firstLine="420"/>
        <w:rPr>
          <w:sz w:val="21"/>
          <w:szCs w:val="21"/>
        </w:rPr>
      </w:pPr>
      <w:r>
        <w:rPr>
          <w:rFonts w:hint="eastAsia"/>
          <w:sz w:val="21"/>
          <w:szCs w:val="21"/>
        </w:rPr>
        <w:t xml:space="preserve">基金投资人申购、赎回申请在T+1日内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或失败。 </w:t>
      </w:r>
    </w:p>
    <w:p w14:paraId="0FC56D6B">
      <w:pPr>
        <w:pStyle w:val="7"/>
        <w:spacing w:before="0" w:beforeAutospacing="0" w:after="0" w:afterAutospacing="0" w:line="360" w:lineRule="auto"/>
        <w:ind w:firstLine="420"/>
        <w:rPr>
          <w:sz w:val="21"/>
          <w:szCs w:val="21"/>
        </w:rPr>
      </w:pPr>
      <w:r>
        <w:rPr>
          <w:rFonts w:hint="eastAsia"/>
          <w:sz w:val="21"/>
          <w:szCs w:val="21"/>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7112C76E">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基金合同和招募说明书予以更新，无需召开持有人大会审议。 </w:t>
      </w:r>
    </w:p>
    <w:p w14:paraId="14DB10B9">
      <w:pPr>
        <w:pStyle w:val="7"/>
        <w:spacing w:before="0" w:beforeAutospacing="0" w:after="0" w:afterAutospacing="0" w:line="360" w:lineRule="auto"/>
        <w:ind w:firstLine="420"/>
        <w:rPr>
          <w:sz w:val="21"/>
          <w:szCs w:val="21"/>
        </w:rPr>
      </w:pPr>
      <w:r>
        <w:rPr>
          <w:rFonts w:hint="eastAsia"/>
          <w:sz w:val="21"/>
          <w:szCs w:val="21"/>
        </w:rPr>
        <w:t xml:space="preserve">3、申购和赎回的清算交收与登记 </w:t>
      </w:r>
    </w:p>
    <w:p w14:paraId="104E31DD">
      <w:pPr>
        <w:pStyle w:val="7"/>
        <w:spacing w:before="0" w:beforeAutospacing="0" w:after="0" w:afterAutospacing="0" w:line="360" w:lineRule="auto"/>
        <w:ind w:firstLine="420"/>
        <w:rPr>
          <w:sz w:val="21"/>
          <w:szCs w:val="21"/>
        </w:rPr>
      </w:pPr>
      <w:r>
        <w:rPr>
          <w:rFonts w:hint="eastAsia"/>
          <w:sz w:val="21"/>
          <w:szCs w:val="21"/>
        </w:rPr>
        <w:t xml:space="preserve">本基金申购赎回过程中涉及的组合证券和基金份额交收适用中国证券登记结算有限责任公司及相关证券交易所最新的相关规则。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详见“十、基金清算交收与登记模式的调整或新增”。 </w:t>
      </w:r>
    </w:p>
    <w:p w14:paraId="7DAB3B8A">
      <w:pPr>
        <w:pStyle w:val="7"/>
        <w:spacing w:before="0" w:beforeAutospacing="0" w:after="0" w:afterAutospacing="0" w:line="360" w:lineRule="auto"/>
        <w:ind w:firstLine="420"/>
        <w:rPr>
          <w:sz w:val="21"/>
          <w:szCs w:val="21"/>
        </w:rPr>
      </w:pPr>
      <w:r>
        <w:rPr>
          <w:rFonts w:hint="eastAsia"/>
          <w:sz w:val="21"/>
          <w:szCs w:val="21"/>
        </w:rPr>
        <w:t xml:space="preserve">T+1日，登记机构根据基金管理人对申购、赎回申请的确认信息，为投资者办理组合证券、申赎基金份额的清算交收，并将结果发送给相关证券交易所、申购赎回代理券商、基金管理人和基金托管人。通常情况下，投资者T日申购所得的基金份额、赎回所得的组合证券在T+2日可用。现金替代和现金差额由基金管理人与申购赎回代理券商于T+2日内进行清算交收，登记机构可以依据相关规则对此提供代收代付服务并完成交收。对于确认失败的申请，登记机构将对冻结的组合证券和基金份额予以解冻，申购赎回代理券商将对冻结的资金予以解冻。 </w:t>
      </w:r>
    </w:p>
    <w:p w14:paraId="3C041469">
      <w:pPr>
        <w:pStyle w:val="7"/>
        <w:spacing w:before="0" w:beforeAutospacing="0" w:after="0" w:afterAutospacing="0" w:line="360" w:lineRule="auto"/>
        <w:ind w:firstLine="420"/>
        <w:rPr>
          <w:sz w:val="21"/>
          <w:szCs w:val="21"/>
        </w:rPr>
      </w:pPr>
      <w:r>
        <w:rPr>
          <w:rFonts w:hint="eastAsia"/>
          <w:sz w:val="21"/>
          <w:szCs w:val="21"/>
        </w:rPr>
        <w:t xml:space="preserve">如果登记机构在清算交收时发生清算交收参与方不能正常履约的情形，则依据业务规则的有关规定进行处理。 </w:t>
      </w:r>
    </w:p>
    <w:p w14:paraId="5D15F9AD">
      <w:pPr>
        <w:pStyle w:val="7"/>
        <w:spacing w:before="0" w:beforeAutospacing="0" w:after="0" w:afterAutospacing="0" w:line="360" w:lineRule="auto"/>
        <w:ind w:firstLine="420"/>
        <w:rPr>
          <w:sz w:val="21"/>
          <w:szCs w:val="21"/>
        </w:rPr>
      </w:pPr>
      <w:r>
        <w:rPr>
          <w:rFonts w:hint="eastAsia"/>
          <w:sz w:val="21"/>
          <w:szCs w:val="21"/>
        </w:rPr>
        <w:t xml:space="preserve">投资者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 </w:t>
      </w:r>
    </w:p>
    <w:p w14:paraId="18268CAB">
      <w:pPr>
        <w:pStyle w:val="7"/>
        <w:spacing w:before="0" w:beforeAutospacing="0" w:after="0" w:afterAutospacing="0" w:line="360" w:lineRule="auto"/>
        <w:ind w:firstLine="420"/>
        <w:rPr>
          <w:sz w:val="21"/>
          <w:szCs w:val="21"/>
        </w:rPr>
      </w:pPr>
      <w:r>
        <w:rPr>
          <w:rFonts w:hint="eastAsia"/>
          <w:sz w:val="21"/>
          <w:szCs w:val="21"/>
        </w:rPr>
        <w:t xml:space="preserve">若投资人用以申购的部分或全部组合证券或者用以赎回的部分或全部基金份额因被国家有关机关冻结或强制执行导致不足额的，基金管理人有权指示申购赎回代理券商及登记机构依法进行相应处置；如该情况导致其他基金份额持有人或基金资产遭受损失的，基金管理人有权代表其他基金份额持有人或基金资产要求该投资者进行赔偿。 </w:t>
      </w:r>
    </w:p>
    <w:p w14:paraId="32ECFBFA">
      <w:pPr>
        <w:pStyle w:val="7"/>
        <w:spacing w:before="0" w:beforeAutospacing="0" w:after="0" w:afterAutospacing="0" w:line="360" w:lineRule="auto"/>
        <w:ind w:firstLine="420"/>
        <w:rPr>
          <w:sz w:val="21"/>
          <w:szCs w:val="21"/>
        </w:rPr>
      </w:pPr>
      <w:r>
        <w:rPr>
          <w:rStyle w:val="11"/>
          <w:rFonts w:hint="eastAsia"/>
          <w:sz w:val="21"/>
          <w:szCs w:val="21"/>
        </w:rPr>
        <w:t>五、申购与赎回的数额限制</w:t>
      </w:r>
    </w:p>
    <w:p w14:paraId="72CD196C">
      <w:pPr>
        <w:pStyle w:val="7"/>
        <w:spacing w:before="0" w:beforeAutospacing="0" w:after="0" w:afterAutospacing="0" w:line="360" w:lineRule="auto"/>
        <w:ind w:firstLine="420"/>
        <w:rPr>
          <w:sz w:val="21"/>
          <w:szCs w:val="21"/>
        </w:rPr>
      </w:pPr>
      <w:r>
        <w:rPr>
          <w:rFonts w:hint="eastAsia"/>
          <w:sz w:val="21"/>
          <w:szCs w:val="21"/>
        </w:rPr>
        <w:t xml:space="preserve">1、投资者申购、赎回的基金份额需为最小申购、赎回单位的整数倍。 </w:t>
      </w:r>
    </w:p>
    <w:p w14:paraId="4C073A08">
      <w:pPr>
        <w:pStyle w:val="7"/>
        <w:spacing w:before="0" w:beforeAutospacing="0" w:after="0" w:afterAutospacing="0" w:line="360" w:lineRule="auto"/>
        <w:ind w:firstLine="420"/>
        <w:rPr>
          <w:sz w:val="21"/>
          <w:szCs w:val="21"/>
        </w:rPr>
      </w:pPr>
      <w:r>
        <w:rPr>
          <w:rFonts w:hint="eastAsia"/>
          <w:sz w:val="21"/>
          <w:szCs w:val="21"/>
        </w:rPr>
        <w:t>本基金的最小申购、赎回单位为</w:t>
      </w:r>
      <w:r>
        <w:rPr>
          <w:rFonts w:hint="eastAsia"/>
          <w:sz w:val="21"/>
          <w:szCs w:val="21"/>
          <w:lang w:val="en-US" w:eastAsia="zh-CN"/>
        </w:rPr>
        <w:t>500</w:t>
      </w:r>
      <w:r>
        <w:rPr>
          <w:rFonts w:hint="eastAsia"/>
          <w:sz w:val="21"/>
          <w:szCs w:val="21"/>
        </w:rPr>
        <w:t xml:space="preserve">万份。基金管理人可根据基金运作情况、市场变化以及投资者需求等因素对基金的最小申购赎回单位进行调整，并在调整实施前依照《信息披露办法》的有关规定在规定媒介公告。 </w:t>
      </w:r>
    </w:p>
    <w:p w14:paraId="449D570F">
      <w:pPr>
        <w:pStyle w:val="7"/>
        <w:spacing w:before="0" w:beforeAutospacing="0" w:after="0" w:afterAutospacing="0" w:line="360" w:lineRule="auto"/>
        <w:ind w:firstLine="420"/>
        <w:rPr>
          <w:sz w:val="21"/>
          <w:szCs w:val="21"/>
        </w:rPr>
      </w:pPr>
      <w:r>
        <w:rPr>
          <w:rFonts w:hint="eastAsia"/>
          <w:sz w:val="21"/>
          <w:szCs w:val="21"/>
        </w:rPr>
        <w:t xml:space="preserve">2、除非证券交易所另有规定，本基金场内申购赎回暂不设置当日申购、赎回份额上限、交易账户最低基金份额余额、单个投资人累计持有的基金份额上限。具体规定详见申购赎回清单。 </w:t>
      </w:r>
    </w:p>
    <w:p w14:paraId="75E68B7A">
      <w:pPr>
        <w:pStyle w:val="7"/>
        <w:spacing w:before="0" w:beforeAutospacing="0" w:after="0" w:afterAutospacing="0" w:line="360" w:lineRule="auto"/>
        <w:ind w:firstLine="420"/>
        <w:rPr>
          <w:sz w:val="21"/>
          <w:szCs w:val="21"/>
        </w:rPr>
      </w:pPr>
      <w:r>
        <w:rPr>
          <w:rFonts w:hint="eastAsia"/>
          <w:sz w:val="21"/>
          <w:szCs w:val="21"/>
        </w:rPr>
        <w:t xml:space="preserve">3、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2F85AED6">
      <w:pPr>
        <w:pStyle w:val="7"/>
        <w:spacing w:before="0" w:beforeAutospacing="0" w:after="0" w:afterAutospacing="0" w:line="360" w:lineRule="auto"/>
        <w:ind w:firstLine="420"/>
        <w:rPr>
          <w:sz w:val="21"/>
          <w:szCs w:val="21"/>
        </w:rPr>
      </w:pPr>
      <w:r>
        <w:rPr>
          <w:rFonts w:hint="eastAsia"/>
          <w:sz w:val="21"/>
          <w:szCs w:val="21"/>
        </w:rPr>
        <w:t xml:space="preserve">4、基金管理人可根据市场情况，在不违反法律法规的情况下，调整上述规定数量或比例等限制。基金管理人必须在调整实施前依照《信息披露办法》的有关规定在规定媒介上公告（对于其中上述第2条基金管理人只需于前一交易日设定并在当日基金申购、赎回清单上公布，而不必在规定媒介上公告也无需报中国证监会备案）。 </w:t>
      </w:r>
    </w:p>
    <w:p w14:paraId="01C2AE2A">
      <w:pPr>
        <w:pStyle w:val="7"/>
        <w:spacing w:before="0" w:beforeAutospacing="0" w:after="0" w:afterAutospacing="0" w:line="360" w:lineRule="auto"/>
        <w:ind w:firstLine="420"/>
        <w:rPr>
          <w:sz w:val="21"/>
          <w:szCs w:val="21"/>
        </w:rPr>
      </w:pPr>
      <w:r>
        <w:rPr>
          <w:rStyle w:val="11"/>
          <w:rFonts w:hint="eastAsia"/>
          <w:sz w:val="21"/>
          <w:szCs w:val="21"/>
        </w:rPr>
        <w:t>六、申购与赎回的对价和费用</w:t>
      </w:r>
    </w:p>
    <w:p w14:paraId="1C84FBE1">
      <w:pPr>
        <w:pStyle w:val="7"/>
        <w:spacing w:before="0" w:beforeAutospacing="0" w:after="0" w:afterAutospacing="0" w:line="360" w:lineRule="auto"/>
        <w:ind w:firstLine="420"/>
        <w:rPr>
          <w:sz w:val="21"/>
          <w:szCs w:val="21"/>
        </w:rPr>
      </w:pPr>
      <w:r>
        <w:rPr>
          <w:rFonts w:hint="eastAsia"/>
          <w:sz w:val="21"/>
          <w:szCs w:val="21"/>
        </w:rPr>
        <w:t xml:space="preserve">1、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 </w:t>
      </w:r>
    </w:p>
    <w:p w14:paraId="7A181377">
      <w:pPr>
        <w:pStyle w:val="7"/>
        <w:spacing w:before="0" w:beforeAutospacing="0" w:after="0" w:afterAutospacing="0" w:line="360" w:lineRule="auto"/>
        <w:ind w:firstLine="420"/>
        <w:rPr>
          <w:sz w:val="21"/>
          <w:szCs w:val="21"/>
        </w:rPr>
      </w:pPr>
      <w:r>
        <w:rPr>
          <w:rFonts w:hint="eastAsia"/>
          <w:sz w:val="21"/>
          <w:szCs w:val="21"/>
        </w:rPr>
        <w:t xml:space="preserve">2、申购、赎回清单由基金管理人编制。T日的申购、赎回清单在当日深圳证券交易所开市前公告。如遇特殊情况，可以适当延迟计算或公告。申购赎回清单的内容与格式详见下文“七、申购赎回清单的内容与格式”或相关公告。 </w:t>
      </w:r>
    </w:p>
    <w:p w14:paraId="70FD74EE">
      <w:pPr>
        <w:pStyle w:val="7"/>
        <w:spacing w:before="0" w:beforeAutospacing="0" w:after="0" w:afterAutospacing="0" w:line="360" w:lineRule="auto"/>
        <w:ind w:firstLine="420"/>
        <w:rPr>
          <w:sz w:val="21"/>
          <w:szCs w:val="21"/>
        </w:rPr>
      </w:pPr>
      <w:r>
        <w:rPr>
          <w:rFonts w:hint="eastAsia"/>
          <w:sz w:val="21"/>
          <w:szCs w:val="21"/>
        </w:rPr>
        <w:t xml:space="preserve">3、投资人在申购或赎回基金份额时，申购赎回代理券商可按照不超过0.5%的标准收取佣金，其中包含证券交易所、登记机构等收取的相关费用。 </w:t>
      </w:r>
    </w:p>
    <w:p w14:paraId="503CFB3A">
      <w:pPr>
        <w:pStyle w:val="7"/>
        <w:spacing w:before="0" w:beforeAutospacing="0" w:after="0" w:afterAutospacing="0" w:line="360" w:lineRule="auto"/>
        <w:ind w:firstLine="420"/>
        <w:rPr>
          <w:sz w:val="21"/>
          <w:szCs w:val="21"/>
        </w:rPr>
      </w:pPr>
      <w:r>
        <w:rPr>
          <w:rFonts w:hint="eastAsia"/>
          <w:sz w:val="21"/>
          <w:szCs w:val="21"/>
        </w:rPr>
        <w:t>4、本基金份额净值的计算，保留到小数点后</w:t>
      </w:r>
      <w:bookmarkStart w:id="100" w:name="field_63_netdecimal_1"/>
      <w:r>
        <w:rPr>
          <w:sz w:val="21"/>
          <w:szCs w:val="21"/>
        </w:rPr>
        <w:t>4</w:t>
      </w:r>
      <w:bookmarkEnd w:id="100"/>
      <w:r>
        <w:rPr>
          <w:rFonts w:hint="eastAsia"/>
          <w:sz w:val="21"/>
          <w:szCs w:val="21"/>
        </w:rPr>
        <w:t>位，小数点后第</w:t>
      </w:r>
      <w:bookmarkStart w:id="101" w:name="field_0_netdecimaladd1_1"/>
      <w:r>
        <w:rPr>
          <w:sz w:val="21"/>
          <w:szCs w:val="21"/>
        </w:rPr>
        <w:t>5</w:t>
      </w:r>
      <w:bookmarkEnd w:id="101"/>
      <w:r>
        <w:rPr>
          <w:rFonts w:hint="eastAsia"/>
          <w:sz w:val="21"/>
          <w:szCs w:val="21"/>
        </w:rPr>
        <w:t xml:space="preserve">位四舍五入，由此产生的收益或损失由基金财产承担。T日的基金份额净值在当天收市后计算，并按照基金合同的约定公告。遇特殊情况，经履行适当程序，可以适当延迟计算或公告。 </w:t>
      </w:r>
    </w:p>
    <w:p w14:paraId="097C7EC0">
      <w:pPr>
        <w:pStyle w:val="7"/>
        <w:spacing w:before="0" w:beforeAutospacing="0" w:after="0" w:afterAutospacing="0" w:line="360" w:lineRule="auto"/>
        <w:ind w:firstLine="420"/>
        <w:rPr>
          <w:sz w:val="21"/>
          <w:szCs w:val="21"/>
        </w:rPr>
      </w:pPr>
      <w:r>
        <w:rPr>
          <w:rFonts w:hint="eastAsia"/>
          <w:sz w:val="21"/>
          <w:szCs w:val="21"/>
        </w:rPr>
        <w:t xml:space="preserve">5、基金管理人可以在不违反相关法律法规的情况下对基金份额净值、申购赎回清单计算和公告时间进行调整并提前公告。 </w:t>
      </w:r>
    </w:p>
    <w:p w14:paraId="54DE3884">
      <w:pPr>
        <w:pStyle w:val="7"/>
        <w:spacing w:before="0" w:beforeAutospacing="0" w:after="0" w:afterAutospacing="0" w:line="360" w:lineRule="auto"/>
        <w:ind w:firstLine="420"/>
        <w:rPr>
          <w:sz w:val="21"/>
          <w:szCs w:val="21"/>
        </w:rPr>
      </w:pPr>
      <w:r>
        <w:rPr>
          <w:rStyle w:val="11"/>
          <w:rFonts w:hint="eastAsia"/>
          <w:sz w:val="21"/>
          <w:szCs w:val="21"/>
        </w:rPr>
        <w:t>七、申购赎回清单的内容与格式</w:t>
      </w:r>
    </w:p>
    <w:p w14:paraId="3520B8AA">
      <w:pPr>
        <w:pStyle w:val="7"/>
        <w:spacing w:before="0" w:beforeAutospacing="0" w:after="0" w:afterAutospacing="0" w:line="360" w:lineRule="auto"/>
        <w:ind w:firstLine="420"/>
        <w:rPr>
          <w:sz w:val="21"/>
          <w:szCs w:val="21"/>
        </w:rPr>
      </w:pPr>
      <w:r>
        <w:rPr>
          <w:rFonts w:hint="eastAsia"/>
          <w:sz w:val="21"/>
          <w:szCs w:val="21"/>
        </w:rPr>
        <w:t xml:space="preserve">（一）通过深圳证券交易所申购赎回 </w:t>
      </w:r>
    </w:p>
    <w:p w14:paraId="1FEB542F">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14:paraId="20C319FB">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14:paraId="61928AEC">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14:paraId="0477E7D4">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2287E59D">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14:paraId="5E3CE1BB">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2CC5A81C">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14:paraId="4A1F4950">
      <w:pPr>
        <w:pStyle w:val="7"/>
        <w:spacing w:before="0" w:beforeAutospacing="0" w:after="0" w:afterAutospacing="0" w:line="360" w:lineRule="auto"/>
        <w:ind w:firstLine="420"/>
        <w:rPr>
          <w:sz w:val="21"/>
          <w:szCs w:val="21"/>
        </w:rPr>
      </w:pPr>
      <w:r>
        <w:rPr>
          <w:rFonts w:hint="eastAsia"/>
          <w:sz w:val="21"/>
          <w:szCs w:val="21"/>
        </w:rPr>
        <w:t xml:space="preserve">对于深市成份证券，现金替代的标志可以设为：“禁止”、“允许”和“必须”。 </w:t>
      </w:r>
    </w:p>
    <w:p w14:paraId="01F2D75E">
      <w:pPr>
        <w:pStyle w:val="7"/>
        <w:spacing w:before="0" w:beforeAutospacing="0" w:after="0" w:afterAutospacing="0" w:line="360" w:lineRule="auto"/>
        <w:ind w:firstLine="420"/>
        <w:rPr>
          <w:sz w:val="21"/>
          <w:szCs w:val="21"/>
        </w:rPr>
      </w:pPr>
      <w:r>
        <w:rPr>
          <w:rFonts w:hint="eastAsia"/>
          <w:sz w:val="21"/>
          <w:szCs w:val="21"/>
        </w:rPr>
        <w:t xml:space="preserve">对于沪市成份证券，现金替代的标志可以设为：“允许”和“必须”。 </w:t>
      </w:r>
    </w:p>
    <w:p w14:paraId="07529A93">
      <w:pPr>
        <w:pStyle w:val="7"/>
        <w:spacing w:before="0" w:beforeAutospacing="0" w:after="0" w:afterAutospacing="0" w:line="360" w:lineRule="auto"/>
        <w:ind w:firstLine="420"/>
        <w:rPr>
          <w:sz w:val="21"/>
          <w:szCs w:val="21"/>
        </w:rPr>
      </w:pPr>
      <w:r>
        <w:rPr>
          <w:rFonts w:hint="eastAsia"/>
          <w:sz w:val="21"/>
          <w:szCs w:val="21"/>
        </w:rPr>
        <w:t xml:space="preserve">禁止现金替代适用于深圳证券交易所上市的成份股，是指在申购、赎回基金份额时，该成份证券不允许使用现金作为替代。 </w:t>
      </w:r>
    </w:p>
    <w:p w14:paraId="74AA5C5C">
      <w:pPr>
        <w:pStyle w:val="7"/>
        <w:spacing w:before="0" w:beforeAutospacing="0" w:after="0" w:afterAutospacing="0" w:line="360" w:lineRule="auto"/>
        <w:ind w:firstLine="420"/>
        <w:rPr>
          <w:sz w:val="21"/>
          <w:szCs w:val="21"/>
        </w:rPr>
      </w:pPr>
      <w:r>
        <w:rPr>
          <w:rFonts w:hint="eastAsia"/>
          <w:sz w:val="21"/>
          <w:szCs w:val="21"/>
        </w:rPr>
        <w:t xml:space="preserve">对于标志为可以现金替代的深圳证券交易所上市的成份股，申购基金份额时，允许使用现金作为全部或部分该成份证券的替代，但在赎回基金份额时，该成份证券不允许使用现金作为替代。 </w:t>
      </w:r>
    </w:p>
    <w:p w14:paraId="2D5169D6">
      <w:pPr>
        <w:pStyle w:val="7"/>
        <w:spacing w:before="0" w:beforeAutospacing="0" w:after="0" w:afterAutospacing="0" w:line="360" w:lineRule="auto"/>
        <w:ind w:firstLine="420"/>
        <w:rPr>
          <w:sz w:val="21"/>
          <w:szCs w:val="21"/>
        </w:rPr>
      </w:pPr>
      <w:r>
        <w:rPr>
          <w:rFonts w:hint="eastAsia"/>
          <w:sz w:val="21"/>
          <w:szCs w:val="21"/>
        </w:rPr>
        <w:t xml:space="preserve">对于标志为可以现金替代的上海证券交易所上市的成份股，申购赎回基金份额时，均使用现金作为替代。 </w:t>
      </w:r>
    </w:p>
    <w:p w14:paraId="3691A103">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14:paraId="15259040">
      <w:pPr>
        <w:pStyle w:val="7"/>
        <w:spacing w:before="0" w:beforeAutospacing="0" w:after="0" w:afterAutospacing="0" w:line="360" w:lineRule="auto"/>
        <w:ind w:firstLine="420"/>
        <w:rPr>
          <w:sz w:val="21"/>
          <w:szCs w:val="21"/>
        </w:rPr>
      </w:pPr>
      <w:r>
        <w:rPr>
          <w:rFonts w:hint="eastAsia"/>
          <w:sz w:val="21"/>
          <w:szCs w:val="21"/>
        </w:rPr>
        <w:t xml:space="preserve">（1）关于深圳证券交易所成份证券可以现金替代的情形 </w:t>
      </w:r>
    </w:p>
    <w:p w14:paraId="3303DAAF">
      <w:pPr>
        <w:pStyle w:val="7"/>
        <w:spacing w:before="0" w:beforeAutospacing="0" w:after="0" w:afterAutospacing="0" w:line="360" w:lineRule="auto"/>
        <w:ind w:firstLine="420"/>
        <w:rPr>
          <w:sz w:val="21"/>
          <w:szCs w:val="21"/>
        </w:rPr>
      </w:pPr>
      <w:r>
        <w:rPr>
          <w:rFonts w:hint="eastAsia"/>
          <w:sz w:val="21"/>
          <w:szCs w:val="21"/>
        </w:rPr>
        <w:t xml:space="preserve">1）适用情形：一般由于证券停牌等原因导致投资人无法在申购时买入证券或基金管理人认为可以适用的其他情形。 </w:t>
      </w:r>
    </w:p>
    <w:p w14:paraId="5C6C1F68">
      <w:pPr>
        <w:pStyle w:val="7"/>
        <w:spacing w:before="0" w:beforeAutospacing="0" w:after="0" w:afterAutospacing="0" w:line="360" w:lineRule="auto"/>
        <w:ind w:firstLine="420"/>
        <w:rPr>
          <w:sz w:val="21"/>
          <w:szCs w:val="21"/>
        </w:rPr>
      </w:pPr>
      <w:r>
        <w:rPr>
          <w:rFonts w:hint="eastAsia"/>
          <w:sz w:val="21"/>
          <w:szCs w:val="21"/>
        </w:rPr>
        <w:t xml:space="preserve">2）替代金额： </w:t>
      </w:r>
    </w:p>
    <w:p w14:paraId="2B40605F">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替代金额＝替代证券数量×该证券参考价格×（1＋现金替代保证金率） </w:t>
      </w:r>
    </w:p>
    <w:p w14:paraId="496E86C0">
      <w:pPr>
        <w:pStyle w:val="7"/>
        <w:spacing w:before="0" w:beforeAutospacing="0" w:after="0" w:afterAutospacing="0" w:line="360" w:lineRule="auto"/>
        <w:ind w:firstLine="420"/>
        <w:rPr>
          <w:sz w:val="21"/>
          <w:szCs w:val="21"/>
        </w:rPr>
      </w:pPr>
      <w:r>
        <w:rPr>
          <w:rFonts w:hint="eastAsia"/>
          <w:sz w:val="21"/>
          <w:szCs w:val="21"/>
        </w:rPr>
        <w:t xml:space="preserve">其中，“该证券参考价格”目前为该证券经除权除息调整的 T-1 日收盘价。如果深圳证券交易所参考价格确定原则发生变化，以深圳证券交易所通知规定的参考价格为准。申购现金替代溢价比例、赎回现金替代折价比例也分别称申购现金替代保证金率、赎回现金替代保证金率。 </w:t>
      </w:r>
    </w:p>
    <w:p w14:paraId="0940E556">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55263271">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14:paraId="46FF83AA">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T日，基金管理人在申购赎回清单中公布现金替代溢价比例，并据此在T+1日收取替代金额。 </w:t>
      </w:r>
    </w:p>
    <w:p w14:paraId="64172FC3">
      <w:pPr>
        <w:pStyle w:val="7"/>
        <w:spacing w:before="0" w:beforeAutospacing="0" w:after="0" w:afterAutospacing="0" w:line="360" w:lineRule="auto"/>
        <w:ind w:firstLine="420"/>
        <w:rPr>
          <w:sz w:val="21"/>
          <w:szCs w:val="21"/>
        </w:rPr>
      </w:pPr>
      <w:r>
        <w:rPr>
          <w:rFonts w:hint="eastAsia"/>
          <w:sz w:val="21"/>
          <w:szCs w:val="21"/>
        </w:rPr>
        <w:t xml:space="preserve">在T日后被替代的部分证券有正常交易的2个交易日（即T＋2日）内，基金管理人将以收到的替代金额买入被替代的部分证券。 </w:t>
      </w:r>
    </w:p>
    <w:p w14:paraId="70D4C086">
      <w:pPr>
        <w:pStyle w:val="7"/>
        <w:spacing w:before="0" w:beforeAutospacing="0" w:after="0" w:afterAutospacing="0" w:line="360" w:lineRule="auto"/>
        <w:ind w:firstLine="420"/>
        <w:rPr>
          <w:sz w:val="21"/>
          <w:szCs w:val="21"/>
        </w:rPr>
      </w:pPr>
      <w:r>
        <w:rPr>
          <w:rFonts w:hint="eastAsia"/>
          <w:sz w:val="21"/>
          <w:szCs w:val="21"/>
        </w:rPr>
        <w:t xml:space="preserve">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 </w:t>
      </w:r>
    </w:p>
    <w:p w14:paraId="50A89C1D">
      <w:pPr>
        <w:pStyle w:val="7"/>
        <w:spacing w:before="0" w:beforeAutospacing="0" w:after="0" w:afterAutospacing="0" w:line="360" w:lineRule="auto"/>
        <w:ind w:firstLine="420"/>
        <w:rPr>
          <w:sz w:val="21"/>
          <w:szCs w:val="21"/>
        </w:rPr>
      </w:pPr>
      <w:r>
        <w:rPr>
          <w:rFonts w:hint="eastAsia"/>
          <w:sz w:val="21"/>
          <w:szCs w:val="21"/>
        </w:rPr>
        <w:t xml:space="preserve">特殊情况：若自T日起，深圳证券交易所正常交易日已达20日而该部分证券的正常交易日低于2日，且该部分证券最近交易日后未发生影响公允价值计量的重大事件的，则以替代金额与所购入的部分被替代证券的实际购入成本加上按照最近一次收盘价计算的未购入的部分被替代证券价值的差额，确定基金应退还投资人或投资人应补交的款项。 </w:t>
      </w:r>
    </w:p>
    <w:p w14:paraId="2F220A6D">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70557C4E">
      <w:pPr>
        <w:pStyle w:val="7"/>
        <w:spacing w:before="0" w:beforeAutospacing="0" w:after="0" w:afterAutospacing="0" w:line="360" w:lineRule="auto"/>
        <w:ind w:firstLine="420"/>
        <w:rPr>
          <w:sz w:val="21"/>
          <w:szCs w:val="21"/>
        </w:rPr>
      </w:pPr>
      <w:r>
        <w:rPr>
          <w:rFonts w:hint="eastAsia"/>
          <w:sz w:val="21"/>
          <w:szCs w:val="21"/>
        </w:rPr>
        <w:t xml:space="preserve">T＋2日后的第1个市场交易日（在特殊情况下则为确定基金应退还投资人或投资人应补交的款项后的第1个市场交易日），基金管理人将应退款和应补款的明细及汇总数据发送给相关申购赎回代理券商和基金托管人，相关款项的清算交收，将于此后3个工作日内完成。 </w:t>
      </w:r>
    </w:p>
    <w:p w14:paraId="53FA2709">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14:paraId="627B57BD">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4181475" cy="6286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6"/>
                    <a:stretch>
                      <a:fillRect/>
                    </a:stretch>
                  </pic:blipFill>
                  <pic:spPr>
                    <a:xfrm>
                      <a:off x="0" y="0"/>
                      <a:ext cx="4182059" cy="628738"/>
                    </a:xfrm>
                    <a:prstGeom prst="rect">
                      <a:avLst/>
                    </a:prstGeom>
                  </pic:spPr>
                </pic:pic>
              </a:graphicData>
            </a:graphic>
          </wp:inline>
        </w:drawing>
      </w:r>
      <w:r>
        <w:rPr>
          <w:rFonts w:hint="eastAsia"/>
          <w:sz w:val="21"/>
          <w:szCs w:val="21"/>
        </w:rPr>
        <w:t xml:space="preserve">  </w:t>
      </w:r>
    </w:p>
    <w:p w14:paraId="26E70601">
      <w:pPr>
        <w:pStyle w:val="7"/>
        <w:spacing w:before="0" w:beforeAutospacing="0" w:after="0" w:afterAutospacing="0" w:line="360" w:lineRule="auto"/>
        <w:ind w:firstLine="420"/>
        <w:rPr>
          <w:sz w:val="21"/>
          <w:szCs w:val="21"/>
        </w:rPr>
      </w:pPr>
      <w:r>
        <w:rPr>
          <w:rFonts w:hint="eastAsia"/>
          <w:sz w:val="21"/>
          <w:szCs w:val="21"/>
        </w:rPr>
        <w:t xml:space="preserve">其中，“该证券参考价格”的确定原则与可以现金替代情况下“替代金额”计算公式中的“该证券参考价格”相同。“基金份额参考净值”目前为本基金前一交易日除权除息后的收盘价。 </w:t>
      </w:r>
    </w:p>
    <w:p w14:paraId="2155EE12">
      <w:pPr>
        <w:pStyle w:val="7"/>
        <w:spacing w:before="0" w:beforeAutospacing="0" w:after="0" w:afterAutospacing="0" w:line="360" w:lineRule="auto"/>
        <w:ind w:firstLine="420"/>
        <w:rPr>
          <w:sz w:val="21"/>
          <w:szCs w:val="21"/>
        </w:rPr>
      </w:pPr>
      <w:r>
        <w:rPr>
          <w:rFonts w:hint="eastAsia"/>
          <w:sz w:val="21"/>
          <w:szCs w:val="21"/>
        </w:rPr>
        <w:t xml:space="preserve">如果深圳证券交易所对上述计算方式另有规定的，以深圳证券交易所最新规定为准。 </w:t>
      </w:r>
    </w:p>
    <w:p w14:paraId="148BEB10">
      <w:pPr>
        <w:pStyle w:val="7"/>
        <w:spacing w:before="0" w:beforeAutospacing="0" w:after="0" w:afterAutospacing="0" w:line="360" w:lineRule="auto"/>
        <w:ind w:firstLine="420"/>
        <w:rPr>
          <w:sz w:val="21"/>
          <w:szCs w:val="21"/>
        </w:rPr>
      </w:pPr>
      <w:r>
        <w:rPr>
          <w:rFonts w:hint="eastAsia"/>
          <w:sz w:val="21"/>
          <w:szCs w:val="21"/>
        </w:rPr>
        <w:t xml:space="preserve">（2）关于上海证券交易所成份证券可以现金替代的情形 </w:t>
      </w:r>
    </w:p>
    <w:p w14:paraId="5BB50D80">
      <w:pPr>
        <w:pStyle w:val="7"/>
        <w:spacing w:before="0" w:beforeAutospacing="0" w:after="0" w:afterAutospacing="0" w:line="360" w:lineRule="auto"/>
        <w:ind w:firstLine="420"/>
        <w:rPr>
          <w:sz w:val="21"/>
          <w:szCs w:val="21"/>
        </w:rPr>
      </w:pPr>
      <w:r>
        <w:rPr>
          <w:rFonts w:hint="eastAsia"/>
          <w:sz w:val="21"/>
          <w:szCs w:val="21"/>
        </w:rPr>
        <w:t xml:space="preserve">1）适用情形：适用于本基金成份券中上海证券交易所上市的股票。 </w:t>
      </w:r>
    </w:p>
    <w:p w14:paraId="07A0FABB">
      <w:pPr>
        <w:pStyle w:val="7"/>
        <w:spacing w:before="0" w:beforeAutospacing="0" w:after="0" w:afterAutospacing="0" w:line="360" w:lineRule="auto"/>
        <w:ind w:firstLine="420"/>
        <w:rPr>
          <w:sz w:val="21"/>
          <w:szCs w:val="21"/>
        </w:rPr>
      </w:pPr>
      <w:r>
        <w:rPr>
          <w:rFonts w:hint="eastAsia"/>
          <w:sz w:val="21"/>
          <w:szCs w:val="21"/>
        </w:rPr>
        <w:t xml:space="preserve">2）替代金额： </w:t>
      </w:r>
    </w:p>
    <w:p w14:paraId="124D691E">
      <w:pPr>
        <w:pStyle w:val="7"/>
        <w:spacing w:before="0" w:beforeAutospacing="0" w:after="0" w:afterAutospacing="0" w:line="360" w:lineRule="auto"/>
        <w:ind w:firstLine="420"/>
        <w:rPr>
          <w:sz w:val="21"/>
          <w:szCs w:val="21"/>
        </w:rPr>
      </w:pPr>
      <w:r>
        <w:rPr>
          <w:rFonts w:hint="eastAsia"/>
          <w:sz w:val="21"/>
          <w:szCs w:val="21"/>
        </w:rPr>
        <w:t xml:space="preserve">申购的替代金额＝替代证券数量×该证券调整后T日开盘参考价×（1+申购现金替代保证金率）。 </w:t>
      </w:r>
    </w:p>
    <w:p w14:paraId="43CC33B6">
      <w:pPr>
        <w:pStyle w:val="7"/>
        <w:spacing w:before="0" w:beforeAutospacing="0" w:after="0" w:afterAutospacing="0" w:line="360" w:lineRule="auto"/>
        <w:ind w:firstLine="420"/>
        <w:rPr>
          <w:sz w:val="21"/>
          <w:szCs w:val="21"/>
        </w:rPr>
      </w:pPr>
      <w:r>
        <w:rPr>
          <w:rFonts w:hint="eastAsia"/>
          <w:sz w:val="21"/>
          <w:szCs w:val="21"/>
        </w:rPr>
        <w:t xml:space="preserve">赎回的替代金额＝替代证券数量×该证券调整后T日开盘参考价×（1-赎回现金替代保证金率）。 </w:t>
      </w:r>
    </w:p>
    <w:p w14:paraId="5CD00ABE">
      <w:pPr>
        <w:pStyle w:val="7"/>
        <w:spacing w:before="0" w:beforeAutospacing="0" w:after="0" w:afterAutospacing="0" w:line="360" w:lineRule="auto"/>
        <w:ind w:firstLine="420"/>
        <w:rPr>
          <w:sz w:val="21"/>
          <w:szCs w:val="21"/>
        </w:rPr>
      </w:pPr>
      <w:r>
        <w:rPr>
          <w:rFonts w:hint="eastAsia"/>
          <w:sz w:val="21"/>
          <w:szCs w:val="21"/>
        </w:rPr>
        <w:t xml:space="preserve">申购时收取申购现金替代溢价的原因是，对于使用现金替代的证券，基金管理人将买入该证券，实际买入价格加上相关交易费用后与该证券调整后T日开盘参考价可能有所差异。为便于操作，基金管理人在申购赎回清单中预先确定申购现金替代溢价比例，并据此收取替代金额。如果预先收取的金额高于基金购入该部分证券的实际成本（包括买入价格与交易费用），则基金管理人将退还多收取的差额；如果预先收取的金额低于基金购入该部分证券的实际成本（包括买入价格与交易费用），则基金管理人将向投资者收取欠缺的差额。 </w:t>
      </w:r>
    </w:p>
    <w:p w14:paraId="23D5200D">
      <w:pPr>
        <w:pStyle w:val="7"/>
        <w:spacing w:before="0" w:beforeAutospacing="0" w:after="0" w:afterAutospacing="0" w:line="360" w:lineRule="auto"/>
        <w:ind w:firstLine="420"/>
        <w:rPr>
          <w:sz w:val="21"/>
          <w:szCs w:val="21"/>
        </w:rPr>
      </w:pPr>
      <w:r>
        <w:rPr>
          <w:rFonts w:hint="eastAsia"/>
          <w:sz w:val="21"/>
          <w:szCs w:val="21"/>
        </w:rPr>
        <w:t xml:space="preserve">赎回时扣除赎回现金替代折价的原因是，对于使用现金替代的证券，基金管理人将卖出该证券，实际卖出价格扣除相关交易费用后与该证券调整后T日开盘参考价可能有所差异。为便于操作，基金管理人在申购赎回清单中预先确定赎回现金替代折价比例，并据此支付替代金额。如果预先支付的金额低于基金卖出该部分证券的实际收入（包括买入价格与交易费用），则基金管理人将退还少支付的差额；如果预先支付的金额高于基金卖出该部分证券的实际收入（包括买入价格与交易费用），则基金管理人将向投资者收取多支付的差额。 </w:t>
      </w:r>
    </w:p>
    <w:p w14:paraId="35B43B12">
      <w:pPr>
        <w:pStyle w:val="7"/>
        <w:spacing w:before="0" w:beforeAutospacing="0" w:after="0" w:afterAutospacing="0" w:line="360" w:lineRule="auto"/>
        <w:ind w:firstLine="420"/>
        <w:rPr>
          <w:sz w:val="21"/>
          <w:szCs w:val="21"/>
        </w:rPr>
      </w:pPr>
      <w:r>
        <w:rPr>
          <w:rFonts w:hint="eastAsia"/>
          <w:sz w:val="21"/>
          <w:szCs w:val="21"/>
        </w:rPr>
        <w:t xml:space="preserve">基金管理人将自T日起在收到申购交易确认后按照“时间优先、实时申报”的原则依次买入申购被替代的部分证券，在收到赎回交易确认后按照“时间优先、实时申报”的原则依次卖出赎回被替代的部分证券。T日未完成的交易，基金管理人在T日后被替代的成份证券有正常交易的2个交易日（简称为T+2日）内完成上述交易。 </w:t>
      </w:r>
    </w:p>
    <w:p w14:paraId="52839D0E">
      <w:pPr>
        <w:pStyle w:val="7"/>
        <w:spacing w:before="0" w:beforeAutospacing="0" w:after="0" w:afterAutospacing="0" w:line="360" w:lineRule="auto"/>
        <w:ind w:firstLine="420"/>
        <w:rPr>
          <w:sz w:val="21"/>
          <w:szCs w:val="21"/>
        </w:rPr>
      </w:pPr>
      <w:r>
        <w:rPr>
          <w:rFonts w:hint="eastAsia"/>
          <w:sz w:val="21"/>
          <w:szCs w:val="21"/>
        </w:rPr>
        <w:t xml:space="preserve">时间优先的原则为：申购赎回方向相同的，先确认成交者优先于后确认成交者。先后顺序按照深圳证券交易所确认申购赎回的时间确定。 </w:t>
      </w:r>
    </w:p>
    <w:p w14:paraId="3B982DA0">
      <w:pPr>
        <w:pStyle w:val="7"/>
        <w:spacing w:before="0" w:beforeAutospacing="0" w:after="0" w:afterAutospacing="0" w:line="360" w:lineRule="auto"/>
        <w:ind w:firstLine="420"/>
        <w:rPr>
          <w:sz w:val="21"/>
          <w:szCs w:val="21"/>
        </w:rPr>
      </w:pPr>
      <w:r>
        <w:rPr>
          <w:rFonts w:hint="eastAsia"/>
          <w:sz w:val="21"/>
          <w:szCs w:val="21"/>
        </w:rPr>
        <w:t xml:space="preserve">实时申报的原则为：基金管理人在上海证券交易所连续竞价期间，根据收到的深圳证券交易所申购赎回确认记录，在技术系统允许的情况下实时向上海证券交易所申报被替代证券的交易指令。 </w:t>
      </w:r>
    </w:p>
    <w:p w14:paraId="2E05F2E0">
      <w:pPr>
        <w:pStyle w:val="7"/>
        <w:spacing w:before="0" w:beforeAutospacing="0" w:after="0" w:afterAutospacing="0" w:line="360" w:lineRule="auto"/>
        <w:ind w:firstLine="420"/>
        <w:rPr>
          <w:sz w:val="21"/>
          <w:szCs w:val="21"/>
        </w:rPr>
      </w:pPr>
      <w:r>
        <w:rPr>
          <w:rFonts w:hint="eastAsia"/>
          <w:sz w:val="21"/>
          <w:szCs w:val="21"/>
        </w:rPr>
        <w:t xml:space="preserve">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 </w:t>
      </w:r>
    </w:p>
    <w:p w14:paraId="537E3DC6">
      <w:pPr>
        <w:pStyle w:val="7"/>
        <w:spacing w:before="0" w:beforeAutospacing="0" w:after="0" w:afterAutospacing="0" w:line="360" w:lineRule="auto"/>
        <w:ind w:firstLine="420"/>
        <w:rPr>
          <w:sz w:val="21"/>
          <w:szCs w:val="21"/>
        </w:rPr>
      </w:pPr>
      <w:r>
        <w:rPr>
          <w:rFonts w:hint="eastAsia"/>
          <w:sz w:val="21"/>
          <w:szCs w:val="21"/>
        </w:rPr>
        <w:t xml:space="preserve">对于T日因停牌或流动性不足等原因未购入和未卖出的被替代的部分证券，T日后基金管理人可以继续进行被替代证券的买入和卖出，按照前述原则确定基金应退还投资者或投资者应补交的款项。 </w:t>
      </w:r>
    </w:p>
    <w:p w14:paraId="79018C27">
      <w:pPr>
        <w:pStyle w:val="7"/>
        <w:spacing w:before="0" w:beforeAutospacing="0" w:after="0" w:afterAutospacing="0" w:line="360" w:lineRule="auto"/>
        <w:ind w:firstLine="420"/>
        <w:rPr>
          <w:sz w:val="21"/>
          <w:szCs w:val="21"/>
        </w:rPr>
      </w:pPr>
      <w:r>
        <w:rPr>
          <w:rFonts w:hint="eastAsia"/>
          <w:sz w:val="21"/>
          <w:szCs w:val="21"/>
        </w:rPr>
        <w:t xml:space="preserve">T+2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T+2日收盘价计算的未购入的部分被替代证券价值的差额，确定基金应退还申购投资者或申购投资者应补交的款项。 </w:t>
      </w:r>
    </w:p>
    <w:p w14:paraId="47684700">
      <w:pPr>
        <w:pStyle w:val="7"/>
        <w:spacing w:before="0" w:beforeAutospacing="0" w:after="0" w:afterAutospacing="0" w:line="360" w:lineRule="auto"/>
        <w:ind w:firstLine="420"/>
        <w:rPr>
          <w:sz w:val="21"/>
          <w:szCs w:val="21"/>
        </w:rPr>
      </w:pPr>
      <w:r>
        <w:rPr>
          <w:rFonts w:hint="eastAsia"/>
          <w:sz w:val="21"/>
          <w:szCs w:val="21"/>
        </w:rPr>
        <w:t xml:space="preserve">T+2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T+2日收盘价计算的未卖出的部分被替代证券价值的差额，确定基金应退还赎回投资者或赎回投资者应补交的款项。 </w:t>
      </w:r>
    </w:p>
    <w:p w14:paraId="02FC6905">
      <w:pPr>
        <w:pStyle w:val="7"/>
        <w:spacing w:before="0" w:beforeAutospacing="0" w:after="0" w:afterAutospacing="0" w:line="360" w:lineRule="auto"/>
        <w:ind w:firstLine="420"/>
        <w:rPr>
          <w:sz w:val="21"/>
          <w:szCs w:val="21"/>
        </w:rPr>
      </w:pPr>
      <w:r>
        <w:rPr>
          <w:rFonts w:hint="eastAsia"/>
          <w:sz w:val="21"/>
          <w:szCs w:val="21"/>
        </w:rPr>
        <w:t xml:space="preserve">特例情况：若自T日起，上海证券交易所正常交易日已达到20日而该证券正常交易日低于2日，且该部分证券最近交易日后未发生影响公允价值计量的重大事件的，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 </w:t>
      </w:r>
    </w:p>
    <w:p w14:paraId="70B8A002">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4CA75F97">
      <w:pPr>
        <w:pStyle w:val="7"/>
        <w:spacing w:before="0" w:beforeAutospacing="0" w:after="0" w:afterAutospacing="0" w:line="360" w:lineRule="auto"/>
        <w:ind w:firstLine="420"/>
        <w:rPr>
          <w:sz w:val="21"/>
          <w:szCs w:val="21"/>
        </w:rPr>
      </w:pPr>
      <w:r>
        <w:rPr>
          <w:rFonts w:hint="eastAsia"/>
          <w:sz w:val="21"/>
          <w:szCs w:val="21"/>
        </w:rPr>
        <w:t xml:space="preserve">T+2日后第1个工作日（在特殊情况下则为确定基金应退还投资人或投资人应补交的款项后的第1个市场交易日），基金管理人将应退款和补款的明细及汇总数据通过中国证券登记结算有限责任公司发送给相关申购赎回代理券商和基金托管人，相关款项的清算交收将于此后3个工作日内完成。 </w:t>
      </w:r>
    </w:p>
    <w:p w14:paraId="26B565F9">
      <w:pPr>
        <w:pStyle w:val="7"/>
        <w:spacing w:before="0" w:beforeAutospacing="0" w:after="0" w:afterAutospacing="0" w:line="360" w:lineRule="auto"/>
        <w:ind w:firstLine="420"/>
        <w:rPr>
          <w:sz w:val="21"/>
          <w:szCs w:val="21"/>
        </w:rPr>
      </w:pPr>
      <w:r>
        <w:rPr>
          <w:rFonts w:hint="eastAsia"/>
          <w:sz w:val="21"/>
          <w:szCs w:val="21"/>
        </w:rPr>
        <w:t xml:space="preserve">（3）必须现金替代 </w:t>
      </w:r>
    </w:p>
    <w:p w14:paraId="2BC31337">
      <w:pPr>
        <w:pStyle w:val="7"/>
        <w:spacing w:before="0" w:beforeAutospacing="0" w:after="0" w:afterAutospacing="0" w:line="360" w:lineRule="auto"/>
        <w:ind w:firstLine="420"/>
        <w:rPr>
          <w:sz w:val="21"/>
          <w:szCs w:val="21"/>
        </w:rPr>
      </w:pPr>
      <w:r>
        <w:rPr>
          <w:rFonts w:hint="eastAsia"/>
          <w:sz w:val="21"/>
          <w:szCs w:val="21"/>
        </w:rPr>
        <w:t xml:space="preserve">1）适用情形：一般适用于标的指数调整将被剔除的成份证券以及处于停牌的股票，或因法律法规限制投资的成份证券，或出于保护基金持有人利益等原因基金管理人认为有必要实行必须现金替代的成份证券。 </w:t>
      </w:r>
    </w:p>
    <w:p w14:paraId="2339929A">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7F81EE7D">
      <w:pPr>
        <w:pStyle w:val="7"/>
        <w:spacing w:before="0" w:beforeAutospacing="0" w:after="0" w:afterAutospacing="0" w:line="360" w:lineRule="auto"/>
        <w:ind w:firstLine="420"/>
        <w:rPr>
          <w:sz w:val="21"/>
          <w:szCs w:val="21"/>
        </w:rPr>
      </w:pPr>
      <w:r>
        <w:rPr>
          <w:rFonts w:hint="eastAsia"/>
          <w:sz w:val="21"/>
          <w:szCs w:val="21"/>
        </w:rPr>
        <w:t xml:space="preserve">4、预估现金差额 </w:t>
      </w:r>
    </w:p>
    <w:p w14:paraId="0730CEA5">
      <w:pPr>
        <w:pStyle w:val="7"/>
        <w:spacing w:before="0" w:beforeAutospacing="0" w:after="0" w:afterAutospacing="0" w:line="360" w:lineRule="auto"/>
        <w:ind w:firstLine="420"/>
        <w:rPr>
          <w:sz w:val="21"/>
          <w:szCs w:val="21"/>
        </w:rPr>
      </w:pPr>
      <w:r>
        <w:rPr>
          <w:rFonts w:hint="eastAsia"/>
          <w:sz w:val="21"/>
          <w:szCs w:val="21"/>
        </w:rPr>
        <w:t xml:space="preserve">预估现金差额指为便于计算基金份额参考净值及申购、赎回代理券商预先冻结申请申购、赎回的投资人的相应资金，由基金管理人计算并公布的现金差额的预估值。 </w:t>
      </w:r>
    </w:p>
    <w:p w14:paraId="236CBE02">
      <w:pPr>
        <w:pStyle w:val="7"/>
        <w:spacing w:before="0" w:beforeAutospacing="0" w:after="0" w:afterAutospacing="0" w:line="360" w:lineRule="auto"/>
        <w:ind w:firstLine="420"/>
        <w:rPr>
          <w:sz w:val="21"/>
          <w:szCs w:val="21"/>
        </w:rPr>
      </w:pPr>
      <w:r>
        <w:rPr>
          <w:rFonts w:hint="eastAsia"/>
          <w:sz w:val="21"/>
          <w:szCs w:val="21"/>
        </w:rPr>
        <w:t xml:space="preserve">T日预估现金差额在T日申购赎回清单中公告，其计算公式为： </w:t>
      </w:r>
    </w:p>
    <w:p w14:paraId="45ECE274">
      <w:pPr>
        <w:pStyle w:val="7"/>
        <w:spacing w:before="0" w:beforeAutospacing="0" w:after="0" w:afterAutospacing="0" w:line="360" w:lineRule="auto"/>
        <w:ind w:firstLine="420"/>
        <w:rPr>
          <w:sz w:val="21"/>
          <w:szCs w:val="21"/>
        </w:rPr>
      </w:pPr>
      <w:r>
        <w:rPr>
          <w:rFonts w:hint="eastAsia"/>
          <w:sz w:val="21"/>
          <w:szCs w:val="21"/>
        </w:rPr>
        <w:t xml:space="preserve">T日预估现金差额＝T—1日最小申购、赎回单位的基金资产净值－（申购赎回清单中必须现金替代的固定替代金额总额+申购赎回清单中可以现金替代的所有成份证券的数量与该证券调整后T日开盘参考价乘积之和＋申购赎回清单中禁止现金替代的所有成份证券的数量与该证券调整后T日开盘参考价乘积之和） </w:t>
      </w:r>
    </w:p>
    <w:p w14:paraId="274E9CDB">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 </w:t>
      </w:r>
    </w:p>
    <w:p w14:paraId="2A3FE8E1">
      <w:pPr>
        <w:pStyle w:val="7"/>
        <w:spacing w:before="0" w:beforeAutospacing="0" w:after="0" w:afterAutospacing="0" w:line="360" w:lineRule="auto"/>
        <w:ind w:firstLine="420"/>
        <w:rPr>
          <w:sz w:val="21"/>
          <w:szCs w:val="21"/>
        </w:rPr>
      </w:pPr>
      <w:r>
        <w:rPr>
          <w:rFonts w:hint="eastAsia"/>
          <w:sz w:val="21"/>
          <w:szCs w:val="21"/>
        </w:rPr>
        <w:t xml:space="preserve">预估现金差额的数值可能为正、为负或为零。 </w:t>
      </w:r>
    </w:p>
    <w:p w14:paraId="67BBDD24">
      <w:pPr>
        <w:pStyle w:val="7"/>
        <w:spacing w:before="0" w:beforeAutospacing="0" w:after="0" w:afterAutospacing="0" w:line="360" w:lineRule="auto"/>
        <w:ind w:firstLine="420"/>
        <w:rPr>
          <w:sz w:val="21"/>
          <w:szCs w:val="21"/>
        </w:rPr>
      </w:pPr>
      <w:r>
        <w:rPr>
          <w:rFonts w:hint="eastAsia"/>
          <w:sz w:val="21"/>
          <w:szCs w:val="21"/>
        </w:rPr>
        <w:t xml:space="preserve">5、现金差额 </w:t>
      </w:r>
    </w:p>
    <w:p w14:paraId="7580664E">
      <w:pPr>
        <w:pStyle w:val="7"/>
        <w:spacing w:before="0" w:beforeAutospacing="0" w:after="0" w:afterAutospacing="0" w:line="360" w:lineRule="auto"/>
        <w:ind w:firstLine="420"/>
        <w:rPr>
          <w:sz w:val="21"/>
          <w:szCs w:val="21"/>
        </w:rPr>
      </w:pPr>
      <w:r>
        <w:rPr>
          <w:rFonts w:hint="eastAsia"/>
          <w:sz w:val="21"/>
          <w:szCs w:val="21"/>
        </w:rPr>
        <w:t xml:space="preserve">现金差额指最小申购、赎回单位的资产净值与按当日收盘价计算的最小申购、赎回单位中的组合证券市值和现金替代之差。 </w:t>
      </w:r>
    </w:p>
    <w:p w14:paraId="03642DDF">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14:paraId="5DE9A1FE">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现金替代的固定替代金额总额＋申购赎回清单中可以现金替代的所有成份证券的数量与该证券T日收盘价乘积之和＋申购赎回清单中禁止现金替代的所有成份证券的数量与该证券T日收盘价乘积之和） </w:t>
      </w:r>
    </w:p>
    <w:p w14:paraId="161D3EA3">
      <w:pPr>
        <w:pStyle w:val="7"/>
        <w:spacing w:before="0" w:beforeAutospacing="0" w:after="0" w:afterAutospacing="0" w:line="360" w:lineRule="auto"/>
        <w:ind w:firstLine="420"/>
        <w:rPr>
          <w:sz w:val="21"/>
          <w:szCs w:val="21"/>
        </w:rPr>
      </w:pPr>
      <w:r>
        <w:rPr>
          <w:rFonts w:hint="eastAsia"/>
          <w:sz w:val="21"/>
          <w:szCs w:val="21"/>
        </w:rPr>
        <w:t xml:space="preserve">T日投资人申购、赎回的基金份额，需按T＋1日公告的T日现金差额进行资金的清算交收。现金差额的数值可能为正、为负或为零。 </w:t>
      </w:r>
    </w:p>
    <w:p w14:paraId="7D9F549F">
      <w:pPr>
        <w:pStyle w:val="7"/>
        <w:spacing w:before="0" w:beforeAutospacing="0" w:after="0" w:afterAutospacing="0" w:line="360" w:lineRule="auto"/>
        <w:ind w:firstLine="420"/>
        <w:rPr>
          <w:sz w:val="21"/>
          <w:szCs w:val="21"/>
        </w:rPr>
      </w:pPr>
      <w:r>
        <w:rPr>
          <w:rFonts w:hint="eastAsia"/>
          <w:sz w:val="21"/>
          <w:szCs w:val="21"/>
        </w:rPr>
        <w:t xml:space="preserve">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116F8DFC">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685"/>
        <w:gridCol w:w="685"/>
        <w:gridCol w:w="857"/>
        <w:gridCol w:w="1603"/>
        <w:gridCol w:w="1603"/>
        <w:gridCol w:w="857"/>
        <w:gridCol w:w="857"/>
        <w:gridCol w:w="685"/>
      </w:tblGrid>
      <w:tr w14:paraId="455C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14:paraId="2C369BDD">
            <w:pPr>
              <w:jc w:val="center"/>
              <w:rPr>
                <w:rFonts w:ascii="宋体" w:hAnsi="宋体" w:eastAsia="宋体" w:cs="宋体"/>
                <w:sz w:val="24"/>
                <w:szCs w:val="24"/>
              </w:rPr>
            </w:pPr>
            <w:r>
              <w:rPr>
                <w:rFonts w:hint="eastAsia" w:ascii="宋体" w:hAnsi="宋体" w:eastAsia="宋体"/>
              </w:rPr>
              <w:t xml:space="preserve">基本信息 </w:t>
            </w:r>
          </w:p>
        </w:tc>
      </w:tr>
      <w:tr w14:paraId="31CB4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6E9E3D39">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5"/>
            <w:shd w:val="clear" w:color="auto" w:fill="auto"/>
          </w:tcPr>
          <w:p w14:paraId="5533501C">
            <w:pPr>
              <w:jc w:val="center"/>
              <w:rPr>
                <w:rFonts w:ascii="宋体" w:hAnsi="宋体" w:eastAsia="宋体" w:cs="宋体"/>
                <w:sz w:val="24"/>
                <w:szCs w:val="24"/>
              </w:rPr>
            </w:pPr>
            <w:r>
              <w:rPr>
                <w:rFonts w:hint="eastAsia" w:ascii="宋体" w:hAnsi="宋体" w:eastAsia="宋体"/>
              </w:rPr>
              <w:t xml:space="preserve">202X年 月   日 </w:t>
            </w:r>
          </w:p>
        </w:tc>
      </w:tr>
      <w:tr w14:paraId="196A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693268D">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5"/>
            <w:shd w:val="clear" w:color="auto" w:fill="auto"/>
          </w:tcPr>
          <w:p w14:paraId="284117EA">
            <w:pPr>
              <w:jc w:val="center"/>
              <w:rPr>
                <w:rFonts w:ascii="宋体" w:hAnsi="宋体" w:eastAsia="宋体" w:cs="宋体"/>
                <w:sz w:val="24"/>
                <w:szCs w:val="24"/>
              </w:rPr>
            </w:pPr>
            <w:bookmarkStart w:id="102" w:name="field_0_productfullname_14"/>
            <w:r>
              <w:rPr>
                <w:rFonts w:hint="eastAsia" w:ascii="宋体" w:hAnsi="宋体" w:eastAsia="宋体"/>
              </w:rPr>
              <w:t>博时中证半导体产业交易型开放式指数证券投资基金</w:t>
            </w:r>
            <w:bookmarkEnd w:id="102"/>
            <w:r>
              <w:rPr>
                <w:rFonts w:hint="eastAsia" w:ascii="宋体" w:hAnsi="宋体" w:eastAsia="宋体"/>
              </w:rPr>
              <w:t xml:space="preserve">  </w:t>
            </w:r>
          </w:p>
        </w:tc>
      </w:tr>
      <w:tr w14:paraId="25AF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8868FE3">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5"/>
            <w:shd w:val="clear" w:color="auto" w:fill="auto"/>
          </w:tcPr>
          <w:p w14:paraId="6EDF3D9F">
            <w:pPr>
              <w:jc w:val="center"/>
              <w:rPr>
                <w:rFonts w:ascii="宋体" w:hAnsi="宋体" w:eastAsia="宋体" w:cs="宋体"/>
                <w:sz w:val="24"/>
                <w:szCs w:val="24"/>
              </w:rPr>
            </w:pPr>
            <w:r>
              <w:rPr>
                <w:rFonts w:hint="eastAsia" w:ascii="宋体" w:hAnsi="宋体" w:eastAsia="宋体"/>
              </w:rPr>
              <w:t xml:space="preserve">博时基金管理有限公司 </w:t>
            </w:r>
          </w:p>
        </w:tc>
      </w:tr>
      <w:tr w14:paraId="60A8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64C31832">
            <w:pPr>
              <w:jc w:val="center"/>
              <w:rPr>
                <w:rFonts w:ascii="宋体" w:hAnsi="宋体" w:eastAsia="宋体" w:cs="宋体"/>
                <w:sz w:val="24"/>
                <w:szCs w:val="24"/>
              </w:rPr>
            </w:pPr>
            <w:r>
              <w:rPr>
                <w:rFonts w:hint="eastAsia" w:ascii="宋体" w:hAnsi="宋体" w:eastAsia="宋体"/>
              </w:rPr>
              <w:t xml:space="preserve">基金代码 </w:t>
            </w:r>
          </w:p>
        </w:tc>
        <w:tc>
          <w:tcPr>
            <w:tcW w:w="0" w:type="auto"/>
            <w:gridSpan w:val="5"/>
            <w:shd w:val="clear" w:color="auto" w:fill="auto"/>
          </w:tcPr>
          <w:p w14:paraId="15440AD7">
            <w:pPr>
              <w:jc w:val="center"/>
              <w:rPr>
                <w:rFonts w:ascii="宋体" w:hAnsi="宋体" w:eastAsia="宋体" w:cs="宋体"/>
                <w:sz w:val="24"/>
                <w:szCs w:val="24"/>
              </w:rPr>
            </w:pPr>
            <w:r>
              <w:rPr>
                <w:rFonts w:hint="eastAsia" w:ascii="宋体" w:hAnsi="宋体" w:eastAsia="宋体"/>
              </w:rPr>
              <w:t xml:space="preserve">159582 </w:t>
            </w:r>
          </w:p>
        </w:tc>
      </w:tr>
      <w:tr w14:paraId="76795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6279484B">
            <w:pPr>
              <w:jc w:val="center"/>
              <w:rPr>
                <w:rFonts w:ascii="宋体" w:hAnsi="宋体" w:eastAsia="宋体" w:cs="宋体"/>
                <w:sz w:val="24"/>
                <w:szCs w:val="24"/>
              </w:rPr>
            </w:pPr>
            <w:r>
              <w:rPr>
                <w:rFonts w:hint="eastAsia" w:ascii="宋体" w:hAnsi="宋体" w:eastAsia="宋体"/>
              </w:rPr>
              <w:t xml:space="preserve">目标指数代码： </w:t>
            </w:r>
          </w:p>
        </w:tc>
        <w:tc>
          <w:tcPr>
            <w:tcW w:w="0" w:type="auto"/>
            <w:gridSpan w:val="5"/>
            <w:shd w:val="clear" w:color="auto" w:fill="auto"/>
          </w:tcPr>
          <w:p w14:paraId="062935CB">
            <w:pPr>
              <w:jc w:val="center"/>
              <w:rPr>
                <w:rFonts w:ascii="宋体" w:hAnsi="宋体" w:eastAsia="宋体" w:cs="宋体"/>
                <w:sz w:val="24"/>
                <w:szCs w:val="24"/>
              </w:rPr>
            </w:pPr>
            <w:r>
              <w:rPr>
                <w:rFonts w:hint="eastAsia" w:ascii="宋体" w:hAnsi="宋体" w:eastAsia="宋体"/>
              </w:rPr>
              <w:t xml:space="preserve">931865 </w:t>
            </w:r>
          </w:p>
        </w:tc>
      </w:tr>
      <w:tr w14:paraId="5BFEF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05BC28D">
            <w:pPr>
              <w:jc w:val="center"/>
              <w:rPr>
                <w:rFonts w:ascii="宋体" w:hAnsi="宋体" w:eastAsia="宋体" w:cs="宋体"/>
                <w:sz w:val="24"/>
                <w:szCs w:val="24"/>
              </w:rPr>
            </w:pPr>
            <w:r>
              <w:rPr>
                <w:rFonts w:hint="eastAsia" w:ascii="宋体" w:hAnsi="宋体" w:eastAsia="宋体"/>
              </w:rPr>
              <w:t xml:space="preserve">基金类型： </w:t>
            </w:r>
          </w:p>
        </w:tc>
        <w:tc>
          <w:tcPr>
            <w:tcW w:w="0" w:type="auto"/>
            <w:gridSpan w:val="5"/>
            <w:shd w:val="clear" w:color="auto" w:fill="auto"/>
          </w:tcPr>
          <w:p w14:paraId="1CDD6602">
            <w:pPr>
              <w:jc w:val="center"/>
              <w:rPr>
                <w:rFonts w:ascii="宋体" w:hAnsi="宋体" w:eastAsia="宋体" w:cs="宋体"/>
                <w:sz w:val="24"/>
                <w:szCs w:val="24"/>
              </w:rPr>
            </w:pPr>
            <w:r>
              <w:rPr>
                <w:rFonts w:hint="eastAsia" w:ascii="宋体" w:hAnsi="宋体" w:eastAsia="宋体"/>
              </w:rPr>
              <w:t xml:space="preserve">跨市场ETF </w:t>
            </w:r>
          </w:p>
        </w:tc>
      </w:tr>
      <w:tr w14:paraId="71DF8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14:paraId="5FF4AC3F">
            <w:pPr>
              <w:jc w:val="center"/>
              <w:rPr>
                <w:rFonts w:ascii="宋体" w:hAnsi="宋体" w:eastAsia="宋体" w:cs="宋体"/>
                <w:sz w:val="24"/>
                <w:szCs w:val="24"/>
              </w:rPr>
            </w:pPr>
            <w:r>
              <w:rPr>
                <w:rFonts w:hint="eastAsia" w:ascii="宋体" w:hAnsi="宋体" w:eastAsia="宋体"/>
              </w:rPr>
              <w:t xml:space="preserve">T－1日信息内容 </w:t>
            </w:r>
          </w:p>
        </w:tc>
      </w:tr>
      <w:tr w14:paraId="00641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1A3B93E3">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5"/>
            <w:shd w:val="clear" w:color="auto" w:fill="auto"/>
          </w:tcPr>
          <w:p w14:paraId="051FB376">
            <w:pPr>
              <w:jc w:val="center"/>
              <w:rPr>
                <w:rFonts w:ascii="宋体" w:hAnsi="宋体" w:eastAsia="宋体" w:cs="宋体"/>
                <w:sz w:val="24"/>
                <w:szCs w:val="24"/>
              </w:rPr>
            </w:pPr>
            <w:r>
              <w:rPr>
                <w:rFonts w:hint="eastAsia" w:ascii="宋体" w:hAnsi="宋体" w:eastAsia="宋体"/>
              </w:rPr>
              <w:t xml:space="preserve">XXXX.XX </w:t>
            </w:r>
          </w:p>
        </w:tc>
      </w:tr>
      <w:tr w14:paraId="4331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DE6F88A">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5"/>
            <w:shd w:val="clear" w:color="auto" w:fill="auto"/>
          </w:tcPr>
          <w:p w14:paraId="4E3307A6">
            <w:pPr>
              <w:jc w:val="center"/>
              <w:rPr>
                <w:rFonts w:ascii="宋体" w:hAnsi="宋体" w:eastAsia="宋体" w:cs="宋体"/>
                <w:sz w:val="24"/>
                <w:szCs w:val="24"/>
              </w:rPr>
            </w:pPr>
            <w:r>
              <w:rPr>
                <w:rFonts w:hint="eastAsia" w:ascii="宋体" w:hAnsi="宋体" w:eastAsia="宋体"/>
              </w:rPr>
              <w:t xml:space="preserve">XXXX.XX </w:t>
            </w:r>
          </w:p>
        </w:tc>
      </w:tr>
      <w:tr w14:paraId="51639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A8B0755">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5"/>
            <w:shd w:val="clear" w:color="auto" w:fill="auto"/>
          </w:tcPr>
          <w:p w14:paraId="6E3E4EAD">
            <w:pPr>
              <w:jc w:val="center"/>
              <w:rPr>
                <w:rFonts w:ascii="宋体" w:hAnsi="宋体" w:eastAsia="宋体" w:cs="宋体"/>
                <w:sz w:val="24"/>
                <w:szCs w:val="24"/>
              </w:rPr>
            </w:pPr>
            <w:r>
              <w:rPr>
                <w:rFonts w:hint="eastAsia" w:ascii="宋体" w:hAnsi="宋体" w:eastAsia="宋体"/>
              </w:rPr>
              <w:t xml:space="preserve">X.XXXX </w:t>
            </w:r>
          </w:p>
        </w:tc>
      </w:tr>
      <w:tr w14:paraId="7AAD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14:paraId="3DE99782">
            <w:pPr>
              <w:jc w:val="center"/>
              <w:rPr>
                <w:rFonts w:ascii="宋体" w:hAnsi="宋体" w:eastAsia="宋体" w:cs="宋体"/>
                <w:sz w:val="24"/>
                <w:szCs w:val="24"/>
              </w:rPr>
            </w:pPr>
            <w:r>
              <w:rPr>
                <w:rFonts w:hint="eastAsia" w:ascii="宋体" w:hAnsi="宋体" w:eastAsia="宋体"/>
              </w:rPr>
              <w:t xml:space="preserve">T日信息内容 </w:t>
            </w:r>
          </w:p>
        </w:tc>
      </w:tr>
      <w:tr w14:paraId="37DF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FA93FDC">
            <w:pPr>
              <w:jc w:val="center"/>
              <w:rPr>
                <w:rFonts w:ascii="宋体" w:hAnsi="宋体" w:eastAsia="宋体" w:cs="宋体"/>
                <w:sz w:val="24"/>
                <w:szCs w:val="24"/>
              </w:rPr>
            </w:pPr>
            <w:r>
              <w:rPr>
                <w:rFonts w:hint="eastAsia" w:ascii="宋体" w:hAnsi="宋体" w:eastAsia="宋体"/>
              </w:rPr>
              <w:t xml:space="preserve">预估现金差额（单位：元） </w:t>
            </w:r>
          </w:p>
        </w:tc>
        <w:tc>
          <w:tcPr>
            <w:tcW w:w="0" w:type="auto"/>
            <w:gridSpan w:val="5"/>
            <w:shd w:val="clear" w:color="auto" w:fill="auto"/>
          </w:tcPr>
          <w:p w14:paraId="066E5437">
            <w:pPr>
              <w:jc w:val="center"/>
              <w:rPr>
                <w:rFonts w:ascii="宋体" w:hAnsi="宋体" w:eastAsia="宋体" w:cs="宋体"/>
                <w:sz w:val="24"/>
                <w:szCs w:val="24"/>
              </w:rPr>
            </w:pPr>
            <w:r>
              <w:rPr>
                <w:rFonts w:hint="eastAsia" w:ascii="宋体" w:hAnsi="宋体" w:eastAsia="宋体"/>
              </w:rPr>
              <w:t xml:space="preserve">XXXX.XX </w:t>
            </w:r>
          </w:p>
        </w:tc>
      </w:tr>
      <w:tr w14:paraId="6F26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6B6D262">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5"/>
            <w:shd w:val="clear" w:color="auto" w:fill="auto"/>
          </w:tcPr>
          <w:p w14:paraId="46175D20">
            <w:pPr>
              <w:jc w:val="center"/>
              <w:rPr>
                <w:rFonts w:ascii="宋体" w:hAnsi="宋体" w:eastAsia="宋体" w:cs="宋体"/>
                <w:sz w:val="24"/>
                <w:szCs w:val="24"/>
              </w:rPr>
            </w:pPr>
            <w:r>
              <w:rPr>
                <w:rFonts w:hint="eastAsia" w:ascii="宋体" w:hAnsi="宋体" w:eastAsia="宋体"/>
              </w:rPr>
              <w:t xml:space="preserve">无 </w:t>
            </w:r>
          </w:p>
        </w:tc>
      </w:tr>
      <w:tr w14:paraId="33FB7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B093FBE">
            <w:pPr>
              <w:jc w:val="center"/>
              <w:rPr>
                <w:rFonts w:ascii="宋体" w:hAnsi="宋体" w:eastAsia="宋体" w:cs="宋体"/>
                <w:sz w:val="24"/>
                <w:szCs w:val="24"/>
              </w:rPr>
            </w:pPr>
            <w:r>
              <w:rPr>
                <w:rFonts w:hint="eastAsia" w:ascii="宋体" w:hAnsi="宋体" w:eastAsia="宋体"/>
              </w:rPr>
              <w:t xml:space="preserve">申购上限 </w:t>
            </w:r>
          </w:p>
        </w:tc>
        <w:tc>
          <w:tcPr>
            <w:tcW w:w="0" w:type="auto"/>
            <w:gridSpan w:val="5"/>
            <w:shd w:val="clear" w:color="auto" w:fill="auto"/>
          </w:tcPr>
          <w:p w14:paraId="74648BDF">
            <w:pPr>
              <w:jc w:val="center"/>
              <w:rPr>
                <w:rFonts w:ascii="宋体" w:hAnsi="宋体" w:eastAsia="宋体" w:cs="宋体"/>
                <w:sz w:val="24"/>
                <w:szCs w:val="24"/>
              </w:rPr>
            </w:pPr>
            <w:r>
              <w:rPr>
                <w:rFonts w:hint="eastAsia" w:ascii="宋体" w:hAnsi="宋体" w:eastAsia="宋体"/>
              </w:rPr>
              <w:t xml:space="preserve">无 </w:t>
            </w:r>
          </w:p>
        </w:tc>
      </w:tr>
      <w:tr w14:paraId="575F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10541CC0">
            <w:pPr>
              <w:jc w:val="center"/>
              <w:rPr>
                <w:rFonts w:ascii="宋体" w:hAnsi="宋体" w:eastAsia="宋体" w:cs="宋体"/>
                <w:sz w:val="24"/>
                <w:szCs w:val="24"/>
              </w:rPr>
            </w:pPr>
            <w:r>
              <w:rPr>
                <w:rFonts w:hint="eastAsia" w:ascii="宋体" w:hAnsi="宋体" w:eastAsia="宋体"/>
              </w:rPr>
              <w:t xml:space="preserve">赎回上限 </w:t>
            </w:r>
          </w:p>
        </w:tc>
        <w:tc>
          <w:tcPr>
            <w:tcW w:w="0" w:type="auto"/>
            <w:gridSpan w:val="5"/>
            <w:shd w:val="clear" w:color="auto" w:fill="auto"/>
          </w:tcPr>
          <w:p w14:paraId="576998CE">
            <w:pPr>
              <w:jc w:val="center"/>
              <w:rPr>
                <w:rFonts w:ascii="宋体" w:hAnsi="宋体" w:eastAsia="宋体" w:cs="宋体"/>
                <w:sz w:val="24"/>
                <w:szCs w:val="24"/>
              </w:rPr>
            </w:pPr>
            <w:r>
              <w:rPr>
                <w:rFonts w:hint="eastAsia" w:ascii="宋体" w:hAnsi="宋体" w:eastAsia="宋体"/>
              </w:rPr>
              <w:t xml:space="preserve">无 </w:t>
            </w:r>
          </w:p>
        </w:tc>
      </w:tr>
      <w:tr w14:paraId="4754C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4AA6A90">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5"/>
            <w:shd w:val="clear" w:color="auto" w:fill="auto"/>
          </w:tcPr>
          <w:p w14:paraId="0717FCFA">
            <w:pPr>
              <w:jc w:val="center"/>
              <w:rPr>
                <w:rFonts w:ascii="宋体" w:hAnsi="宋体" w:eastAsia="宋体" w:cs="宋体"/>
                <w:sz w:val="24"/>
                <w:szCs w:val="24"/>
              </w:rPr>
            </w:pPr>
            <w:r>
              <w:rPr>
                <w:rFonts w:hint="eastAsia" w:ascii="宋体" w:hAnsi="宋体" w:eastAsia="宋体"/>
              </w:rPr>
              <w:t xml:space="preserve">是 </w:t>
            </w:r>
          </w:p>
        </w:tc>
      </w:tr>
      <w:tr w14:paraId="07DB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0867281">
            <w:pPr>
              <w:jc w:val="center"/>
              <w:rPr>
                <w:rFonts w:ascii="宋体" w:hAnsi="宋体" w:eastAsia="宋体" w:cs="宋体"/>
                <w:sz w:val="24"/>
                <w:szCs w:val="24"/>
              </w:rPr>
            </w:pPr>
            <w:r>
              <w:rPr>
                <w:rFonts w:hint="eastAsia" w:ascii="宋体" w:hAnsi="宋体" w:eastAsia="宋体"/>
              </w:rPr>
              <w:t xml:space="preserve">最小申购赎回单位（单位：份） </w:t>
            </w:r>
          </w:p>
        </w:tc>
        <w:tc>
          <w:tcPr>
            <w:tcW w:w="0" w:type="auto"/>
            <w:gridSpan w:val="5"/>
            <w:shd w:val="clear" w:color="auto" w:fill="auto"/>
          </w:tcPr>
          <w:p w14:paraId="08F62B71">
            <w:pPr>
              <w:jc w:val="center"/>
              <w:rPr>
                <w:rFonts w:ascii="宋体" w:hAnsi="宋体" w:eastAsia="宋体" w:cs="宋体"/>
                <w:sz w:val="24"/>
                <w:szCs w:val="24"/>
              </w:rPr>
            </w:pPr>
            <w:r>
              <w:rPr>
                <w:rFonts w:hint="eastAsia" w:ascii="宋体" w:hAnsi="宋体" w:eastAsia="宋体"/>
                <w:lang w:val="en-US" w:eastAsia="zh-CN"/>
              </w:rPr>
              <w:t>5</w:t>
            </w:r>
            <w:r>
              <w:rPr>
                <w:rFonts w:hint="eastAsia" w:ascii="宋体" w:hAnsi="宋体" w:eastAsia="宋体"/>
              </w:rPr>
              <w:t>,</w:t>
            </w:r>
            <w:r>
              <w:rPr>
                <w:rFonts w:hint="eastAsia" w:ascii="宋体" w:hAnsi="宋体" w:eastAsia="宋体"/>
                <w:lang w:val="en-US" w:eastAsia="zh-CN"/>
              </w:rPr>
              <w:t>0</w:t>
            </w:r>
            <w:r>
              <w:rPr>
                <w:rFonts w:hint="eastAsia" w:ascii="宋体" w:hAnsi="宋体" w:eastAsia="宋体"/>
              </w:rPr>
              <w:t xml:space="preserve">00,000 </w:t>
            </w:r>
          </w:p>
        </w:tc>
      </w:tr>
      <w:tr w14:paraId="67F11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6009C935">
            <w:pPr>
              <w:jc w:val="center"/>
              <w:rPr>
                <w:rFonts w:ascii="宋体" w:hAnsi="宋体" w:eastAsia="宋体" w:cs="宋体"/>
                <w:sz w:val="24"/>
                <w:szCs w:val="24"/>
              </w:rPr>
            </w:pPr>
            <w:r>
              <w:rPr>
                <w:rFonts w:hint="eastAsia" w:ascii="宋体" w:hAnsi="宋体" w:eastAsia="宋体"/>
              </w:rPr>
              <w:t xml:space="preserve">申购、赎回的允许情况 </w:t>
            </w:r>
          </w:p>
        </w:tc>
        <w:tc>
          <w:tcPr>
            <w:tcW w:w="0" w:type="auto"/>
            <w:gridSpan w:val="5"/>
            <w:shd w:val="clear" w:color="auto" w:fill="auto"/>
          </w:tcPr>
          <w:p w14:paraId="7AA7C11D">
            <w:pPr>
              <w:jc w:val="center"/>
              <w:rPr>
                <w:rFonts w:ascii="宋体" w:hAnsi="宋体" w:eastAsia="宋体" w:cs="宋体"/>
                <w:sz w:val="24"/>
                <w:szCs w:val="24"/>
              </w:rPr>
            </w:pPr>
            <w:r>
              <w:rPr>
                <w:rFonts w:hint="eastAsia" w:ascii="宋体" w:hAnsi="宋体" w:eastAsia="宋体"/>
              </w:rPr>
              <w:t xml:space="preserve">申购、赎回皆允许 </w:t>
            </w:r>
          </w:p>
        </w:tc>
      </w:tr>
      <w:tr w14:paraId="3B2B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9"/>
            <w:shd w:val="clear" w:color="auto" w:fill="auto"/>
          </w:tcPr>
          <w:p w14:paraId="189F1EFB">
            <w:pPr>
              <w:jc w:val="center"/>
              <w:rPr>
                <w:rFonts w:ascii="宋体" w:hAnsi="宋体" w:eastAsia="宋体" w:cs="宋体"/>
                <w:sz w:val="24"/>
                <w:szCs w:val="24"/>
              </w:rPr>
            </w:pPr>
            <w:r>
              <w:rPr>
                <w:rFonts w:hint="eastAsia" w:ascii="宋体" w:hAnsi="宋体" w:eastAsia="宋体"/>
              </w:rPr>
              <w:t xml:space="preserve">T日成份股信息内容 </w:t>
            </w:r>
          </w:p>
        </w:tc>
      </w:tr>
      <w:tr w14:paraId="6059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BBCBC6">
            <w:pPr>
              <w:jc w:val="center"/>
              <w:rPr>
                <w:rFonts w:ascii="宋体" w:hAnsi="宋体" w:eastAsia="宋体" w:cs="宋体"/>
                <w:sz w:val="24"/>
                <w:szCs w:val="24"/>
              </w:rPr>
            </w:pPr>
            <w:r>
              <w:rPr>
                <w:rFonts w:hint="eastAsia" w:ascii="宋体" w:hAnsi="宋体" w:eastAsia="宋体"/>
              </w:rPr>
              <w:t xml:space="preserve">证券代码 </w:t>
            </w:r>
          </w:p>
        </w:tc>
        <w:tc>
          <w:tcPr>
            <w:tcW w:w="0" w:type="auto"/>
            <w:shd w:val="clear" w:color="auto" w:fill="auto"/>
          </w:tcPr>
          <w:p w14:paraId="2AE70749">
            <w:pPr>
              <w:jc w:val="center"/>
              <w:rPr>
                <w:rFonts w:ascii="宋体" w:hAnsi="宋体" w:eastAsia="宋体" w:cs="宋体"/>
                <w:sz w:val="24"/>
                <w:szCs w:val="24"/>
              </w:rPr>
            </w:pPr>
            <w:r>
              <w:rPr>
                <w:rFonts w:hint="eastAsia" w:ascii="宋体" w:hAnsi="宋体" w:eastAsia="宋体"/>
              </w:rPr>
              <w:t xml:space="preserve">证券简称 </w:t>
            </w:r>
          </w:p>
        </w:tc>
        <w:tc>
          <w:tcPr>
            <w:tcW w:w="0" w:type="auto"/>
            <w:shd w:val="clear" w:color="auto" w:fill="auto"/>
          </w:tcPr>
          <w:p w14:paraId="1D7D3F34">
            <w:pPr>
              <w:jc w:val="center"/>
              <w:rPr>
                <w:rFonts w:ascii="宋体" w:hAnsi="宋体" w:eastAsia="宋体" w:cs="宋体"/>
                <w:sz w:val="24"/>
                <w:szCs w:val="24"/>
              </w:rPr>
            </w:pPr>
            <w:r>
              <w:rPr>
                <w:rFonts w:hint="eastAsia" w:ascii="宋体" w:hAnsi="宋体" w:eastAsia="宋体"/>
              </w:rPr>
              <w:t xml:space="preserve">股份数量 </w:t>
            </w:r>
          </w:p>
        </w:tc>
        <w:tc>
          <w:tcPr>
            <w:tcW w:w="0" w:type="auto"/>
            <w:shd w:val="clear" w:color="auto" w:fill="auto"/>
          </w:tcPr>
          <w:p w14:paraId="2F2702F5">
            <w:pPr>
              <w:jc w:val="center"/>
              <w:rPr>
                <w:rFonts w:ascii="宋体" w:hAnsi="宋体" w:eastAsia="宋体" w:cs="宋体"/>
                <w:sz w:val="24"/>
                <w:szCs w:val="24"/>
              </w:rPr>
            </w:pPr>
            <w:r>
              <w:rPr>
                <w:rFonts w:hint="eastAsia" w:ascii="宋体" w:hAnsi="宋体" w:eastAsia="宋体"/>
              </w:rPr>
              <w:t xml:space="preserve">现金替代标志 </w:t>
            </w:r>
          </w:p>
        </w:tc>
        <w:tc>
          <w:tcPr>
            <w:tcW w:w="0" w:type="auto"/>
            <w:shd w:val="clear" w:color="auto" w:fill="auto"/>
          </w:tcPr>
          <w:p w14:paraId="6E74DBD7">
            <w:pPr>
              <w:jc w:val="center"/>
              <w:rPr>
                <w:rFonts w:ascii="宋体" w:hAnsi="宋体" w:eastAsia="宋体" w:cs="宋体"/>
                <w:sz w:val="24"/>
                <w:szCs w:val="24"/>
              </w:rPr>
            </w:pPr>
            <w:r>
              <w:rPr>
                <w:rFonts w:hint="eastAsia" w:ascii="宋体" w:hAnsi="宋体" w:eastAsia="宋体"/>
              </w:rPr>
              <w:t xml:space="preserve">申购现金替代保证金率（%） </w:t>
            </w:r>
          </w:p>
        </w:tc>
        <w:tc>
          <w:tcPr>
            <w:tcW w:w="0" w:type="auto"/>
            <w:shd w:val="clear" w:color="auto" w:fill="auto"/>
          </w:tcPr>
          <w:p w14:paraId="04E05865">
            <w:pPr>
              <w:jc w:val="center"/>
              <w:rPr>
                <w:rFonts w:ascii="宋体" w:hAnsi="宋体" w:eastAsia="宋体" w:cs="宋体"/>
                <w:sz w:val="24"/>
                <w:szCs w:val="24"/>
              </w:rPr>
            </w:pPr>
            <w:r>
              <w:rPr>
                <w:rFonts w:hint="eastAsia" w:ascii="宋体" w:hAnsi="宋体" w:eastAsia="宋体"/>
              </w:rPr>
              <w:t xml:space="preserve">赎回现金替代保证金率（%） </w:t>
            </w:r>
          </w:p>
        </w:tc>
        <w:tc>
          <w:tcPr>
            <w:tcW w:w="0" w:type="auto"/>
            <w:shd w:val="clear" w:color="auto" w:fill="auto"/>
          </w:tcPr>
          <w:p w14:paraId="7B404029">
            <w:pPr>
              <w:jc w:val="center"/>
              <w:rPr>
                <w:rFonts w:ascii="宋体" w:hAnsi="宋体" w:eastAsia="宋体" w:cs="宋体"/>
                <w:sz w:val="24"/>
                <w:szCs w:val="24"/>
              </w:rPr>
            </w:pPr>
            <w:r>
              <w:rPr>
                <w:rFonts w:hint="eastAsia" w:ascii="宋体" w:hAnsi="宋体" w:eastAsia="宋体"/>
              </w:rPr>
              <w:t xml:space="preserve">申购替代金额 </w:t>
            </w:r>
          </w:p>
        </w:tc>
        <w:tc>
          <w:tcPr>
            <w:tcW w:w="0" w:type="auto"/>
            <w:shd w:val="clear" w:color="auto" w:fill="auto"/>
          </w:tcPr>
          <w:p w14:paraId="1AEF5F42">
            <w:pPr>
              <w:jc w:val="center"/>
              <w:rPr>
                <w:rFonts w:ascii="宋体" w:hAnsi="宋体" w:eastAsia="宋体" w:cs="宋体"/>
                <w:sz w:val="24"/>
                <w:szCs w:val="24"/>
              </w:rPr>
            </w:pPr>
            <w:r>
              <w:rPr>
                <w:rFonts w:hint="eastAsia" w:ascii="宋体" w:hAnsi="宋体" w:eastAsia="宋体"/>
              </w:rPr>
              <w:t xml:space="preserve">赎回替代金额 </w:t>
            </w:r>
          </w:p>
        </w:tc>
        <w:tc>
          <w:tcPr>
            <w:tcW w:w="0" w:type="auto"/>
            <w:shd w:val="clear" w:color="auto" w:fill="auto"/>
          </w:tcPr>
          <w:p w14:paraId="6DC051D4">
            <w:pPr>
              <w:jc w:val="center"/>
              <w:rPr>
                <w:rFonts w:ascii="宋体" w:hAnsi="宋体" w:eastAsia="宋体" w:cs="宋体"/>
                <w:sz w:val="24"/>
                <w:szCs w:val="24"/>
              </w:rPr>
            </w:pPr>
            <w:r>
              <w:rPr>
                <w:rFonts w:hint="eastAsia" w:ascii="宋体" w:hAnsi="宋体" w:eastAsia="宋体"/>
              </w:rPr>
              <w:t xml:space="preserve">挂牌市场 </w:t>
            </w:r>
          </w:p>
        </w:tc>
      </w:tr>
      <w:tr w14:paraId="6B692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756A93">
            <w:pPr>
              <w:rPr>
                <w:rFonts w:ascii="宋体" w:hAnsi="宋体" w:eastAsia="宋体" w:cs="宋体"/>
                <w:sz w:val="24"/>
                <w:szCs w:val="24"/>
              </w:rPr>
            </w:pPr>
          </w:p>
        </w:tc>
        <w:tc>
          <w:tcPr>
            <w:tcW w:w="0" w:type="auto"/>
            <w:shd w:val="clear" w:color="auto" w:fill="auto"/>
          </w:tcPr>
          <w:p w14:paraId="38531D7D">
            <w:pPr>
              <w:rPr>
                <w:rFonts w:ascii="宋体" w:hAnsi="宋体" w:eastAsia="宋体" w:cs="宋体"/>
                <w:sz w:val="24"/>
                <w:szCs w:val="24"/>
              </w:rPr>
            </w:pPr>
          </w:p>
        </w:tc>
        <w:tc>
          <w:tcPr>
            <w:tcW w:w="0" w:type="auto"/>
            <w:shd w:val="clear" w:color="auto" w:fill="auto"/>
          </w:tcPr>
          <w:p w14:paraId="04E59E08">
            <w:pPr>
              <w:rPr>
                <w:rFonts w:ascii="宋体" w:hAnsi="宋体" w:eastAsia="宋体" w:cs="宋体"/>
                <w:sz w:val="24"/>
                <w:szCs w:val="24"/>
              </w:rPr>
            </w:pPr>
          </w:p>
        </w:tc>
        <w:tc>
          <w:tcPr>
            <w:tcW w:w="0" w:type="auto"/>
            <w:shd w:val="clear" w:color="auto" w:fill="auto"/>
          </w:tcPr>
          <w:p w14:paraId="5A4EE130">
            <w:pPr>
              <w:rPr>
                <w:rFonts w:ascii="宋体" w:hAnsi="宋体" w:eastAsia="宋体" w:cs="宋体"/>
                <w:sz w:val="24"/>
                <w:szCs w:val="24"/>
              </w:rPr>
            </w:pPr>
          </w:p>
        </w:tc>
        <w:tc>
          <w:tcPr>
            <w:tcW w:w="0" w:type="auto"/>
            <w:shd w:val="clear" w:color="auto" w:fill="auto"/>
          </w:tcPr>
          <w:p w14:paraId="4DD3A3D5">
            <w:pPr>
              <w:rPr>
                <w:rFonts w:ascii="宋体" w:hAnsi="宋体" w:eastAsia="宋体" w:cs="宋体"/>
                <w:sz w:val="24"/>
                <w:szCs w:val="24"/>
              </w:rPr>
            </w:pPr>
          </w:p>
        </w:tc>
        <w:tc>
          <w:tcPr>
            <w:tcW w:w="0" w:type="auto"/>
            <w:shd w:val="clear" w:color="auto" w:fill="auto"/>
          </w:tcPr>
          <w:p w14:paraId="58215FA1">
            <w:pPr>
              <w:rPr>
                <w:rFonts w:ascii="宋体" w:hAnsi="宋体" w:eastAsia="宋体" w:cs="宋体"/>
                <w:sz w:val="24"/>
                <w:szCs w:val="24"/>
              </w:rPr>
            </w:pPr>
          </w:p>
        </w:tc>
        <w:tc>
          <w:tcPr>
            <w:tcW w:w="0" w:type="auto"/>
            <w:shd w:val="clear" w:color="auto" w:fill="auto"/>
          </w:tcPr>
          <w:p w14:paraId="17E33CDD">
            <w:pPr>
              <w:rPr>
                <w:rFonts w:ascii="宋体" w:hAnsi="宋体" w:eastAsia="宋体" w:cs="宋体"/>
                <w:sz w:val="24"/>
                <w:szCs w:val="24"/>
              </w:rPr>
            </w:pPr>
          </w:p>
        </w:tc>
        <w:tc>
          <w:tcPr>
            <w:tcW w:w="0" w:type="auto"/>
            <w:shd w:val="clear" w:color="auto" w:fill="auto"/>
          </w:tcPr>
          <w:p w14:paraId="72C6EEB7">
            <w:pPr>
              <w:rPr>
                <w:rFonts w:ascii="宋体" w:hAnsi="宋体" w:eastAsia="宋体" w:cs="宋体"/>
                <w:sz w:val="24"/>
                <w:szCs w:val="24"/>
              </w:rPr>
            </w:pPr>
          </w:p>
        </w:tc>
        <w:tc>
          <w:tcPr>
            <w:tcW w:w="0" w:type="auto"/>
            <w:shd w:val="clear" w:color="auto" w:fill="auto"/>
          </w:tcPr>
          <w:p w14:paraId="33713CC5">
            <w:pPr>
              <w:rPr>
                <w:rFonts w:ascii="宋体" w:hAnsi="宋体" w:eastAsia="宋体" w:cs="宋体"/>
                <w:sz w:val="24"/>
                <w:szCs w:val="24"/>
              </w:rPr>
            </w:pPr>
          </w:p>
        </w:tc>
      </w:tr>
    </w:tbl>
    <w:p w14:paraId="0F911C4F">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79297D64">
      <w:pPr>
        <w:pStyle w:val="7"/>
        <w:spacing w:before="0" w:beforeAutospacing="0" w:after="0" w:afterAutospacing="0" w:line="360" w:lineRule="auto"/>
        <w:ind w:firstLine="420"/>
        <w:rPr>
          <w:sz w:val="21"/>
          <w:szCs w:val="21"/>
        </w:rPr>
      </w:pPr>
      <w:r>
        <w:rPr>
          <w:rFonts w:hint="eastAsia"/>
          <w:sz w:val="21"/>
          <w:szCs w:val="21"/>
        </w:rPr>
        <w:t xml:space="preserve">（二）通过登记机构申购赎回 </w:t>
      </w:r>
    </w:p>
    <w:p w14:paraId="18287F0E">
      <w:pPr>
        <w:pStyle w:val="7"/>
        <w:spacing w:before="0" w:beforeAutospacing="0" w:after="0" w:afterAutospacing="0" w:line="360" w:lineRule="auto"/>
        <w:ind w:firstLine="420"/>
        <w:rPr>
          <w:sz w:val="21"/>
          <w:szCs w:val="21"/>
        </w:rPr>
      </w:pPr>
      <w:r>
        <w:rPr>
          <w:rFonts w:hint="eastAsia"/>
          <w:sz w:val="21"/>
          <w:szCs w:val="21"/>
        </w:rPr>
        <w:t xml:space="preserve">1、申购赎回清单的内容 </w:t>
      </w:r>
    </w:p>
    <w:p w14:paraId="4C0AD6C3">
      <w:pPr>
        <w:pStyle w:val="7"/>
        <w:spacing w:before="0" w:beforeAutospacing="0" w:after="0" w:afterAutospacing="0" w:line="360" w:lineRule="auto"/>
        <w:ind w:firstLine="420"/>
        <w:rPr>
          <w:sz w:val="21"/>
          <w:szCs w:val="21"/>
        </w:rPr>
      </w:pPr>
      <w:r>
        <w:rPr>
          <w:rFonts w:hint="eastAsia"/>
          <w:sz w:val="21"/>
          <w:szCs w:val="21"/>
        </w:rPr>
        <w:t xml:space="preserve">T日申购赎回清单公告内容包括最小申购、赎回单位所对应的组合证券内各成份证券数据、现金替代、T日预估现金部分、T-1日的现金差额、基金份额净值及其他相关内容。 </w:t>
      </w:r>
    </w:p>
    <w:p w14:paraId="337229D1">
      <w:pPr>
        <w:pStyle w:val="7"/>
        <w:spacing w:before="0" w:beforeAutospacing="0" w:after="0" w:afterAutospacing="0" w:line="360" w:lineRule="auto"/>
        <w:ind w:firstLine="420"/>
        <w:rPr>
          <w:sz w:val="21"/>
          <w:szCs w:val="21"/>
        </w:rPr>
      </w:pPr>
      <w:r>
        <w:rPr>
          <w:rFonts w:hint="eastAsia"/>
          <w:sz w:val="21"/>
          <w:szCs w:val="21"/>
        </w:rPr>
        <w:t xml:space="preserve">2、组合证券相关内容 </w:t>
      </w:r>
    </w:p>
    <w:p w14:paraId="6040DDD3">
      <w:pPr>
        <w:pStyle w:val="7"/>
        <w:spacing w:before="0" w:beforeAutospacing="0" w:after="0" w:afterAutospacing="0" w:line="360" w:lineRule="auto"/>
        <w:ind w:firstLine="420"/>
        <w:rPr>
          <w:sz w:val="21"/>
          <w:szCs w:val="21"/>
        </w:rPr>
      </w:pPr>
      <w:r>
        <w:rPr>
          <w:rFonts w:hint="eastAsia"/>
          <w:sz w:val="21"/>
          <w:szCs w:val="21"/>
        </w:rPr>
        <w:t xml:space="preserve">组合证券是指本基金标的指数所包含的全部或部分证券。申购赎回清单将公告最小申购赎回单位所对应的各成份证券名称、证券代码及数量。 </w:t>
      </w:r>
    </w:p>
    <w:p w14:paraId="52FDFD58">
      <w:pPr>
        <w:pStyle w:val="7"/>
        <w:spacing w:before="0" w:beforeAutospacing="0" w:after="0" w:afterAutospacing="0" w:line="360" w:lineRule="auto"/>
        <w:ind w:firstLine="420"/>
        <w:rPr>
          <w:sz w:val="21"/>
          <w:szCs w:val="21"/>
        </w:rPr>
      </w:pPr>
      <w:r>
        <w:rPr>
          <w:rFonts w:hint="eastAsia"/>
          <w:sz w:val="21"/>
          <w:szCs w:val="21"/>
        </w:rPr>
        <w:t xml:space="preserve">3、现金替代相关内容 </w:t>
      </w:r>
    </w:p>
    <w:p w14:paraId="5CFC3BB4">
      <w:pPr>
        <w:pStyle w:val="7"/>
        <w:spacing w:before="0" w:beforeAutospacing="0" w:after="0" w:afterAutospacing="0" w:line="360" w:lineRule="auto"/>
        <w:ind w:firstLine="420"/>
        <w:rPr>
          <w:sz w:val="21"/>
          <w:szCs w:val="21"/>
        </w:rPr>
      </w:pPr>
      <w:r>
        <w:rPr>
          <w:rFonts w:hint="eastAsia"/>
          <w:sz w:val="21"/>
          <w:szCs w:val="21"/>
        </w:rPr>
        <w:t xml:space="preserve">现金替代是指申购、赎回过程中，投资人按基金合同和招募说明书规定的原则，用于替代组合证券中部分证券的一定数量的现金。 </w:t>
      </w:r>
    </w:p>
    <w:p w14:paraId="27771083">
      <w:pPr>
        <w:pStyle w:val="7"/>
        <w:spacing w:before="0" w:beforeAutospacing="0" w:after="0" w:afterAutospacing="0" w:line="360" w:lineRule="auto"/>
        <w:ind w:firstLine="420"/>
        <w:rPr>
          <w:sz w:val="21"/>
          <w:szCs w:val="21"/>
        </w:rPr>
      </w:pPr>
      <w:r>
        <w:rPr>
          <w:rFonts w:hint="eastAsia"/>
          <w:sz w:val="21"/>
          <w:szCs w:val="21"/>
        </w:rPr>
        <w:t xml:space="preserve">现金替代分为3种类型：禁止现金替代（标志为“禁止”）、可以现金替代（标志为“允许”）和必须现金替代（标志为“必须”）。 </w:t>
      </w:r>
    </w:p>
    <w:p w14:paraId="58FA7438">
      <w:pPr>
        <w:pStyle w:val="7"/>
        <w:spacing w:before="0" w:beforeAutospacing="0" w:after="0" w:afterAutospacing="0" w:line="360" w:lineRule="auto"/>
        <w:ind w:firstLine="420"/>
        <w:rPr>
          <w:sz w:val="21"/>
          <w:szCs w:val="21"/>
        </w:rPr>
      </w:pPr>
      <w:r>
        <w:rPr>
          <w:rFonts w:hint="eastAsia"/>
          <w:sz w:val="21"/>
          <w:szCs w:val="21"/>
        </w:rPr>
        <w:t xml:space="preserve">禁止现金替代，是指在申购、赎回基金份额时，该成份证券不允许使用现金作为替代。 </w:t>
      </w:r>
    </w:p>
    <w:p w14:paraId="3B3F5795">
      <w:pPr>
        <w:pStyle w:val="7"/>
        <w:spacing w:before="0" w:beforeAutospacing="0" w:after="0" w:afterAutospacing="0" w:line="360" w:lineRule="auto"/>
        <w:ind w:firstLine="420"/>
        <w:rPr>
          <w:sz w:val="21"/>
          <w:szCs w:val="21"/>
        </w:rPr>
      </w:pPr>
      <w:r>
        <w:rPr>
          <w:rFonts w:hint="eastAsia"/>
          <w:sz w:val="21"/>
          <w:szCs w:val="21"/>
        </w:rPr>
        <w:t xml:space="preserve">可以现金替代是指在申购基金份额时，允许使用现金作为全部或部分该成份证券的替代，但在赎回基金份额时，该成份证券不允许使用现金作为替代。 </w:t>
      </w:r>
    </w:p>
    <w:p w14:paraId="57D054F6">
      <w:pPr>
        <w:pStyle w:val="7"/>
        <w:spacing w:before="0" w:beforeAutospacing="0" w:after="0" w:afterAutospacing="0" w:line="360" w:lineRule="auto"/>
        <w:ind w:firstLine="420"/>
        <w:rPr>
          <w:sz w:val="21"/>
          <w:szCs w:val="21"/>
        </w:rPr>
      </w:pPr>
      <w:r>
        <w:rPr>
          <w:rFonts w:hint="eastAsia"/>
          <w:sz w:val="21"/>
          <w:szCs w:val="21"/>
        </w:rPr>
        <w:t xml:space="preserve">必须现金替代适用于所有成份股，是指在申购、赎回基金份额时，该成份证券必须使用现金作为替代。 </w:t>
      </w:r>
    </w:p>
    <w:p w14:paraId="348EB4E5">
      <w:pPr>
        <w:pStyle w:val="7"/>
        <w:spacing w:before="0" w:beforeAutospacing="0" w:after="0" w:afterAutospacing="0" w:line="360" w:lineRule="auto"/>
        <w:ind w:firstLine="420"/>
        <w:rPr>
          <w:sz w:val="21"/>
          <w:szCs w:val="21"/>
        </w:rPr>
      </w:pPr>
      <w:r>
        <w:rPr>
          <w:rFonts w:hint="eastAsia"/>
          <w:sz w:val="21"/>
          <w:szCs w:val="21"/>
        </w:rPr>
        <w:t xml:space="preserve">（1）关于可以现金替代 </w:t>
      </w:r>
    </w:p>
    <w:p w14:paraId="16672710">
      <w:pPr>
        <w:pStyle w:val="7"/>
        <w:spacing w:before="0" w:beforeAutospacing="0" w:after="0" w:afterAutospacing="0" w:line="360" w:lineRule="auto"/>
        <w:ind w:firstLine="420"/>
        <w:rPr>
          <w:sz w:val="21"/>
          <w:szCs w:val="21"/>
        </w:rPr>
      </w:pPr>
      <w:r>
        <w:rPr>
          <w:rFonts w:hint="eastAsia"/>
          <w:sz w:val="21"/>
          <w:szCs w:val="21"/>
        </w:rPr>
        <w:t xml:space="preserve">1）适用情形：出于证券停牌等原因导致投资人无法在申购时买入证券或基金管理人认为可以适用的其他情形。 </w:t>
      </w:r>
    </w:p>
    <w:p w14:paraId="69DA44C8">
      <w:pPr>
        <w:pStyle w:val="7"/>
        <w:spacing w:before="0" w:beforeAutospacing="0" w:after="0" w:afterAutospacing="0" w:line="360" w:lineRule="auto"/>
        <w:ind w:firstLine="420"/>
        <w:rPr>
          <w:sz w:val="21"/>
          <w:szCs w:val="21"/>
        </w:rPr>
      </w:pPr>
      <w:r>
        <w:rPr>
          <w:rFonts w:hint="eastAsia"/>
          <w:sz w:val="21"/>
          <w:szCs w:val="21"/>
        </w:rPr>
        <w:t xml:space="preserve">2）替代金额：对于可以现金替代的证券，替代金额的计算公式为： </w:t>
      </w:r>
    </w:p>
    <w:p w14:paraId="09D2D154">
      <w:pPr>
        <w:pStyle w:val="7"/>
        <w:spacing w:before="0" w:beforeAutospacing="0" w:after="0" w:afterAutospacing="0" w:line="360" w:lineRule="auto"/>
        <w:ind w:firstLine="420"/>
        <w:rPr>
          <w:sz w:val="21"/>
          <w:szCs w:val="21"/>
        </w:rPr>
      </w:pPr>
      <w:r>
        <w:rPr>
          <w:rFonts w:hint="eastAsia"/>
          <w:sz w:val="21"/>
          <w:szCs w:val="21"/>
        </w:rPr>
        <w:t xml:space="preserve">替代金额＝替代证券数量×该证券经除权调整的T-1日收盘价×（1＋现金替代溢价比例） </w:t>
      </w:r>
    </w:p>
    <w:p w14:paraId="35B79B43">
      <w:pPr>
        <w:pStyle w:val="7"/>
        <w:spacing w:before="0" w:beforeAutospacing="0" w:after="0" w:afterAutospacing="0" w:line="360" w:lineRule="auto"/>
        <w:ind w:firstLine="420"/>
        <w:rPr>
          <w:sz w:val="21"/>
          <w:szCs w:val="21"/>
        </w:rPr>
      </w:pPr>
      <w:r>
        <w:rPr>
          <w:rFonts w:hint="eastAsia"/>
          <w:sz w:val="21"/>
          <w:szCs w:val="21"/>
        </w:rPr>
        <w:t xml:space="preserve">收取现金替代溢价的原因是，对于使用现金替代的证券，基金管理人需在该部分证券恢复交易后买入，而实际买入价格加上相关交易费用后与申购时的参考价格可能有所差异。为便于操作，基金管理人在申购赎回清单中预先确定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 </w:t>
      </w:r>
    </w:p>
    <w:p w14:paraId="6DE3D293">
      <w:pPr>
        <w:pStyle w:val="7"/>
        <w:spacing w:before="0" w:beforeAutospacing="0" w:after="0" w:afterAutospacing="0" w:line="360" w:lineRule="auto"/>
        <w:ind w:firstLine="420"/>
        <w:rPr>
          <w:sz w:val="21"/>
          <w:szCs w:val="21"/>
        </w:rPr>
      </w:pPr>
      <w:r>
        <w:rPr>
          <w:rFonts w:hint="eastAsia"/>
          <w:sz w:val="21"/>
          <w:szCs w:val="21"/>
        </w:rPr>
        <w:t xml:space="preserve">3）替代金额的处理程序如下： </w:t>
      </w:r>
    </w:p>
    <w:p w14:paraId="6F298C69">
      <w:pPr>
        <w:pStyle w:val="7"/>
        <w:spacing w:before="0" w:beforeAutospacing="0" w:after="0" w:afterAutospacing="0" w:line="360" w:lineRule="auto"/>
        <w:ind w:firstLine="420"/>
        <w:rPr>
          <w:sz w:val="21"/>
          <w:szCs w:val="21"/>
        </w:rPr>
      </w:pPr>
      <w:r>
        <w:rPr>
          <w:rFonts w:hint="eastAsia"/>
          <w:sz w:val="21"/>
          <w:szCs w:val="21"/>
        </w:rPr>
        <w:t xml:space="preserve">T日，基金管理人在申购赎回清单中公布现金替代溢价比例，并据此在T+2日收取替代金额。在T+1日后被替代的成份证券有正常交易的2个交易日（简称为T+3日）内，基金管理人有权在T+2日至T+3日内任意时刻以收到的替代金额代投资者买入小于等于被替代证券数量的任意数量的被替代证券，实际买入被替代证券的价格可能处于T+3日内较高的位置或处于最高价格，基金管理人对此不承担责任。基金管理人有权根据基金投资的需要自主决定不买入部分被替代证券，或者不进行任何买入证券的操作，基金管理人可能不买入被替代证券的情形包括但不限于市场流动性不足、技术系统无法实现以及基金管理人认为不应买入的其他情形。 </w:t>
      </w:r>
    </w:p>
    <w:p w14:paraId="1CB2A023">
      <w:pPr>
        <w:pStyle w:val="7"/>
        <w:spacing w:before="0" w:beforeAutospacing="0" w:after="0" w:afterAutospacing="0" w:line="360" w:lineRule="auto"/>
        <w:ind w:firstLine="420"/>
        <w:rPr>
          <w:sz w:val="21"/>
          <w:szCs w:val="21"/>
        </w:rPr>
      </w:pPr>
      <w:r>
        <w:rPr>
          <w:rFonts w:hint="eastAsia"/>
          <w:sz w:val="21"/>
          <w:szCs w:val="21"/>
        </w:rPr>
        <w:t xml:space="preserve">T＋3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3日收盘价计算的未购入部分被替代证券价值的差额，确定基金应退还投资人或投资人应补交的款项。 </w:t>
      </w:r>
    </w:p>
    <w:p w14:paraId="3B60DE38">
      <w:pPr>
        <w:pStyle w:val="7"/>
        <w:spacing w:before="0" w:beforeAutospacing="0" w:after="0" w:afterAutospacing="0" w:line="360" w:lineRule="auto"/>
        <w:ind w:firstLine="420"/>
        <w:rPr>
          <w:sz w:val="21"/>
          <w:szCs w:val="21"/>
        </w:rPr>
      </w:pPr>
      <w:r>
        <w:rPr>
          <w:rFonts w:hint="eastAsia"/>
          <w:sz w:val="21"/>
          <w:szCs w:val="21"/>
        </w:rPr>
        <w:t xml:space="preserve">特殊情况：若自T+1日起，深圳证券交易所正常交易日已达20日而该部分证券的正常交易日低于2日，且该部分证券最近交易日后未发生影响公允价值计量的重大事件的，则以替代金额与所购入的部分被替代证券的实际购入成本加上按照最近一次收盘价计算的未购入的部分被替代证券价值的差额，确定基金应退还投资人或投资人应补交的款项。 </w:t>
      </w:r>
    </w:p>
    <w:p w14:paraId="2B233E19">
      <w:pPr>
        <w:pStyle w:val="7"/>
        <w:spacing w:before="0" w:beforeAutospacing="0" w:after="0" w:afterAutospacing="0" w:line="360" w:lineRule="auto"/>
        <w:ind w:firstLine="420"/>
        <w:rPr>
          <w:sz w:val="21"/>
          <w:szCs w:val="21"/>
        </w:rPr>
      </w:pPr>
      <w:r>
        <w:rPr>
          <w:rFonts w:hint="eastAsia"/>
          <w:sz w:val="21"/>
          <w:szCs w:val="21"/>
        </w:rPr>
        <w:t xml:space="preserve">如遇证券长期停牌、流动性不足等可能导致收盘价或最后成交价不公允的特殊情况，可参照证券的估值价格，对结算价格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6B748067">
      <w:pPr>
        <w:pStyle w:val="7"/>
        <w:spacing w:before="0" w:beforeAutospacing="0" w:after="0" w:afterAutospacing="0" w:line="360" w:lineRule="auto"/>
        <w:ind w:firstLine="420"/>
        <w:rPr>
          <w:sz w:val="21"/>
          <w:szCs w:val="21"/>
        </w:rPr>
      </w:pPr>
      <w:r>
        <w:rPr>
          <w:rFonts w:hint="eastAsia"/>
          <w:sz w:val="21"/>
          <w:szCs w:val="21"/>
        </w:rPr>
        <w:t xml:space="preserve">T＋3日后的第1个工作日（在特殊情况下则为确定基金应退还投资人或投资人应补交的款项后的第1个市场交易日），基金管理人将应退款和应补款的明细及汇总数据通过登记机构发送给相关申购赎回代理券商和基金托管人，相关款项的清算交收，将于此后3个工作日内完成，登记机构对此提供代收代付服务。 </w:t>
      </w:r>
    </w:p>
    <w:p w14:paraId="00AE5007">
      <w:pPr>
        <w:pStyle w:val="7"/>
        <w:spacing w:before="0" w:beforeAutospacing="0" w:after="0" w:afterAutospacing="0" w:line="360" w:lineRule="auto"/>
        <w:ind w:firstLine="420"/>
        <w:rPr>
          <w:sz w:val="21"/>
          <w:szCs w:val="21"/>
        </w:rPr>
      </w:pPr>
      <w:r>
        <w:rPr>
          <w:rFonts w:hint="eastAsia"/>
          <w:sz w:val="21"/>
          <w:szCs w:val="21"/>
        </w:rPr>
        <w:t xml:space="preserve">4）替代限制：为有效控制基金的跟踪偏离度和跟踪误差，基金管理人可规定投资人使用可以现金替代的比例合计不得超过申购基金份额资产净值的一定比例。现金替代比例的计算公式为： </w:t>
      </w:r>
    </w:p>
    <w:p w14:paraId="7630A7F0">
      <w:pPr>
        <w:pStyle w:val="7"/>
        <w:spacing w:before="0" w:beforeAutospacing="0" w:after="0" w:afterAutospacing="0" w:line="360" w:lineRule="auto"/>
        <w:ind w:firstLine="420"/>
        <w:rPr>
          <w:sz w:val="21"/>
          <w:szCs w:val="21"/>
        </w:rPr>
      </w:pPr>
      <w:r>
        <w:rPr>
          <w:rFonts w:hint="eastAsia"/>
          <w:sz w:val="21"/>
          <w:szCs w:val="21"/>
        </w:rPr>
        <w:t>现金替代比例（%）=</w:t>
      </w:r>
      <w:r>
        <w:rPr>
          <w:rFonts w:hint="eastAsia"/>
          <w:sz w:val="21"/>
          <w:szCs w:val="21"/>
        </w:rPr>
        <w:drawing>
          <wp:inline distT="0" distB="0" distL="0" distR="0">
            <wp:extent cx="2666365" cy="608965"/>
            <wp:effectExtent l="0" t="0" r="635" b="63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66667" cy="609524"/>
                    </a:xfrm>
                    <a:prstGeom prst="rect">
                      <a:avLst/>
                    </a:prstGeom>
                  </pic:spPr>
                </pic:pic>
              </a:graphicData>
            </a:graphic>
          </wp:inline>
        </w:drawing>
      </w:r>
      <w:r>
        <w:rPr>
          <w:rFonts w:hint="eastAsia"/>
          <w:sz w:val="21"/>
          <w:szCs w:val="21"/>
        </w:rPr>
        <w:t xml:space="preserve"> x 100% </w:t>
      </w:r>
    </w:p>
    <w:p w14:paraId="4CB1980C">
      <w:pPr>
        <w:pStyle w:val="7"/>
        <w:spacing w:before="0" w:beforeAutospacing="0" w:after="0" w:afterAutospacing="0" w:line="360" w:lineRule="auto"/>
        <w:ind w:firstLine="420"/>
        <w:rPr>
          <w:sz w:val="21"/>
          <w:szCs w:val="21"/>
        </w:rPr>
      </w:pPr>
      <w:r>
        <w:rPr>
          <w:rFonts w:hint="eastAsia"/>
          <w:sz w:val="21"/>
          <w:szCs w:val="21"/>
        </w:rPr>
        <w:t xml:space="preserve">（2）关于必须现金替代 </w:t>
      </w:r>
    </w:p>
    <w:p w14:paraId="6BB133CB">
      <w:pPr>
        <w:pStyle w:val="7"/>
        <w:spacing w:before="0" w:beforeAutospacing="0" w:after="0" w:afterAutospacing="0" w:line="360" w:lineRule="auto"/>
        <w:ind w:firstLine="420"/>
        <w:rPr>
          <w:sz w:val="21"/>
          <w:szCs w:val="21"/>
        </w:rPr>
      </w:pPr>
      <w:r>
        <w:rPr>
          <w:rFonts w:hint="eastAsia"/>
          <w:sz w:val="21"/>
          <w:szCs w:val="21"/>
        </w:rPr>
        <w:t xml:space="preserve">1）适用情形：必须现金替代的证券一般是由于标的指数调整将被剔除的成份证券以及处于停牌的股票，或出于保护基金持有人利益等目的基金管理人认为有必要实行必须现金替代的成份证券。 </w:t>
      </w:r>
    </w:p>
    <w:p w14:paraId="2C682248">
      <w:pPr>
        <w:pStyle w:val="7"/>
        <w:spacing w:before="0" w:beforeAutospacing="0" w:after="0" w:afterAutospacing="0" w:line="360" w:lineRule="auto"/>
        <w:ind w:firstLine="420"/>
        <w:rPr>
          <w:sz w:val="21"/>
          <w:szCs w:val="21"/>
        </w:rPr>
      </w:pPr>
      <w:r>
        <w:rPr>
          <w:rFonts w:hint="eastAsia"/>
          <w:sz w:val="21"/>
          <w:szCs w:val="21"/>
        </w:rPr>
        <w:t xml:space="preserve">2）替代金额：对于必须现金替代的证券，基金管理人将在申购赎回清单中公告替代的一定数量的现金，即“固定替代金额”。固定替代金额的计算方法为申购赎回清单中该证券的数量乘以其T日预估开盘价。 </w:t>
      </w:r>
    </w:p>
    <w:p w14:paraId="689EBEE1">
      <w:pPr>
        <w:pStyle w:val="7"/>
        <w:spacing w:before="0" w:beforeAutospacing="0" w:after="0" w:afterAutospacing="0" w:line="360" w:lineRule="auto"/>
        <w:ind w:firstLine="420"/>
        <w:rPr>
          <w:sz w:val="21"/>
          <w:szCs w:val="21"/>
        </w:rPr>
      </w:pPr>
      <w:r>
        <w:rPr>
          <w:rFonts w:hint="eastAsia"/>
          <w:sz w:val="21"/>
          <w:szCs w:val="21"/>
        </w:rPr>
        <w:t xml:space="preserve">4、预估现金部分相关内容 </w:t>
      </w:r>
    </w:p>
    <w:p w14:paraId="5F7B3256">
      <w:pPr>
        <w:pStyle w:val="7"/>
        <w:spacing w:before="0" w:beforeAutospacing="0" w:after="0" w:afterAutospacing="0" w:line="360" w:lineRule="auto"/>
        <w:ind w:firstLine="420"/>
        <w:rPr>
          <w:sz w:val="21"/>
          <w:szCs w:val="21"/>
        </w:rPr>
      </w:pPr>
      <w:r>
        <w:rPr>
          <w:rFonts w:hint="eastAsia"/>
          <w:sz w:val="21"/>
          <w:szCs w:val="21"/>
        </w:rPr>
        <w:t xml:space="preserve">预估现金部分是指，为便于计算基金份额参考净值，申购赎回代理券商预先冻结申请申购、赎回的投资人的相应资金，由基金管理人计算的现金数额。 </w:t>
      </w:r>
    </w:p>
    <w:p w14:paraId="7A9D7708">
      <w:pPr>
        <w:pStyle w:val="7"/>
        <w:spacing w:before="0" w:beforeAutospacing="0" w:after="0" w:afterAutospacing="0" w:line="360" w:lineRule="auto"/>
        <w:ind w:firstLine="420"/>
        <w:rPr>
          <w:sz w:val="21"/>
          <w:szCs w:val="21"/>
        </w:rPr>
      </w:pPr>
      <w:r>
        <w:rPr>
          <w:rFonts w:hint="eastAsia"/>
          <w:sz w:val="21"/>
          <w:szCs w:val="21"/>
        </w:rPr>
        <w:t xml:space="preserve">T日申购赎回清单中公告T日预估现金部分，其计算公式为： </w:t>
      </w:r>
    </w:p>
    <w:p w14:paraId="36322ED2">
      <w:pPr>
        <w:pStyle w:val="7"/>
        <w:spacing w:before="0" w:beforeAutospacing="0" w:after="0" w:afterAutospacing="0" w:line="360" w:lineRule="auto"/>
        <w:ind w:firstLine="420"/>
        <w:rPr>
          <w:sz w:val="21"/>
          <w:szCs w:val="21"/>
        </w:rPr>
      </w:pPr>
      <w:r>
        <w:rPr>
          <w:rFonts w:hint="eastAsia"/>
          <w:sz w:val="21"/>
          <w:szCs w:val="21"/>
        </w:rPr>
        <w:t xml:space="preserve">T日预估现金部分＝T—1日最小申购赎回单位的基金资产净值－（申购赎回清单中必须用现金替代的固定替代金额总额＋申购赎回清单中可以用现金替代成份证券的数量与该证券调整后T日开盘参考价相乘之和＋申购赎回清单中禁止用现金替代的所有成份证券的数量与该证券调整后T日开盘参考价乘积之和） </w:t>
      </w:r>
    </w:p>
    <w:p w14:paraId="13D78888">
      <w:pPr>
        <w:pStyle w:val="7"/>
        <w:spacing w:before="0" w:beforeAutospacing="0" w:after="0" w:afterAutospacing="0" w:line="360" w:lineRule="auto"/>
        <w:ind w:firstLine="420"/>
        <w:rPr>
          <w:sz w:val="21"/>
          <w:szCs w:val="21"/>
        </w:rPr>
      </w:pPr>
      <w:r>
        <w:rPr>
          <w:rFonts w:hint="eastAsia"/>
          <w:sz w:val="21"/>
          <w:szCs w:val="21"/>
        </w:rPr>
        <w:t xml:space="preserve">其中，该证券调整后T日开盘参考价主要根据中证指数有限公司提供的标的指数成份证券的调整后开盘参考价确定。另外，若T日为基金分红除息日，则计算公式中的“T－1日最小申购赎回单位的基金资产净值”需要扣减相应的收益分配数额。 </w:t>
      </w:r>
    </w:p>
    <w:p w14:paraId="07080B6C">
      <w:pPr>
        <w:pStyle w:val="7"/>
        <w:spacing w:before="0" w:beforeAutospacing="0" w:after="0" w:afterAutospacing="0" w:line="360" w:lineRule="auto"/>
        <w:ind w:firstLine="420"/>
        <w:rPr>
          <w:sz w:val="21"/>
          <w:szCs w:val="21"/>
        </w:rPr>
      </w:pPr>
      <w:r>
        <w:rPr>
          <w:rFonts w:hint="eastAsia"/>
          <w:sz w:val="21"/>
          <w:szCs w:val="21"/>
        </w:rPr>
        <w:t xml:space="preserve">预估现金部分的数值可能为正、为负或为零。 </w:t>
      </w:r>
    </w:p>
    <w:p w14:paraId="0C0DBDB7">
      <w:pPr>
        <w:pStyle w:val="7"/>
        <w:spacing w:before="0" w:beforeAutospacing="0" w:after="0" w:afterAutospacing="0" w:line="360" w:lineRule="auto"/>
        <w:ind w:firstLine="420"/>
        <w:rPr>
          <w:sz w:val="21"/>
          <w:szCs w:val="21"/>
        </w:rPr>
      </w:pPr>
      <w:r>
        <w:rPr>
          <w:rFonts w:hint="eastAsia"/>
          <w:sz w:val="21"/>
          <w:szCs w:val="21"/>
        </w:rPr>
        <w:t xml:space="preserve">5、现金差额相关内容 </w:t>
      </w:r>
    </w:p>
    <w:p w14:paraId="66D7D56B">
      <w:pPr>
        <w:pStyle w:val="7"/>
        <w:spacing w:before="0" w:beforeAutospacing="0" w:after="0" w:afterAutospacing="0" w:line="360" w:lineRule="auto"/>
        <w:ind w:firstLine="420"/>
        <w:rPr>
          <w:sz w:val="21"/>
          <w:szCs w:val="21"/>
        </w:rPr>
      </w:pPr>
      <w:r>
        <w:rPr>
          <w:rFonts w:hint="eastAsia"/>
          <w:sz w:val="21"/>
          <w:szCs w:val="21"/>
        </w:rPr>
        <w:t xml:space="preserve">T日现金差额在T＋1日的申购赎回清单中公告，其计算公式为： </w:t>
      </w:r>
    </w:p>
    <w:p w14:paraId="77EC1903">
      <w:pPr>
        <w:pStyle w:val="7"/>
        <w:spacing w:before="0" w:beforeAutospacing="0" w:after="0" w:afterAutospacing="0" w:line="360" w:lineRule="auto"/>
        <w:ind w:firstLine="420"/>
        <w:rPr>
          <w:sz w:val="21"/>
          <w:szCs w:val="21"/>
        </w:rPr>
      </w:pPr>
      <w:r>
        <w:rPr>
          <w:rFonts w:hint="eastAsia"/>
          <w:sz w:val="21"/>
          <w:szCs w:val="21"/>
        </w:rPr>
        <w:t xml:space="preserve">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 </w:t>
      </w:r>
    </w:p>
    <w:p w14:paraId="1780A6DA">
      <w:pPr>
        <w:pStyle w:val="7"/>
        <w:spacing w:before="0" w:beforeAutospacing="0" w:after="0" w:afterAutospacing="0" w:line="360" w:lineRule="auto"/>
        <w:ind w:firstLine="420"/>
        <w:rPr>
          <w:sz w:val="21"/>
          <w:szCs w:val="21"/>
        </w:rPr>
      </w:pPr>
      <w:r>
        <w:rPr>
          <w:rFonts w:hint="eastAsia"/>
          <w:sz w:val="21"/>
          <w:szCs w:val="21"/>
        </w:rPr>
        <w:t xml:space="preserve">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715D28E9">
      <w:pPr>
        <w:pStyle w:val="7"/>
        <w:spacing w:before="0" w:beforeAutospacing="0" w:after="0" w:afterAutospacing="0" w:line="360" w:lineRule="auto"/>
        <w:ind w:firstLine="420"/>
        <w:rPr>
          <w:sz w:val="21"/>
          <w:szCs w:val="21"/>
        </w:rPr>
      </w:pPr>
      <w:r>
        <w:rPr>
          <w:rFonts w:hint="eastAsia"/>
          <w:sz w:val="21"/>
          <w:szCs w:val="21"/>
        </w:rPr>
        <w:t xml:space="preserve">6、申购赎回清单的格式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1"/>
        <w:gridCol w:w="1051"/>
        <w:gridCol w:w="1051"/>
        <w:gridCol w:w="575"/>
        <w:gridCol w:w="575"/>
        <w:gridCol w:w="2648"/>
        <w:gridCol w:w="1565"/>
      </w:tblGrid>
      <w:tr w14:paraId="23DC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73AE5658">
            <w:pPr>
              <w:jc w:val="center"/>
              <w:rPr>
                <w:rFonts w:ascii="宋体" w:hAnsi="宋体" w:eastAsia="宋体" w:cs="宋体"/>
                <w:sz w:val="24"/>
                <w:szCs w:val="24"/>
              </w:rPr>
            </w:pPr>
            <w:r>
              <w:rPr>
                <w:rFonts w:hint="eastAsia" w:ascii="宋体" w:hAnsi="宋体" w:eastAsia="宋体"/>
              </w:rPr>
              <w:t xml:space="preserve">基本信息 </w:t>
            </w:r>
          </w:p>
        </w:tc>
      </w:tr>
      <w:tr w14:paraId="53B6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5A0028C">
            <w:pPr>
              <w:jc w:val="center"/>
              <w:rPr>
                <w:rFonts w:ascii="宋体" w:hAnsi="宋体" w:eastAsia="宋体" w:cs="宋体"/>
                <w:sz w:val="24"/>
                <w:szCs w:val="24"/>
              </w:rPr>
            </w:pPr>
            <w:r>
              <w:rPr>
                <w:rFonts w:hint="eastAsia" w:ascii="宋体" w:hAnsi="宋体" w:eastAsia="宋体"/>
              </w:rPr>
              <w:t xml:space="preserve">最新公告日期 </w:t>
            </w:r>
          </w:p>
        </w:tc>
        <w:tc>
          <w:tcPr>
            <w:tcW w:w="0" w:type="auto"/>
            <w:gridSpan w:val="3"/>
            <w:shd w:val="clear" w:color="auto" w:fill="auto"/>
          </w:tcPr>
          <w:p w14:paraId="7CB10CDC">
            <w:pPr>
              <w:jc w:val="center"/>
              <w:rPr>
                <w:rFonts w:ascii="宋体" w:hAnsi="宋体" w:eastAsia="宋体" w:cs="宋体"/>
                <w:sz w:val="24"/>
                <w:szCs w:val="24"/>
              </w:rPr>
            </w:pPr>
            <w:r>
              <w:rPr>
                <w:rFonts w:hint="eastAsia" w:ascii="宋体" w:hAnsi="宋体" w:eastAsia="宋体"/>
              </w:rPr>
              <w:t xml:space="preserve">202X 年 月 日 </w:t>
            </w:r>
          </w:p>
        </w:tc>
      </w:tr>
      <w:tr w14:paraId="7613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6884F782">
            <w:pPr>
              <w:jc w:val="center"/>
              <w:rPr>
                <w:rFonts w:ascii="宋体" w:hAnsi="宋体" w:eastAsia="宋体" w:cs="宋体"/>
                <w:sz w:val="24"/>
                <w:szCs w:val="24"/>
              </w:rPr>
            </w:pPr>
            <w:r>
              <w:rPr>
                <w:rFonts w:hint="eastAsia" w:ascii="宋体" w:hAnsi="宋体" w:eastAsia="宋体"/>
              </w:rPr>
              <w:t xml:space="preserve">基金名称 </w:t>
            </w:r>
          </w:p>
        </w:tc>
        <w:tc>
          <w:tcPr>
            <w:tcW w:w="0" w:type="auto"/>
            <w:gridSpan w:val="3"/>
            <w:shd w:val="clear" w:color="auto" w:fill="auto"/>
          </w:tcPr>
          <w:p w14:paraId="33C67351">
            <w:pPr>
              <w:jc w:val="center"/>
              <w:rPr>
                <w:rFonts w:ascii="宋体" w:hAnsi="宋体" w:eastAsia="宋体" w:cs="宋体"/>
                <w:sz w:val="24"/>
                <w:szCs w:val="24"/>
              </w:rPr>
            </w:pPr>
            <w:bookmarkStart w:id="103" w:name="field_0_productfullname_15"/>
            <w:r>
              <w:rPr>
                <w:rFonts w:hint="eastAsia" w:ascii="宋体" w:hAnsi="宋体" w:eastAsia="宋体"/>
              </w:rPr>
              <w:t>博时中证半导体产业交易型开放式指数证券投资基金</w:t>
            </w:r>
            <w:bookmarkEnd w:id="103"/>
            <w:r>
              <w:rPr>
                <w:rFonts w:hint="eastAsia" w:ascii="宋体" w:hAnsi="宋体" w:eastAsia="宋体"/>
              </w:rPr>
              <w:t xml:space="preserve">  </w:t>
            </w:r>
          </w:p>
        </w:tc>
      </w:tr>
      <w:tr w14:paraId="7DCA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2AA40D0">
            <w:pPr>
              <w:jc w:val="center"/>
              <w:rPr>
                <w:rFonts w:ascii="宋体" w:hAnsi="宋体" w:eastAsia="宋体" w:cs="宋体"/>
                <w:sz w:val="24"/>
                <w:szCs w:val="24"/>
              </w:rPr>
            </w:pPr>
            <w:r>
              <w:rPr>
                <w:rFonts w:hint="eastAsia" w:ascii="宋体" w:hAnsi="宋体" w:eastAsia="宋体"/>
              </w:rPr>
              <w:t xml:space="preserve">基金管理公司名称 </w:t>
            </w:r>
          </w:p>
        </w:tc>
        <w:tc>
          <w:tcPr>
            <w:tcW w:w="0" w:type="auto"/>
            <w:gridSpan w:val="3"/>
            <w:shd w:val="clear" w:color="auto" w:fill="auto"/>
          </w:tcPr>
          <w:p w14:paraId="7C8D311F">
            <w:pPr>
              <w:jc w:val="center"/>
              <w:rPr>
                <w:rFonts w:ascii="宋体" w:hAnsi="宋体" w:eastAsia="宋体" w:cs="宋体"/>
                <w:sz w:val="24"/>
                <w:szCs w:val="24"/>
              </w:rPr>
            </w:pPr>
            <w:r>
              <w:rPr>
                <w:rFonts w:hint="eastAsia" w:ascii="宋体" w:hAnsi="宋体" w:eastAsia="宋体"/>
              </w:rPr>
              <w:t xml:space="preserve">博时基金管理有限公司 </w:t>
            </w:r>
          </w:p>
        </w:tc>
      </w:tr>
      <w:tr w14:paraId="532A0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DE1692A">
            <w:pPr>
              <w:jc w:val="center"/>
              <w:rPr>
                <w:rFonts w:ascii="宋体" w:hAnsi="宋体" w:eastAsia="宋体" w:cs="宋体"/>
                <w:sz w:val="24"/>
                <w:szCs w:val="24"/>
              </w:rPr>
            </w:pPr>
            <w:r>
              <w:rPr>
                <w:rFonts w:hint="eastAsia" w:ascii="宋体" w:hAnsi="宋体" w:eastAsia="宋体"/>
              </w:rPr>
              <w:t xml:space="preserve">一级市场基金代码 </w:t>
            </w:r>
          </w:p>
        </w:tc>
        <w:tc>
          <w:tcPr>
            <w:tcW w:w="0" w:type="auto"/>
            <w:gridSpan w:val="3"/>
            <w:shd w:val="clear" w:color="auto" w:fill="auto"/>
          </w:tcPr>
          <w:p w14:paraId="1FA68046">
            <w:pPr>
              <w:jc w:val="center"/>
              <w:rPr>
                <w:rFonts w:ascii="宋体" w:hAnsi="宋体" w:eastAsia="宋体" w:cs="宋体"/>
                <w:sz w:val="24"/>
                <w:szCs w:val="24"/>
              </w:rPr>
            </w:pPr>
            <w:r>
              <w:rPr>
                <w:rFonts w:hint="eastAsia" w:ascii="宋体" w:hAnsi="宋体" w:eastAsia="宋体"/>
              </w:rPr>
              <w:t xml:space="preserve">159582 </w:t>
            </w:r>
          </w:p>
        </w:tc>
      </w:tr>
      <w:tr w14:paraId="02670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06176F9B">
            <w:pPr>
              <w:jc w:val="center"/>
              <w:rPr>
                <w:rFonts w:ascii="宋体" w:hAnsi="宋体" w:eastAsia="宋体" w:cs="宋体"/>
                <w:sz w:val="24"/>
                <w:szCs w:val="24"/>
              </w:rPr>
            </w:pPr>
            <w:r>
              <w:rPr>
                <w:rFonts w:hint="eastAsia" w:ascii="宋体" w:hAnsi="宋体" w:eastAsia="宋体"/>
              </w:rPr>
              <w:t xml:space="preserve">T－1日信息内容 </w:t>
            </w:r>
          </w:p>
        </w:tc>
      </w:tr>
      <w:tr w14:paraId="71A9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C587BC2">
            <w:pPr>
              <w:jc w:val="center"/>
              <w:rPr>
                <w:rFonts w:ascii="宋体" w:hAnsi="宋体" w:eastAsia="宋体" w:cs="宋体"/>
                <w:sz w:val="24"/>
                <w:szCs w:val="24"/>
              </w:rPr>
            </w:pPr>
            <w:r>
              <w:rPr>
                <w:rFonts w:hint="eastAsia" w:ascii="宋体" w:hAnsi="宋体" w:eastAsia="宋体"/>
              </w:rPr>
              <w:t xml:space="preserve">现金差额（单位：元） </w:t>
            </w:r>
          </w:p>
        </w:tc>
        <w:tc>
          <w:tcPr>
            <w:tcW w:w="0" w:type="auto"/>
            <w:gridSpan w:val="3"/>
            <w:shd w:val="clear" w:color="auto" w:fill="auto"/>
          </w:tcPr>
          <w:p w14:paraId="13E79517">
            <w:pPr>
              <w:jc w:val="center"/>
              <w:rPr>
                <w:rFonts w:ascii="宋体" w:hAnsi="宋体" w:eastAsia="宋体" w:cs="宋体"/>
                <w:sz w:val="24"/>
                <w:szCs w:val="24"/>
              </w:rPr>
            </w:pPr>
            <w:r>
              <w:rPr>
                <w:rFonts w:hint="eastAsia" w:ascii="宋体" w:hAnsi="宋体" w:eastAsia="宋体"/>
              </w:rPr>
              <w:t xml:space="preserve">XXXX.XX </w:t>
            </w:r>
          </w:p>
        </w:tc>
      </w:tr>
      <w:tr w14:paraId="0871B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CDD579C">
            <w:pPr>
              <w:jc w:val="center"/>
              <w:rPr>
                <w:rFonts w:ascii="宋体" w:hAnsi="宋体" w:eastAsia="宋体" w:cs="宋体"/>
                <w:sz w:val="24"/>
                <w:szCs w:val="24"/>
              </w:rPr>
            </w:pPr>
            <w:r>
              <w:rPr>
                <w:rFonts w:hint="eastAsia" w:ascii="宋体" w:hAnsi="宋体" w:eastAsia="宋体"/>
              </w:rPr>
              <w:t xml:space="preserve">最小申购赎回单位资产净值（单位：元） </w:t>
            </w:r>
          </w:p>
        </w:tc>
        <w:tc>
          <w:tcPr>
            <w:tcW w:w="0" w:type="auto"/>
            <w:gridSpan w:val="3"/>
            <w:shd w:val="clear" w:color="auto" w:fill="auto"/>
          </w:tcPr>
          <w:p w14:paraId="42394625">
            <w:pPr>
              <w:jc w:val="center"/>
              <w:rPr>
                <w:rFonts w:ascii="宋体" w:hAnsi="宋体" w:eastAsia="宋体" w:cs="宋体"/>
                <w:sz w:val="24"/>
                <w:szCs w:val="24"/>
              </w:rPr>
            </w:pPr>
            <w:r>
              <w:rPr>
                <w:rFonts w:hint="eastAsia" w:ascii="宋体" w:hAnsi="宋体" w:eastAsia="宋体"/>
              </w:rPr>
              <w:t xml:space="preserve">XXXX.XX </w:t>
            </w:r>
          </w:p>
        </w:tc>
      </w:tr>
      <w:tr w14:paraId="1E475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B8FD06A">
            <w:pPr>
              <w:jc w:val="center"/>
              <w:rPr>
                <w:rFonts w:ascii="宋体" w:hAnsi="宋体" w:eastAsia="宋体" w:cs="宋体"/>
                <w:sz w:val="24"/>
                <w:szCs w:val="24"/>
              </w:rPr>
            </w:pPr>
            <w:r>
              <w:rPr>
                <w:rFonts w:hint="eastAsia" w:ascii="宋体" w:hAnsi="宋体" w:eastAsia="宋体"/>
              </w:rPr>
              <w:t xml:space="preserve">基金份额净值（单位：元） </w:t>
            </w:r>
          </w:p>
        </w:tc>
        <w:tc>
          <w:tcPr>
            <w:tcW w:w="0" w:type="auto"/>
            <w:gridSpan w:val="3"/>
            <w:shd w:val="clear" w:color="auto" w:fill="auto"/>
          </w:tcPr>
          <w:p w14:paraId="07BFEC57">
            <w:pPr>
              <w:jc w:val="center"/>
              <w:rPr>
                <w:rFonts w:ascii="宋体" w:hAnsi="宋体" w:eastAsia="宋体" w:cs="宋体"/>
                <w:sz w:val="24"/>
                <w:szCs w:val="24"/>
              </w:rPr>
            </w:pPr>
            <w:r>
              <w:rPr>
                <w:rFonts w:hint="eastAsia" w:ascii="宋体" w:hAnsi="宋体" w:eastAsia="宋体"/>
              </w:rPr>
              <w:t xml:space="preserve">X.XXXX </w:t>
            </w:r>
          </w:p>
        </w:tc>
      </w:tr>
      <w:tr w14:paraId="6AB6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56D99B2B">
            <w:pPr>
              <w:jc w:val="center"/>
              <w:rPr>
                <w:rFonts w:ascii="宋体" w:hAnsi="宋体" w:eastAsia="宋体" w:cs="宋体"/>
                <w:sz w:val="24"/>
                <w:szCs w:val="24"/>
              </w:rPr>
            </w:pPr>
            <w:r>
              <w:rPr>
                <w:rFonts w:hint="eastAsia" w:ascii="宋体" w:hAnsi="宋体" w:eastAsia="宋体"/>
              </w:rPr>
              <w:t xml:space="preserve">T日信息内容 </w:t>
            </w:r>
          </w:p>
        </w:tc>
      </w:tr>
      <w:tr w14:paraId="12658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0A387443">
            <w:pPr>
              <w:jc w:val="center"/>
              <w:rPr>
                <w:rFonts w:ascii="宋体" w:hAnsi="宋体" w:eastAsia="宋体" w:cs="宋体"/>
                <w:sz w:val="24"/>
                <w:szCs w:val="24"/>
              </w:rPr>
            </w:pPr>
            <w:r>
              <w:rPr>
                <w:rFonts w:hint="eastAsia" w:ascii="宋体" w:hAnsi="宋体" w:eastAsia="宋体"/>
              </w:rPr>
              <w:t xml:space="preserve">预估现金部分（单位：元） </w:t>
            </w:r>
          </w:p>
        </w:tc>
        <w:tc>
          <w:tcPr>
            <w:tcW w:w="0" w:type="auto"/>
            <w:gridSpan w:val="3"/>
            <w:shd w:val="clear" w:color="auto" w:fill="auto"/>
          </w:tcPr>
          <w:p w14:paraId="4DD6E053">
            <w:pPr>
              <w:jc w:val="center"/>
              <w:rPr>
                <w:rFonts w:ascii="宋体" w:hAnsi="宋体" w:eastAsia="宋体" w:cs="宋体"/>
                <w:sz w:val="24"/>
                <w:szCs w:val="24"/>
              </w:rPr>
            </w:pPr>
            <w:r>
              <w:rPr>
                <w:rFonts w:hint="eastAsia" w:ascii="宋体" w:hAnsi="宋体" w:eastAsia="宋体"/>
              </w:rPr>
              <w:t xml:space="preserve">XXXX.XX </w:t>
            </w:r>
          </w:p>
        </w:tc>
      </w:tr>
      <w:tr w14:paraId="3DFC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D148767">
            <w:pPr>
              <w:jc w:val="center"/>
              <w:rPr>
                <w:rFonts w:ascii="宋体" w:hAnsi="宋体" w:eastAsia="宋体" w:cs="宋体"/>
                <w:sz w:val="24"/>
                <w:szCs w:val="24"/>
              </w:rPr>
            </w:pPr>
            <w:r>
              <w:rPr>
                <w:rFonts w:hint="eastAsia" w:ascii="宋体" w:hAnsi="宋体" w:eastAsia="宋体"/>
              </w:rPr>
              <w:t xml:space="preserve">可以现金替代比例上限 </w:t>
            </w:r>
          </w:p>
        </w:tc>
        <w:tc>
          <w:tcPr>
            <w:tcW w:w="0" w:type="auto"/>
            <w:gridSpan w:val="3"/>
            <w:shd w:val="clear" w:color="auto" w:fill="auto"/>
          </w:tcPr>
          <w:p w14:paraId="57FF6E36">
            <w:pPr>
              <w:jc w:val="center"/>
              <w:rPr>
                <w:rFonts w:ascii="宋体" w:hAnsi="宋体" w:eastAsia="宋体" w:cs="宋体"/>
                <w:sz w:val="24"/>
                <w:szCs w:val="24"/>
              </w:rPr>
            </w:pPr>
            <w:r>
              <w:rPr>
                <w:rFonts w:hint="eastAsia" w:ascii="宋体" w:hAnsi="宋体" w:eastAsia="宋体"/>
              </w:rPr>
              <w:t xml:space="preserve">无 </w:t>
            </w:r>
          </w:p>
        </w:tc>
      </w:tr>
      <w:tr w14:paraId="6A8F5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2B007F0">
            <w:pPr>
              <w:jc w:val="center"/>
              <w:rPr>
                <w:rFonts w:ascii="宋体" w:hAnsi="宋体" w:eastAsia="宋体" w:cs="宋体"/>
                <w:sz w:val="24"/>
                <w:szCs w:val="24"/>
              </w:rPr>
            </w:pPr>
            <w:r>
              <w:rPr>
                <w:rFonts w:hint="eastAsia" w:ascii="宋体" w:hAnsi="宋体" w:eastAsia="宋体"/>
              </w:rPr>
              <w:t xml:space="preserve">申购上限 </w:t>
            </w:r>
          </w:p>
        </w:tc>
        <w:tc>
          <w:tcPr>
            <w:tcW w:w="0" w:type="auto"/>
            <w:gridSpan w:val="3"/>
            <w:shd w:val="clear" w:color="auto" w:fill="auto"/>
          </w:tcPr>
          <w:p w14:paraId="1FECDF53">
            <w:pPr>
              <w:jc w:val="center"/>
              <w:rPr>
                <w:rFonts w:ascii="宋体" w:hAnsi="宋体" w:eastAsia="宋体" w:cs="宋体"/>
                <w:sz w:val="24"/>
                <w:szCs w:val="24"/>
              </w:rPr>
            </w:pPr>
            <w:r>
              <w:rPr>
                <w:rFonts w:hint="eastAsia" w:ascii="宋体" w:hAnsi="宋体" w:eastAsia="宋体"/>
              </w:rPr>
              <w:t xml:space="preserve">无 </w:t>
            </w:r>
          </w:p>
        </w:tc>
      </w:tr>
      <w:tr w14:paraId="198D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59127506">
            <w:pPr>
              <w:jc w:val="center"/>
              <w:rPr>
                <w:rFonts w:ascii="宋体" w:hAnsi="宋体" w:eastAsia="宋体" w:cs="宋体"/>
                <w:sz w:val="24"/>
                <w:szCs w:val="24"/>
              </w:rPr>
            </w:pPr>
            <w:r>
              <w:rPr>
                <w:rFonts w:hint="eastAsia" w:ascii="宋体" w:hAnsi="宋体" w:eastAsia="宋体"/>
              </w:rPr>
              <w:t xml:space="preserve">赎回上限 </w:t>
            </w:r>
          </w:p>
        </w:tc>
        <w:tc>
          <w:tcPr>
            <w:tcW w:w="0" w:type="auto"/>
            <w:gridSpan w:val="3"/>
            <w:shd w:val="clear" w:color="auto" w:fill="auto"/>
          </w:tcPr>
          <w:p w14:paraId="0942BDE4">
            <w:pPr>
              <w:jc w:val="center"/>
              <w:rPr>
                <w:rFonts w:ascii="宋体" w:hAnsi="宋体" w:eastAsia="宋体" w:cs="宋体"/>
                <w:sz w:val="24"/>
                <w:szCs w:val="24"/>
              </w:rPr>
            </w:pPr>
            <w:r>
              <w:rPr>
                <w:rFonts w:hint="eastAsia" w:ascii="宋体" w:hAnsi="宋体" w:eastAsia="宋体"/>
              </w:rPr>
              <w:t xml:space="preserve">无 </w:t>
            </w:r>
          </w:p>
        </w:tc>
      </w:tr>
      <w:tr w14:paraId="7DB0C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4E5F974D">
            <w:pPr>
              <w:jc w:val="center"/>
              <w:rPr>
                <w:rFonts w:ascii="宋体" w:hAnsi="宋体" w:eastAsia="宋体" w:cs="宋体"/>
                <w:sz w:val="24"/>
                <w:szCs w:val="24"/>
              </w:rPr>
            </w:pPr>
            <w:r>
              <w:rPr>
                <w:rFonts w:hint="eastAsia" w:ascii="宋体" w:hAnsi="宋体" w:eastAsia="宋体"/>
              </w:rPr>
              <w:t xml:space="preserve">是否需要公布IOPV </w:t>
            </w:r>
          </w:p>
        </w:tc>
        <w:tc>
          <w:tcPr>
            <w:tcW w:w="0" w:type="auto"/>
            <w:gridSpan w:val="3"/>
            <w:shd w:val="clear" w:color="auto" w:fill="auto"/>
          </w:tcPr>
          <w:p w14:paraId="475AB5DA">
            <w:pPr>
              <w:jc w:val="center"/>
              <w:rPr>
                <w:rFonts w:ascii="宋体" w:hAnsi="宋体" w:eastAsia="宋体" w:cs="宋体"/>
                <w:sz w:val="24"/>
                <w:szCs w:val="24"/>
              </w:rPr>
            </w:pPr>
            <w:r>
              <w:rPr>
                <w:rFonts w:hint="eastAsia" w:ascii="宋体" w:hAnsi="宋体" w:eastAsia="宋体"/>
              </w:rPr>
              <w:t xml:space="preserve">是 </w:t>
            </w:r>
          </w:p>
        </w:tc>
      </w:tr>
      <w:tr w14:paraId="568C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7825A550">
            <w:pPr>
              <w:jc w:val="center"/>
              <w:rPr>
                <w:rFonts w:ascii="宋体" w:hAnsi="宋体" w:eastAsia="宋体" w:cs="宋体"/>
                <w:sz w:val="24"/>
                <w:szCs w:val="24"/>
              </w:rPr>
            </w:pPr>
            <w:r>
              <w:rPr>
                <w:rFonts w:hint="eastAsia" w:ascii="宋体" w:hAnsi="宋体" w:eastAsia="宋体"/>
              </w:rPr>
              <w:t xml:space="preserve">最小申购赎回单位（单位：份） </w:t>
            </w:r>
          </w:p>
        </w:tc>
        <w:tc>
          <w:tcPr>
            <w:tcW w:w="0" w:type="auto"/>
            <w:gridSpan w:val="3"/>
            <w:shd w:val="clear" w:color="auto" w:fill="auto"/>
          </w:tcPr>
          <w:p w14:paraId="709A1AE9">
            <w:pPr>
              <w:jc w:val="center"/>
              <w:rPr>
                <w:rFonts w:ascii="宋体" w:hAnsi="宋体" w:eastAsia="宋体" w:cs="宋体"/>
                <w:sz w:val="24"/>
                <w:szCs w:val="24"/>
              </w:rPr>
            </w:pPr>
            <w:r>
              <w:rPr>
                <w:rFonts w:hint="eastAsia" w:ascii="宋体" w:hAnsi="宋体" w:eastAsia="宋体"/>
              </w:rPr>
              <w:t xml:space="preserve">1,500,000 </w:t>
            </w:r>
          </w:p>
        </w:tc>
      </w:tr>
      <w:tr w14:paraId="436D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4"/>
            <w:shd w:val="clear" w:color="auto" w:fill="auto"/>
          </w:tcPr>
          <w:p w14:paraId="3935F8C0">
            <w:pPr>
              <w:jc w:val="center"/>
              <w:rPr>
                <w:rFonts w:ascii="宋体" w:hAnsi="宋体" w:eastAsia="宋体" w:cs="宋体"/>
                <w:sz w:val="24"/>
                <w:szCs w:val="24"/>
              </w:rPr>
            </w:pPr>
            <w:r>
              <w:rPr>
                <w:rFonts w:hint="eastAsia" w:ascii="宋体" w:hAnsi="宋体" w:eastAsia="宋体"/>
              </w:rPr>
              <w:t xml:space="preserve">申购、赎回的允许情况 </w:t>
            </w:r>
          </w:p>
        </w:tc>
        <w:tc>
          <w:tcPr>
            <w:tcW w:w="0" w:type="auto"/>
            <w:gridSpan w:val="3"/>
            <w:shd w:val="clear" w:color="auto" w:fill="auto"/>
          </w:tcPr>
          <w:p w14:paraId="0E63F31A">
            <w:pPr>
              <w:jc w:val="center"/>
              <w:rPr>
                <w:rFonts w:ascii="宋体" w:hAnsi="宋体" w:eastAsia="宋体" w:cs="宋体"/>
                <w:sz w:val="24"/>
                <w:szCs w:val="24"/>
              </w:rPr>
            </w:pPr>
            <w:r>
              <w:rPr>
                <w:rFonts w:hint="eastAsia" w:ascii="宋体" w:hAnsi="宋体" w:eastAsia="宋体"/>
              </w:rPr>
              <w:t xml:space="preserve">申购、赎回皆允许 </w:t>
            </w:r>
          </w:p>
        </w:tc>
      </w:tr>
      <w:tr w14:paraId="5CAD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7"/>
            <w:shd w:val="clear" w:color="auto" w:fill="auto"/>
          </w:tcPr>
          <w:p w14:paraId="750EF243">
            <w:pPr>
              <w:jc w:val="center"/>
              <w:rPr>
                <w:rFonts w:ascii="宋体" w:hAnsi="宋体" w:eastAsia="宋体" w:cs="宋体"/>
                <w:sz w:val="24"/>
                <w:szCs w:val="24"/>
              </w:rPr>
            </w:pPr>
            <w:r>
              <w:rPr>
                <w:rFonts w:hint="eastAsia" w:ascii="宋体" w:hAnsi="宋体" w:eastAsia="宋体"/>
              </w:rPr>
              <w:t xml:space="preserve">T日成份股信息内容 </w:t>
            </w:r>
          </w:p>
        </w:tc>
      </w:tr>
      <w:tr w14:paraId="78E1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restart"/>
            <w:shd w:val="clear" w:color="auto" w:fill="auto"/>
          </w:tcPr>
          <w:p w14:paraId="5A73E784">
            <w:pPr>
              <w:jc w:val="center"/>
              <w:rPr>
                <w:rFonts w:ascii="宋体" w:hAnsi="宋体" w:eastAsia="宋体" w:cs="宋体"/>
                <w:sz w:val="24"/>
                <w:szCs w:val="24"/>
              </w:rPr>
            </w:pPr>
            <w:r>
              <w:rPr>
                <w:rFonts w:hint="eastAsia" w:ascii="宋体" w:hAnsi="宋体" w:eastAsia="宋体"/>
              </w:rPr>
              <w:t xml:space="preserve">股票代码 </w:t>
            </w:r>
          </w:p>
        </w:tc>
        <w:tc>
          <w:tcPr>
            <w:tcW w:w="0" w:type="auto"/>
            <w:vMerge w:val="restart"/>
            <w:shd w:val="clear" w:color="auto" w:fill="auto"/>
          </w:tcPr>
          <w:p w14:paraId="78FE70E4">
            <w:pPr>
              <w:jc w:val="center"/>
              <w:rPr>
                <w:rFonts w:ascii="宋体" w:hAnsi="宋体" w:eastAsia="宋体" w:cs="宋体"/>
                <w:sz w:val="24"/>
                <w:szCs w:val="24"/>
              </w:rPr>
            </w:pPr>
            <w:r>
              <w:rPr>
                <w:rFonts w:hint="eastAsia" w:ascii="宋体" w:hAnsi="宋体" w:eastAsia="宋体"/>
              </w:rPr>
              <w:t xml:space="preserve">股票简称 </w:t>
            </w:r>
          </w:p>
        </w:tc>
        <w:tc>
          <w:tcPr>
            <w:tcW w:w="0" w:type="auto"/>
            <w:vMerge w:val="restart"/>
            <w:shd w:val="clear" w:color="auto" w:fill="auto"/>
          </w:tcPr>
          <w:p w14:paraId="7FA93A55">
            <w:pPr>
              <w:jc w:val="center"/>
              <w:rPr>
                <w:rFonts w:ascii="宋体" w:hAnsi="宋体" w:eastAsia="宋体" w:cs="宋体"/>
                <w:sz w:val="24"/>
                <w:szCs w:val="24"/>
              </w:rPr>
            </w:pPr>
            <w:r>
              <w:rPr>
                <w:rFonts w:hint="eastAsia" w:ascii="宋体" w:hAnsi="宋体" w:eastAsia="宋体"/>
              </w:rPr>
              <w:t xml:space="preserve">股票数量 </w:t>
            </w:r>
          </w:p>
        </w:tc>
        <w:tc>
          <w:tcPr>
            <w:tcW w:w="0" w:type="auto"/>
            <w:gridSpan w:val="2"/>
            <w:vMerge w:val="restart"/>
            <w:shd w:val="clear" w:color="auto" w:fill="auto"/>
          </w:tcPr>
          <w:p w14:paraId="2067E48D">
            <w:pPr>
              <w:jc w:val="center"/>
              <w:rPr>
                <w:rFonts w:ascii="宋体" w:hAnsi="宋体" w:eastAsia="宋体" w:cs="宋体"/>
                <w:sz w:val="24"/>
                <w:szCs w:val="24"/>
              </w:rPr>
            </w:pPr>
            <w:r>
              <w:rPr>
                <w:rFonts w:hint="eastAsia" w:ascii="宋体" w:hAnsi="宋体" w:eastAsia="宋体"/>
              </w:rPr>
              <w:t xml:space="preserve">现金替代标志 </w:t>
            </w:r>
          </w:p>
        </w:tc>
        <w:tc>
          <w:tcPr>
            <w:tcW w:w="0" w:type="auto"/>
            <w:vMerge w:val="restart"/>
            <w:shd w:val="clear" w:color="auto" w:fill="auto"/>
          </w:tcPr>
          <w:p w14:paraId="037FF1C6">
            <w:pPr>
              <w:jc w:val="center"/>
              <w:rPr>
                <w:rFonts w:ascii="宋体" w:hAnsi="宋体" w:eastAsia="宋体" w:cs="宋体"/>
                <w:sz w:val="24"/>
                <w:szCs w:val="24"/>
              </w:rPr>
            </w:pPr>
            <w:r>
              <w:rPr>
                <w:rFonts w:hint="eastAsia" w:ascii="宋体" w:hAnsi="宋体" w:eastAsia="宋体"/>
              </w:rPr>
              <w:t xml:space="preserve">现金替代保证金率（%） </w:t>
            </w:r>
          </w:p>
        </w:tc>
        <w:tc>
          <w:tcPr>
            <w:tcW w:w="0" w:type="auto"/>
            <w:vMerge w:val="restart"/>
            <w:shd w:val="clear" w:color="auto" w:fill="auto"/>
          </w:tcPr>
          <w:p w14:paraId="0E5847A8">
            <w:pPr>
              <w:jc w:val="center"/>
              <w:rPr>
                <w:rFonts w:ascii="宋体" w:hAnsi="宋体" w:eastAsia="宋体" w:cs="宋体"/>
                <w:sz w:val="24"/>
                <w:szCs w:val="24"/>
              </w:rPr>
            </w:pPr>
            <w:r>
              <w:rPr>
                <w:rFonts w:hint="eastAsia" w:ascii="宋体" w:hAnsi="宋体" w:eastAsia="宋体"/>
              </w:rPr>
              <w:t xml:space="preserve">固定替代金额 </w:t>
            </w:r>
          </w:p>
        </w:tc>
      </w:tr>
      <w:tr w14:paraId="67B4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0" w:type="auto"/>
            <w:vMerge w:val="continue"/>
            <w:shd w:val="clear" w:color="auto" w:fill="auto"/>
          </w:tcPr>
          <w:p w14:paraId="5911B043">
            <w:pPr>
              <w:rPr>
                <w:rFonts w:ascii="宋体" w:hAnsi="宋体" w:eastAsia="宋体" w:cs="宋体"/>
                <w:sz w:val="24"/>
                <w:szCs w:val="24"/>
              </w:rPr>
            </w:pPr>
          </w:p>
        </w:tc>
        <w:tc>
          <w:tcPr>
            <w:tcW w:w="0" w:type="auto"/>
            <w:vMerge w:val="continue"/>
            <w:shd w:val="clear" w:color="auto" w:fill="auto"/>
          </w:tcPr>
          <w:p w14:paraId="2880722D">
            <w:pPr>
              <w:rPr>
                <w:rFonts w:ascii="宋体" w:hAnsi="宋体" w:eastAsia="宋体" w:cs="宋体"/>
                <w:sz w:val="24"/>
                <w:szCs w:val="24"/>
              </w:rPr>
            </w:pPr>
          </w:p>
        </w:tc>
        <w:tc>
          <w:tcPr>
            <w:tcW w:w="0" w:type="auto"/>
            <w:vMerge w:val="continue"/>
            <w:shd w:val="clear" w:color="auto" w:fill="auto"/>
          </w:tcPr>
          <w:p w14:paraId="73CF50A5">
            <w:pPr>
              <w:rPr>
                <w:rFonts w:ascii="宋体" w:hAnsi="宋体" w:eastAsia="宋体" w:cs="宋体"/>
                <w:sz w:val="24"/>
                <w:szCs w:val="24"/>
              </w:rPr>
            </w:pPr>
          </w:p>
        </w:tc>
        <w:tc>
          <w:tcPr>
            <w:tcW w:w="0" w:type="auto"/>
            <w:gridSpan w:val="2"/>
            <w:vMerge w:val="continue"/>
            <w:shd w:val="clear" w:color="auto" w:fill="auto"/>
          </w:tcPr>
          <w:p w14:paraId="3BB0AF92">
            <w:pPr>
              <w:rPr>
                <w:rFonts w:ascii="宋体" w:hAnsi="宋体" w:eastAsia="宋体" w:cs="宋体"/>
                <w:sz w:val="24"/>
                <w:szCs w:val="24"/>
              </w:rPr>
            </w:pPr>
          </w:p>
        </w:tc>
        <w:tc>
          <w:tcPr>
            <w:tcW w:w="0" w:type="auto"/>
            <w:vMerge w:val="continue"/>
            <w:shd w:val="clear" w:color="auto" w:fill="auto"/>
          </w:tcPr>
          <w:p w14:paraId="069B44E7">
            <w:pPr>
              <w:rPr>
                <w:rFonts w:ascii="宋体" w:hAnsi="宋体" w:eastAsia="宋体" w:cs="宋体"/>
                <w:sz w:val="24"/>
                <w:szCs w:val="24"/>
              </w:rPr>
            </w:pPr>
          </w:p>
        </w:tc>
        <w:tc>
          <w:tcPr>
            <w:tcW w:w="0" w:type="auto"/>
            <w:vMerge w:val="continue"/>
            <w:shd w:val="clear" w:color="auto" w:fill="auto"/>
          </w:tcPr>
          <w:p w14:paraId="4CBD998D">
            <w:pPr>
              <w:rPr>
                <w:rFonts w:ascii="宋体" w:hAnsi="宋体" w:eastAsia="宋体" w:cs="宋体"/>
                <w:sz w:val="24"/>
                <w:szCs w:val="24"/>
              </w:rPr>
            </w:pPr>
          </w:p>
        </w:tc>
      </w:tr>
      <w:tr w14:paraId="1C439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1E9094">
            <w:pPr>
              <w:jc w:val="center"/>
              <w:rPr>
                <w:rFonts w:ascii="宋体" w:hAnsi="宋体" w:eastAsia="宋体" w:cs="宋体"/>
                <w:sz w:val="24"/>
                <w:szCs w:val="24"/>
              </w:rPr>
            </w:pPr>
          </w:p>
        </w:tc>
        <w:tc>
          <w:tcPr>
            <w:tcW w:w="0" w:type="auto"/>
            <w:shd w:val="clear" w:color="auto" w:fill="auto"/>
          </w:tcPr>
          <w:p w14:paraId="1FBF5F42">
            <w:pPr>
              <w:jc w:val="center"/>
              <w:rPr>
                <w:rFonts w:ascii="宋体" w:hAnsi="宋体" w:eastAsia="宋体" w:cs="宋体"/>
                <w:sz w:val="24"/>
                <w:szCs w:val="24"/>
              </w:rPr>
            </w:pPr>
          </w:p>
        </w:tc>
        <w:tc>
          <w:tcPr>
            <w:tcW w:w="0" w:type="auto"/>
            <w:shd w:val="clear" w:color="auto" w:fill="auto"/>
          </w:tcPr>
          <w:p w14:paraId="3985C400">
            <w:pPr>
              <w:jc w:val="center"/>
              <w:rPr>
                <w:rFonts w:ascii="宋体" w:hAnsi="宋体" w:eastAsia="宋体" w:cs="宋体"/>
                <w:sz w:val="24"/>
                <w:szCs w:val="24"/>
              </w:rPr>
            </w:pPr>
          </w:p>
        </w:tc>
        <w:tc>
          <w:tcPr>
            <w:tcW w:w="0" w:type="auto"/>
            <w:gridSpan w:val="2"/>
            <w:shd w:val="clear" w:color="auto" w:fill="auto"/>
          </w:tcPr>
          <w:p w14:paraId="695A6DCD">
            <w:pPr>
              <w:jc w:val="center"/>
              <w:rPr>
                <w:rFonts w:ascii="宋体" w:hAnsi="宋体" w:eastAsia="宋体" w:cs="宋体"/>
                <w:sz w:val="24"/>
                <w:szCs w:val="24"/>
              </w:rPr>
            </w:pPr>
          </w:p>
        </w:tc>
        <w:tc>
          <w:tcPr>
            <w:tcW w:w="0" w:type="auto"/>
            <w:shd w:val="clear" w:color="auto" w:fill="auto"/>
          </w:tcPr>
          <w:p w14:paraId="47D7B32D">
            <w:pPr>
              <w:jc w:val="center"/>
              <w:rPr>
                <w:rFonts w:ascii="宋体" w:hAnsi="宋体" w:eastAsia="宋体" w:cs="宋体"/>
                <w:sz w:val="24"/>
                <w:szCs w:val="24"/>
              </w:rPr>
            </w:pPr>
          </w:p>
        </w:tc>
        <w:tc>
          <w:tcPr>
            <w:tcW w:w="0" w:type="auto"/>
            <w:shd w:val="clear" w:color="auto" w:fill="auto"/>
          </w:tcPr>
          <w:p w14:paraId="43428217">
            <w:pPr>
              <w:jc w:val="center"/>
              <w:rPr>
                <w:rFonts w:ascii="宋体" w:hAnsi="宋体" w:eastAsia="宋体" w:cs="宋体"/>
                <w:sz w:val="24"/>
                <w:szCs w:val="24"/>
              </w:rPr>
            </w:pPr>
          </w:p>
        </w:tc>
      </w:tr>
    </w:tbl>
    <w:p w14:paraId="2E684579">
      <w:pPr>
        <w:pStyle w:val="7"/>
        <w:spacing w:before="0" w:beforeAutospacing="0" w:after="0" w:afterAutospacing="0" w:line="360" w:lineRule="auto"/>
        <w:ind w:firstLine="420"/>
        <w:rPr>
          <w:sz w:val="21"/>
          <w:szCs w:val="21"/>
        </w:rPr>
      </w:pPr>
      <w:r>
        <w:rPr>
          <w:rFonts w:hint="eastAsia"/>
          <w:sz w:val="21"/>
          <w:szCs w:val="21"/>
        </w:rPr>
        <w:t xml:space="preserve">若深圳证券交易所或中国证券登记结算有限责任公司对申购赎回清单的格式进行调整，基金管理人将视情况对相关格式进行相应的调整，并依照《信息披露办法》的有关规定在规定媒介上公告。 </w:t>
      </w:r>
    </w:p>
    <w:p w14:paraId="54BDF3CC">
      <w:pPr>
        <w:pStyle w:val="7"/>
        <w:spacing w:before="0" w:beforeAutospacing="0" w:after="0" w:afterAutospacing="0" w:line="360" w:lineRule="auto"/>
        <w:ind w:firstLine="420"/>
        <w:rPr>
          <w:sz w:val="21"/>
          <w:szCs w:val="21"/>
        </w:rPr>
      </w:pPr>
      <w:r>
        <w:rPr>
          <w:rStyle w:val="11"/>
          <w:rFonts w:hint="eastAsia"/>
          <w:sz w:val="21"/>
          <w:szCs w:val="21"/>
        </w:rPr>
        <w:t>八、拒绝或暂停申购的情形及处理方式</w:t>
      </w:r>
    </w:p>
    <w:p w14:paraId="388FEF80">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7FC3DE45">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1、因不可抗力导致基金无法正常运作、基金管理人无法受理或办理基金份额持有人的申购申请； </w:t>
      </w:r>
    </w:p>
    <w:p w14:paraId="487B9312">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25504250">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41EA5BF9">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14:paraId="55D4A1CD">
      <w:pPr>
        <w:pStyle w:val="7"/>
        <w:spacing w:before="0" w:beforeAutospacing="0" w:after="0" w:afterAutospacing="0" w:line="360" w:lineRule="auto"/>
        <w:ind w:firstLine="420"/>
        <w:rPr>
          <w:sz w:val="21"/>
          <w:szCs w:val="21"/>
        </w:rPr>
      </w:pPr>
      <w:r>
        <w:rPr>
          <w:rFonts w:hint="eastAsia"/>
          <w:sz w:val="21"/>
          <w:szCs w:val="21"/>
        </w:rPr>
        <w:t xml:space="preserve">5、接受某笔或某些申购申请可能会影响或损害现有基金份额持有人利益时； </w:t>
      </w:r>
    </w:p>
    <w:p w14:paraId="6057D277">
      <w:pPr>
        <w:pStyle w:val="7"/>
        <w:spacing w:before="0" w:beforeAutospacing="0" w:after="0" w:afterAutospacing="0" w:line="360" w:lineRule="auto"/>
        <w:ind w:firstLine="420"/>
        <w:rPr>
          <w:sz w:val="21"/>
          <w:szCs w:val="21"/>
        </w:rPr>
      </w:pPr>
      <w:r>
        <w:rPr>
          <w:rFonts w:hint="eastAsia"/>
          <w:sz w:val="21"/>
          <w:szCs w:val="21"/>
        </w:rPr>
        <w:t xml:space="preserve">6、相关证券/期货交易所、申购赎回代理券商、登记机构等因异常情况无法办理申购； </w:t>
      </w:r>
    </w:p>
    <w:p w14:paraId="1689551C">
      <w:pPr>
        <w:pStyle w:val="7"/>
        <w:spacing w:before="0" w:beforeAutospacing="0" w:after="0" w:afterAutospacing="0" w:line="360" w:lineRule="auto"/>
        <w:ind w:firstLine="420"/>
        <w:rPr>
          <w:sz w:val="21"/>
          <w:szCs w:val="21"/>
        </w:rPr>
      </w:pPr>
      <w:r>
        <w:rPr>
          <w:rFonts w:hint="eastAsia"/>
          <w:sz w:val="21"/>
          <w:szCs w:val="21"/>
        </w:rPr>
        <w:t xml:space="preserve">7、申请超过基金管理人设定的基金总规模、单日净申购比例上限、单一投资者单日或单笔申购份额上限的； </w:t>
      </w:r>
    </w:p>
    <w:p w14:paraId="38C5F169">
      <w:pPr>
        <w:pStyle w:val="7"/>
        <w:spacing w:before="0" w:beforeAutospacing="0" w:after="0" w:afterAutospacing="0" w:line="360" w:lineRule="auto"/>
        <w:ind w:firstLine="420"/>
        <w:rPr>
          <w:sz w:val="21"/>
          <w:szCs w:val="21"/>
        </w:rPr>
      </w:pPr>
      <w:r>
        <w:rPr>
          <w:rFonts w:hint="eastAsia"/>
          <w:sz w:val="21"/>
          <w:szCs w:val="21"/>
        </w:rPr>
        <w:t xml:space="preserve">8、当前一估值日基金资产净值50%以上的资产出现无可参考的活跃市场价格且采用估值技术仍导致公允价值存在重大不确定性时，经与基金托管人协商确认后，基金管理人应当暂停接受基金申购申请； </w:t>
      </w:r>
    </w:p>
    <w:p w14:paraId="7CAC59F1">
      <w:pPr>
        <w:pStyle w:val="7"/>
        <w:spacing w:before="0" w:beforeAutospacing="0" w:after="0" w:afterAutospacing="0" w:line="360" w:lineRule="auto"/>
        <w:ind w:firstLine="420"/>
        <w:rPr>
          <w:sz w:val="21"/>
          <w:szCs w:val="21"/>
        </w:rPr>
      </w:pPr>
      <w:r>
        <w:rPr>
          <w:rFonts w:hint="eastAsia"/>
          <w:sz w:val="21"/>
          <w:szCs w:val="21"/>
        </w:rPr>
        <w:t xml:space="preserve">9、基金资产规模过大，使基金管理人无法找到合适的投资品种，或其他可能对基金业绩产生负面影响，或发生其他损害现有基金份额持有人利益的情形； </w:t>
      </w:r>
    </w:p>
    <w:p w14:paraId="6E55E7B1">
      <w:pPr>
        <w:pStyle w:val="7"/>
        <w:spacing w:before="0" w:beforeAutospacing="0" w:after="0" w:afterAutospacing="0" w:line="360" w:lineRule="auto"/>
        <w:ind w:firstLine="420"/>
        <w:rPr>
          <w:sz w:val="21"/>
          <w:szCs w:val="21"/>
        </w:rPr>
      </w:pPr>
      <w:r>
        <w:rPr>
          <w:rFonts w:hint="eastAsia"/>
          <w:sz w:val="21"/>
          <w:szCs w:val="21"/>
        </w:rPr>
        <w:t xml:space="preserve">10、法律法规、深圳证券交易所规定或中国证监会认定的其他情形。 </w:t>
      </w:r>
    </w:p>
    <w:p w14:paraId="7F5C753A">
      <w:pPr>
        <w:pStyle w:val="7"/>
        <w:spacing w:before="0" w:beforeAutospacing="0" w:after="0" w:afterAutospacing="0" w:line="360" w:lineRule="auto"/>
        <w:ind w:firstLine="420"/>
        <w:rPr>
          <w:sz w:val="21"/>
          <w:szCs w:val="21"/>
        </w:rPr>
      </w:pPr>
      <w:r>
        <w:rPr>
          <w:rFonts w:hint="eastAsia"/>
          <w:sz w:val="21"/>
          <w:szCs w:val="21"/>
        </w:rPr>
        <w:t xml:space="preserve">发生上述第1、2、3、4、6、8、9、10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 </w:t>
      </w:r>
    </w:p>
    <w:p w14:paraId="7E16DE0E">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6C3201EB">
      <w:pPr>
        <w:pStyle w:val="7"/>
        <w:spacing w:before="0" w:beforeAutospacing="0" w:after="0" w:afterAutospacing="0" w:line="360" w:lineRule="auto"/>
        <w:ind w:firstLine="420"/>
        <w:rPr>
          <w:sz w:val="21"/>
          <w:szCs w:val="21"/>
        </w:rPr>
      </w:pPr>
      <w:r>
        <w:rPr>
          <w:rStyle w:val="11"/>
          <w:rFonts w:hint="eastAsia"/>
          <w:sz w:val="21"/>
          <w:szCs w:val="21"/>
        </w:rPr>
        <w:t>九、暂停赎回或延缓支付赎回对价的情形及处理方式</w:t>
      </w:r>
    </w:p>
    <w:p w14:paraId="1BD51F65">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发生下列情形时，基金管理人可暂停接受投资人的赎回申请或延缓支付赎回对价： </w:t>
      </w:r>
    </w:p>
    <w:p w14:paraId="134FCECA">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14:paraId="043798A9">
      <w:pPr>
        <w:pStyle w:val="7"/>
        <w:spacing w:before="0" w:beforeAutospacing="0" w:after="0" w:afterAutospacing="0" w:line="360" w:lineRule="auto"/>
        <w:ind w:firstLine="420"/>
        <w:rPr>
          <w:sz w:val="21"/>
          <w:szCs w:val="21"/>
        </w:rPr>
      </w:pPr>
      <w:r>
        <w:rPr>
          <w:rFonts w:hint="eastAsia"/>
          <w:sz w:val="21"/>
          <w:szCs w:val="21"/>
        </w:rPr>
        <w:t xml:space="preserve">2、证券/期货交易所或外汇市场交易时间非正常停市，导致基金管理人无法计算当日基金资产净值或无法进行证券交易； </w:t>
      </w:r>
    </w:p>
    <w:p w14:paraId="1A7C6F76">
      <w:pPr>
        <w:pStyle w:val="7"/>
        <w:spacing w:before="0" w:beforeAutospacing="0" w:after="0" w:afterAutospacing="0" w:line="360" w:lineRule="auto"/>
        <w:ind w:firstLine="420"/>
        <w:rPr>
          <w:sz w:val="21"/>
          <w:szCs w:val="21"/>
        </w:rPr>
      </w:pPr>
      <w:r>
        <w:rPr>
          <w:rFonts w:hint="eastAsia"/>
          <w:sz w:val="21"/>
          <w:szCs w:val="21"/>
        </w:rPr>
        <w:t xml:space="preserve">3、发生基金合同规定的暂停基金资产估值情况时； </w:t>
      </w:r>
    </w:p>
    <w:p w14:paraId="014CE763">
      <w:pPr>
        <w:pStyle w:val="7"/>
        <w:spacing w:before="0" w:beforeAutospacing="0" w:after="0" w:afterAutospacing="0" w:line="360" w:lineRule="auto"/>
        <w:ind w:firstLine="420"/>
        <w:rPr>
          <w:sz w:val="21"/>
          <w:szCs w:val="21"/>
        </w:rPr>
      </w:pPr>
      <w:r>
        <w:rPr>
          <w:rFonts w:hint="eastAsia"/>
          <w:sz w:val="21"/>
          <w:szCs w:val="21"/>
        </w:rPr>
        <w:t xml:space="preserve">4、基金管理人开市前因异常情况无法公布申购赎回清单、基金份额净值或者IOPV计算错误、申购赎回清单编制错误； </w:t>
      </w:r>
    </w:p>
    <w:p w14:paraId="7760C10A">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5、发生继续接受赎回申请将损害现有基金份额持有人利益的情形时，基金管理人可暂停接受投资人的赎回申请； </w:t>
      </w:r>
    </w:p>
    <w:p w14:paraId="080A1DCB">
      <w:pPr>
        <w:pStyle w:val="7"/>
        <w:spacing w:before="0" w:beforeAutospacing="0" w:after="0" w:afterAutospacing="0" w:line="360" w:lineRule="auto"/>
        <w:ind w:firstLine="420"/>
        <w:rPr>
          <w:sz w:val="21"/>
          <w:szCs w:val="21"/>
        </w:rPr>
      </w:pPr>
      <w:r>
        <w:rPr>
          <w:rFonts w:hint="eastAsia"/>
          <w:sz w:val="21"/>
          <w:szCs w:val="21"/>
        </w:rPr>
        <w:t xml:space="preserve">6、本基金当日总赎回份额达到基金管理人所设定的上限，基金管理人可拒绝赎回申请； </w:t>
      </w:r>
    </w:p>
    <w:p w14:paraId="2A42A768">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14:paraId="7D2E7B58">
      <w:pPr>
        <w:pStyle w:val="7"/>
        <w:spacing w:before="0" w:beforeAutospacing="0" w:after="0" w:afterAutospacing="0" w:line="360" w:lineRule="auto"/>
        <w:ind w:firstLine="420"/>
        <w:rPr>
          <w:sz w:val="21"/>
          <w:szCs w:val="21"/>
        </w:rPr>
      </w:pPr>
      <w:r>
        <w:rPr>
          <w:rFonts w:hint="eastAsia"/>
          <w:sz w:val="21"/>
          <w:szCs w:val="21"/>
        </w:rPr>
        <w:t xml:space="preserve">8、相关证券/期货交易所、申购赎回代理券商、登记机构等因异常情况无法办理赎回； </w:t>
      </w:r>
    </w:p>
    <w:p w14:paraId="5D55775F">
      <w:pPr>
        <w:pStyle w:val="7"/>
        <w:spacing w:before="0" w:beforeAutospacing="0" w:after="0" w:afterAutospacing="0" w:line="360" w:lineRule="auto"/>
        <w:ind w:firstLine="420"/>
        <w:rPr>
          <w:sz w:val="21"/>
          <w:szCs w:val="21"/>
        </w:rPr>
      </w:pPr>
      <w:r>
        <w:rPr>
          <w:rFonts w:hint="eastAsia"/>
          <w:sz w:val="21"/>
          <w:szCs w:val="21"/>
        </w:rPr>
        <w:t xml:space="preserve">9、法律法规、深圳证券交易所规定或中国证监会认定的其他情形。 </w:t>
      </w:r>
    </w:p>
    <w:p w14:paraId="59C9744F">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14:paraId="17C3FE46">
      <w:pPr>
        <w:pStyle w:val="7"/>
        <w:spacing w:before="0" w:beforeAutospacing="0" w:after="0" w:afterAutospacing="0" w:line="360" w:lineRule="auto"/>
        <w:ind w:firstLine="420"/>
        <w:rPr>
          <w:sz w:val="21"/>
          <w:szCs w:val="21"/>
        </w:rPr>
      </w:pPr>
      <w:r>
        <w:rPr>
          <w:rFonts w:hint="eastAsia"/>
          <w:sz w:val="21"/>
          <w:szCs w:val="21"/>
        </w:rPr>
        <w:t xml:space="preserve">在发生暂停申购或赎回的情形之一时，本基金的申购和赎回可能同时暂停。 </w:t>
      </w:r>
    </w:p>
    <w:p w14:paraId="0422DAB0">
      <w:pPr>
        <w:pStyle w:val="7"/>
        <w:spacing w:before="0" w:beforeAutospacing="0" w:after="0" w:afterAutospacing="0" w:line="360" w:lineRule="auto"/>
        <w:ind w:firstLine="420"/>
        <w:rPr>
          <w:sz w:val="21"/>
          <w:szCs w:val="21"/>
        </w:rPr>
      </w:pPr>
      <w:r>
        <w:rPr>
          <w:rStyle w:val="11"/>
          <w:rFonts w:hint="eastAsia"/>
          <w:sz w:val="21"/>
          <w:szCs w:val="21"/>
        </w:rPr>
        <w:t>十、基金清算交收与登记模式的调整或新增</w:t>
      </w:r>
    </w:p>
    <w:p w14:paraId="2B4F3846">
      <w:pPr>
        <w:pStyle w:val="7"/>
        <w:spacing w:before="0" w:beforeAutospacing="0" w:after="0" w:afterAutospacing="0" w:line="360" w:lineRule="auto"/>
        <w:ind w:firstLine="420"/>
        <w:rPr>
          <w:sz w:val="21"/>
          <w:szCs w:val="21"/>
        </w:rPr>
      </w:pPr>
      <w:r>
        <w:rPr>
          <w:rFonts w:hint="eastAsia"/>
          <w:sz w:val="21"/>
          <w:szCs w:val="21"/>
        </w:rPr>
        <w:t xml:space="preserve">本基金获批后，若深圳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招募说明书予以更新，无需召开持有人大会审议。 </w:t>
      </w:r>
    </w:p>
    <w:p w14:paraId="35774A8F">
      <w:pPr>
        <w:pStyle w:val="7"/>
        <w:spacing w:before="0" w:beforeAutospacing="0" w:after="0" w:afterAutospacing="0" w:line="360" w:lineRule="auto"/>
        <w:ind w:firstLine="420"/>
        <w:rPr>
          <w:sz w:val="21"/>
          <w:szCs w:val="21"/>
        </w:rPr>
      </w:pPr>
      <w:r>
        <w:rPr>
          <w:rStyle w:val="11"/>
          <w:rFonts w:hint="eastAsia"/>
          <w:sz w:val="21"/>
          <w:szCs w:val="21"/>
        </w:rPr>
        <w:t>十一、基金份额拆分与合并 </w:t>
      </w:r>
    </w:p>
    <w:p w14:paraId="003369AD">
      <w:pPr>
        <w:pStyle w:val="7"/>
        <w:spacing w:before="0" w:beforeAutospacing="0" w:after="0" w:afterAutospacing="0" w:line="360" w:lineRule="auto"/>
        <w:ind w:firstLine="420"/>
        <w:rPr>
          <w:sz w:val="21"/>
          <w:szCs w:val="21"/>
        </w:rPr>
      </w:pPr>
      <w:r>
        <w:rPr>
          <w:rFonts w:hint="eastAsia"/>
          <w:sz w:val="21"/>
          <w:szCs w:val="21"/>
        </w:rPr>
        <w:t xml:space="preserve">基金成立后，在法律法规规定的范围内，在履行适当程序后，本基金可实施基金份额拆分或合并。 </w:t>
      </w:r>
    </w:p>
    <w:p w14:paraId="69D2DED7">
      <w:pPr>
        <w:pStyle w:val="7"/>
        <w:spacing w:before="0" w:beforeAutospacing="0" w:after="0" w:afterAutospacing="0" w:line="360" w:lineRule="auto"/>
        <w:ind w:firstLine="420"/>
        <w:rPr>
          <w:sz w:val="21"/>
          <w:szCs w:val="21"/>
        </w:rPr>
      </w:pPr>
      <w:r>
        <w:rPr>
          <w:rFonts w:hint="eastAsia"/>
          <w:sz w:val="21"/>
          <w:szCs w:val="21"/>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14:paraId="0CC5C53F">
      <w:pPr>
        <w:pStyle w:val="7"/>
        <w:spacing w:before="0" w:beforeAutospacing="0" w:after="0" w:afterAutospacing="0" w:line="360" w:lineRule="auto"/>
        <w:ind w:firstLine="420"/>
        <w:rPr>
          <w:sz w:val="21"/>
          <w:szCs w:val="21"/>
        </w:rPr>
      </w:pPr>
      <w:r>
        <w:rPr>
          <w:rStyle w:val="11"/>
          <w:rFonts w:hint="eastAsia"/>
          <w:sz w:val="21"/>
          <w:szCs w:val="21"/>
        </w:rPr>
        <w:t>十二、基金份额的转让</w:t>
      </w:r>
    </w:p>
    <w:p w14:paraId="4D0D093D">
      <w:pPr>
        <w:pStyle w:val="7"/>
        <w:spacing w:before="0" w:beforeAutospacing="0" w:after="0" w:afterAutospacing="0" w:line="360" w:lineRule="auto"/>
        <w:ind w:firstLine="420"/>
        <w:rPr>
          <w:sz w:val="21"/>
          <w:szCs w:val="21"/>
        </w:rPr>
      </w:pPr>
      <w:r>
        <w:rPr>
          <w:rFonts w:hint="eastAsia"/>
          <w:sz w:val="21"/>
          <w:szCs w:val="21"/>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w:t>
      </w:r>
      <w:bookmarkStart w:id="104" w:name="chapter_level1_12_59_section_3_end"/>
      <w:bookmarkEnd w:id="104"/>
      <w:r>
        <w:rPr>
          <w:rFonts w:hint="eastAsia"/>
          <w:sz w:val="21"/>
          <w:szCs w:val="21"/>
        </w:rPr>
        <w:t xml:space="preserve">的业务规则办理基金份额转让业务。 </w:t>
      </w:r>
    </w:p>
    <w:p w14:paraId="593DF15C">
      <w:pPr>
        <w:pStyle w:val="7"/>
        <w:spacing w:before="0" w:beforeAutospacing="0" w:after="0" w:afterAutospacing="0" w:line="360" w:lineRule="auto"/>
        <w:ind w:firstLine="420"/>
        <w:rPr>
          <w:sz w:val="21"/>
          <w:szCs w:val="21"/>
        </w:rPr>
      </w:pPr>
      <w:bookmarkStart w:id="105" w:name="chapter_level1_12_59_section_4"/>
      <w:bookmarkEnd w:id="105"/>
      <w:r>
        <w:rPr>
          <w:rStyle w:val="11"/>
          <w:rFonts w:hint="eastAsia"/>
          <w:sz w:val="21"/>
          <w:szCs w:val="21"/>
        </w:rPr>
        <w:t>十三、基金份额的非交易过户、冻结、解冻等其他业务</w:t>
      </w:r>
    </w:p>
    <w:p w14:paraId="63745E24">
      <w:pPr>
        <w:pStyle w:val="7"/>
        <w:spacing w:before="0" w:beforeAutospacing="0" w:after="0" w:afterAutospacing="0" w:line="360" w:lineRule="auto"/>
        <w:ind w:firstLine="420"/>
        <w:rPr>
          <w:sz w:val="21"/>
          <w:szCs w:val="21"/>
        </w:rPr>
      </w:pPr>
      <w:r>
        <w:rPr>
          <w:rFonts w:hint="eastAsia"/>
          <w:sz w:val="21"/>
          <w:szCs w:val="21"/>
        </w:rPr>
        <w:t xml:space="preserve">基金份额的登记机构可依据其业务规则，受理基金的非交易过户、冻结与解冻等业务，并收取一定的手续费用。 </w:t>
      </w:r>
    </w:p>
    <w:p w14:paraId="47620D8A">
      <w:pPr>
        <w:pStyle w:val="7"/>
        <w:spacing w:before="0" w:beforeAutospacing="0" w:after="0" w:afterAutospacing="0" w:line="360" w:lineRule="auto"/>
        <w:ind w:firstLine="420"/>
        <w:rPr>
          <w:sz w:val="21"/>
          <w:szCs w:val="21"/>
        </w:rPr>
      </w:pPr>
      <w:r>
        <w:rPr>
          <w:rFonts w:hint="eastAsia"/>
          <w:sz w:val="21"/>
          <w:szCs w:val="21"/>
        </w:rPr>
        <w:t>基金份额被冻结的，被冻结部分产生的权益一并冻结，被冻结部分份额仍然参与收益分</w:t>
      </w:r>
      <w:bookmarkStart w:id="106" w:name="chapter_level1_12_59_section_4_end"/>
      <w:bookmarkEnd w:id="106"/>
      <w:r>
        <w:rPr>
          <w:rFonts w:hint="eastAsia"/>
          <w:sz w:val="21"/>
          <w:szCs w:val="21"/>
        </w:rPr>
        <w:t xml:space="preserve">配。法律法规或监管机构另有规定的除外。 </w:t>
      </w:r>
    </w:p>
    <w:p w14:paraId="614969EF">
      <w:pPr>
        <w:pStyle w:val="7"/>
        <w:spacing w:before="0" w:beforeAutospacing="0" w:after="0" w:afterAutospacing="0" w:line="360" w:lineRule="auto"/>
        <w:ind w:firstLine="420"/>
        <w:rPr>
          <w:sz w:val="21"/>
          <w:szCs w:val="21"/>
        </w:rPr>
      </w:pPr>
      <w:bookmarkStart w:id="107" w:name="chapter_level1_12_59_section_5"/>
      <w:bookmarkEnd w:id="107"/>
      <w:r>
        <w:rPr>
          <w:rStyle w:val="11"/>
          <w:rFonts w:hint="eastAsia"/>
          <w:sz w:val="21"/>
          <w:szCs w:val="21"/>
        </w:rPr>
        <w:t>十四、联接基金的特殊申购</w:t>
      </w:r>
    </w:p>
    <w:p w14:paraId="6CBF9BDF">
      <w:pPr>
        <w:pStyle w:val="7"/>
        <w:spacing w:before="0" w:beforeAutospacing="0" w:after="0" w:afterAutospacing="0" w:line="360" w:lineRule="auto"/>
        <w:ind w:firstLine="420"/>
        <w:rPr>
          <w:sz w:val="21"/>
          <w:szCs w:val="21"/>
        </w:rPr>
      </w:pPr>
      <w:r>
        <w:rPr>
          <w:rFonts w:hint="eastAsia"/>
          <w:sz w:val="21"/>
          <w:szCs w:val="21"/>
        </w:rPr>
        <w:t xml:space="preserve">若基金管理人推出以本基金为目标ETF的联接基金，本基金可根据实际情况需要向本基金的联接基金开通特殊申购，不收取申购费用。具体见基金管理人相关公告。 </w:t>
      </w:r>
    </w:p>
    <w:p w14:paraId="4D7CAE34">
      <w:pPr>
        <w:pStyle w:val="7"/>
        <w:spacing w:before="0" w:beforeAutospacing="0" w:after="0" w:afterAutospacing="0" w:line="360" w:lineRule="auto"/>
        <w:ind w:firstLine="420"/>
        <w:rPr>
          <w:sz w:val="21"/>
          <w:szCs w:val="21"/>
        </w:rPr>
      </w:pPr>
      <w:r>
        <w:rPr>
          <w:rStyle w:val="11"/>
          <w:rFonts w:hint="eastAsia"/>
          <w:sz w:val="21"/>
          <w:szCs w:val="21"/>
        </w:rPr>
        <w:t>十五、基金份额折算</w:t>
      </w:r>
    </w:p>
    <w:p w14:paraId="0385F64C">
      <w:pPr>
        <w:pStyle w:val="7"/>
        <w:spacing w:before="0" w:beforeAutospacing="0" w:after="0" w:afterAutospacing="0" w:line="360" w:lineRule="auto"/>
        <w:ind w:firstLine="420"/>
        <w:rPr>
          <w:sz w:val="21"/>
          <w:szCs w:val="21"/>
        </w:rPr>
      </w:pPr>
      <w:r>
        <w:rPr>
          <w:rFonts w:hint="eastAsia"/>
          <w:sz w:val="21"/>
          <w:szCs w:val="21"/>
        </w:rPr>
        <w:t xml:space="preserve">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必要公告，并提前通知基金托管人。 </w:t>
      </w:r>
    </w:p>
    <w:p w14:paraId="18749D87">
      <w:pPr>
        <w:pStyle w:val="7"/>
        <w:spacing w:before="0" w:beforeAutospacing="0" w:after="0" w:afterAutospacing="0" w:line="360" w:lineRule="auto"/>
        <w:ind w:firstLine="420"/>
        <w:rPr>
          <w:sz w:val="21"/>
          <w:szCs w:val="21"/>
        </w:rPr>
      </w:pPr>
      <w:r>
        <w:rPr>
          <w:rStyle w:val="11"/>
          <w:rFonts w:hint="eastAsia"/>
          <w:sz w:val="21"/>
          <w:szCs w:val="21"/>
        </w:rPr>
        <w:t>十六、其他</w:t>
      </w:r>
    </w:p>
    <w:p w14:paraId="5FC8E395">
      <w:pPr>
        <w:pStyle w:val="7"/>
        <w:spacing w:before="0" w:beforeAutospacing="0" w:after="0" w:afterAutospacing="0" w:line="360" w:lineRule="auto"/>
        <w:ind w:firstLine="420"/>
        <w:rPr>
          <w:sz w:val="21"/>
          <w:szCs w:val="21"/>
        </w:rPr>
      </w:pPr>
      <w:r>
        <w:rPr>
          <w:rFonts w:hint="eastAsia"/>
          <w:sz w:val="21"/>
          <w:szCs w:val="21"/>
        </w:rPr>
        <w:t xml:space="preserve">1、在不违反法律法规且对基金份额持有人利益无实质性不利影响的情况下，经履行相关程序后，基金管理人可开放集合申购。基金管理人有权制定集合申购业务的相关规则。 </w:t>
      </w:r>
    </w:p>
    <w:p w14:paraId="152C6B45">
      <w:pPr>
        <w:pStyle w:val="7"/>
        <w:spacing w:before="0" w:beforeAutospacing="0" w:after="0" w:afterAutospacing="0" w:line="360" w:lineRule="auto"/>
        <w:ind w:firstLine="420"/>
        <w:rPr>
          <w:sz w:val="21"/>
          <w:szCs w:val="21"/>
        </w:rPr>
      </w:pPr>
      <w:r>
        <w:rPr>
          <w:rFonts w:hint="eastAsia"/>
          <w:sz w:val="21"/>
          <w:szCs w:val="21"/>
        </w:rPr>
        <w:t xml:space="preserve">在条件允许时，基金管理人也可采取其他合理的申购方式，并于新的申购方式开始执行前予以公告。 </w:t>
      </w:r>
    </w:p>
    <w:p w14:paraId="66F38DB0">
      <w:pPr>
        <w:pStyle w:val="7"/>
        <w:spacing w:before="0" w:beforeAutospacing="0" w:after="0" w:afterAutospacing="0" w:line="360" w:lineRule="auto"/>
        <w:ind w:firstLine="420"/>
        <w:rPr>
          <w:sz w:val="21"/>
          <w:szCs w:val="21"/>
        </w:rPr>
      </w:pPr>
      <w:r>
        <w:rPr>
          <w:rFonts w:hint="eastAsia"/>
          <w:sz w:val="21"/>
          <w:szCs w:val="21"/>
        </w:rPr>
        <w:t xml:space="preserve">2、基金管理人指定的代理机构可依据法律法规和基金合同的规定开展其他服务，双方需签订书面委托代理协议，并报中国证监会备案。 </w:t>
      </w:r>
    </w:p>
    <w:p w14:paraId="6C09CE5C">
      <w:pPr>
        <w:pStyle w:val="7"/>
        <w:spacing w:before="0" w:beforeAutospacing="0" w:after="0" w:afterAutospacing="0" w:line="360" w:lineRule="auto"/>
        <w:ind w:firstLine="420"/>
        <w:rPr>
          <w:sz w:val="21"/>
          <w:szCs w:val="21"/>
        </w:rPr>
      </w:pPr>
      <w:r>
        <w:rPr>
          <w:rFonts w:hint="eastAsia"/>
          <w:sz w:val="21"/>
          <w:szCs w:val="21"/>
        </w:rPr>
        <w:t>3、对于符合《中国证券登记结算有限责任公司深圳分公司交易型开放式基金登记结算业务指南》要求的特定投资者，基金管理人可在不违反法律法规且对基金份额持有人利益无</w:t>
      </w:r>
      <w:bookmarkStart w:id="108" w:name="chapter_level1_12_59_section_5_end"/>
      <w:bookmarkEnd w:id="108"/>
      <w:r>
        <w:rPr>
          <w:rFonts w:hint="eastAsia"/>
          <w:sz w:val="21"/>
          <w:szCs w:val="21"/>
        </w:rPr>
        <w:t xml:space="preserve">实质性不利影响的情况下，安排专门的申购方式。 </w:t>
      </w:r>
    </w:p>
    <w:p w14:paraId="4EC26DE5">
      <w:pPr>
        <w:widowControl/>
        <w:jc w:val="left"/>
        <w:rPr>
          <w:rFonts w:ascii="宋体" w:hAnsi="宋体" w:eastAsia="宋体"/>
        </w:rPr>
      </w:pPr>
      <w:r>
        <w:rPr>
          <w:rFonts w:ascii="宋体" w:hAnsi="宋体" w:eastAsia="宋体"/>
        </w:rPr>
        <w:br w:type="page"/>
      </w:r>
    </w:p>
    <w:p w14:paraId="4B5DB035">
      <w:pPr>
        <w:pStyle w:val="2"/>
        <w:jc w:val="center"/>
        <w:rPr>
          <w:rFonts w:ascii="宋体" w:hAnsi="宋体" w:eastAsia="宋体"/>
          <w:sz w:val="30"/>
        </w:rPr>
      </w:pPr>
      <w:bookmarkStart w:id="109" w:name="_Toc207950933"/>
      <w:bookmarkStart w:id="110" w:name="chapter_level1_13_60"/>
      <w:r>
        <w:rPr>
          <w:rFonts w:hint="eastAsia" w:ascii="宋体" w:hAnsi="宋体" w:eastAsia="宋体"/>
          <w:sz w:val="30"/>
        </w:rPr>
        <w:t>第十部分  基金的投资</w:t>
      </w:r>
      <w:bookmarkEnd w:id="109"/>
      <w:bookmarkEnd w:id="110"/>
    </w:p>
    <w:p w14:paraId="30CB4978">
      <w:pPr>
        <w:pStyle w:val="7"/>
        <w:spacing w:before="0" w:beforeAutospacing="0" w:after="0" w:afterAutospacing="0" w:line="360" w:lineRule="auto"/>
        <w:ind w:firstLine="420"/>
        <w:rPr>
          <w:sz w:val="21"/>
          <w:szCs w:val="21"/>
        </w:rPr>
      </w:pPr>
      <w:bookmarkStart w:id="111" w:name="chapter_level1_13_60_section_1"/>
      <w:bookmarkEnd w:id="111"/>
      <w:r>
        <w:rPr>
          <w:rStyle w:val="11"/>
          <w:rFonts w:hint="eastAsia"/>
          <w:sz w:val="21"/>
          <w:szCs w:val="21"/>
        </w:rPr>
        <w:t>一、投资目标</w:t>
      </w:r>
    </w:p>
    <w:p w14:paraId="57B7FB92">
      <w:pPr>
        <w:pStyle w:val="7"/>
        <w:spacing w:before="0" w:beforeAutospacing="0" w:after="0" w:afterAutospacing="0" w:line="360" w:lineRule="auto"/>
        <w:ind w:firstLine="420"/>
        <w:rPr>
          <w:sz w:val="21"/>
          <w:szCs w:val="21"/>
        </w:rPr>
      </w:pPr>
      <w:bookmarkStart w:id="112" w:name="field_60_investmenttarget_1_start"/>
      <w:bookmarkEnd w:id="112"/>
      <w:r>
        <w:rPr>
          <w:rFonts w:hint="eastAsia"/>
          <w:sz w:val="21"/>
          <w:szCs w:val="21"/>
        </w:rPr>
        <w:t xml:space="preserve">紧密跟踪标的指数，追求跟踪偏离度和跟踪误差的最小化。 </w:t>
      </w:r>
      <w:bookmarkStart w:id="113" w:name="field_60_investmenttarget_1_end"/>
      <w:bookmarkEnd w:id="113"/>
      <w:r>
        <w:rPr>
          <w:rFonts w:hint="eastAsia"/>
          <w:sz w:val="21"/>
          <w:szCs w:val="21"/>
        </w:rPr>
        <w:t xml:space="preserve"> </w:t>
      </w:r>
    </w:p>
    <w:p w14:paraId="546D6F2F">
      <w:pPr>
        <w:pStyle w:val="7"/>
        <w:spacing w:before="0" w:beforeAutospacing="0" w:after="0" w:afterAutospacing="0" w:line="360" w:lineRule="auto"/>
        <w:ind w:firstLine="420"/>
        <w:rPr>
          <w:sz w:val="21"/>
          <w:szCs w:val="21"/>
        </w:rPr>
      </w:pPr>
      <w:r>
        <w:rPr>
          <w:rStyle w:val="11"/>
          <w:rFonts w:hint="eastAsia"/>
          <w:sz w:val="21"/>
          <w:szCs w:val="21"/>
        </w:rPr>
        <w:t>二、投资范围</w:t>
      </w:r>
    </w:p>
    <w:p w14:paraId="53A8132D">
      <w:pPr>
        <w:pStyle w:val="7"/>
        <w:spacing w:before="0" w:beforeAutospacing="0" w:after="0" w:afterAutospacing="0" w:line="360" w:lineRule="auto"/>
        <w:ind w:firstLine="420"/>
        <w:rPr>
          <w:sz w:val="21"/>
          <w:szCs w:val="21"/>
        </w:rPr>
      </w:pPr>
      <w:bookmarkStart w:id="114" w:name="field_60_investmentrange_1_start"/>
      <w:bookmarkEnd w:id="114"/>
      <w:r>
        <w:rPr>
          <w:rFonts w:hint="eastAsia"/>
          <w:sz w:val="21"/>
          <w:szCs w:val="21"/>
        </w:rPr>
        <w:t xml:space="preserve">本基金主要投资于标的指数成份股和备选成份股（含存托凭证）。 </w:t>
      </w:r>
    </w:p>
    <w:p w14:paraId="53A6B927">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创业板及其他经中国证监会核准或注册上市的股票和存托凭证、港股通标的股票）、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2066BC35">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本基金可根据法律法规的规定参与融资和转融通证券出借业务。未来在法律法规允许的前提下，本基金可根据相关法律法规规定参与融券业务。 </w:t>
      </w:r>
    </w:p>
    <w:p w14:paraId="52C81D6A">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1A759EE3">
      <w:pPr>
        <w:pStyle w:val="7"/>
        <w:spacing w:before="0" w:beforeAutospacing="0" w:after="0" w:afterAutospacing="0" w:line="360" w:lineRule="auto"/>
        <w:ind w:firstLine="420"/>
        <w:rPr>
          <w:sz w:val="21"/>
          <w:szCs w:val="21"/>
        </w:rPr>
      </w:pPr>
      <w:r>
        <w:rPr>
          <w:rFonts w:hint="eastAsia"/>
          <w:sz w:val="21"/>
          <w:szCs w:val="21"/>
        </w:rPr>
        <w:t xml:space="preserve">本基金投资于标的指数成份股和备选成份股（含存托凭证）的资产比例不低于基金资产净值的90%，且不低于非现金基金资产的80%；投资港股通标的股票的比例不超过本基金股票资产的10%；本基金在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28D7BEFE">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5" w:name="field_60_investmentrange_1_end"/>
      <w:bookmarkEnd w:id="115"/>
      <w:r>
        <w:rPr>
          <w:rFonts w:hint="eastAsia"/>
          <w:sz w:val="21"/>
          <w:szCs w:val="21"/>
        </w:rPr>
        <w:t xml:space="preserve"> </w:t>
      </w:r>
    </w:p>
    <w:p w14:paraId="535E659A">
      <w:pPr>
        <w:pStyle w:val="7"/>
        <w:spacing w:before="0" w:beforeAutospacing="0" w:after="0" w:afterAutospacing="0" w:line="360" w:lineRule="auto"/>
        <w:ind w:firstLine="420"/>
        <w:rPr>
          <w:sz w:val="21"/>
          <w:szCs w:val="21"/>
        </w:rPr>
      </w:pPr>
      <w:r>
        <w:rPr>
          <w:rStyle w:val="11"/>
          <w:rFonts w:hint="eastAsia"/>
          <w:sz w:val="21"/>
          <w:szCs w:val="21"/>
        </w:rPr>
        <w:t>三、投资策略</w:t>
      </w:r>
    </w:p>
    <w:p w14:paraId="25E65F38">
      <w:pPr>
        <w:pStyle w:val="7"/>
        <w:spacing w:before="0" w:beforeAutospacing="0" w:after="0" w:afterAutospacing="0" w:line="360" w:lineRule="auto"/>
        <w:ind w:firstLine="420"/>
        <w:rPr>
          <w:sz w:val="21"/>
          <w:szCs w:val="21"/>
        </w:rPr>
      </w:pPr>
      <w:bookmarkStart w:id="116" w:name="field_60_investmentstrategy_1_start"/>
      <w:bookmarkEnd w:id="116"/>
      <w:r>
        <w:rPr>
          <w:rFonts w:hint="eastAsia"/>
          <w:sz w:val="21"/>
          <w:szCs w:val="21"/>
        </w:rPr>
        <w:t xml:space="preserve">1、组合复制策略 </w:t>
      </w:r>
    </w:p>
    <w:p w14:paraId="7420D7E1">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2756E3DF">
      <w:pPr>
        <w:pStyle w:val="7"/>
        <w:spacing w:before="0" w:beforeAutospacing="0" w:after="0" w:afterAutospacing="0" w:line="360" w:lineRule="auto"/>
        <w:ind w:firstLine="420"/>
        <w:rPr>
          <w:sz w:val="21"/>
          <w:szCs w:val="21"/>
        </w:rPr>
      </w:pPr>
      <w:r>
        <w:rPr>
          <w:rFonts w:hint="eastAsia"/>
          <w:sz w:val="21"/>
          <w:szCs w:val="21"/>
        </w:rPr>
        <w:t xml:space="preserve">如果标的指数成份股发生明显负面事件面临退市或违约风险，且指数编制机构暂未作出调整的，基金管理人应当按照基金份额持有人利益优先原则，履行内部决策程序后及时对相关成份股进行调整。 </w:t>
      </w:r>
    </w:p>
    <w:p w14:paraId="5FFC7513">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  </w:t>
      </w:r>
    </w:p>
    <w:p w14:paraId="70DCFA3B">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4FE72285">
      <w:pPr>
        <w:pStyle w:val="7"/>
        <w:spacing w:before="0" w:beforeAutospacing="0" w:after="0" w:afterAutospacing="0" w:line="360" w:lineRule="auto"/>
        <w:ind w:firstLine="420"/>
        <w:rPr>
          <w:sz w:val="21"/>
          <w:szCs w:val="21"/>
        </w:rPr>
      </w:pPr>
      <w:r>
        <w:rPr>
          <w:rFonts w:hint="eastAsia"/>
          <w:sz w:val="21"/>
          <w:szCs w:val="21"/>
        </w:rPr>
        <w:t xml:space="preserve">2、债券（除可转换债券、可交换债券）投资策略 </w:t>
      </w:r>
    </w:p>
    <w:p w14:paraId="5FC426E2">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081A1E60">
      <w:pPr>
        <w:pStyle w:val="7"/>
        <w:spacing w:before="0" w:beforeAutospacing="0" w:after="0" w:afterAutospacing="0" w:line="360" w:lineRule="auto"/>
        <w:ind w:firstLine="420"/>
        <w:rPr>
          <w:sz w:val="21"/>
          <w:szCs w:val="21"/>
        </w:rPr>
      </w:pPr>
      <w:r>
        <w:rPr>
          <w:rFonts w:hint="eastAsia"/>
          <w:sz w:val="21"/>
          <w:szCs w:val="21"/>
        </w:rPr>
        <w:t xml:space="preserve">3、资产支持证券投资策略 </w:t>
      </w:r>
    </w:p>
    <w:p w14:paraId="72417B58">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51999C51">
      <w:pPr>
        <w:pStyle w:val="7"/>
        <w:spacing w:before="0" w:beforeAutospacing="0" w:after="0" w:afterAutospacing="0" w:line="360" w:lineRule="auto"/>
        <w:ind w:firstLine="420"/>
        <w:rPr>
          <w:sz w:val="21"/>
          <w:szCs w:val="21"/>
        </w:rPr>
      </w:pPr>
      <w:r>
        <w:rPr>
          <w:rFonts w:hint="eastAsia"/>
          <w:sz w:val="21"/>
          <w:szCs w:val="21"/>
        </w:rPr>
        <w:t xml:space="preserve">4、港股通标的股票投资策略 </w:t>
      </w:r>
    </w:p>
    <w:p w14:paraId="2CA71B26">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14:paraId="65EE33B9">
      <w:pPr>
        <w:pStyle w:val="7"/>
        <w:spacing w:before="0" w:beforeAutospacing="0" w:after="0" w:afterAutospacing="0" w:line="360" w:lineRule="auto"/>
        <w:ind w:firstLine="420"/>
        <w:rPr>
          <w:sz w:val="21"/>
          <w:szCs w:val="21"/>
        </w:rPr>
      </w:pPr>
      <w:r>
        <w:rPr>
          <w:rFonts w:hint="eastAsia"/>
          <w:sz w:val="21"/>
          <w:szCs w:val="21"/>
        </w:rPr>
        <w:t xml:space="preserve">5、可转换债券、可交换债券投资策略 </w:t>
      </w:r>
    </w:p>
    <w:p w14:paraId="22CB3E30">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1BFEC6FB">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24C4E631">
      <w:pPr>
        <w:pStyle w:val="7"/>
        <w:spacing w:before="0" w:beforeAutospacing="0" w:after="0" w:afterAutospacing="0" w:line="360" w:lineRule="auto"/>
        <w:ind w:firstLine="420"/>
        <w:rPr>
          <w:sz w:val="21"/>
          <w:szCs w:val="21"/>
        </w:rPr>
      </w:pPr>
      <w:r>
        <w:rPr>
          <w:rFonts w:hint="eastAsia"/>
          <w:sz w:val="21"/>
          <w:szCs w:val="21"/>
        </w:rPr>
        <w:t xml:space="preserve">6、金融衍生品投资策略 </w:t>
      </w:r>
    </w:p>
    <w:p w14:paraId="0213705F">
      <w:pPr>
        <w:pStyle w:val="7"/>
        <w:spacing w:before="0" w:beforeAutospacing="0" w:after="0" w:afterAutospacing="0" w:line="360" w:lineRule="auto"/>
        <w:ind w:firstLine="420"/>
        <w:rPr>
          <w:sz w:val="21"/>
          <w:szCs w:val="21"/>
        </w:rPr>
      </w:pPr>
      <w:r>
        <w:rPr>
          <w:rFonts w:hint="eastAsia"/>
          <w:sz w:val="21"/>
          <w:szCs w:val="21"/>
        </w:rPr>
        <w:t xml:space="preserve">（1）股指期货投资策略  </w:t>
      </w:r>
    </w:p>
    <w:p w14:paraId="76AC36C9">
      <w:pPr>
        <w:pStyle w:val="7"/>
        <w:spacing w:before="0" w:beforeAutospacing="0" w:after="0" w:afterAutospacing="0" w:line="360" w:lineRule="auto"/>
        <w:ind w:firstLine="420"/>
        <w:rPr>
          <w:sz w:val="21"/>
          <w:szCs w:val="21"/>
        </w:rPr>
      </w:pPr>
      <w:r>
        <w:rPr>
          <w:rFonts w:hint="eastAsia"/>
          <w:sz w:val="21"/>
          <w:szCs w:val="21"/>
        </w:rPr>
        <w:t xml:space="preserve">本基金将在风险可控的前提下，根据风险管理原则，以套期保值为目的，适度参与股指期货投资。本基金将根据对现货和期货市场的分析，充分考虑股指期货的风险收益特征进行股指期货投资，以改善投资组合的投资效果。 </w:t>
      </w:r>
    </w:p>
    <w:p w14:paraId="56EB024E">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33370A84">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EA7AE74">
      <w:pPr>
        <w:pStyle w:val="7"/>
        <w:spacing w:before="0" w:beforeAutospacing="0" w:after="0" w:afterAutospacing="0" w:line="360" w:lineRule="auto"/>
        <w:ind w:firstLine="420"/>
        <w:rPr>
          <w:sz w:val="21"/>
          <w:szCs w:val="21"/>
        </w:rPr>
      </w:pPr>
      <w:r>
        <w:rPr>
          <w:rFonts w:hint="eastAsia"/>
          <w:sz w:val="21"/>
          <w:szCs w:val="21"/>
        </w:rPr>
        <w:t xml:space="preserve">（3）国债期货投资策略  </w:t>
      </w:r>
    </w:p>
    <w:p w14:paraId="6777C6D9">
      <w:pPr>
        <w:pStyle w:val="7"/>
        <w:spacing w:before="0" w:beforeAutospacing="0" w:after="0" w:afterAutospacing="0" w:line="360" w:lineRule="auto"/>
        <w:ind w:firstLine="420"/>
        <w:rPr>
          <w:sz w:val="21"/>
          <w:szCs w:val="21"/>
        </w:rPr>
      </w:pPr>
      <w:r>
        <w:rPr>
          <w:rFonts w:hint="eastAsia"/>
          <w:sz w:val="21"/>
          <w:szCs w:val="21"/>
        </w:rPr>
        <w:t xml:space="preserve">本基金投资国债期货，以套期保值为目的，将根据风险管理的原则，充分考虑国债期货的流动性和风险收益特征，在风险可控的前提下，适度参与国债期货投资。 </w:t>
      </w:r>
    </w:p>
    <w:p w14:paraId="77F55DF2">
      <w:pPr>
        <w:pStyle w:val="7"/>
        <w:spacing w:before="0" w:beforeAutospacing="0" w:after="0" w:afterAutospacing="0" w:line="360" w:lineRule="auto"/>
        <w:ind w:firstLine="420"/>
        <w:rPr>
          <w:sz w:val="21"/>
          <w:szCs w:val="21"/>
        </w:rPr>
      </w:pPr>
      <w:r>
        <w:rPr>
          <w:rFonts w:hint="eastAsia"/>
          <w:sz w:val="21"/>
          <w:szCs w:val="21"/>
        </w:rPr>
        <w:t xml:space="preserve">7、融资和转融通证券出借业务投资策略 </w:t>
      </w:r>
    </w:p>
    <w:p w14:paraId="26FF0AFA">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可根据相关法律法规规定参与融券业务。 </w:t>
      </w:r>
    </w:p>
    <w:p w14:paraId="60E622F2">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14:paraId="34BD2A84">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1C6DA3F9">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未来，随着投资工具的发展和丰富，本基金可在不改变投资目标的前提下，在履行适当程序后，相应调整和更新相关投资策略，并在招募说明书更新中公告。 </w:t>
      </w:r>
      <w:bookmarkStart w:id="117" w:name="field_60_investmentstrategy_1_end"/>
      <w:bookmarkEnd w:id="117"/>
      <w:r>
        <w:rPr>
          <w:rFonts w:hint="eastAsia"/>
          <w:sz w:val="21"/>
          <w:szCs w:val="21"/>
        </w:rPr>
        <w:t xml:space="preserve"> </w:t>
      </w:r>
    </w:p>
    <w:p w14:paraId="473F76B6">
      <w:pPr>
        <w:pStyle w:val="7"/>
        <w:spacing w:before="0" w:beforeAutospacing="0" w:after="0" w:afterAutospacing="0" w:line="360" w:lineRule="auto"/>
        <w:ind w:firstLine="420"/>
        <w:rPr>
          <w:sz w:val="21"/>
          <w:szCs w:val="21"/>
        </w:rPr>
      </w:pPr>
      <w:r>
        <w:rPr>
          <w:rStyle w:val="11"/>
          <w:rFonts w:hint="eastAsia"/>
          <w:sz w:val="21"/>
          <w:szCs w:val="21"/>
        </w:rPr>
        <w:t>四、投资管理流程 </w:t>
      </w:r>
    </w:p>
    <w:p w14:paraId="236C5071">
      <w:pPr>
        <w:pStyle w:val="7"/>
        <w:spacing w:before="0" w:beforeAutospacing="0" w:after="0" w:afterAutospacing="0" w:line="360" w:lineRule="auto"/>
        <w:ind w:firstLine="420"/>
        <w:rPr>
          <w:sz w:val="21"/>
          <w:szCs w:val="21"/>
        </w:rPr>
      </w:pPr>
      <w:r>
        <w:rPr>
          <w:rFonts w:hint="eastAsia"/>
          <w:sz w:val="21"/>
          <w:szCs w:val="21"/>
        </w:rPr>
        <w:t xml:space="preserve">1、投资决策依据 </w:t>
      </w:r>
    </w:p>
    <w:p w14:paraId="1930AF20">
      <w:pPr>
        <w:pStyle w:val="7"/>
        <w:spacing w:before="0" w:beforeAutospacing="0" w:after="0" w:afterAutospacing="0" w:line="360" w:lineRule="auto"/>
        <w:ind w:firstLine="420"/>
        <w:rPr>
          <w:sz w:val="21"/>
          <w:szCs w:val="21"/>
        </w:rPr>
      </w:pPr>
      <w:r>
        <w:rPr>
          <w:rFonts w:hint="eastAsia"/>
          <w:sz w:val="21"/>
          <w:szCs w:val="21"/>
        </w:rPr>
        <w:t xml:space="preserve">有关法律法规、基金合同以及标的指数的相关规定是基金管理人运用基金财产的决策依据。 </w:t>
      </w:r>
    </w:p>
    <w:p w14:paraId="659963AA">
      <w:pPr>
        <w:pStyle w:val="7"/>
        <w:spacing w:before="0" w:beforeAutospacing="0" w:after="0" w:afterAutospacing="0" w:line="360" w:lineRule="auto"/>
        <w:ind w:firstLine="420"/>
        <w:rPr>
          <w:sz w:val="21"/>
          <w:szCs w:val="21"/>
        </w:rPr>
      </w:pPr>
      <w:r>
        <w:rPr>
          <w:rFonts w:hint="eastAsia"/>
          <w:sz w:val="21"/>
          <w:szCs w:val="21"/>
        </w:rPr>
        <w:t xml:space="preserve">2、投资管理体制 </w:t>
      </w:r>
    </w:p>
    <w:p w14:paraId="3A478D7D">
      <w:pPr>
        <w:pStyle w:val="7"/>
        <w:spacing w:before="0" w:beforeAutospacing="0" w:after="0" w:afterAutospacing="0" w:line="360" w:lineRule="auto"/>
        <w:ind w:firstLine="420"/>
        <w:rPr>
          <w:sz w:val="21"/>
          <w:szCs w:val="21"/>
        </w:rPr>
      </w:pPr>
      <w:r>
        <w:rPr>
          <w:rFonts w:hint="eastAsia"/>
          <w:sz w:val="21"/>
          <w:szCs w:val="21"/>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14:paraId="742AC28D">
      <w:pPr>
        <w:pStyle w:val="7"/>
        <w:spacing w:before="0" w:beforeAutospacing="0" w:after="0" w:afterAutospacing="0" w:line="360" w:lineRule="auto"/>
        <w:ind w:firstLine="420"/>
        <w:rPr>
          <w:sz w:val="21"/>
          <w:szCs w:val="21"/>
        </w:rPr>
      </w:pPr>
      <w:r>
        <w:rPr>
          <w:rFonts w:hint="eastAsia"/>
          <w:sz w:val="21"/>
          <w:szCs w:val="21"/>
        </w:rPr>
        <w:t xml:space="preserve">3、投资管理程序 </w:t>
      </w:r>
    </w:p>
    <w:p w14:paraId="7D601D1D">
      <w:pPr>
        <w:pStyle w:val="7"/>
        <w:spacing w:before="0" w:beforeAutospacing="0" w:after="0" w:afterAutospacing="0" w:line="360" w:lineRule="auto"/>
        <w:ind w:firstLine="420"/>
        <w:rPr>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14:paraId="30C64558">
      <w:pPr>
        <w:pStyle w:val="7"/>
        <w:spacing w:before="0" w:beforeAutospacing="0" w:after="0" w:afterAutospacing="0" w:line="360" w:lineRule="auto"/>
        <w:ind w:firstLine="420"/>
        <w:rPr>
          <w:sz w:val="21"/>
          <w:szCs w:val="21"/>
        </w:rPr>
      </w:pPr>
      <w:r>
        <w:rPr>
          <w:rFonts w:hint="eastAsia"/>
          <w:sz w:val="21"/>
          <w:szCs w:val="21"/>
        </w:rPr>
        <w:t xml:space="preserve">（1）研究支持。基金管理人的研究部依托公司整体研究平台，整合外部信息包括券商等外部研究力量的研究成果，开展标的指数跟踪、成份股公司行为等相关信息的搜集与分析、成份股流动性分析、误差及其归因分析等工作，并撰写相关的研究报告，作为本基金投资决策的重要依据。 </w:t>
      </w:r>
    </w:p>
    <w:p w14:paraId="2A0B579B">
      <w:pPr>
        <w:pStyle w:val="7"/>
        <w:spacing w:before="0" w:beforeAutospacing="0" w:after="0" w:afterAutospacing="0" w:line="360" w:lineRule="auto"/>
        <w:ind w:firstLine="420"/>
        <w:rPr>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688F8759">
      <w:pPr>
        <w:pStyle w:val="7"/>
        <w:spacing w:before="0" w:beforeAutospacing="0" w:after="0" w:afterAutospacing="0" w:line="360" w:lineRule="auto"/>
        <w:ind w:firstLine="420"/>
        <w:rPr>
          <w:sz w:val="21"/>
          <w:szCs w:val="21"/>
        </w:rPr>
      </w:pPr>
      <w:r>
        <w:rPr>
          <w:rFonts w:hint="eastAsia"/>
          <w:sz w:val="21"/>
          <w:szCs w:val="21"/>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371C6E83">
      <w:pPr>
        <w:pStyle w:val="7"/>
        <w:spacing w:before="0" w:beforeAutospacing="0" w:after="0" w:afterAutospacing="0" w:line="360" w:lineRule="auto"/>
        <w:ind w:firstLine="420"/>
        <w:rPr>
          <w:sz w:val="21"/>
          <w:szCs w:val="21"/>
        </w:rPr>
      </w:pPr>
      <w:r>
        <w:rPr>
          <w:rFonts w:hint="eastAsia"/>
          <w:sz w:val="21"/>
          <w:szCs w:val="21"/>
        </w:rPr>
        <w:t xml:space="preserve">（4）交易执行。基金管理人的交易部负责本基金的具体交易执行，交易部同时履行一线监控的职责。 </w:t>
      </w:r>
    </w:p>
    <w:p w14:paraId="7F5CA595">
      <w:pPr>
        <w:pStyle w:val="7"/>
        <w:spacing w:before="0" w:beforeAutospacing="0" w:after="0" w:afterAutospacing="0" w:line="360" w:lineRule="auto"/>
        <w:ind w:firstLine="420"/>
        <w:rPr>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088F3EF1">
      <w:pPr>
        <w:pStyle w:val="7"/>
        <w:spacing w:before="0" w:beforeAutospacing="0" w:after="0" w:afterAutospacing="0" w:line="360" w:lineRule="auto"/>
        <w:ind w:firstLine="420"/>
        <w:rPr>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58068861">
      <w:pPr>
        <w:pStyle w:val="7"/>
        <w:spacing w:before="0" w:beforeAutospacing="0" w:after="0" w:afterAutospacing="0" w:line="360" w:lineRule="auto"/>
        <w:ind w:firstLine="420"/>
        <w:rPr>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基金管理人在确保基金份额持有人利益的前提下，根据环境的变化和基金实际投资的需要，有权对上述投资程序做出调整，并将调整内容在基金招募说明书更新中予以公告。 </w:t>
      </w:r>
    </w:p>
    <w:p w14:paraId="2DC2D943">
      <w:pPr>
        <w:pStyle w:val="7"/>
        <w:spacing w:before="0" w:beforeAutospacing="0" w:after="0" w:afterAutospacing="0" w:line="360" w:lineRule="auto"/>
        <w:ind w:firstLine="420"/>
        <w:rPr>
          <w:sz w:val="21"/>
          <w:szCs w:val="21"/>
        </w:rPr>
      </w:pPr>
      <w:r>
        <w:rPr>
          <w:rStyle w:val="11"/>
          <w:rFonts w:hint="eastAsia"/>
          <w:sz w:val="21"/>
          <w:szCs w:val="21"/>
        </w:rPr>
        <w:t>五、投资组合管理 </w:t>
      </w:r>
    </w:p>
    <w:p w14:paraId="0D21E473">
      <w:pPr>
        <w:pStyle w:val="7"/>
        <w:spacing w:before="0" w:beforeAutospacing="0" w:after="0" w:afterAutospacing="0" w:line="360" w:lineRule="auto"/>
        <w:ind w:firstLine="420"/>
        <w:rPr>
          <w:sz w:val="21"/>
          <w:szCs w:val="21"/>
        </w:rPr>
      </w:pPr>
      <w:r>
        <w:rPr>
          <w:rFonts w:hint="eastAsia"/>
          <w:sz w:val="21"/>
          <w:szCs w:val="21"/>
        </w:rPr>
        <w:t xml:space="preserve">1、投资组合的构建 </w:t>
      </w:r>
    </w:p>
    <w:p w14:paraId="10AB6727">
      <w:pPr>
        <w:pStyle w:val="7"/>
        <w:spacing w:before="0" w:beforeAutospacing="0" w:after="0" w:afterAutospacing="0" w:line="360" w:lineRule="auto"/>
        <w:ind w:firstLine="420"/>
        <w:rPr>
          <w:sz w:val="21"/>
          <w:szCs w:val="21"/>
        </w:rPr>
      </w:pPr>
      <w:r>
        <w:rPr>
          <w:rFonts w:hint="eastAsia"/>
          <w:sz w:val="21"/>
          <w:szCs w:val="21"/>
        </w:rPr>
        <w:t xml:space="preserve">基金管理人构建基金投资组合的过程主要分为三个步骤：确定目标组合、制定建仓策略，以及逐步调整组合。 </w:t>
      </w:r>
    </w:p>
    <w:p w14:paraId="48699556">
      <w:pPr>
        <w:pStyle w:val="7"/>
        <w:spacing w:before="0" w:beforeAutospacing="0" w:after="0" w:afterAutospacing="0" w:line="360" w:lineRule="auto"/>
        <w:ind w:firstLine="420"/>
        <w:rPr>
          <w:sz w:val="21"/>
          <w:szCs w:val="21"/>
        </w:rPr>
      </w:pPr>
      <w:r>
        <w:rPr>
          <w:rFonts w:hint="eastAsia"/>
          <w:sz w:val="21"/>
          <w:szCs w:val="21"/>
        </w:rPr>
        <w:t xml:space="preserve">（1）确定目标组合。基金管理人主要采取完全复制法，即按照标的指数的成份股组成及其权重构建基金股票投资组合。 </w:t>
      </w:r>
    </w:p>
    <w:p w14:paraId="283D7FC6">
      <w:pPr>
        <w:pStyle w:val="7"/>
        <w:spacing w:before="0" w:beforeAutospacing="0" w:after="0" w:afterAutospacing="0" w:line="360" w:lineRule="auto"/>
        <w:ind w:firstLine="420"/>
        <w:rPr>
          <w:sz w:val="21"/>
          <w:szCs w:val="21"/>
        </w:rPr>
      </w:pPr>
      <w:r>
        <w:rPr>
          <w:rFonts w:hint="eastAsia"/>
          <w:sz w:val="21"/>
          <w:szCs w:val="21"/>
        </w:rPr>
        <w:t xml:space="preserve">（2）制定建仓策略。基金经理依据对标的指数成份股的流动性和交易成本等因素所做的分析，制定合理的建仓策略。 </w:t>
      </w:r>
    </w:p>
    <w:p w14:paraId="50004F8A">
      <w:pPr>
        <w:pStyle w:val="7"/>
        <w:spacing w:before="0" w:beforeAutospacing="0" w:after="0" w:afterAutospacing="0" w:line="360" w:lineRule="auto"/>
        <w:ind w:firstLine="420"/>
        <w:rPr>
          <w:sz w:val="21"/>
          <w:szCs w:val="21"/>
        </w:rPr>
      </w:pPr>
      <w:r>
        <w:rPr>
          <w:rFonts w:hint="eastAsia"/>
          <w:sz w:val="21"/>
          <w:szCs w:val="21"/>
        </w:rPr>
        <w:t xml:space="preserve">（3）逐步调整组合。基金经理在规定时间内，采取适当的手段和措施，对实际投资组合进行动态调整，直至达到紧密跟踪标的指数的目标。 </w:t>
      </w:r>
    </w:p>
    <w:p w14:paraId="45AE3768">
      <w:pPr>
        <w:pStyle w:val="7"/>
        <w:spacing w:before="0" w:beforeAutospacing="0" w:after="0" w:afterAutospacing="0" w:line="360" w:lineRule="auto"/>
        <w:ind w:firstLine="420"/>
        <w:rPr>
          <w:sz w:val="21"/>
          <w:szCs w:val="21"/>
        </w:rPr>
      </w:pPr>
      <w:r>
        <w:rPr>
          <w:rFonts w:hint="eastAsia"/>
          <w:sz w:val="21"/>
          <w:szCs w:val="21"/>
        </w:rPr>
        <w:t xml:space="preserve">本基金跟踪标的指数成份股和备选成份股的资产比例不低于基金资产净值的90%，且不低于非现金基金资产的80%。本基金将在基金合同生效之日起6个月内达到这一投资比例。此后，如因标的指数成份股调整、基金申购赎回带来现金等因素导致基金不符合这一投资比例的，基金管理人将在10个交易日内进行调整。 </w:t>
      </w:r>
    </w:p>
    <w:p w14:paraId="75893CCE">
      <w:pPr>
        <w:pStyle w:val="7"/>
        <w:spacing w:before="0" w:beforeAutospacing="0" w:after="0" w:afterAutospacing="0" w:line="360" w:lineRule="auto"/>
        <w:ind w:firstLine="420"/>
        <w:rPr>
          <w:sz w:val="21"/>
          <w:szCs w:val="21"/>
        </w:rPr>
      </w:pPr>
      <w:r>
        <w:rPr>
          <w:rFonts w:hint="eastAsia"/>
          <w:sz w:val="21"/>
          <w:szCs w:val="21"/>
        </w:rPr>
        <w:t xml:space="preserve">2、投资组合的日常管理 </w:t>
      </w:r>
    </w:p>
    <w:p w14:paraId="15BB9D23">
      <w:pPr>
        <w:pStyle w:val="7"/>
        <w:spacing w:before="0" w:beforeAutospacing="0" w:after="0" w:afterAutospacing="0" w:line="360" w:lineRule="auto"/>
        <w:ind w:firstLine="420"/>
        <w:rPr>
          <w:sz w:val="21"/>
          <w:szCs w:val="21"/>
        </w:rPr>
      </w:pPr>
      <w:r>
        <w:rPr>
          <w:rFonts w:hint="eastAsia"/>
          <w:sz w:val="21"/>
          <w:szCs w:val="21"/>
        </w:rPr>
        <w:t xml:space="preserve">本基金投资组合的日常管理内容主要包括以下几个方面： </w:t>
      </w:r>
    </w:p>
    <w:p w14:paraId="4B31DE41">
      <w:pPr>
        <w:pStyle w:val="7"/>
        <w:spacing w:before="0" w:beforeAutospacing="0" w:after="0" w:afterAutospacing="0" w:line="360" w:lineRule="auto"/>
        <w:ind w:firstLine="420"/>
        <w:rPr>
          <w:sz w:val="21"/>
          <w:szCs w:val="21"/>
        </w:rPr>
      </w:pPr>
      <w:r>
        <w:rPr>
          <w:rFonts w:hint="eastAsia"/>
          <w:sz w:val="21"/>
          <w:szCs w:val="21"/>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14:paraId="58D7BF14">
      <w:pPr>
        <w:pStyle w:val="7"/>
        <w:spacing w:before="0" w:beforeAutospacing="0" w:after="0" w:afterAutospacing="0" w:line="360" w:lineRule="auto"/>
        <w:ind w:firstLine="420"/>
        <w:rPr>
          <w:sz w:val="21"/>
          <w:szCs w:val="21"/>
        </w:rPr>
      </w:pPr>
      <w:r>
        <w:rPr>
          <w:rFonts w:hint="eastAsia"/>
          <w:sz w:val="21"/>
          <w:szCs w:val="21"/>
        </w:rPr>
        <w:t xml:space="preserve">（2）标的指数的跟踪与分析。跟踪分析标的指数的调整等变化，确定标的指数的变化是否与预期相一致，分析是否存在差异及差异产生的原因，为投资决策提供依据。 </w:t>
      </w:r>
    </w:p>
    <w:p w14:paraId="3EFA9FE3">
      <w:pPr>
        <w:pStyle w:val="7"/>
        <w:spacing w:before="0" w:beforeAutospacing="0" w:after="0" w:afterAutospacing="0" w:line="360" w:lineRule="auto"/>
        <w:ind w:firstLine="420"/>
        <w:rPr>
          <w:sz w:val="21"/>
          <w:szCs w:val="21"/>
        </w:rPr>
      </w:pPr>
      <w:r>
        <w:rPr>
          <w:rFonts w:hint="eastAsia"/>
          <w:sz w:val="21"/>
          <w:szCs w:val="21"/>
        </w:rPr>
        <w:t xml:space="preserve">（3）每日申购赎回情况的跟踪与分析。跟踪分析每日基金申购赎回信息，分析这些信息对投资组合的影响。 </w:t>
      </w:r>
    </w:p>
    <w:p w14:paraId="1BD8662A">
      <w:pPr>
        <w:pStyle w:val="7"/>
        <w:spacing w:before="0" w:beforeAutospacing="0" w:after="0" w:afterAutospacing="0" w:line="360" w:lineRule="auto"/>
        <w:ind w:firstLine="420"/>
        <w:rPr>
          <w:sz w:val="21"/>
          <w:szCs w:val="21"/>
        </w:rPr>
      </w:pPr>
      <w:r>
        <w:rPr>
          <w:rFonts w:hint="eastAsia"/>
          <w:sz w:val="21"/>
          <w:szCs w:val="21"/>
        </w:rPr>
        <w:t xml:space="preserve">（4）投资组合持有证券、现金头寸及流动性分析。基金经理跟踪分析每日基金实际投资组合与目标组合的差异及差异产生的原因，并对拟调整的成份股的流动性进行分析。 </w:t>
      </w:r>
    </w:p>
    <w:p w14:paraId="304D1AFC">
      <w:pPr>
        <w:pStyle w:val="7"/>
        <w:spacing w:before="0" w:beforeAutospacing="0" w:after="0" w:afterAutospacing="0" w:line="360" w:lineRule="auto"/>
        <w:ind w:firstLine="420"/>
        <w:rPr>
          <w:sz w:val="21"/>
          <w:szCs w:val="21"/>
        </w:rPr>
      </w:pPr>
      <w:r>
        <w:rPr>
          <w:rFonts w:hint="eastAsia"/>
          <w:sz w:val="21"/>
          <w:szCs w:val="21"/>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14:paraId="51A3E1FB">
      <w:pPr>
        <w:pStyle w:val="7"/>
        <w:spacing w:before="0" w:beforeAutospacing="0" w:after="0" w:afterAutospacing="0" w:line="360" w:lineRule="auto"/>
        <w:ind w:firstLine="420"/>
        <w:rPr>
          <w:sz w:val="21"/>
          <w:szCs w:val="21"/>
        </w:rPr>
      </w:pPr>
      <w:r>
        <w:rPr>
          <w:rFonts w:hint="eastAsia"/>
          <w:sz w:val="21"/>
          <w:szCs w:val="21"/>
        </w:rPr>
        <w:t xml:space="preserve">（6）当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1A7FDA88">
      <w:pPr>
        <w:pStyle w:val="7"/>
        <w:spacing w:before="0" w:beforeAutospacing="0" w:after="0" w:afterAutospacing="0" w:line="360" w:lineRule="auto"/>
        <w:ind w:firstLine="420"/>
        <w:rPr>
          <w:sz w:val="21"/>
          <w:szCs w:val="21"/>
        </w:rPr>
      </w:pPr>
      <w:r>
        <w:rPr>
          <w:rFonts w:hint="eastAsia"/>
          <w:sz w:val="21"/>
          <w:szCs w:val="21"/>
        </w:rPr>
        <w:t xml:space="preserve">（7）基金每日申购赎回清单的制作。基金经理以T－1日标的指数成份股的构成或者实际持仓股票的构成及相应权重为基础，并考虑T日将发生的上市公司变动等情况，制作T日基金申购赎回清单并予以公告。 </w:t>
      </w:r>
    </w:p>
    <w:p w14:paraId="3B5EF24D">
      <w:pPr>
        <w:pStyle w:val="7"/>
        <w:spacing w:before="0" w:beforeAutospacing="0" w:after="0" w:afterAutospacing="0" w:line="360" w:lineRule="auto"/>
        <w:ind w:firstLine="420"/>
        <w:rPr>
          <w:sz w:val="21"/>
          <w:szCs w:val="21"/>
        </w:rPr>
      </w:pPr>
      <w:r>
        <w:rPr>
          <w:rStyle w:val="11"/>
          <w:rFonts w:hint="eastAsia"/>
          <w:sz w:val="21"/>
          <w:szCs w:val="21"/>
        </w:rPr>
        <w:t>六、投资组合限制</w:t>
      </w:r>
    </w:p>
    <w:p w14:paraId="30AB51A9">
      <w:pPr>
        <w:pStyle w:val="7"/>
        <w:spacing w:before="0" w:beforeAutospacing="0" w:after="0" w:afterAutospacing="0" w:line="360" w:lineRule="auto"/>
        <w:ind w:firstLine="420"/>
        <w:rPr>
          <w:sz w:val="21"/>
          <w:szCs w:val="21"/>
        </w:rPr>
      </w:pPr>
      <w:r>
        <w:rPr>
          <w:rFonts w:hint="eastAsia"/>
          <w:sz w:val="21"/>
          <w:szCs w:val="21"/>
        </w:rPr>
        <w:t xml:space="preserve">1、组合限制 </w:t>
      </w:r>
    </w:p>
    <w:p w14:paraId="4EC76640">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3E47F94">
      <w:pPr>
        <w:pStyle w:val="7"/>
        <w:spacing w:before="0" w:beforeAutospacing="0" w:after="0" w:afterAutospacing="0" w:line="360" w:lineRule="auto"/>
        <w:ind w:firstLine="420"/>
        <w:rPr>
          <w:sz w:val="21"/>
          <w:szCs w:val="21"/>
        </w:rPr>
      </w:pPr>
      <w:r>
        <w:rPr>
          <w:rFonts w:hint="eastAsia"/>
          <w:sz w:val="21"/>
          <w:szCs w:val="21"/>
        </w:rPr>
        <w:t xml:space="preserve">（1）本基金投资于标的指数成份股和备选成份股（含存托凭证）的资产比例不低于基金资产净值的90%，且不低于非现金基金资产的80%；投资港股通标的股票的比例不超过本基金股票资产的10%； </w:t>
      </w:r>
    </w:p>
    <w:p w14:paraId="606C1B77">
      <w:pPr>
        <w:pStyle w:val="7"/>
        <w:spacing w:before="0" w:beforeAutospacing="0" w:after="0" w:afterAutospacing="0" w:line="360" w:lineRule="auto"/>
        <w:ind w:firstLine="420"/>
        <w:rPr>
          <w:sz w:val="21"/>
          <w:szCs w:val="21"/>
        </w:rPr>
      </w:pPr>
      <w:r>
        <w:rPr>
          <w:rFonts w:hint="eastAsia"/>
          <w:sz w:val="21"/>
          <w:szCs w:val="21"/>
        </w:rPr>
        <w:t xml:space="preserve">（2）本基金每个交易日日终在扣除股指期货、股票期权和国债期货合约需缴纳的交易保证金后，应当保持不低于交易保证金一倍的现金，其中现金不包括结算备付金、存出保证金和应收申购款等； </w:t>
      </w:r>
    </w:p>
    <w:p w14:paraId="5E3645E4">
      <w:pPr>
        <w:pStyle w:val="7"/>
        <w:spacing w:before="0" w:beforeAutospacing="0" w:after="0" w:afterAutospacing="0" w:line="360" w:lineRule="auto"/>
        <w:ind w:firstLine="420"/>
        <w:rPr>
          <w:sz w:val="21"/>
          <w:szCs w:val="21"/>
        </w:rPr>
      </w:pPr>
      <w:r>
        <w:rPr>
          <w:rFonts w:hint="eastAsia"/>
          <w:sz w:val="21"/>
          <w:szCs w:val="21"/>
        </w:rPr>
        <w:t xml:space="preserve">（3）本基金参与股指期货和国债期货交易，需遵守下列投资比例限制： </w:t>
      </w:r>
    </w:p>
    <w:p w14:paraId="7BCBCDD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1）本基金在任何交易日日终，持有的买入股指期货合约价值，不得超过基金资产净值的10%；在任何交易日日终，持有的买入国债期货合约价值，不得超过基金资产净值的15%； </w:t>
      </w:r>
    </w:p>
    <w:p w14:paraId="559B4E38">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37A43301">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3）本基金在任何交易日日终，持有的卖出股指期货合约价值不得超过基金持有的股票总市值的20%；在任何交易日日终，持有的卖出国债期货合约价值不得超过基金持有的债券总市值的30%； </w:t>
      </w:r>
    </w:p>
    <w:p w14:paraId="630C8263">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513BCF6C">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59E3E91D">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14:paraId="70795DD8">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14:paraId="626856FC">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14:paraId="70C26643">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14:paraId="21EF76D1">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14:paraId="7B294E0D">
      <w:pPr>
        <w:pStyle w:val="7"/>
        <w:spacing w:before="0" w:beforeAutospacing="0" w:after="0" w:afterAutospacing="0" w:line="360" w:lineRule="auto"/>
        <w:ind w:firstLine="420"/>
        <w:rPr>
          <w:sz w:val="21"/>
          <w:szCs w:val="21"/>
        </w:rPr>
      </w:pPr>
      <w:r>
        <w:rPr>
          <w:rFonts w:hint="eastAsia"/>
          <w:sz w:val="21"/>
          <w:szCs w:val="21"/>
        </w:rPr>
        <w:t xml:space="preserve">（9）基金财产参与股票发行申购，本基金所申报的金额不超过本基金的总资产，本基金所申报的股票数量不超过拟发行股票公司本次发行股票的总量； </w:t>
      </w:r>
    </w:p>
    <w:p w14:paraId="7C35E10F">
      <w:pPr>
        <w:pStyle w:val="7"/>
        <w:spacing w:before="0" w:beforeAutospacing="0" w:after="0" w:afterAutospacing="0" w:line="360" w:lineRule="auto"/>
        <w:ind w:firstLine="420"/>
        <w:rPr>
          <w:sz w:val="21"/>
          <w:szCs w:val="21"/>
        </w:rPr>
      </w:pPr>
      <w:r>
        <w:rPr>
          <w:rFonts w:hint="eastAsia"/>
          <w:sz w:val="21"/>
          <w:szCs w:val="21"/>
        </w:rPr>
        <w:t xml:space="preserve">（10）本基金参与融资的，在任何交易日日终，本基金持有的融资买入股票与其他有价证券市值之和，不得超过基金资产净值的95%； </w:t>
      </w:r>
    </w:p>
    <w:p w14:paraId="45F38214">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（11）本基金参与转融通证券出借业务，需遵守下列投资限制： </w:t>
      </w:r>
    </w:p>
    <w:p w14:paraId="23DD3849">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5CA0EB78">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2）参与出借业务的单只证券不得超过本基金持有该证券总量的30%； </w:t>
      </w:r>
    </w:p>
    <w:p w14:paraId="71A8051B">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7D6FA39F">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5A60E46F">
      <w:pPr>
        <w:pStyle w:val="7"/>
        <w:spacing w:before="0" w:beforeAutospacing="0" w:after="0" w:afterAutospacing="0" w:line="360" w:lineRule="auto"/>
        <w:ind w:firstLine="420"/>
        <w:rPr>
          <w:sz w:val="21"/>
          <w:szCs w:val="21"/>
        </w:rPr>
      </w:pPr>
      <w:r>
        <w:rPr>
          <w:rFonts w:hint="eastAsia"/>
          <w:sz w:val="21"/>
          <w:szCs w:val="21"/>
        </w:rPr>
        <w:t xml:space="preserve">因证券市场波动、证券发行人合并、基金规模变动等基金管理人之外的因素致使基金投资不符合上述规定的，基金管理人不得新增出借业务； </w:t>
      </w:r>
    </w:p>
    <w:p w14:paraId="13E43F6F">
      <w:pPr>
        <w:pStyle w:val="7"/>
        <w:spacing w:before="0" w:beforeAutospacing="0" w:after="0" w:afterAutospacing="0" w:line="360" w:lineRule="auto"/>
        <w:ind w:firstLine="420"/>
        <w:rPr>
          <w:sz w:val="21"/>
          <w:szCs w:val="21"/>
        </w:rPr>
      </w:pPr>
      <w:r>
        <w:rPr>
          <w:rFonts w:hint="eastAsia"/>
          <w:sz w:val="21"/>
          <w:szCs w:val="21"/>
        </w:rPr>
        <w:t xml:space="preserve">（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451ACD42">
      <w:pPr>
        <w:pStyle w:val="7"/>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60281F4E">
      <w:pPr>
        <w:pStyle w:val="7"/>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14:paraId="29D1A24F">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0C00E587">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 </w:t>
      </w:r>
    </w:p>
    <w:p w14:paraId="74630FFF">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2903F2E1">
      <w:pPr>
        <w:pStyle w:val="7"/>
        <w:spacing w:before="0" w:beforeAutospacing="0" w:after="0" w:afterAutospacing="0" w:line="360" w:lineRule="auto"/>
        <w:ind w:firstLine="420"/>
        <w:rPr>
          <w:sz w:val="21"/>
          <w:szCs w:val="21"/>
        </w:rPr>
      </w:pPr>
      <w:r>
        <w:rPr>
          <w:rFonts w:hint="eastAsia"/>
          <w:sz w:val="21"/>
          <w:szCs w:val="21"/>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3A2580F2">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5EE3424D">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 </w:t>
      </w:r>
    </w:p>
    <w:p w14:paraId="79FB9EA3">
      <w:pPr>
        <w:pStyle w:val="7"/>
        <w:spacing w:before="0" w:beforeAutospacing="0" w:after="0" w:afterAutospacing="0" w:line="360" w:lineRule="auto"/>
        <w:ind w:firstLine="420"/>
        <w:rPr>
          <w:sz w:val="21"/>
          <w:szCs w:val="21"/>
        </w:rPr>
      </w:pPr>
      <w:r>
        <w:rPr>
          <w:rFonts w:hint="eastAsia"/>
          <w:sz w:val="21"/>
          <w:szCs w:val="21"/>
        </w:rPr>
        <w:t xml:space="preserve">2、禁止行为 </w:t>
      </w:r>
    </w:p>
    <w:p w14:paraId="5EC7E8EB">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8F25B9F">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4657F2F">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B6B805B">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1D9795B9">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5F3E32F6">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2EA7BCE6">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3CEA6E0">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341C059">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05EE01F">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法律、行政法规或监管部门取消或调整上述限制，如适用于本基金，基金管理人在履行适当程序后，则本基金投资不再受相关限制或按照调整后的规定执行。 </w:t>
      </w:r>
    </w:p>
    <w:p w14:paraId="649B0272">
      <w:pPr>
        <w:pStyle w:val="7"/>
        <w:spacing w:before="0" w:beforeAutospacing="0" w:after="0" w:afterAutospacing="0" w:line="360" w:lineRule="auto"/>
        <w:ind w:firstLine="420"/>
        <w:rPr>
          <w:sz w:val="21"/>
          <w:szCs w:val="21"/>
        </w:rPr>
      </w:pPr>
      <w:r>
        <w:rPr>
          <w:rStyle w:val="11"/>
          <w:rFonts w:hint="eastAsia"/>
          <w:sz w:val="21"/>
          <w:szCs w:val="21"/>
        </w:rPr>
        <w:t>七、标的指数与业绩比较基准</w:t>
      </w:r>
    </w:p>
    <w:p w14:paraId="79B4762F">
      <w:pPr>
        <w:pStyle w:val="7"/>
        <w:spacing w:before="0" w:beforeAutospacing="0" w:after="0" w:afterAutospacing="0" w:line="360" w:lineRule="auto"/>
        <w:ind w:firstLine="420"/>
        <w:rPr>
          <w:sz w:val="21"/>
          <w:szCs w:val="21"/>
        </w:rPr>
      </w:pPr>
      <w:r>
        <w:rPr>
          <w:rFonts w:hint="eastAsia"/>
          <w:sz w:val="21"/>
          <w:szCs w:val="21"/>
        </w:rPr>
        <w:t xml:space="preserve">本基金的标的指数：中证半导体产业指数。 </w:t>
      </w:r>
    </w:p>
    <w:p w14:paraId="6AC0C6C1">
      <w:pPr>
        <w:pStyle w:val="7"/>
        <w:spacing w:before="0" w:beforeAutospacing="0" w:after="0" w:afterAutospacing="0" w:line="360" w:lineRule="auto"/>
        <w:ind w:firstLine="420"/>
        <w:rPr>
          <w:sz w:val="21"/>
          <w:szCs w:val="21"/>
        </w:rPr>
      </w:pPr>
      <w:r>
        <w:rPr>
          <w:rFonts w:hint="eastAsia"/>
          <w:sz w:val="21"/>
          <w:szCs w:val="21"/>
        </w:rPr>
        <w:t xml:space="preserve">本基金的业绩比较基准为标的指数收益率，即中证半导体产业指数收益率。 </w:t>
      </w:r>
    </w:p>
    <w:p w14:paraId="3FED4DF3">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本基金合同终止。 </w:t>
      </w:r>
    </w:p>
    <w:p w14:paraId="0E2DADD1">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474911D6">
      <w:pPr>
        <w:pStyle w:val="7"/>
        <w:spacing w:before="0" w:beforeAutospacing="0" w:after="0" w:afterAutospacing="0" w:line="360" w:lineRule="auto"/>
        <w:ind w:firstLine="420"/>
        <w:rPr>
          <w:sz w:val="21"/>
          <w:szCs w:val="21"/>
        </w:rPr>
      </w:pPr>
      <w:r>
        <w:rPr>
          <w:rStyle w:val="11"/>
          <w:rFonts w:hint="eastAsia"/>
          <w:sz w:val="21"/>
          <w:szCs w:val="21"/>
        </w:rPr>
        <w:t>八、风险收益特征</w:t>
      </w:r>
    </w:p>
    <w:p w14:paraId="592B8F21">
      <w:pPr>
        <w:pStyle w:val="7"/>
        <w:spacing w:before="0" w:beforeAutospacing="0" w:after="0" w:afterAutospacing="0" w:line="360" w:lineRule="auto"/>
        <w:ind w:firstLine="420"/>
        <w:rPr>
          <w:sz w:val="21"/>
          <w:szCs w:val="21"/>
        </w:rPr>
      </w:pPr>
      <w:bookmarkStart w:id="118" w:name="field_60_riskyield_1_start"/>
      <w:bookmarkEnd w:id="118"/>
      <w:r>
        <w:rPr>
          <w:rFonts w:hint="eastAsia"/>
          <w:sz w:val="21"/>
          <w:szCs w:val="21"/>
        </w:rPr>
        <w:t xml:space="preserve">本基金属于股票型基金，其预期收益及预期风险水平高于混合型基金、债券型基金与货币市场基金。 </w:t>
      </w:r>
    </w:p>
    <w:p w14:paraId="1D775950">
      <w:pPr>
        <w:pStyle w:val="7"/>
        <w:spacing w:before="0" w:beforeAutospacing="0" w:after="0" w:afterAutospacing="0" w:line="360" w:lineRule="auto"/>
        <w:ind w:firstLine="420"/>
        <w:rPr>
          <w:sz w:val="21"/>
          <w:szCs w:val="21"/>
        </w:rPr>
      </w:pPr>
      <w:r>
        <w:rPr>
          <w:rFonts w:hint="eastAsia"/>
          <w:sz w:val="21"/>
          <w:szCs w:val="21"/>
        </w:rPr>
        <w:t xml:space="preserve">本基金为被动式投资的股票型指数基金，跟踪中证半导体产业指数，其风险收益特征与标的指数所表征的市场组合的风险收益特征相似。本基金如果投资港股通标的股票，需承担汇率风险以及境外市场的风险。 </w:t>
      </w:r>
      <w:bookmarkStart w:id="119" w:name="field_60_riskyield_1_end"/>
      <w:bookmarkEnd w:id="119"/>
      <w:r>
        <w:rPr>
          <w:rFonts w:hint="eastAsia"/>
          <w:sz w:val="21"/>
          <w:szCs w:val="21"/>
        </w:rPr>
        <w:t xml:space="preserve"> </w:t>
      </w:r>
    </w:p>
    <w:p w14:paraId="7425AA35">
      <w:pPr>
        <w:pStyle w:val="7"/>
        <w:spacing w:before="0" w:beforeAutospacing="0" w:after="0" w:afterAutospacing="0" w:line="360" w:lineRule="auto"/>
        <w:ind w:firstLine="420"/>
        <w:rPr>
          <w:sz w:val="21"/>
          <w:szCs w:val="21"/>
        </w:rPr>
      </w:pPr>
      <w:r>
        <w:rPr>
          <w:rStyle w:val="11"/>
          <w:rFonts w:hint="eastAsia"/>
          <w:sz w:val="21"/>
          <w:szCs w:val="21"/>
        </w:rPr>
        <w:t>九、基金管理人代表基金行使股东或债权人权利的处理原则及方法</w:t>
      </w:r>
    </w:p>
    <w:p w14:paraId="41E21DF8">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325DC3A7">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48317786">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5A877E59">
      <w:pPr>
        <w:pStyle w:val="7"/>
        <w:spacing w:before="0" w:beforeAutospacing="0" w:after="0" w:afterAutospacing="0" w:line="360" w:lineRule="auto"/>
        <w:ind w:firstLine="420"/>
        <w:rPr>
          <w:sz w:val="21"/>
          <w:szCs w:val="21"/>
        </w:rPr>
      </w:pPr>
      <w:r>
        <w:rPr>
          <w:rFonts w:hint="eastAsia"/>
          <w:sz w:val="21"/>
          <w:szCs w:val="21"/>
        </w:rPr>
        <w:t>4、不通过关联交易为自身、雇员、授权代理人或任何存在利害关系的第三人牟取任何</w:t>
      </w:r>
      <w:bookmarkStart w:id="120" w:name="chapter_level1_13_60_section_1_end"/>
      <w:bookmarkEnd w:id="120"/>
      <w:r>
        <w:rPr>
          <w:rFonts w:hint="eastAsia"/>
          <w:sz w:val="21"/>
          <w:szCs w:val="21"/>
        </w:rPr>
        <w:t xml:space="preserve">不当利益。 </w:t>
      </w:r>
    </w:p>
    <w:p w14:paraId="1DE66F39">
      <w:pPr>
        <w:pStyle w:val="7"/>
        <w:spacing w:before="0" w:beforeAutospacing="0" w:after="0" w:afterAutospacing="0" w:line="360" w:lineRule="auto"/>
        <w:ind w:firstLine="420"/>
        <w:rPr>
          <w:sz w:val="21"/>
          <w:szCs w:val="21"/>
        </w:rPr>
      </w:pPr>
      <w:bookmarkStart w:id="121" w:name="chapter_level1_13_60_section_2"/>
      <w:bookmarkEnd w:id="121"/>
      <w:r>
        <w:rPr>
          <w:rStyle w:val="11"/>
          <w:rFonts w:hint="eastAsia"/>
          <w:sz w:val="21"/>
          <w:szCs w:val="21"/>
          <w:lang w:val="en-US" w:eastAsia="zh-CN"/>
        </w:rPr>
        <w:t>十</w:t>
      </w:r>
      <w:r>
        <w:rPr>
          <w:rStyle w:val="11"/>
          <w:rFonts w:hint="eastAsia"/>
          <w:sz w:val="21"/>
          <w:szCs w:val="21"/>
        </w:rPr>
        <w:t>、基金投资组合报告</w:t>
      </w:r>
    </w:p>
    <w:p w14:paraId="6940EDFF">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8DA15C0">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5342D647">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2" w:name="field_2343_financeendday_2"/>
      <w:r>
        <w:rPr>
          <w:sz w:val="21"/>
          <w:szCs w:val="21"/>
        </w:rPr>
        <w:t>2025年6月30日</w:t>
      </w:r>
      <w:bookmarkEnd w:id="122"/>
      <w:r>
        <w:rPr>
          <w:rFonts w:hint="eastAsia"/>
          <w:sz w:val="21"/>
          <w:szCs w:val="21"/>
        </w:rPr>
        <w:t xml:space="preserve">，本报告中所列财务数据未经审计。 </w:t>
      </w:r>
    </w:p>
    <w:p w14:paraId="5F072706">
      <w:pPr>
        <w:pStyle w:val="7"/>
        <w:spacing w:before="0" w:beforeAutospacing="0" w:after="0" w:afterAutospacing="0" w:line="360" w:lineRule="auto"/>
        <w:ind w:firstLine="420"/>
        <w:rPr>
          <w:sz w:val="21"/>
          <w:szCs w:val="21"/>
        </w:rPr>
      </w:pPr>
      <w:bookmarkStart w:id="123" w:name="field_0_fundportfolio_1_start"/>
      <w:bookmarkEnd w:id="123"/>
      <w:r>
        <w:rPr>
          <w:rStyle w:val="11"/>
          <w:rFonts w:hint="eastAsia"/>
          <w:sz w:val="21"/>
          <w:szCs w:val="21"/>
        </w:rPr>
        <w:t>1 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7A24E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2982A4">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26A2E66">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0B0D21AF">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5942235A">
            <w:pPr>
              <w:jc w:val="center"/>
              <w:rPr>
                <w:rFonts w:ascii="宋体" w:hAnsi="宋体" w:eastAsia="宋体" w:cs="宋体"/>
                <w:sz w:val="24"/>
                <w:szCs w:val="24"/>
              </w:rPr>
            </w:pPr>
            <w:r>
              <w:rPr>
                <w:rFonts w:hint="eastAsia" w:ascii="宋体" w:hAnsi="宋体" w:eastAsia="宋体"/>
              </w:rPr>
              <w:t>占基金总资产的比例(%)</w:t>
            </w:r>
          </w:p>
        </w:tc>
      </w:tr>
      <w:tr w14:paraId="74D3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98000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1835904">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5B7DE0A6">
            <w:pPr>
              <w:jc w:val="right"/>
              <w:rPr>
                <w:rFonts w:ascii="宋体" w:hAnsi="宋体" w:eastAsia="宋体" w:cs="宋体"/>
                <w:sz w:val="24"/>
                <w:szCs w:val="24"/>
              </w:rPr>
            </w:pPr>
            <w:r>
              <w:rPr>
                <w:rFonts w:hint="eastAsia" w:ascii="宋体" w:hAnsi="宋体" w:eastAsia="宋体"/>
              </w:rPr>
              <w:t>189,139,934.78</w:t>
            </w:r>
          </w:p>
        </w:tc>
        <w:tc>
          <w:tcPr>
            <w:tcW w:w="0" w:type="auto"/>
            <w:shd w:val="clear" w:color="auto" w:fill="auto"/>
          </w:tcPr>
          <w:p w14:paraId="4FF1DD05">
            <w:pPr>
              <w:jc w:val="right"/>
              <w:rPr>
                <w:rFonts w:ascii="宋体" w:hAnsi="宋体" w:eastAsia="宋体" w:cs="宋体"/>
                <w:sz w:val="24"/>
                <w:szCs w:val="24"/>
              </w:rPr>
            </w:pPr>
            <w:r>
              <w:rPr>
                <w:rFonts w:hint="eastAsia" w:ascii="宋体" w:hAnsi="宋体" w:eastAsia="宋体"/>
              </w:rPr>
              <w:t>99.09</w:t>
            </w:r>
          </w:p>
        </w:tc>
      </w:tr>
      <w:tr w14:paraId="28D7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C8B01F">
            <w:pPr>
              <w:jc w:val="center"/>
              <w:rPr>
                <w:rFonts w:ascii="宋体" w:hAnsi="宋体" w:eastAsia="宋体" w:cs="宋体"/>
                <w:sz w:val="24"/>
                <w:szCs w:val="24"/>
              </w:rPr>
            </w:pPr>
          </w:p>
        </w:tc>
        <w:tc>
          <w:tcPr>
            <w:tcW w:w="0" w:type="auto"/>
            <w:shd w:val="clear" w:color="auto" w:fill="auto"/>
          </w:tcPr>
          <w:p w14:paraId="5DC1F590">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22D472E4">
            <w:pPr>
              <w:jc w:val="right"/>
              <w:rPr>
                <w:rFonts w:ascii="宋体" w:hAnsi="宋体" w:eastAsia="宋体" w:cs="宋体"/>
                <w:sz w:val="24"/>
                <w:szCs w:val="24"/>
              </w:rPr>
            </w:pPr>
            <w:r>
              <w:rPr>
                <w:rFonts w:hint="eastAsia" w:ascii="宋体" w:hAnsi="宋体" w:eastAsia="宋体"/>
              </w:rPr>
              <w:t>189,139,934.78</w:t>
            </w:r>
          </w:p>
        </w:tc>
        <w:tc>
          <w:tcPr>
            <w:tcW w:w="0" w:type="auto"/>
            <w:shd w:val="clear" w:color="auto" w:fill="auto"/>
          </w:tcPr>
          <w:p w14:paraId="191F093F">
            <w:pPr>
              <w:jc w:val="right"/>
              <w:rPr>
                <w:rFonts w:ascii="宋体" w:hAnsi="宋体" w:eastAsia="宋体" w:cs="宋体"/>
                <w:sz w:val="24"/>
                <w:szCs w:val="24"/>
              </w:rPr>
            </w:pPr>
            <w:r>
              <w:rPr>
                <w:rFonts w:hint="eastAsia" w:ascii="宋体" w:hAnsi="宋体" w:eastAsia="宋体"/>
              </w:rPr>
              <w:t>99.09</w:t>
            </w:r>
          </w:p>
        </w:tc>
      </w:tr>
      <w:tr w14:paraId="56BE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E1A3C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570DAAF">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727E6B0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4649E66">
            <w:pPr>
              <w:jc w:val="right"/>
              <w:rPr>
                <w:rFonts w:ascii="宋体" w:hAnsi="宋体" w:eastAsia="宋体" w:cs="宋体"/>
                <w:sz w:val="24"/>
                <w:szCs w:val="24"/>
              </w:rPr>
            </w:pPr>
            <w:r>
              <w:rPr>
                <w:rFonts w:hint="eastAsia" w:ascii="宋体" w:hAnsi="宋体" w:eastAsia="宋体"/>
              </w:rPr>
              <w:t>-</w:t>
            </w:r>
          </w:p>
        </w:tc>
      </w:tr>
      <w:tr w14:paraId="389D2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E8054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F35A88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3E2D49E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F2F688D">
            <w:pPr>
              <w:jc w:val="right"/>
              <w:rPr>
                <w:rFonts w:ascii="宋体" w:hAnsi="宋体" w:eastAsia="宋体" w:cs="宋体"/>
                <w:sz w:val="24"/>
                <w:szCs w:val="24"/>
              </w:rPr>
            </w:pPr>
            <w:r>
              <w:rPr>
                <w:rFonts w:hint="eastAsia" w:ascii="宋体" w:hAnsi="宋体" w:eastAsia="宋体"/>
              </w:rPr>
              <w:t>-</w:t>
            </w:r>
          </w:p>
        </w:tc>
      </w:tr>
      <w:tr w14:paraId="0B29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A7F41E">
            <w:pPr>
              <w:jc w:val="center"/>
              <w:rPr>
                <w:rFonts w:ascii="宋体" w:hAnsi="宋体" w:eastAsia="宋体" w:cs="宋体"/>
                <w:sz w:val="24"/>
                <w:szCs w:val="24"/>
              </w:rPr>
            </w:pPr>
          </w:p>
        </w:tc>
        <w:tc>
          <w:tcPr>
            <w:tcW w:w="0" w:type="auto"/>
            <w:shd w:val="clear" w:color="auto" w:fill="auto"/>
          </w:tcPr>
          <w:p w14:paraId="02745D24">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3B61DD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9C0144">
            <w:pPr>
              <w:jc w:val="right"/>
              <w:rPr>
                <w:rFonts w:ascii="宋体" w:hAnsi="宋体" w:eastAsia="宋体" w:cs="宋体"/>
                <w:sz w:val="24"/>
                <w:szCs w:val="24"/>
              </w:rPr>
            </w:pPr>
            <w:r>
              <w:rPr>
                <w:rFonts w:hint="eastAsia" w:ascii="宋体" w:hAnsi="宋体" w:eastAsia="宋体"/>
              </w:rPr>
              <w:t>-</w:t>
            </w:r>
          </w:p>
        </w:tc>
      </w:tr>
      <w:tr w14:paraId="742B0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12F03D">
            <w:pPr>
              <w:jc w:val="center"/>
              <w:rPr>
                <w:rFonts w:ascii="宋体" w:hAnsi="宋体" w:eastAsia="宋体" w:cs="宋体"/>
                <w:sz w:val="24"/>
                <w:szCs w:val="24"/>
              </w:rPr>
            </w:pPr>
          </w:p>
        </w:tc>
        <w:tc>
          <w:tcPr>
            <w:tcW w:w="0" w:type="auto"/>
            <w:shd w:val="clear" w:color="auto" w:fill="auto"/>
          </w:tcPr>
          <w:p w14:paraId="40AF986D">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4BC00D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96B624">
            <w:pPr>
              <w:jc w:val="right"/>
              <w:rPr>
                <w:rFonts w:ascii="宋体" w:hAnsi="宋体" w:eastAsia="宋体" w:cs="宋体"/>
                <w:sz w:val="24"/>
                <w:szCs w:val="24"/>
              </w:rPr>
            </w:pPr>
            <w:r>
              <w:rPr>
                <w:rFonts w:hint="eastAsia" w:ascii="宋体" w:hAnsi="宋体" w:eastAsia="宋体"/>
              </w:rPr>
              <w:t>-</w:t>
            </w:r>
          </w:p>
        </w:tc>
      </w:tr>
      <w:tr w14:paraId="64BA2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A66496">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F2C7F9B">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16CFB0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0DBB75">
            <w:pPr>
              <w:jc w:val="right"/>
              <w:rPr>
                <w:rFonts w:ascii="宋体" w:hAnsi="宋体" w:eastAsia="宋体" w:cs="宋体"/>
                <w:sz w:val="24"/>
                <w:szCs w:val="24"/>
              </w:rPr>
            </w:pPr>
            <w:r>
              <w:rPr>
                <w:rFonts w:hint="eastAsia" w:ascii="宋体" w:hAnsi="宋体" w:eastAsia="宋体"/>
              </w:rPr>
              <w:t>-</w:t>
            </w:r>
          </w:p>
        </w:tc>
      </w:tr>
      <w:tr w14:paraId="49944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40A463">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5756289">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97DA72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B51F6CB">
            <w:pPr>
              <w:jc w:val="right"/>
              <w:rPr>
                <w:rFonts w:ascii="宋体" w:hAnsi="宋体" w:eastAsia="宋体" w:cs="宋体"/>
                <w:sz w:val="24"/>
                <w:szCs w:val="24"/>
              </w:rPr>
            </w:pPr>
            <w:r>
              <w:rPr>
                <w:rFonts w:hint="eastAsia" w:ascii="宋体" w:hAnsi="宋体" w:eastAsia="宋体"/>
              </w:rPr>
              <w:t>-</w:t>
            </w:r>
          </w:p>
        </w:tc>
      </w:tr>
      <w:tr w14:paraId="086D4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AAB2E1">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4C7FDB46">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3FD192D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5AC1F4">
            <w:pPr>
              <w:jc w:val="right"/>
              <w:rPr>
                <w:rFonts w:ascii="宋体" w:hAnsi="宋体" w:eastAsia="宋体" w:cs="宋体"/>
                <w:sz w:val="24"/>
                <w:szCs w:val="24"/>
              </w:rPr>
            </w:pPr>
            <w:r>
              <w:rPr>
                <w:rFonts w:hint="eastAsia" w:ascii="宋体" w:hAnsi="宋体" w:eastAsia="宋体"/>
              </w:rPr>
              <w:t>-</w:t>
            </w:r>
          </w:p>
        </w:tc>
      </w:tr>
      <w:tr w14:paraId="1E5ED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0AD4F94">
            <w:pPr>
              <w:jc w:val="center"/>
              <w:rPr>
                <w:rFonts w:ascii="宋体" w:hAnsi="宋体" w:eastAsia="宋体" w:cs="宋体"/>
                <w:sz w:val="24"/>
                <w:szCs w:val="24"/>
              </w:rPr>
            </w:pPr>
          </w:p>
        </w:tc>
        <w:tc>
          <w:tcPr>
            <w:tcW w:w="0" w:type="auto"/>
            <w:shd w:val="clear" w:color="auto" w:fill="auto"/>
          </w:tcPr>
          <w:p w14:paraId="64C3A4A4">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3A724A5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16D5744">
            <w:pPr>
              <w:jc w:val="right"/>
              <w:rPr>
                <w:rFonts w:ascii="宋体" w:hAnsi="宋体" w:eastAsia="宋体" w:cs="宋体"/>
                <w:sz w:val="24"/>
                <w:szCs w:val="24"/>
              </w:rPr>
            </w:pPr>
            <w:r>
              <w:rPr>
                <w:rFonts w:hint="eastAsia" w:ascii="宋体" w:hAnsi="宋体" w:eastAsia="宋体"/>
              </w:rPr>
              <w:t>-</w:t>
            </w:r>
          </w:p>
        </w:tc>
      </w:tr>
      <w:tr w14:paraId="109A5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A91BE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EC9EEE2">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3FA6129">
            <w:pPr>
              <w:jc w:val="right"/>
              <w:rPr>
                <w:rFonts w:ascii="宋体" w:hAnsi="宋体" w:eastAsia="宋体" w:cs="宋体"/>
                <w:sz w:val="24"/>
                <w:szCs w:val="24"/>
              </w:rPr>
            </w:pPr>
            <w:r>
              <w:rPr>
                <w:rFonts w:hint="eastAsia" w:ascii="宋体" w:hAnsi="宋体" w:eastAsia="宋体"/>
              </w:rPr>
              <w:t>1,670,262.31</w:t>
            </w:r>
          </w:p>
        </w:tc>
        <w:tc>
          <w:tcPr>
            <w:tcW w:w="0" w:type="auto"/>
            <w:shd w:val="clear" w:color="auto" w:fill="auto"/>
          </w:tcPr>
          <w:p w14:paraId="599B5EB5">
            <w:pPr>
              <w:jc w:val="right"/>
              <w:rPr>
                <w:rFonts w:ascii="宋体" w:hAnsi="宋体" w:eastAsia="宋体" w:cs="宋体"/>
                <w:sz w:val="24"/>
                <w:szCs w:val="24"/>
              </w:rPr>
            </w:pPr>
            <w:r>
              <w:rPr>
                <w:rFonts w:hint="eastAsia" w:ascii="宋体" w:hAnsi="宋体" w:eastAsia="宋体"/>
              </w:rPr>
              <w:t>0.88</w:t>
            </w:r>
          </w:p>
        </w:tc>
      </w:tr>
      <w:tr w14:paraId="4568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73688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3CDB65D5">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3489E1D6">
            <w:pPr>
              <w:jc w:val="right"/>
              <w:rPr>
                <w:rFonts w:ascii="宋体" w:hAnsi="宋体" w:eastAsia="宋体" w:cs="宋体"/>
                <w:sz w:val="24"/>
                <w:szCs w:val="24"/>
              </w:rPr>
            </w:pPr>
            <w:r>
              <w:rPr>
                <w:rFonts w:hint="eastAsia" w:ascii="宋体" w:hAnsi="宋体" w:eastAsia="宋体"/>
              </w:rPr>
              <w:t>75,616.24</w:t>
            </w:r>
          </w:p>
        </w:tc>
        <w:tc>
          <w:tcPr>
            <w:tcW w:w="0" w:type="auto"/>
            <w:shd w:val="clear" w:color="auto" w:fill="auto"/>
          </w:tcPr>
          <w:p w14:paraId="03074DE1">
            <w:pPr>
              <w:jc w:val="right"/>
              <w:rPr>
                <w:rFonts w:ascii="宋体" w:hAnsi="宋体" w:eastAsia="宋体" w:cs="宋体"/>
                <w:sz w:val="24"/>
                <w:szCs w:val="24"/>
              </w:rPr>
            </w:pPr>
            <w:r>
              <w:rPr>
                <w:rFonts w:hint="eastAsia" w:ascii="宋体" w:hAnsi="宋体" w:eastAsia="宋体"/>
              </w:rPr>
              <w:t>0.04</w:t>
            </w:r>
          </w:p>
        </w:tc>
      </w:tr>
      <w:tr w14:paraId="20932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8193A8">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132031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9FB6C36">
            <w:pPr>
              <w:jc w:val="right"/>
              <w:rPr>
                <w:rFonts w:ascii="宋体" w:hAnsi="宋体" w:eastAsia="宋体" w:cs="宋体"/>
                <w:sz w:val="24"/>
                <w:szCs w:val="24"/>
              </w:rPr>
            </w:pPr>
            <w:r>
              <w:rPr>
                <w:rFonts w:hint="eastAsia" w:ascii="宋体" w:hAnsi="宋体" w:eastAsia="宋体"/>
              </w:rPr>
              <w:t>190,885,813.33</w:t>
            </w:r>
          </w:p>
        </w:tc>
        <w:tc>
          <w:tcPr>
            <w:tcW w:w="0" w:type="auto"/>
            <w:shd w:val="clear" w:color="auto" w:fill="auto"/>
          </w:tcPr>
          <w:p w14:paraId="77C1B9E1">
            <w:pPr>
              <w:jc w:val="right"/>
              <w:rPr>
                <w:rFonts w:ascii="宋体" w:hAnsi="宋体" w:eastAsia="宋体" w:cs="宋体"/>
                <w:sz w:val="24"/>
                <w:szCs w:val="24"/>
              </w:rPr>
            </w:pPr>
            <w:r>
              <w:rPr>
                <w:rFonts w:hint="eastAsia" w:ascii="宋体" w:hAnsi="宋体" w:eastAsia="宋体"/>
              </w:rPr>
              <w:t>100.00</w:t>
            </w:r>
          </w:p>
        </w:tc>
      </w:tr>
    </w:tbl>
    <w:p w14:paraId="55BF0C66">
      <w:pPr>
        <w:pStyle w:val="7"/>
        <w:spacing w:before="0" w:beforeAutospacing="0" w:after="0" w:afterAutospacing="0" w:line="360" w:lineRule="auto"/>
        <w:ind w:firstLine="420"/>
        <w:rPr>
          <w:sz w:val="21"/>
          <w:szCs w:val="21"/>
        </w:rPr>
      </w:pPr>
      <w:r>
        <w:rPr>
          <w:rStyle w:val="11"/>
          <w:rFonts w:hint="eastAsia"/>
          <w:sz w:val="21"/>
          <w:szCs w:val="21"/>
        </w:rPr>
        <w:t>2 报告期末按行业分类的股票投资组合</w:t>
      </w:r>
    </w:p>
    <w:p w14:paraId="05E19B0F">
      <w:pPr>
        <w:pStyle w:val="7"/>
        <w:spacing w:before="0" w:beforeAutospacing="0" w:after="0" w:afterAutospacing="0" w:line="360" w:lineRule="auto"/>
        <w:ind w:firstLine="420"/>
        <w:rPr>
          <w:sz w:val="21"/>
          <w:szCs w:val="21"/>
        </w:rPr>
      </w:pPr>
      <w:r>
        <w:rPr>
          <w:rStyle w:val="11"/>
          <w:rFonts w:hint="eastAsia"/>
          <w:sz w:val="21"/>
          <w:szCs w:val="21"/>
        </w:rPr>
        <w:t>2.1 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08E85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D927B5">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678F903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256B1CBA">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765E6A2A">
            <w:pPr>
              <w:jc w:val="center"/>
              <w:rPr>
                <w:rFonts w:ascii="宋体" w:hAnsi="宋体" w:eastAsia="宋体" w:cs="宋体"/>
                <w:sz w:val="24"/>
                <w:szCs w:val="24"/>
              </w:rPr>
            </w:pPr>
            <w:r>
              <w:rPr>
                <w:rFonts w:hint="eastAsia" w:ascii="宋体" w:hAnsi="宋体" w:eastAsia="宋体"/>
              </w:rPr>
              <w:t>占基金资产净值比例（％）</w:t>
            </w:r>
          </w:p>
        </w:tc>
      </w:tr>
      <w:tr w14:paraId="012B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1182AB">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2AAA72E3">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3DE13E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9209E8">
            <w:pPr>
              <w:jc w:val="right"/>
              <w:rPr>
                <w:rFonts w:ascii="宋体" w:hAnsi="宋体" w:eastAsia="宋体" w:cs="宋体"/>
                <w:sz w:val="24"/>
                <w:szCs w:val="24"/>
              </w:rPr>
            </w:pPr>
            <w:r>
              <w:rPr>
                <w:rFonts w:hint="eastAsia" w:ascii="宋体" w:hAnsi="宋体" w:eastAsia="宋体"/>
              </w:rPr>
              <w:t>-</w:t>
            </w:r>
          </w:p>
        </w:tc>
      </w:tr>
      <w:tr w14:paraId="65C8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A2D634">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64F7F782">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6B337A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81B6A02">
            <w:pPr>
              <w:jc w:val="right"/>
              <w:rPr>
                <w:rFonts w:ascii="宋体" w:hAnsi="宋体" w:eastAsia="宋体" w:cs="宋体"/>
                <w:sz w:val="24"/>
                <w:szCs w:val="24"/>
              </w:rPr>
            </w:pPr>
            <w:r>
              <w:rPr>
                <w:rFonts w:hint="eastAsia" w:ascii="宋体" w:hAnsi="宋体" w:eastAsia="宋体"/>
              </w:rPr>
              <w:t>-</w:t>
            </w:r>
          </w:p>
        </w:tc>
      </w:tr>
      <w:tr w14:paraId="33048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56D897">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A193D47">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11414C70">
            <w:pPr>
              <w:jc w:val="right"/>
              <w:rPr>
                <w:rFonts w:ascii="宋体" w:hAnsi="宋体" w:eastAsia="宋体" w:cs="宋体"/>
                <w:sz w:val="24"/>
                <w:szCs w:val="24"/>
              </w:rPr>
            </w:pPr>
            <w:r>
              <w:rPr>
                <w:rFonts w:hint="eastAsia" w:ascii="宋体" w:hAnsi="宋体" w:eastAsia="宋体"/>
              </w:rPr>
              <w:t>175,593,553.28</w:t>
            </w:r>
          </w:p>
        </w:tc>
        <w:tc>
          <w:tcPr>
            <w:tcW w:w="0" w:type="auto"/>
            <w:shd w:val="clear" w:color="auto" w:fill="auto"/>
          </w:tcPr>
          <w:p w14:paraId="349C0CC3">
            <w:pPr>
              <w:jc w:val="right"/>
              <w:rPr>
                <w:rFonts w:ascii="宋体" w:hAnsi="宋体" w:eastAsia="宋体" w:cs="宋体"/>
                <w:sz w:val="24"/>
                <w:szCs w:val="24"/>
              </w:rPr>
            </w:pPr>
            <w:r>
              <w:rPr>
                <w:rFonts w:hint="eastAsia" w:ascii="宋体" w:hAnsi="宋体" w:eastAsia="宋体"/>
              </w:rPr>
              <w:t>92.16</w:t>
            </w:r>
          </w:p>
        </w:tc>
      </w:tr>
      <w:tr w14:paraId="2DCB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A09738">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2DEB727E">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4F5010F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6632A91">
            <w:pPr>
              <w:jc w:val="right"/>
              <w:rPr>
                <w:rFonts w:ascii="宋体" w:hAnsi="宋体" w:eastAsia="宋体" w:cs="宋体"/>
                <w:sz w:val="24"/>
                <w:szCs w:val="24"/>
              </w:rPr>
            </w:pPr>
            <w:r>
              <w:rPr>
                <w:rFonts w:hint="eastAsia" w:ascii="宋体" w:hAnsi="宋体" w:eastAsia="宋体"/>
              </w:rPr>
              <w:t>-</w:t>
            </w:r>
          </w:p>
        </w:tc>
      </w:tr>
      <w:tr w14:paraId="76CA5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4F2FF7">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784DE249">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2955BF0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A28D7B8">
            <w:pPr>
              <w:jc w:val="right"/>
              <w:rPr>
                <w:rFonts w:ascii="宋体" w:hAnsi="宋体" w:eastAsia="宋体" w:cs="宋体"/>
                <w:sz w:val="24"/>
                <w:szCs w:val="24"/>
              </w:rPr>
            </w:pPr>
            <w:r>
              <w:rPr>
                <w:rFonts w:hint="eastAsia" w:ascii="宋体" w:hAnsi="宋体" w:eastAsia="宋体"/>
              </w:rPr>
              <w:t>-</w:t>
            </w:r>
          </w:p>
        </w:tc>
      </w:tr>
      <w:tr w14:paraId="1D29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822370">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6F41720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6B0157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01C92C8">
            <w:pPr>
              <w:jc w:val="right"/>
              <w:rPr>
                <w:rFonts w:ascii="宋体" w:hAnsi="宋体" w:eastAsia="宋体" w:cs="宋体"/>
                <w:sz w:val="24"/>
                <w:szCs w:val="24"/>
              </w:rPr>
            </w:pPr>
            <w:r>
              <w:rPr>
                <w:rFonts w:hint="eastAsia" w:ascii="宋体" w:hAnsi="宋体" w:eastAsia="宋体"/>
              </w:rPr>
              <w:t>-</w:t>
            </w:r>
          </w:p>
        </w:tc>
      </w:tr>
      <w:tr w14:paraId="4B8D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3AD223">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6948723A">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702A14A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AC69DB8">
            <w:pPr>
              <w:jc w:val="right"/>
              <w:rPr>
                <w:rFonts w:ascii="宋体" w:hAnsi="宋体" w:eastAsia="宋体" w:cs="宋体"/>
                <w:sz w:val="24"/>
                <w:szCs w:val="24"/>
              </w:rPr>
            </w:pPr>
            <w:r>
              <w:rPr>
                <w:rFonts w:hint="eastAsia" w:ascii="宋体" w:hAnsi="宋体" w:eastAsia="宋体"/>
              </w:rPr>
              <w:t>-</w:t>
            </w:r>
          </w:p>
        </w:tc>
      </w:tr>
      <w:tr w14:paraId="61C1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467A45">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08988BD0">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3BF5DDB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300CED">
            <w:pPr>
              <w:jc w:val="right"/>
              <w:rPr>
                <w:rFonts w:ascii="宋体" w:hAnsi="宋体" w:eastAsia="宋体" w:cs="宋体"/>
                <w:sz w:val="24"/>
                <w:szCs w:val="24"/>
              </w:rPr>
            </w:pPr>
            <w:r>
              <w:rPr>
                <w:rFonts w:hint="eastAsia" w:ascii="宋体" w:hAnsi="宋体" w:eastAsia="宋体"/>
              </w:rPr>
              <w:t>-</w:t>
            </w:r>
          </w:p>
        </w:tc>
      </w:tr>
      <w:tr w14:paraId="2DB7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078D39">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47EF3304">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789A1139">
            <w:pPr>
              <w:jc w:val="right"/>
              <w:rPr>
                <w:rFonts w:ascii="宋体" w:hAnsi="宋体" w:eastAsia="宋体" w:cs="宋体"/>
                <w:sz w:val="24"/>
                <w:szCs w:val="24"/>
              </w:rPr>
            </w:pPr>
            <w:r>
              <w:rPr>
                <w:rFonts w:hint="eastAsia" w:ascii="宋体" w:hAnsi="宋体" w:eastAsia="宋体"/>
              </w:rPr>
              <w:t>13,546,381.50</w:t>
            </w:r>
          </w:p>
        </w:tc>
        <w:tc>
          <w:tcPr>
            <w:tcW w:w="0" w:type="auto"/>
            <w:shd w:val="clear" w:color="auto" w:fill="auto"/>
          </w:tcPr>
          <w:p w14:paraId="2D82E5D4">
            <w:pPr>
              <w:jc w:val="right"/>
              <w:rPr>
                <w:rFonts w:ascii="宋体" w:hAnsi="宋体" w:eastAsia="宋体" w:cs="宋体"/>
                <w:sz w:val="24"/>
                <w:szCs w:val="24"/>
              </w:rPr>
            </w:pPr>
            <w:r>
              <w:rPr>
                <w:rFonts w:hint="eastAsia" w:ascii="宋体" w:hAnsi="宋体" w:eastAsia="宋体"/>
              </w:rPr>
              <w:t>7.11</w:t>
            </w:r>
          </w:p>
        </w:tc>
      </w:tr>
      <w:tr w14:paraId="083F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42C11D">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17F26230">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7517240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88A5FFA">
            <w:pPr>
              <w:jc w:val="right"/>
              <w:rPr>
                <w:rFonts w:ascii="宋体" w:hAnsi="宋体" w:eastAsia="宋体" w:cs="宋体"/>
                <w:sz w:val="24"/>
                <w:szCs w:val="24"/>
              </w:rPr>
            </w:pPr>
            <w:r>
              <w:rPr>
                <w:rFonts w:hint="eastAsia" w:ascii="宋体" w:hAnsi="宋体" w:eastAsia="宋体"/>
              </w:rPr>
              <w:t>-</w:t>
            </w:r>
          </w:p>
        </w:tc>
      </w:tr>
      <w:tr w14:paraId="3914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95BA93">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6E923120">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1D9845A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822F9C0">
            <w:pPr>
              <w:jc w:val="right"/>
              <w:rPr>
                <w:rFonts w:ascii="宋体" w:hAnsi="宋体" w:eastAsia="宋体" w:cs="宋体"/>
                <w:sz w:val="24"/>
                <w:szCs w:val="24"/>
              </w:rPr>
            </w:pPr>
            <w:r>
              <w:rPr>
                <w:rFonts w:hint="eastAsia" w:ascii="宋体" w:hAnsi="宋体" w:eastAsia="宋体"/>
              </w:rPr>
              <w:t>-</w:t>
            </w:r>
          </w:p>
        </w:tc>
      </w:tr>
      <w:tr w14:paraId="53E7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6175AD">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53A6FBF4">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3FE5F8B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65602CB">
            <w:pPr>
              <w:jc w:val="right"/>
              <w:rPr>
                <w:rFonts w:ascii="宋体" w:hAnsi="宋体" w:eastAsia="宋体" w:cs="宋体"/>
                <w:sz w:val="24"/>
                <w:szCs w:val="24"/>
              </w:rPr>
            </w:pPr>
            <w:r>
              <w:rPr>
                <w:rFonts w:hint="eastAsia" w:ascii="宋体" w:hAnsi="宋体" w:eastAsia="宋体"/>
              </w:rPr>
              <w:t>-</w:t>
            </w:r>
          </w:p>
        </w:tc>
      </w:tr>
      <w:tr w14:paraId="204F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A26CF2">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0E2ECD3C">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4C47441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E34D74D">
            <w:pPr>
              <w:jc w:val="right"/>
              <w:rPr>
                <w:rFonts w:ascii="宋体" w:hAnsi="宋体" w:eastAsia="宋体" w:cs="宋体"/>
                <w:sz w:val="24"/>
                <w:szCs w:val="24"/>
              </w:rPr>
            </w:pPr>
            <w:r>
              <w:rPr>
                <w:rFonts w:hint="eastAsia" w:ascii="宋体" w:hAnsi="宋体" w:eastAsia="宋体"/>
              </w:rPr>
              <w:t>-</w:t>
            </w:r>
          </w:p>
        </w:tc>
      </w:tr>
      <w:tr w14:paraId="43BD1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FF49D5">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3685ABB3">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6BB50D1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6DA205">
            <w:pPr>
              <w:jc w:val="right"/>
              <w:rPr>
                <w:rFonts w:ascii="宋体" w:hAnsi="宋体" w:eastAsia="宋体" w:cs="宋体"/>
                <w:sz w:val="24"/>
                <w:szCs w:val="24"/>
              </w:rPr>
            </w:pPr>
            <w:r>
              <w:rPr>
                <w:rFonts w:hint="eastAsia" w:ascii="宋体" w:hAnsi="宋体" w:eastAsia="宋体"/>
              </w:rPr>
              <w:t>-</w:t>
            </w:r>
          </w:p>
        </w:tc>
      </w:tr>
      <w:tr w14:paraId="26E6B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8808D1">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1A72CDF0">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02F255E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E52DEBC">
            <w:pPr>
              <w:jc w:val="right"/>
              <w:rPr>
                <w:rFonts w:ascii="宋体" w:hAnsi="宋体" w:eastAsia="宋体" w:cs="宋体"/>
                <w:sz w:val="24"/>
                <w:szCs w:val="24"/>
              </w:rPr>
            </w:pPr>
            <w:r>
              <w:rPr>
                <w:rFonts w:hint="eastAsia" w:ascii="宋体" w:hAnsi="宋体" w:eastAsia="宋体"/>
              </w:rPr>
              <w:t>-</w:t>
            </w:r>
          </w:p>
        </w:tc>
      </w:tr>
      <w:tr w14:paraId="785B9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302476">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0261AD5B">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6D264C6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826BACC">
            <w:pPr>
              <w:jc w:val="right"/>
              <w:rPr>
                <w:rFonts w:ascii="宋体" w:hAnsi="宋体" w:eastAsia="宋体" w:cs="宋体"/>
                <w:sz w:val="24"/>
                <w:szCs w:val="24"/>
              </w:rPr>
            </w:pPr>
            <w:r>
              <w:rPr>
                <w:rFonts w:hint="eastAsia" w:ascii="宋体" w:hAnsi="宋体" w:eastAsia="宋体"/>
              </w:rPr>
              <w:t>-</w:t>
            </w:r>
          </w:p>
        </w:tc>
      </w:tr>
      <w:tr w14:paraId="2CAC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25B89B">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5DC0B7A">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77C1070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B208E9">
            <w:pPr>
              <w:jc w:val="right"/>
              <w:rPr>
                <w:rFonts w:ascii="宋体" w:hAnsi="宋体" w:eastAsia="宋体" w:cs="宋体"/>
                <w:sz w:val="24"/>
                <w:szCs w:val="24"/>
              </w:rPr>
            </w:pPr>
            <w:r>
              <w:rPr>
                <w:rFonts w:hint="eastAsia" w:ascii="宋体" w:hAnsi="宋体" w:eastAsia="宋体"/>
              </w:rPr>
              <w:t>-</w:t>
            </w:r>
          </w:p>
        </w:tc>
      </w:tr>
      <w:tr w14:paraId="2FA1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FC08D0">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6E01FAC1">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4A73E2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C21ACE4">
            <w:pPr>
              <w:jc w:val="right"/>
              <w:rPr>
                <w:rFonts w:ascii="宋体" w:hAnsi="宋体" w:eastAsia="宋体" w:cs="宋体"/>
                <w:sz w:val="24"/>
                <w:szCs w:val="24"/>
              </w:rPr>
            </w:pPr>
            <w:r>
              <w:rPr>
                <w:rFonts w:hint="eastAsia" w:ascii="宋体" w:hAnsi="宋体" w:eastAsia="宋体"/>
              </w:rPr>
              <w:t>-</w:t>
            </w:r>
          </w:p>
        </w:tc>
      </w:tr>
      <w:tr w14:paraId="214B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060328">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142AF108">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5D9A283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9DD243F">
            <w:pPr>
              <w:jc w:val="right"/>
              <w:rPr>
                <w:rFonts w:ascii="宋体" w:hAnsi="宋体" w:eastAsia="宋体" w:cs="宋体"/>
                <w:sz w:val="24"/>
                <w:szCs w:val="24"/>
              </w:rPr>
            </w:pPr>
            <w:r>
              <w:rPr>
                <w:rFonts w:hint="eastAsia" w:ascii="宋体" w:hAnsi="宋体" w:eastAsia="宋体"/>
              </w:rPr>
              <w:t>-</w:t>
            </w:r>
          </w:p>
        </w:tc>
      </w:tr>
      <w:tr w14:paraId="23869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790B4A">
            <w:pPr>
              <w:jc w:val="center"/>
              <w:rPr>
                <w:rFonts w:ascii="宋体" w:hAnsi="宋体" w:eastAsia="宋体" w:cs="宋体"/>
                <w:sz w:val="24"/>
                <w:szCs w:val="24"/>
              </w:rPr>
            </w:pPr>
          </w:p>
        </w:tc>
        <w:tc>
          <w:tcPr>
            <w:tcW w:w="0" w:type="auto"/>
            <w:shd w:val="clear" w:color="auto" w:fill="auto"/>
          </w:tcPr>
          <w:p w14:paraId="4D5DF924">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59F7DD8">
            <w:pPr>
              <w:jc w:val="right"/>
              <w:rPr>
                <w:rFonts w:ascii="宋体" w:hAnsi="宋体" w:eastAsia="宋体" w:cs="宋体"/>
                <w:sz w:val="24"/>
                <w:szCs w:val="24"/>
              </w:rPr>
            </w:pPr>
            <w:r>
              <w:rPr>
                <w:rFonts w:hint="eastAsia" w:ascii="宋体" w:hAnsi="宋体" w:eastAsia="宋体"/>
              </w:rPr>
              <w:t>189,139,934.78</w:t>
            </w:r>
          </w:p>
        </w:tc>
        <w:tc>
          <w:tcPr>
            <w:tcW w:w="0" w:type="auto"/>
            <w:shd w:val="clear" w:color="auto" w:fill="auto"/>
          </w:tcPr>
          <w:p w14:paraId="7C5095F1">
            <w:pPr>
              <w:jc w:val="right"/>
              <w:rPr>
                <w:rFonts w:ascii="宋体" w:hAnsi="宋体" w:eastAsia="宋体" w:cs="宋体"/>
                <w:sz w:val="24"/>
                <w:szCs w:val="24"/>
              </w:rPr>
            </w:pPr>
            <w:r>
              <w:rPr>
                <w:rFonts w:hint="eastAsia" w:ascii="宋体" w:hAnsi="宋体" w:eastAsia="宋体"/>
              </w:rPr>
              <w:t>99.27</w:t>
            </w:r>
          </w:p>
        </w:tc>
      </w:tr>
    </w:tbl>
    <w:p w14:paraId="138A1EFE">
      <w:pPr>
        <w:pStyle w:val="7"/>
        <w:spacing w:before="0" w:beforeAutospacing="0" w:after="0" w:afterAutospacing="0" w:line="360" w:lineRule="auto"/>
        <w:ind w:firstLine="420"/>
        <w:rPr>
          <w:sz w:val="21"/>
          <w:szCs w:val="21"/>
        </w:rPr>
      </w:pPr>
      <w:r>
        <w:rPr>
          <w:rStyle w:val="11"/>
          <w:rFonts w:hint="eastAsia"/>
          <w:sz w:val="21"/>
          <w:szCs w:val="21"/>
        </w:rPr>
        <w:t>2.2 报告期末按行业分类的港股通投资股票投资组合</w:t>
      </w:r>
    </w:p>
    <w:p w14:paraId="0860452C">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471965AC">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1137"/>
        <w:gridCol w:w="1137"/>
        <w:gridCol w:w="1137"/>
        <w:gridCol w:w="1702"/>
        <w:gridCol w:w="2719"/>
      </w:tblGrid>
      <w:tr w14:paraId="68DC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B27FB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67FA786">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645BDB6">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1A5AFB29">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736E4AE6">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E172646">
            <w:pPr>
              <w:jc w:val="center"/>
              <w:rPr>
                <w:rFonts w:ascii="宋体" w:hAnsi="宋体" w:eastAsia="宋体" w:cs="宋体"/>
                <w:sz w:val="24"/>
                <w:szCs w:val="24"/>
              </w:rPr>
            </w:pPr>
            <w:r>
              <w:rPr>
                <w:rFonts w:hint="eastAsia" w:ascii="宋体" w:hAnsi="宋体" w:eastAsia="宋体"/>
              </w:rPr>
              <w:t>占基金资产净值比例(％)</w:t>
            </w:r>
          </w:p>
        </w:tc>
      </w:tr>
      <w:tr w14:paraId="1E3E9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54FEF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AFF876B">
            <w:pPr>
              <w:jc w:val="center"/>
              <w:rPr>
                <w:rFonts w:ascii="宋体" w:hAnsi="宋体" w:eastAsia="宋体" w:cs="宋体"/>
                <w:sz w:val="24"/>
                <w:szCs w:val="24"/>
              </w:rPr>
            </w:pPr>
            <w:r>
              <w:rPr>
                <w:rFonts w:hint="eastAsia" w:ascii="宋体" w:hAnsi="宋体" w:eastAsia="宋体"/>
              </w:rPr>
              <w:t>002371</w:t>
            </w:r>
          </w:p>
        </w:tc>
        <w:tc>
          <w:tcPr>
            <w:tcW w:w="0" w:type="auto"/>
            <w:shd w:val="clear" w:color="auto" w:fill="auto"/>
          </w:tcPr>
          <w:p w14:paraId="73F2DC0F">
            <w:pPr>
              <w:jc w:val="center"/>
              <w:rPr>
                <w:rFonts w:ascii="宋体" w:hAnsi="宋体" w:eastAsia="宋体" w:cs="宋体"/>
                <w:sz w:val="24"/>
                <w:szCs w:val="24"/>
              </w:rPr>
            </w:pPr>
            <w:r>
              <w:rPr>
                <w:rFonts w:hint="eastAsia" w:ascii="宋体" w:hAnsi="宋体" w:eastAsia="宋体"/>
              </w:rPr>
              <w:t>北方华创</w:t>
            </w:r>
          </w:p>
        </w:tc>
        <w:tc>
          <w:tcPr>
            <w:tcW w:w="0" w:type="auto"/>
            <w:shd w:val="clear" w:color="auto" w:fill="auto"/>
          </w:tcPr>
          <w:p w14:paraId="42BE3F94">
            <w:pPr>
              <w:jc w:val="right"/>
              <w:rPr>
                <w:rFonts w:ascii="宋体" w:hAnsi="宋体" w:eastAsia="宋体" w:cs="宋体"/>
                <w:sz w:val="24"/>
                <w:szCs w:val="24"/>
              </w:rPr>
            </w:pPr>
            <w:r>
              <w:rPr>
                <w:rFonts w:hint="eastAsia" w:ascii="宋体" w:hAnsi="宋体" w:eastAsia="宋体"/>
              </w:rPr>
              <w:t>63,600</w:t>
            </w:r>
          </w:p>
        </w:tc>
        <w:tc>
          <w:tcPr>
            <w:tcW w:w="0" w:type="auto"/>
            <w:shd w:val="clear" w:color="auto" w:fill="auto"/>
          </w:tcPr>
          <w:p w14:paraId="6D924514">
            <w:pPr>
              <w:jc w:val="right"/>
              <w:rPr>
                <w:rFonts w:ascii="宋体" w:hAnsi="宋体" w:eastAsia="宋体" w:cs="宋体"/>
                <w:sz w:val="24"/>
                <w:szCs w:val="24"/>
              </w:rPr>
            </w:pPr>
            <w:r>
              <w:rPr>
                <w:rFonts w:hint="eastAsia" w:ascii="宋体" w:hAnsi="宋体" w:eastAsia="宋体"/>
              </w:rPr>
              <w:t>28,124,556.00</w:t>
            </w:r>
          </w:p>
        </w:tc>
        <w:tc>
          <w:tcPr>
            <w:tcW w:w="0" w:type="auto"/>
            <w:shd w:val="clear" w:color="auto" w:fill="auto"/>
          </w:tcPr>
          <w:p w14:paraId="52447E95">
            <w:pPr>
              <w:jc w:val="right"/>
              <w:rPr>
                <w:rFonts w:ascii="宋体" w:hAnsi="宋体" w:eastAsia="宋体" w:cs="宋体"/>
                <w:sz w:val="24"/>
                <w:szCs w:val="24"/>
              </w:rPr>
            </w:pPr>
            <w:r>
              <w:rPr>
                <w:rFonts w:hint="eastAsia" w:ascii="宋体" w:hAnsi="宋体" w:eastAsia="宋体"/>
              </w:rPr>
              <w:t>14.76</w:t>
            </w:r>
          </w:p>
        </w:tc>
      </w:tr>
      <w:tr w14:paraId="22A9F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E365C16">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74162A9">
            <w:pPr>
              <w:jc w:val="center"/>
              <w:rPr>
                <w:rFonts w:ascii="宋体" w:hAnsi="宋体" w:eastAsia="宋体" w:cs="宋体"/>
                <w:sz w:val="24"/>
                <w:szCs w:val="24"/>
              </w:rPr>
            </w:pPr>
            <w:r>
              <w:rPr>
                <w:rFonts w:hint="eastAsia" w:ascii="宋体" w:hAnsi="宋体" w:eastAsia="宋体"/>
              </w:rPr>
              <w:t>688012</w:t>
            </w:r>
          </w:p>
        </w:tc>
        <w:tc>
          <w:tcPr>
            <w:tcW w:w="0" w:type="auto"/>
            <w:shd w:val="clear" w:color="auto" w:fill="auto"/>
          </w:tcPr>
          <w:p w14:paraId="0064611D">
            <w:pPr>
              <w:jc w:val="center"/>
              <w:rPr>
                <w:rFonts w:ascii="宋体" w:hAnsi="宋体" w:eastAsia="宋体" w:cs="宋体"/>
                <w:sz w:val="24"/>
                <w:szCs w:val="24"/>
              </w:rPr>
            </w:pPr>
            <w:r>
              <w:rPr>
                <w:rFonts w:hint="eastAsia" w:ascii="宋体" w:hAnsi="宋体" w:eastAsia="宋体"/>
              </w:rPr>
              <w:t>中微公司</w:t>
            </w:r>
          </w:p>
        </w:tc>
        <w:tc>
          <w:tcPr>
            <w:tcW w:w="0" w:type="auto"/>
            <w:shd w:val="clear" w:color="auto" w:fill="auto"/>
          </w:tcPr>
          <w:p w14:paraId="75DFAFF2">
            <w:pPr>
              <w:jc w:val="right"/>
              <w:rPr>
                <w:rFonts w:ascii="宋体" w:hAnsi="宋体" w:eastAsia="宋体" w:cs="宋体"/>
                <w:sz w:val="24"/>
                <w:szCs w:val="24"/>
              </w:rPr>
            </w:pPr>
            <w:r>
              <w:rPr>
                <w:rFonts w:hint="eastAsia" w:ascii="宋体" w:hAnsi="宋体" w:eastAsia="宋体"/>
              </w:rPr>
              <w:t>152,957</w:t>
            </w:r>
          </w:p>
        </w:tc>
        <w:tc>
          <w:tcPr>
            <w:tcW w:w="0" w:type="auto"/>
            <w:shd w:val="clear" w:color="auto" w:fill="auto"/>
          </w:tcPr>
          <w:p w14:paraId="69DFDBE2">
            <w:pPr>
              <w:jc w:val="right"/>
              <w:rPr>
                <w:rFonts w:ascii="宋体" w:hAnsi="宋体" w:eastAsia="宋体" w:cs="宋体"/>
                <w:sz w:val="24"/>
                <w:szCs w:val="24"/>
              </w:rPr>
            </w:pPr>
            <w:r>
              <w:rPr>
                <w:rFonts w:hint="eastAsia" w:ascii="宋体" w:hAnsi="宋体" w:eastAsia="宋体"/>
              </w:rPr>
              <w:t>27,884,061.10</w:t>
            </w:r>
          </w:p>
        </w:tc>
        <w:tc>
          <w:tcPr>
            <w:tcW w:w="0" w:type="auto"/>
            <w:shd w:val="clear" w:color="auto" w:fill="auto"/>
          </w:tcPr>
          <w:p w14:paraId="387348FE">
            <w:pPr>
              <w:jc w:val="right"/>
              <w:rPr>
                <w:rFonts w:ascii="宋体" w:hAnsi="宋体" w:eastAsia="宋体" w:cs="宋体"/>
                <w:sz w:val="24"/>
                <w:szCs w:val="24"/>
              </w:rPr>
            </w:pPr>
            <w:r>
              <w:rPr>
                <w:rFonts w:hint="eastAsia" w:ascii="宋体" w:hAnsi="宋体" w:eastAsia="宋体"/>
              </w:rPr>
              <w:t>14.63</w:t>
            </w:r>
          </w:p>
        </w:tc>
      </w:tr>
      <w:tr w14:paraId="235C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E95E63">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BDE2441">
            <w:pPr>
              <w:jc w:val="center"/>
              <w:rPr>
                <w:rFonts w:ascii="宋体" w:hAnsi="宋体" w:eastAsia="宋体" w:cs="宋体"/>
                <w:sz w:val="24"/>
                <w:szCs w:val="24"/>
              </w:rPr>
            </w:pPr>
            <w:r>
              <w:rPr>
                <w:rFonts w:hint="eastAsia" w:ascii="宋体" w:hAnsi="宋体" w:eastAsia="宋体"/>
              </w:rPr>
              <w:t>688981</w:t>
            </w:r>
          </w:p>
        </w:tc>
        <w:tc>
          <w:tcPr>
            <w:tcW w:w="0" w:type="auto"/>
            <w:shd w:val="clear" w:color="auto" w:fill="auto"/>
          </w:tcPr>
          <w:p w14:paraId="503C8A0A">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1D08BB41">
            <w:pPr>
              <w:jc w:val="right"/>
              <w:rPr>
                <w:rFonts w:ascii="宋体" w:hAnsi="宋体" w:eastAsia="宋体" w:cs="宋体"/>
                <w:sz w:val="24"/>
                <w:szCs w:val="24"/>
              </w:rPr>
            </w:pPr>
            <w:r>
              <w:rPr>
                <w:rFonts w:hint="eastAsia" w:ascii="宋体" w:hAnsi="宋体" w:eastAsia="宋体"/>
              </w:rPr>
              <w:t>214,538</w:t>
            </w:r>
          </w:p>
        </w:tc>
        <w:tc>
          <w:tcPr>
            <w:tcW w:w="0" w:type="auto"/>
            <w:shd w:val="clear" w:color="auto" w:fill="auto"/>
          </w:tcPr>
          <w:p w14:paraId="419EC383">
            <w:pPr>
              <w:jc w:val="right"/>
              <w:rPr>
                <w:rFonts w:ascii="宋体" w:hAnsi="宋体" w:eastAsia="宋体" w:cs="宋体"/>
                <w:sz w:val="24"/>
                <w:szCs w:val="24"/>
              </w:rPr>
            </w:pPr>
            <w:r>
              <w:rPr>
                <w:rFonts w:hint="eastAsia" w:ascii="宋体" w:hAnsi="宋体" w:eastAsia="宋体"/>
              </w:rPr>
              <w:t>18,915,815.46</w:t>
            </w:r>
          </w:p>
        </w:tc>
        <w:tc>
          <w:tcPr>
            <w:tcW w:w="0" w:type="auto"/>
            <w:shd w:val="clear" w:color="auto" w:fill="auto"/>
          </w:tcPr>
          <w:p w14:paraId="0C74DCE2">
            <w:pPr>
              <w:jc w:val="right"/>
              <w:rPr>
                <w:rFonts w:ascii="宋体" w:hAnsi="宋体" w:eastAsia="宋体" w:cs="宋体"/>
                <w:sz w:val="24"/>
                <w:szCs w:val="24"/>
              </w:rPr>
            </w:pPr>
            <w:r>
              <w:rPr>
                <w:rFonts w:hint="eastAsia" w:ascii="宋体" w:hAnsi="宋体" w:eastAsia="宋体"/>
              </w:rPr>
              <w:t>9.93</w:t>
            </w:r>
          </w:p>
        </w:tc>
      </w:tr>
      <w:tr w14:paraId="46D0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49212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39E193E">
            <w:pPr>
              <w:jc w:val="center"/>
              <w:rPr>
                <w:rFonts w:ascii="宋体" w:hAnsi="宋体" w:eastAsia="宋体" w:cs="宋体"/>
                <w:sz w:val="24"/>
                <w:szCs w:val="24"/>
              </w:rPr>
            </w:pPr>
            <w:r>
              <w:rPr>
                <w:rFonts w:hint="eastAsia" w:ascii="宋体" w:hAnsi="宋体" w:eastAsia="宋体"/>
              </w:rPr>
              <w:t>688041</w:t>
            </w:r>
          </w:p>
        </w:tc>
        <w:tc>
          <w:tcPr>
            <w:tcW w:w="0" w:type="auto"/>
            <w:shd w:val="clear" w:color="auto" w:fill="auto"/>
          </w:tcPr>
          <w:p w14:paraId="3BF99ADC">
            <w:pPr>
              <w:jc w:val="center"/>
              <w:rPr>
                <w:rFonts w:ascii="宋体" w:hAnsi="宋体" w:eastAsia="宋体" w:cs="宋体"/>
                <w:sz w:val="24"/>
                <w:szCs w:val="24"/>
              </w:rPr>
            </w:pPr>
            <w:r>
              <w:rPr>
                <w:rFonts w:hint="eastAsia" w:ascii="宋体" w:hAnsi="宋体" w:eastAsia="宋体"/>
              </w:rPr>
              <w:t>海光信息</w:t>
            </w:r>
          </w:p>
        </w:tc>
        <w:tc>
          <w:tcPr>
            <w:tcW w:w="0" w:type="auto"/>
            <w:shd w:val="clear" w:color="auto" w:fill="auto"/>
          </w:tcPr>
          <w:p w14:paraId="40FE0334">
            <w:pPr>
              <w:jc w:val="right"/>
              <w:rPr>
                <w:rFonts w:ascii="宋体" w:hAnsi="宋体" w:eastAsia="宋体" w:cs="宋体"/>
                <w:sz w:val="24"/>
                <w:szCs w:val="24"/>
              </w:rPr>
            </w:pPr>
            <w:r>
              <w:rPr>
                <w:rFonts w:hint="eastAsia" w:ascii="宋体" w:hAnsi="宋体" w:eastAsia="宋体"/>
              </w:rPr>
              <w:t>100,315</w:t>
            </w:r>
          </w:p>
        </w:tc>
        <w:tc>
          <w:tcPr>
            <w:tcW w:w="0" w:type="auto"/>
            <w:shd w:val="clear" w:color="auto" w:fill="auto"/>
          </w:tcPr>
          <w:p w14:paraId="00BD9AE5">
            <w:pPr>
              <w:jc w:val="right"/>
              <w:rPr>
                <w:rFonts w:ascii="宋体" w:hAnsi="宋体" w:eastAsia="宋体" w:cs="宋体"/>
                <w:sz w:val="24"/>
                <w:szCs w:val="24"/>
              </w:rPr>
            </w:pPr>
            <w:r>
              <w:rPr>
                <w:rFonts w:hint="eastAsia" w:ascii="宋体" w:hAnsi="宋体" w:eastAsia="宋体"/>
              </w:rPr>
              <w:t>14,173,506.35</w:t>
            </w:r>
          </w:p>
        </w:tc>
        <w:tc>
          <w:tcPr>
            <w:tcW w:w="0" w:type="auto"/>
            <w:shd w:val="clear" w:color="auto" w:fill="auto"/>
          </w:tcPr>
          <w:p w14:paraId="3FBFD326">
            <w:pPr>
              <w:jc w:val="right"/>
              <w:rPr>
                <w:rFonts w:ascii="宋体" w:hAnsi="宋体" w:eastAsia="宋体" w:cs="宋体"/>
                <w:sz w:val="24"/>
                <w:szCs w:val="24"/>
              </w:rPr>
            </w:pPr>
            <w:r>
              <w:rPr>
                <w:rFonts w:hint="eastAsia" w:ascii="宋体" w:hAnsi="宋体" w:eastAsia="宋体"/>
              </w:rPr>
              <w:t>7.44</w:t>
            </w:r>
          </w:p>
        </w:tc>
      </w:tr>
      <w:tr w14:paraId="1282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D9A23D">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56E6A16">
            <w:pPr>
              <w:jc w:val="center"/>
              <w:rPr>
                <w:rFonts w:ascii="宋体" w:hAnsi="宋体" w:eastAsia="宋体" w:cs="宋体"/>
                <w:sz w:val="24"/>
                <w:szCs w:val="24"/>
              </w:rPr>
            </w:pPr>
            <w:r>
              <w:rPr>
                <w:rFonts w:hint="eastAsia" w:ascii="宋体" w:hAnsi="宋体" w:eastAsia="宋体"/>
              </w:rPr>
              <w:t>688256</w:t>
            </w:r>
          </w:p>
        </w:tc>
        <w:tc>
          <w:tcPr>
            <w:tcW w:w="0" w:type="auto"/>
            <w:shd w:val="clear" w:color="auto" w:fill="auto"/>
          </w:tcPr>
          <w:p w14:paraId="343DD0EE">
            <w:pPr>
              <w:jc w:val="center"/>
              <w:rPr>
                <w:rFonts w:ascii="宋体" w:hAnsi="宋体" w:eastAsia="宋体" w:cs="宋体"/>
                <w:sz w:val="24"/>
                <w:szCs w:val="24"/>
              </w:rPr>
            </w:pPr>
            <w:r>
              <w:rPr>
                <w:rFonts w:hint="eastAsia" w:ascii="宋体" w:hAnsi="宋体" w:eastAsia="宋体"/>
              </w:rPr>
              <w:t>寒武纪</w:t>
            </w:r>
          </w:p>
        </w:tc>
        <w:tc>
          <w:tcPr>
            <w:tcW w:w="0" w:type="auto"/>
            <w:shd w:val="clear" w:color="auto" w:fill="auto"/>
          </w:tcPr>
          <w:p w14:paraId="6B43B67D">
            <w:pPr>
              <w:jc w:val="right"/>
              <w:rPr>
                <w:rFonts w:ascii="宋体" w:hAnsi="宋体" w:eastAsia="宋体" w:cs="宋体"/>
                <w:sz w:val="24"/>
                <w:szCs w:val="24"/>
              </w:rPr>
            </w:pPr>
            <w:r>
              <w:rPr>
                <w:rFonts w:hint="eastAsia" w:ascii="宋体" w:hAnsi="宋体" w:eastAsia="宋体"/>
              </w:rPr>
              <w:t>22,521</w:t>
            </w:r>
          </w:p>
        </w:tc>
        <w:tc>
          <w:tcPr>
            <w:tcW w:w="0" w:type="auto"/>
            <w:shd w:val="clear" w:color="auto" w:fill="auto"/>
          </w:tcPr>
          <w:p w14:paraId="048D48FC">
            <w:pPr>
              <w:jc w:val="right"/>
              <w:rPr>
                <w:rFonts w:ascii="宋体" w:hAnsi="宋体" w:eastAsia="宋体" w:cs="宋体"/>
                <w:sz w:val="24"/>
                <w:szCs w:val="24"/>
              </w:rPr>
            </w:pPr>
            <w:r>
              <w:rPr>
                <w:rFonts w:hint="eastAsia" w:ascii="宋体" w:hAnsi="宋体" w:eastAsia="宋体"/>
              </w:rPr>
              <w:t>13,546,381.50</w:t>
            </w:r>
          </w:p>
        </w:tc>
        <w:tc>
          <w:tcPr>
            <w:tcW w:w="0" w:type="auto"/>
            <w:shd w:val="clear" w:color="auto" w:fill="auto"/>
          </w:tcPr>
          <w:p w14:paraId="4C05F470">
            <w:pPr>
              <w:jc w:val="right"/>
              <w:rPr>
                <w:rFonts w:ascii="宋体" w:hAnsi="宋体" w:eastAsia="宋体" w:cs="宋体"/>
                <w:sz w:val="24"/>
                <w:szCs w:val="24"/>
              </w:rPr>
            </w:pPr>
            <w:r>
              <w:rPr>
                <w:rFonts w:hint="eastAsia" w:ascii="宋体" w:hAnsi="宋体" w:eastAsia="宋体"/>
              </w:rPr>
              <w:t>7.11</w:t>
            </w:r>
          </w:p>
        </w:tc>
      </w:tr>
      <w:tr w14:paraId="7D86B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1F657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E262246">
            <w:pPr>
              <w:jc w:val="center"/>
              <w:rPr>
                <w:rFonts w:ascii="宋体" w:hAnsi="宋体" w:eastAsia="宋体" w:cs="宋体"/>
                <w:sz w:val="24"/>
                <w:szCs w:val="24"/>
              </w:rPr>
            </w:pPr>
            <w:r>
              <w:rPr>
                <w:rFonts w:hint="eastAsia" w:ascii="宋体" w:hAnsi="宋体" w:eastAsia="宋体"/>
              </w:rPr>
              <w:t>688120</w:t>
            </w:r>
          </w:p>
        </w:tc>
        <w:tc>
          <w:tcPr>
            <w:tcW w:w="0" w:type="auto"/>
            <w:shd w:val="clear" w:color="auto" w:fill="auto"/>
          </w:tcPr>
          <w:p w14:paraId="268FA0D6">
            <w:pPr>
              <w:jc w:val="center"/>
              <w:rPr>
                <w:rFonts w:ascii="宋体" w:hAnsi="宋体" w:eastAsia="宋体" w:cs="宋体"/>
                <w:sz w:val="24"/>
                <w:szCs w:val="24"/>
              </w:rPr>
            </w:pPr>
            <w:r>
              <w:rPr>
                <w:rFonts w:hint="eastAsia" w:ascii="宋体" w:hAnsi="宋体" w:eastAsia="宋体"/>
              </w:rPr>
              <w:t>华海清科</w:t>
            </w:r>
          </w:p>
        </w:tc>
        <w:tc>
          <w:tcPr>
            <w:tcW w:w="0" w:type="auto"/>
            <w:shd w:val="clear" w:color="auto" w:fill="auto"/>
          </w:tcPr>
          <w:p w14:paraId="28471E22">
            <w:pPr>
              <w:jc w:val="right"/>
              <w:rPr>
                <w:rFonts w:ascii="宋体" w:hAnsi="宋体" w:eastAsia="宋体" w:cs="宋体"/>
                <w:sz w:val="24"/>
                <w:szCs w:val="24"/>
              </w:rPr>
            </w:pPr>
            <w:r>
              <w:rPr>
                <w:rFonts w:hint="eastAsia" w:ascii="宋体" w:hAnsi="宋体" w:eastAsia="宋体"/>
              </w:rPr>
              <w:t>60,076</w:t>
            </w:r>
          </w:p>
        </w:tc>
        <w:tc>
          <w:tcPr>
            <w:tcW w:w="0" w:type="auto"/>
            <w:shd w:val="clear" w:color="auto" w:fill="auto"/>
          </w:tcPr>
          <w:p w14:paraId="4C1152C6">
            <w:pPr>
              <w:jc w:val="right"/>
              <w:rPr>
                <w:rFonts w:ascii="宋体" w:hAnsi="宋体" w:eastAsia="宋体" w:cs="宋体"/>
                <w:sz w:val="24"/>
                <w:szCs w:val="24"/>
              </w:rPr>
            </w:pPr>
            <w:r>
              <w:rPr>
                <w:rFonts w:hint="eastAsia" w:ascii="宋体" w:hAnsi="宋体" w:eastAsia="宋体"/>
              </w:rPr>
              <w:t>10,134,821.20</w:t>
            </w:r>
          </w:p>
        </w:tc>
        <w:tc>
          <w:tcPr>
            <w:tcW w:w="0" w:type="auto"/>
            <w:shd w:val="clear" w:color="auto" w:fill="auto"/>
          </w:tcPr>
          <w:p w14:paraId="59C5B092">
            <w:pPr>
              <w:jc w:val="right"/>
              <w:rPr>
                <w:rFonts w:ascii="宋体" w:hAnsi="宋体" w:eastAsia="宋体" w:cs="宋体"/>
                <w:sz w:val="24"/>
                <w:szCs w:val="24"/>
              </w:rPr>
            </w:pPr>
            <w:r>
              <w:rPr>
                <w:rFonts w:hint="eastAsia" w:ascii="宋体" w:hAnsi="宋体" w:eastAsia="宋体"/>
              </w:rPr>
              <w:t>5.32</w:t>
            </w:r>
          </w:p>
        </w:tc>
      </w:tr>
      <w:tr w14:paraId="45E1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BDDCE9">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36A9BD8E">
            <w:pPr>
              <w:jc w:val="center"/>
              <w:rPr>
                <w:rFonts w:ascii="宋体" w:hAnsi="宋体" w:eastAsia="宋体" w:cs="宋体"/>
                <w:sz w:val="24"/>
                <w:szCs w:val="24"/>
              </w:rPr>
            </w:pPr>
            <w:r>
              <w:rPr>
                <w:rFonts w:hint="eastAsia" w:ascii="宋体" w:hAnsi="宋体" w:eastAsia="宋体"/>
              </w:rPr>
              <w:t>300346</w:t>
            </w:r>
          </w:p>
        </w:tc>
        <w:tc>
          <w:tcPr>
            <w:tcW w:w="0" w:type="auto"/>
            <w:shd w:val="clear" w:color="auto" w:fill="auto"/>
          </w:tcPr>
          <w:p w14:paraId="0D609610">
            <w:pPr>
              <w:jc w:val="center"/>
              <w:rPr>
                <w:rFonts w:ascii="宋体" w:hAnsi="宋体" w:eastAsia="宋体" w:cs="宋体"/>
                <w:sz w:val="24"/>
                <w:szCs w:val="24"/>
              </w:rPr>
            </w:pPr>
            <w:r>
              <w:rPr>
                <w:rFonts w:hint="eastAsia" w:ascii="宋体" w:hAnsi="宋体" w:eastAsia="宋体"/>
              </w:rPr>
              <w:t>南大光电</w:t>
            </w:r>
          </w:p>
        </w:tc>
        <w:tc>
          <w:tcPr>
            <w:tcW w:w="0" w:type="auto"/>
            <w:shd w:val="clear" w:color="auto" w:fill="auto"/>
          </w:tcPr>
          <w:p w14:paraId="628F9E15">
            <w:pPr>
              <w:jc w:val="right"/>
              <w:rPr>
                <w:rFonts w:ascii="宋体" w:hAnsi="宋体" w:eastAsia="宋体" w:cs="宋体"/>
                <w:sz w:val="24"/>
                <w:szCs w:val="24"/>
              </w:rPr>
            </w:pPr>
            <w:r>
              <w:rPr>
                <w:rFonts w:hint="eastAsia" w:ascii="宋体" w:hAnsi="宋体" w:eastAsia="宋体"/>
              </w:rPr>
              <w:t>250,590</w:t>
            </w:r>
          </w:p>
        </w:tc>
        <w:tc>
          <w:tcPr>
            <w:tcW w:w="0" w:type="auto"/>
            <w:shd w:val="clear" w:color="auto" w:fill="auto"/>
          </w:tcPr>
          <w:p w14:paraId="7DE9FE2F">
            <w:pPr>
              <w:jc w:val="right"/>
              <w:rPr>
                <w:rFonts w:ascii="宋体" w:hAnsi="宋体" w:eastAsia="宋体" w:cs="宋体"/>
                <w:sz w:val="24"/>
                <w:szCs w:val="24"/>
              </w:rPr>
            </w:pPr>
            <w:r>
              <w:rPr>
                <w:rFonts w:hint="eastAsia" w:ascii="宋体" w:hAnsi="宋体" w:eastAsia="宋体"/>
              </w:rPr>
              <w:t>7,928,667.60</w:t>
            </w:r>
          </w:p>
        </w:tc>
        <w:tc>
          <w:tcPr>
            <w:tcW w:w="0" w:type="auto"/>
            <w:shd w:val="clear" w:color="auto" w:fill="auto"/>
          </w:tcPr>
          <w:p w14:paraId="29584562">
            <w:pPr>
              <w:jc w:val="right"/>
              <w:rPr>
                <w:rFonts w:ascii="宋体" w:hAnsi="宋体" w:eastAsia="宋体" w:cs="宋体"/>
                <w:sz w:val="24"/>
                <w:szCs w:val="24"/>
              </w:rPr>
            </w:pPr>
            <w:r>
              <w:rPr>
                <w:rFonts w:hint="eastAsia" w:ascii="宋体" w:hAnsi="宋体" w:eastAsia="宋体"/>
              </w:rPr>
              <w:t>4.16</w:t>
            </w:r>
          </w:p>
        </w:tc>
      </w:tr>
      <w:tr w14:paraId="33E7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BF0E2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22A0C29B">
            <w:pPr>
              <w:jc w:val="center"/>
              <w:rPr>
                <w:rFonts w:ascii="宋体" w:hAnsi="宋体" w:eastAsia="宋体" w:cs="宋体"/>
                <w:sz w:val="24"/>
                <w:szCs w:val="24"/>
              </w:rPr>
            </w:pPr>
            <w:r>
              <w:rPr>
                <w:rFonts w:hint="eastAsia" w:ascii="宋体" w:hAnsi="宋体" w:eastAsia="宋体"/>
              </w:rPr>
              <w:t>688072</w:t>
            </w:r>
          </w:p>
        </w:tc>
        <w:tc>
          <w:tcPr>
            <w:tcW w:w="0" w:type="auto"/>
            <w:shd w:val="clear" w:color="auto" w:fill="auto"/>
          </w:tcPr>
          <w:p w14:paraId="10C55429">
            <w:pPr>
              <w:jc w:val="center"/>
              <w:rPr>
                <w:rFonts w:ascii="宋体" w:hAnsi="宋体" w:eastAsia="宋体" w:cs="宋体"/>
                <w:sz w:val="24"/>
                <w:szCs w:val="24"/>
              </w:rPr>
            </w:pPr>
            <w:r>
              <w:rPr>
                <w:rFonts w:hint="eastAsia" w:ascii="宋体" w:hAnsi="宋体" w:eastAsia="宋体"/>
              </w:rPr>
              <w:t>拓荆科技</w:t>
            </w:r>
          </w:p>
        </w:tc>
        <w:tc>
          <w:tcPr>
            <w:tcW w:w="0" w:type="auto"/>
            <w:shd w:val="clear" w:color="auto" w:fill="auto"/>
          </w:tcPr>
          <w:p w14:paraId="34B14BDC">
            <w:pPr>
              <w:jc w:val="right"/>
              <w:rPr>
                <w:rFonts w:ascii="宋体" w:hAnsi="宋体" w:eastAsia="宋体" w:cs="宋体"/>
                <w:sz w:val="24"/>
                <w:szCs w:val="24"/>
              </w:rPr>
            </w:pPr>
            <w:r>
              <w:rPr>
                <w:rFonts w:hint="eastAsia" w:ascii="宋体" w:hAnsi="宋体" w:eastAsia="宋体"/>
              </w:rPr>
              <w:t>50,707</w:t>
            </w:r>
          </w:p>
        </w:tc>
        <w:tc>
          <w:tcPr>
            <w:tcW w:w="0" w:type="auto"/>
            <w:shd w:val="clear" w:color="auto" w:fill="auto"/>
          </w:tcPr>
          <w:p w14:paraId="4986C7A3">
            <w:pPr>
              <w:jc w:val="right"/>
              <w:rPr>
                <w:rFonts w:ascii="宋体" w:hAnsi="宋体" w:eastAsia="宋体" w:cs="宋体"/>
                <w:sz w:val="24"/>
                <w:szCs w:val="24"/>
              </w:rPr>
            </w:pPr>
            <w:r>
              <w:rPr>
                <w:rFonts w:hint="eastAsia" w:ascii="宋体" w:hAnsi="宋体" w:eastAsia="宋体"/>
              </w:rPr>
              <w:t>7,794,172.97</w:t>
            </w:r>
          </w:p>
        </w:tc>
        <w:tc>
          <w:tcPr>
            <w:tcW w:w="0" w:type="auto"/>
            <w:shd w:val="clear" w:color="auto" w:fill="auto"/>
          </w:tcPr>
          <w:p w14:paraId="35D160BD">
            <w:pPr>
              <w:jc w:val="right"/>
              <w:rPr>
                <w:rFonts w:ascii="宋体" w:hAnsi="宋体" w:eastAsia="宋体" w:cs="宋体"/>
                <w:sz w:val="24"/>
                <w:szCs w:val="24"/>
              </w:rPr>
            </w:pPr>
            <w:r>
              <w:rPr>
                <w:rFonts w:hint="eastAsia" w:ascii="宋体" w:hAnsi="宋体" w:eastAsia="宋体"/>
              </w:rPr>
              <w:t>4.09</w:t>
            </w:r>
          </w:p>
        </w:tc>
      </w:tr>
      <w:tr w14:paraId="406FF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550935">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C9FF03A">
            <w:pPr>
              <w:jc w:val="center"/>
              <w:rPr>
                <w:rFonts w:ascii="宋体" w:hAnsi="宋体" w:eastAsia="宋体" w:cs="宋体"/>
                <w:sz w:val="24"/>
                <w:szCs w:val="24"/>
              </w:rPr>
            </w:pPr>
            <w:r>
              <w:rPr>
                <w:rFonts w:hint="eastAsia" w:ascii="宋体" w:hAnsi="宋体" w:eastAsia="宋体"/>
              </w:rPr>
              <w:t>300604</w:t>
            </w:r>
          </w:p>
        </w:tc>
        <w:tc>
          <w:tcPr>
            <w:tcW w:w="0" w:type="auto"/>
            <w:shd w:val="clear" w:color="auto" w:fill="auto"/>
          </w:tcPr>
          <w:p w14:paraId="4F76D0A9">
            <w:pPr>
              <w:jc w:val="center"/>
              <w:rPr>
                <w:rFonts w:ascii="宋体" w:hAnsi="宋体" w:eastAsia="宋体" w:cs="宋体"/>
                <w:sz w:val="24"/>
                <w:szCs w:val="24"/>
              </w:rPr>
            </w:pPr>
            <w:r>
              <w:rPr>
                <w:rFonts w:hint="eastAsia" w:ascii="宋体" w:hAnsi="宋体" w:eastAsia="宋体"/>
              </w:rPr>
              <w:t>长川科技</w:t>
            </w:r>
          </w:p>
        </w:tc>
        <w:tc>
          <w:tcPr>
            <w:tcW w:w="0" w:type="auto"/>
            <w:shd w:val="clear" w:color="auto" w:fill="auto"/>
          </w:tcPr>
          <w:p w14:paraId="083BAEA8">
            <w:pPr>
              <w:jc w:val="right"/>
              <w:rPr>
                <w:rFonts w:ascii="宋体" w:hAnsi="宋体" w:eastAsia="宋体" w:cs="宋体"/>
                <w:sz w:val="24"/>
                <w:szCs w:val="24"/>
              </w:rPr>
            </w:pPr>
            <w:r>
              <w:rPr>
                <w:rFonts w:hint="eastAsia" w:ascii="宋体" w:hAnsi="宋体" w:eastAsia="宋体"/>
              </w:rPr>
              <w:t>160,000</w:t>
            </w:r>
          </w:p>
        </w:tc>
        <w:tc>
          <w:tcPr>
            <w:tcW w:w="0" w:type="auto"/>
            <w:shd w:val="clear" w:color="auto" w:fill="auto"/>
          </w:tcPr>
          <w:p w14:paraId="40444BDF">
            <w:pPr>
              <w:jc w:val="right"/>
              <w:rPr>
                <w:rFonts w:ascii="宋体" w:hAnsi="宋体" w:eastAsia="宋体" w:cs="宋体"/>
                <w:sz w:val="24"/>
                <w:szCs w:val="24"/>
              </w:rPr>
            </w:pPr>
            <w:r>
              <w:rPr>
                <w:rFonts w:hint="eastAsia" w:ascii="宋体" w:hAnsi="宋体" w:eastAsia="宋体"/>
              </w:rPr>
              <w:t>7,185,600.00</w:t>
            </w:r>
          </w:p>
        </w:tc>
        <w:tc>
          <w:tcPr>
            <w:tcW w:w="0" w:type="auto"/>
            <w:shd w:val="clear" w:color="auto" w:fill="auto"/>
          </w:tcPr>
          <w:p w14:paraId="59E99F42">
            <w:pPr>
              <w:jc w:val="right"/>
              <w:rPr>
                <w:rFonts w:ascii="宋体" w:hAnsi="宋体" w:eastAsia="宋体" w:cs="宋体"/>
                <w:sz w:val="24"/>
                <w:szCs w:val="24"/>
              </w:rPr>
            </w:pPr>
            <w:r>
              <w:rPr>
                <w:rFonts w:hint="eastAsia" w:ascii="宋体" w:hAnsi="宋体" w:eastAsia="宋体"/>
              </w:rPr>
              <w:t>3.77</w:t>
            </w:r>
          </w:p>
        </w:tc>
      </w:tr>
      <w:tr w14:paraId="755E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06197D">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54568C7E">
            <w:pPr>
              <w:jc w:val="center"/>
              <w:rPr>
                <w:rFonts w:ascii="宋体" w:hAnsi="宋体" w:eastAsia="宋体" w:cs="宋体"/>
                <w:sz w:val="24"/>
                <w:szCs w:val="24"/>
              </w:rPr>
            </w:pPr>
            <w:r>
              <w:rPr>
                <w:rFonts w:hint="eastAsia" w:ascii="宋体" w:hAnsi="宋体" w:eastAsia="宋体"/>
              </w:rPr>
              <w:t>688361</w:t>
            </w:r>
          </w:p>
        </w:tc>
        <w:tc>
          <w:tcPr>
            <w:tcW w:w="0" w:type="auto"/>
            <w:shd w:val="clear" w:color="auto" w:fill="auto"/>
          </w:tcPr>
          <w:p w14:paraId="743C0C43">
            <w:pPr>
              <w:jc w:val="center"/>
              <w:rPr>
                <w:rFonts w:ascii="宋体" w:hAnsi="宋体" w:eastAsia="宋体" w:cs="宋体"/>
                <w:sz w:val="24"/>
                <w:szCs w:val="24"/>
              </w:rPr>
            </w:pPr>
            <w:r>
              <w:rPr>
                <w:rFonts w:hint="eastAsia" w:ascii="宋体" w:hAnsi="宋体" w:eastAsia="宋体"/>
              </w:rPr>
              <w:t>中科飞测</w:t>
            </w:r>
          </w:p>
        </w:tc>
        <w:tc>
          <w:tcPr>
            <w:tcW w:w="0" w:type="auto"/>
            <w:shd w:val="clear" w:color="auto" w:fill="auto"/>
          </w:tcPr>
          <w:p w14:paraId="49A9F972">
            <w:pPr>
              <w:jc w:val="right"/>
              <w:rPr>
                <w:rFonts w:ascii="宋体" w:hAnsi="宋体" w:eastAsia="宋体" w:cs="宋体"/>
                <w:sz w:val="24"/>
                <w:szCs w:val="24"/>
              </w:rPr>
            </w:pPr>
            <w:r>
              <w:rPr>
                <w:rFonts w:hint="eastAsia" w:ascii="宋体" w:hAnsi="宋体" w:eastAsia="宋体"/>
              </w:rPr>
              <w:t>81,147</w:t>
            </w:r>
          </w:p>
        </w:tc>
        <w:tc>
          <w:tcPr>
            <w:tcW w:w="0" w:type="auto"/>
            <w:shd w:val="clear" w:color="auto" w:fill="auto"/>
          </w:tcPr>
          <w:p w14:paraId="0732CA8B">
            <w:pPr>
              <w:jc w:val="right"/>
              <w:rPr>
                <w:rFonts w:ascii="宋体" w:hAnsi="宋体" w:eastAsia="宋体" w:cs="宋体"/>
                <w:sz w:val="24"/>
                <w:szCs w:val="24"/>
              </w:rPr>
            </w:pPr>
            <w:r>
              <w:rPr>
                <w:rFonts w:hint="eastAsia" w:ascii="宋体" w:hAnsi="宋体" w:eastAsia="宋体"/>
              </w:rPr>
              <w:t>6,831,765.93</w:t>
            </w:r>
          </w:p>
        </w:tc>
        <w:tc>
          <w:tcPr>
            <w:tcW w:w="0" w:type="auto"/>
            <w:shd w:val="clear" w:color="auto" w:fill="auto"/>
          </w:tcPr>
          <w:p w14:paraId="4D73F38E">
            <w:pPr>
              <w:jc w:val="right"/>
              <w:rPr>
                <w:rFonts w:ascii="宋体" w:hAnsi="宋体" w:eastAsia="宋体" w:cs="宋体"/>
                <w:sz w:val="24"/>
                <w:szCs w:val="24"/>
              </w:rPr>
            </w:pPr>
            <w:r>
              <w:rPr>
                <w:rFonts w:hint="eastAsia" w:ascii="宋体" w:hAnsi="宋体" w:eastAsia="宋体"/>
              </w:rPr>
              <w:t>3.59</w:t>
            </w:r>
          </w:p>
        </w:tc>
      </w:tr>
    </w:tbl>
    <w:p w14:paraId="145336DC">
      <w:pPr>
        <w:pStyle w:val="7"/>
        <w:spacing w:before="0" w:beforeAutospacing="0" w:after="0" w:afterAutospacing="0" w:line="360" w:lineRule="auto"/>
        <w:ind w:firstLine="420"/>
        <w:rPr>
          <w:sz w:val="21"/>
          <w:szCs w:val="21"/>
        </w:rPr>
      </w:pPr>
      <w:r>
        <w:rPr>
          <w:rStyle w:val="11"/>
          <w:rFonts w:hint="eastAsia"/>
          <w:sz w:val="21"/>
          <w:szCs w:val="21"/>
        </w:rPr>
        <w:t>4 报告期末按债券品种分类的债券投资组合</w:t>
      </w:r>
    </w:p>
    <w:p w14:paraId="0E1A9BC1">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31932385">
      <w:pPr>
        <w:pStyle w:val="7"/>
        <w:spacing w:before="0" w:beforeAutospacing="0" w:after="0" w:afterAutospacing="0" w:line="360" w:lineRule="auto"/>
        <w:ind w:firstLine="420"/>
        <w:rPr>
          <w:sz w:val="21"/>
          <w:szCs w:val="21"/>
        </w:rPr>
      </w:pPr>
      <w:r>
        <w:rPr>
          <w:rStyle w:val="11"/>
          <w:rFonts w:hint="eastAsia"/>
          <w:sz w:val="21"/>
          <w:szCs w:val="21"/>
        </w:rPr>
        <w:t>5 报告期末按公允价值占基金资产净值比例大小排序的前五名债券投资明细</w:t>
      </w:r>
    </w:p>
    <w:p w14:paraId="52E2BE00">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2B992A2B">
      <w:pPr>
        <w:pStyle w:val="7"/>
        <w:spacing w:before="0" w:beforeAutospacing="0" w:after="0" w:afterAutospacing="0" w:line="360" w:lineRule="auto"/>
        <w:ind w:firstLine="420"/>
        <w:rPr>
          <w:sz w:val="21"/>
          <w:szCs w:val="21"/>
        </w:rPr>
      </w:pPr>
      <w:r>
        <w:rPr>
          <w:rStyle w:val="11"/>
          <w:rFonts w:hint="eastAsia"/>
          <w:sz w:val="21"/>
          <w:szCs w:val="21"/>
        </w:rPr>
        <w:t>6 报告期末按公允价值占基金资产净值比例大小排序的前十名资产支持证券投资明细</w:t>
      </w:r>
    </w:p>
    <w:p w14:paraId="1728AC59">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1F51B654">
      <w:pPr>
        <w:pStyle w:val="7"/>
        <w:spacing w:before="0" w:beforeAutospacing="0" w:after="0" w:afterAutospacing="0" w:line="360" w:lineRule="auto"/>
        <w:ind w:firstLine="420"/>
        <w:rPr>
          <w:sz w:val="21"/>
          <w:szCs w:val="21"/>
        </w:rPr>
      </w:pPr>
      <w:r>
        <w:rPr>
          <w:rStyle w:val="11"/>
          <w:rFonts w:hint="eastAsia"/>
          <w:sz w:val="21"/>
          <w:szCs w:val="21"/>
        </w:rPr>
        <w:t>7 报告期末按公允价值占基金资产净值比例大小排序的前五名贵金属投资明细</w:t>
      </w:r>
    </w:p>
    <w:p w14:paraId="01E2F848">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049A8C6B">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1F8A6CA1">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4C24FD3E">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4B58032">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076AB77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7F3AFAE5">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74EAF168">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1A0020A6">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04293E4F">
      <w:pPr>
        <w:pStyle w:val="7"/>
        <w:spacing w:before="0" w:beforeAutospacing="0" w:after="0" w:afterAutospacing="0" w:line="360" w:lineRule="auto"/>
        <w:ind w:firstLine="420"/>
        <w:rPr>
          <w:sz w:val="21"/>
          <w:szCs w:val="21"/>
        </w:rPr>
      </w:pPr>
      <w:r>
        <w:rPr>
          <w:rStyle w:val="11"/>
          <w:rFonts w:hint="eastAsia"/>
          <w:sz w:val="21"/>
          <w:szCs w:val="21"/>
        </w:rPr>
        <w:t>10.1 本期国债期货投资政策</w:t>
      </w:r>
    </w:p>
    <w:p w14:paraId="14E24C21">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3E219F49">
      <w:pPr>
        <w:pStyle w:val="7"/>
        <w:spacing w:before="0" w:beforeAutospacing="0" w:after="0" w:afterAutospacing="0" w:line="360" w:lineRule="auto"/>
        <w:ind w:firstLine="420"/>
        <w:rPr>
          <w:sz w:val="21"/>
          <w:szCs w:val="21"/>
        </w:rPr>
      </w:pPr>
      <w:r>
        <w:rPr>
          <w:rStyle w:val="11"/>
          <w:rFonts w:hint="eastAsia"/>
          <w:sz w:val="21"/>
          <w:szCs w:val="21"/>
        </w:rPr>
        <w:t>10.2 报告期末本基金投资的国债期货持仓和损益明细</w:t>
      </w:r>
    </w:p>
    <w:p w14:paraId="562CB892">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3F61ED5">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20099C1">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21707898">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7950358A">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124C2355">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22"/>
        <w:gridCol w:w="2839"/>
      </w:tblGrid>
      <w:tr w14:paraId="67FF7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C0ABD5">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B24D7A2">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52C41B6D">
            <w:pPr>
              <w:jc w:val="center"/>
              <w:rPr>
                <w:rFonts w:ascii="宋体" w:hAnsi="宋体" w:eastAsia="宋体" w:cs="宋体"/>
                <w:sz w:val="24"/>
                <w:szCs w:val="24"/>
              </w:rPr>
            </w:pPr>
            <w:r>
              <w:rPr>
                <w:rFonts w:hint="eastAsia" w:ascii="宋体" w:hAnsi="宋体" w:eastAsia="宋体"/>
              </w:rPr>
              <w:t>金额(元)</w:t>
            </w:r>
          </w:p>
        </w:tc>
      </w:tr>
      <w:tr w14:paraId="1BA85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5B6A3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420413E">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27F342E7">
            <w:pPr>
              <w:jc w:val="right"/>
              <w:rPr>
                <w:rFonts w:ascii="宋体" w:hAnsi="宋体" w:eastAsia="宋体" w:cs="宋体"/>
                <w:sz w:val="24"/>
                <w:szCs w:val="24"/>
              </w:rPr>
            </w:pPr>
            <w:r>
              <w:rPr>
                <w:rFonts w:hint="eastAsia" w:ascii="宋体" w:hAnsi="宋体" w:eastAsia="宋体"/>
              </w:rPr>
              <w:t>-</w:t>
            </w:r>
          </w:p>
        </w:tc>
      </w:tr>
      <w:tr w14:paraId="4ADD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1DCDC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2A1FEC3">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088CE844">
            <w:pPr>
              <w:jc w:val="right"/>
              <w:rPr>
                <w:rFonts w:ascii="宋体" w:hAnsi="宋体" w:eastAsia="宋体" w:cs="宋体"/>
                <w:sz w:val="24"/>
                <w:szCs w:val="24"/>
              </w:rPr>
            </w:pPr>
            <w:r>
              <w:rPr>
                <w:rFonts w:hint="eastAsia" w:ascii="宋体" w:hAnsi="宋体" w:eastAsia="宋体"/>
              </w:rPr>
              <w:t>-</w:t>
            </w:r>
          </w:p>
        </w:tc>
      </w:tr>
      <w:tr w14:paraId="3E93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0DD023">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6B4C0602">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3D3B8F22">
            <w:pPr>
              <w:jc w:val="right"/>
              <w:rPr>
                <w:rFonts w:ascii="宋体" w:hAnsi="宋体" w:eastAsia="宋体" w:cs="宋体"/>
                <w:sz w:val="24"/>
                <w:szCs w:val="24"/>
              </w:rPr>
            </w:pPr>
            <w:r>
              <w:rPr>
                <w:rFonts w:hint="eastAsia" w:ascii="宋体" w:hAnsi="宋体" w:eastAsia="宋体"/>
              </w:rPr>
              <w:t>-</w:t>
            </w:r>
          </w:p>
        </w:tc>
      </w:tr>
      <w:tr w14:paraId="7555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755AC2">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7D74B18">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FC1B870">
            <w:pPr>
              <w:jc w:val="right"/>
              <w:rPr>
                <w:rFonts w:ascii="宋体" w:hAnsi="宋体" w:eastAsia="宋体" w:cs="宋体"/>
                <w:sz w:val="24"/>
                <w:szCs w:val="24"/>
              </w:rPr>
            </w:pPr>
            <w:r>
              <w:rPr>
                <w:rFonts w:hint="eastAsia" w:ascii="宋体" w:hAnsi="宋体" w:eastAsia="宋体"/>
              </w:rPr>
              <w:t>-</w:t>
            </w:r>
          </w:p>
        </w:tc>
      </w:tr>
      <w:tr w14:paraId="17AB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A476A3">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39953A4A">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3B11B295">
            <w:pPr>
              <w:jc w:val="right"/>
              <w:rPr>
                <w:rFonts w:ascii="宋体" w:hAnsi="宋体" w:eastAsia="宋体" w:cs="宋体"/>
                <w:sz w:val="24"/>
                <w:szCs w:val="24"/>
              </w:rPr>
            </w:pPr>
            <w:r>
              <w:rPr>
                <w:rFonts w:hint="eastAsia" w:ascii="宋体" w:hAnsi="宋体" w:eastAsia="宋体"/>
              </w:rPr>
              <w:t>-</w:t>
            </w:r>
          </w:p>
        </w:tc>
      </w:tr>
      <w:tr w14:paraId="073A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9D401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B19B822">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FA78F57">
            <w:pPr>
              <w:jc w:val="right"/>
              <w:rPr>
                <w:rFonts w:ascii="宋体" w:hAnsi="宋体" w:eastAsia="宋体" w:cs="宋体"/>
                <w:sz w:val="24"/>
                <w:szCs w:val="24"/>
              </w:rPr>
            </w:pPr>
            <w:r>
              <w:rPr>
                <w:rFonts w:hint="eastAsia" w:ascii="宋体" w:hAnsi="宋体" w:eastAsia="宋体"/>
              </w:rPr>
              <w:t>-</w:t>
            </w:r>
          </w:p>
        </w:tc>
      </w:tr>
      <w:tr w14:paraId="42DEA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5A78F2">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FC51C9F">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19C236BD">
            <w:pPr>
              <w:jc w:val="right"/>
              <w:rPr>
                <w:rFonts w:ascii="宋体" w:hAnsi="宋体" w:eastAsia="宋体" w:cs="宋体"/>
                <w:sz w:val="24"/>
                <w:szCs w:val="24"/>
              </w:rPr>
            </w:pPr>
            <w:r>
              <w:rPr>
                <w:rFonts w:hint="eastAsia" w:ascii="宋体" w:hAnsi="宋体" w:eastAsia="宋体"/>
              </w:rPr>
              <w:t>75,616.24</w:t>
            </w:r>
          </w:p>
        </w:tc>
      </w:tr>
      <w:tr w14:paraId="710C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C4087C">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002CC81">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232732FC">
            <w:pPr>
              <w:jc w:val="right"/>
              <w:rPr>
                <w:rFonts w:ascii="宋体" w:hAnsi="宋体" w:eastAsia="宋体" w:cs="宋体"/>
                <w:sz w:val="24"/>
                <w:szCs w:val="24"/>
              </w:rPr>
            </w:pPr>
            <w:r>
              <w:rPr>
                <w:rFonts w:hint="eastAsia" w:ascii="宋体" w:hAnsi="宋体" w:eastAsia="宋体"/>
              </w:rPr>
              <w:t>-</w:t>
            </w:r>
          </w:p>
        </w:tc>
      </w:tr>
      <w:tr w14:paraId="2A9C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4DC9B7">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7DA7B1D8">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E8BB3A6">
            <w:pPr>
              <w:jc w:val="right"/>
              <w:rPr>
                <w:rFonts w:ascii="宋体" w:hAnsi="宋体" w:eastAsia="宋体" w:cs="宋体"/>
                <w:sz w:val="24"/>
                <w:szCs w:val="24"/>
              </w:rPr>
            </w:pPr>
            <w:r>
              <w:rPr>
                <w:rFonts w:hint="eastAsia" w:ascii="宋体" w:hAnsi="宋体" w:eastAsia="宋体"/>
              </w:rPr>
              <w:t>75,616.24</w:t>
            </w:r>
          </w:p>
        </w:tc>
      </w:tr>
    </w:tbl>
    <w:p w14:paraId="43C6D379">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7BD8D2C5">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02B6F28B">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05A4E33C">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E98A8DF">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24973300">
      <w:pPr>
        <w:pStyle w:val="7"/>
        <w:spacing w:before="0" w:beforeAutospacing="0" w:after="0" w:afterAutospacing="0" w:line="360" w:lineRule="auto"/>
        <w:ind w:firstLine="420"/>
        <w:rPr>
          <w:sz w:val="21"/>
          <w:szCs w:val="21"/>
        </w:rPr>
      </w:pPr>
      <w:bookmarkStart w:id="124" w:name="chapter_level1_13_60_section_2_end"/>
      <w:bookmarkEnd w:id="124"/>
      <w:r>
        <w:rPr>
          <w:rFonts w:hint="eastAsia"/>
          <w:sz w:val="21"/>
          <w:szCs w:val="21"/>
        </w:rPr>
        <w:t>由于四舍五入的原因，分项之和与合计项之间可能存在尾差。</w:t>
      </w:r>
      <w:bookmarkStart w:id="125" w:name="field_0_fundportfolio_1_end"/>
      <w:bookmarkEnd w:id="125"/>
      <w:r>
        <w:rPr>
          <w:rFonts w:hint="eastAsia"/>
          <w:sz w:val="21"/>
          <w:szCs w:val="21"/>
        </w:rPr>
        <w:t xml:space="preserve">  </w:t>
      </w:r>
    </w:p>
    <w:p w14:paraId="6E2A0BAE">
      <w:pPr>
        <w:widowControl/>
        <w:jc w:val="left"/>
        <w:rPr>
          <w:rFonts w:ascii="宋体" w:hAnsi="宋体" w:eastAsia="宋体"/>
        </w:rPr>
      </w:pPr>
      <w:r>
        <w:rPr>
          <w:rFonts w:ascii="宋体" w:hAnsi="宋体" w:eastAsia="宋体"/>
        </w:rPr>
        <w:br w:type="page"/>
      </w:r>
    </w:p>
    <w:p w14:paraId="01028AC7">
      <w:pPr>
        <w:pStyle w:val="2"/>
        <w:jc w:val="center"/>
        <w:rPr>
          <w:rFonts w:ascii="宋体" w:hAnsi="宋体" w:eastAsia="宋体"/>
          <w:sz w:val="30"/>
        </w:rPr>
      </w:pPr>
      <w:bookmarkStart w:id="126" w:name="chapter_level1_14_3500"/>
      <w:bookmarkStart w:id="127" w:name="_Toc207950934"/>
      <w:r>
        <w:rPr>
          <w:rFonts w:hint="eastAsia" w:ascii="宋体" w:hAnsi="宋体" w:eastAsia="宋体"/>
          <w:sz w:val="30"/>
        </w:rPr>
        <w:t>第十一部分 基金的业绩</w:t>
      </w:r>
      <w:bookmarkEnd w:id="126"/>
      <w:bookmarkEnd w:id="127"/>
    </w:p>
    <w:p w14:paraId="4CC8C5BA">
      <w:pPr>
        <w:pStyle w:val="7"/>
        <w:spacing w:before="0" w:beforeAutospacing="0" w:after="0" w:afterAutospacing="0" w:line="360" w:lineRule="auto"/>
        <w:ind w:firstLine="420"/>
        <w:rPr>
          <w:sz w:val="21"/>
          <w:szCs w:val="21"/>
        </w:rPr>
      </w:pPr>
      <w:bookmarkStart w:id="128" w:name="chapter_level1_14_3500_section_1"/>
      <w:bookmarkEnd w:id="128"/>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1281E0FE">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6659E6AD">
      <w:pPr>
        <w:pStyle w:val="7"/>
        <w:spacing w:before="0" w:beforeAutospacing="0" w:after="0" w:afterAutospacing="0" w:line="360" w:lineRule="auto"/>
        <w:ind w:firstLine="420"/>
        <w:rPr>
          <w:sz w:val="21"/>
          <w:szCs w:val="21"/>
        </w:rPr>
      </w:pPr>
      <w:bookmarkStart w:id="129" w:name="field_0_indatatable_1_start"/>
      <w:bookmarkEnd w:id="129"/>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2914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A3FD89">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0C47ADD6">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00896D24">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146921C4">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0376E812">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1395C805">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0917C0A9">
            <w:pPr>
              <w:jc w:val="center"/>
              <w:rPr>
                <w:rFonts w:ascii="宋体" w:hAnsi="宋体" w:eastAsia="宋体" w:cs="宋体"/>
                <w:sz w:val="24"/>
                <w:szCs w:val="24"/>
              </w:rPr>
            </w:pPr>
            <w:r>
              <w:rPr>
                <w:rFonts w:hint="eastAsia" w:ascii="宋体" w:hAnsi="宋体" w:eastAsia="宋体"/>
              </w:rPr>
              <w:t>②-④</w:t>
            </w:r>
          </w:p>
        </w:tc>
      </w:tr>
      <w:tr w14:paraId="42B75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2EB612">
            <w:pPr>
              <w:jc w:val="center"/>
              <w:rPr>
                <w:rFonts w:ascii="宋体" w:hAnsi="宋体" w:eastAsia="宋体" w:cs="宋体"/>
                <w:sz w:val="24"/>
                <w:szCs w:val="24"/>
              </w:rPr>
            </w:pPr>
            <w:r>
              <w:rPr>
                <w:rFonts w:hint="eastAsia" w:ascii="宋体" w:hAnsi="宋体" w:eastAsia="宋体"/>
              </w:rPr>
              <w:t>2024.04.08-2024.12.31</w:t>
            </w:r>
          </w:p>
        </w:tc>
        <w:tc>
          <w:tcPr>
            <w:tcW w:w="0" w:type="auto"/>
            <w:shd w:val="clear" w:color="auto" w:fill="auto"/>
          </w:tcPr>
          <w:p w14:paraId="426B8554">
            <w:pPr>
              <w:jc w:val="center"/>
              <w:rPr>
                <w:rFonts w:ascii="宋体" w:hAnsi="宋体" w:eastAsia="宋体" w:cs="宋体"/>
                <w:sz w:val="24"/>
                <w:szCs w:val="24"/>
              </w:rPr>
            </w:pPr>
            <w:r>
              <w:rPr>
                <w:rFonts w:hint="eastAsia" w:ascii="宋体" w:hAnsi="宋体" w:eastAsia="宋体"/>
              </w:rPr>
              <w:t>38.57%</w:t>
            </w:r>
          </w:p>
        </w:tc>
        <w:tc>
          <w:tcPr>
            <w:tcW w:w="0" w:type="auto"/>
            <w:shd w:val="clear" w:color="auto" w:fill="auto"/>
          </w:tcPr>
          <w:p w14:paraId="56EB415E">
            <w:pPr>
              <w:jc w:val="center"/>
              <w:rPr>
                <w:rFonts w:ascii="宋体" w:hAnsi="宋体" w:eastAsia="宋体" w:cs="宋体"/>
                <w:sz w:val="24"/>
                <w:szCs w:val="24"/>
              </w:rPr>
            </w:pPr>
            <w:r>
              <w:rPr>
                <w:rFonts w:hint="eastAsia" w:ascii="宋体" w:hAnsi="宋体" w:eastAsia="宋体"/>
              </w:rPr>
              <w:t>2.80%</w:t>
            </w:r>
          </w:p>
        </w:tc>
        <w:tc>
          <w:tcPr>
            <w:tcW w:w="0" w:type="auto"/>
            <w:shd w:val="clear" w:color="auto" w:fill="auto"/>
          </w:tcPr>
          <w:p w14:paraId="3410D7C4">
            <w:pPr>
              <w:jc w:val="center"/>
              <w:rPr>
                <w:rFonts w:ascii="宋体" w:hAnsi="宋体" w:eastAsia="宋体" w:cs="宋体"/>
                <w:sz w:val="24"/>
                <w:szCs w:val="24"/>
              </w:rPr>
            </w:pPr>
            <w:r>
              <w:rPr>
                <w:rFonts w:hint="eastAsia" w:ascii="宋体" w:hAnsi="宋体" w:eastAsia="宋体"/>
              </w:rPr>
              <w:t>36.44%</w:t>
            </w:r>
          </w:p>
        </w:tc>
        <w:tc>
          <w:tcPr>
            <w:tcW w:w="0" w:type="auto"/>
            <w:shd w:val="clear" w:color="auto" w:fill="auto"/>
          </w:tcPr>
          <w:p w14:paraId="67263673">
            <w:pPr>
              <w:jc w:val="center"/>
              <w:rPr>
                <w:rFonts w:ascii="宋体" w:hAnsi="宋体" w:eastAsia="宋体" w:cs="宋体"/>
                <w:sz w:val="24"/>
                <w:szCs w:val="24"/>
              </w:rPr>
            </w:pPr>
            <w:r>
              <w:rPr>
                <w:rFonts w:hint="eastAsia" w:ascii="宋体" w:hAnsi="宋体" w:eastAsia="宋体"/>
              </w:rPr>
              <w:t>2.87%</w:t>
            </w:r>
          </w:p>
        </w:tc>
        <w:tc>
          <w:tcPr>
            <w:tcW w:w="0" w:type="auto"/>
            <w:shd w:val="clear" w:color="auto" w:fill="auto"/>
          </w:tcPr>
          <w:p w14:paraId="6AD8387B">
            <w:pPr>
              <w:jc w:val="center"/>
              <w:rPr>
                <w:rFonts w:ascii="宋体" w:hAnsi="宋体" w:eastAsia="宋体" w:cs="宋体"/>
                <w:sz w:val="24"/>
                <w:szCs w:val="24"/>
              </w:rPr>
            </w:pPr>
            <w:r>
              <w:rPr>
                <w:rFonts w:hint="eastAsia" w:ascii="宋体" w:hAnsi="宋体" w:eastAsia="宋体"/>
              </w:rPr>
              <w:t>2.13%</w:t>
            </w:r>
          </w:p>
        </w:tc>
        <w:tc>
          <w:tcPr>
            <w:tcW w:w="0" w:type="auto"/>
            <w:shd w:val="clear" w:color="auto" w:fill="auto"/>
          </w:tcPr>
          <w:p w14:paraId="401A41DB">
            <w:pPr>
              <w:jc w:val="center"/>
              <w:rPr>
                <w:rFonts w:ascii="宋体" w:hAnsi="宋体" w:eastAsia="宋体" w:cs="宋体"/>
                <w:sz w:val="24"/>
                <w:szCs w:val="24"/>
              </w:rPr>
            </w:pPr>
            <w:r>
              <w:rPr>
                <w:rFonts w:hint="eastAsia" w:ascii="宋体" w:hAnsi="宋体" w:eastAsia="宋体"/>
              </w:rPr>
              <w:t>-0.07%</w:t>
            </w:r>
          </w:p>
        </w:tc>
      </w:tr>
      <w:tr w14:paraId="0D501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E3ECBB">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14:paraId="6DED1485">
            <w:pPr>
              <w:jc w:val="center"/>
              <w:rPr>
                <w:rFonts w:ascii="宋体" w:hAnsi="宋体" w:eastAsia="宋体" w:cs="宋体"/>
                <w:sz w:val="24"/>
                <w:szCs w:val="24"/>
              </w:rPr>
            </w:pPr>
            <w:r>
              <w:rPr>
                <w:rFonts w:hint="eastAsia" w:ascii="宋体" w:hAnsi="宋体" w:eastAsia="宋体"/>
              </w:rPr>
              <w:t>4.07%</w:t>
            </w:r>
          </w:p>
        </w:tc>
        <w:tc>
          <w:tcPr>
            <w:tcW w:w="0" w:type="auto"/>
            <w:shd w:val="clear" w:color="auto" w:fill="auto"/>
          </w:tcPr>
          <w:p w14:paraId="73D942D0">
            <w:pPr>
              <w:jc w:val="center"/>
              <w:rPr>
                <w:rFonts w:ascii="宋体" w:hAnsi="宋体" w:eastAsia="宋体" w:cs="宋体"/>
                <w:sz w:val="24"/>
                <w:szCs w:val="24"/>
              </w:rPr>
            </w:pPr>
            <w:r>
              <w:rPr>
                <w:rFonts w:hint="eastAsia" w:ascii="宋体" w:hAnsi="宋体" w:eastAsia="宋体"/>
              </w:rPr>
              <w:t>1.74%</w:t>
            </w:r>
          </w:p>
        </w:tc>
        <w:tc>
          <w:tcPr>
            <w:tcW w:w="0" w:type="auto"/>
            <w:shd w:val="clear" w:color="auto" w:fill="auto"/>
          </w:tcPr>
          <w:p w14:paraId="6E81538D">
            <w:pPr>
              <w:jc w:val="center"/>
              <w:rPr>
                <w:rFonts w:ascii="宋体" w:hAnsi="宋体" w:eastAsia="宋体" w:cs="宋体"/>
                <w:sz w:val="24"/>
                <w:szCs w:val="24"/>
              </w:rPr>
            </w:pPr>
            <w:r>
              <w:rPr>
                <w:rFonts w:hint="eastAsia" w:ascii="宋体" w:hAnsi="宋体" w:eastAsia="宋体"/>
              </w:rPr>
              <w:t>4.34%</w:t>
            </w:r>
          </w:p>
        </w:tc>
        <w:tc>
          <w:tcPr>
            <w:tcW w:w="0" w:type="auto"/>
            <w:shd w:val="clear" w:color="auto" w:fill="auto"/>
          </w:tcPr>
          <w:p w14:paraId="705149B6">
            <w:pPr>
              <w:jc w:val="center"/>
              <w:rPr>
                <w:rFonts w:ascii="宋体" w:hAnsi="宋体" w:eastAsia="宋体" w:cs="宋体"/>
                <w:sz w:val="24"/>
                <w:szCs w:val="24"/>
              </w:rPr>
            </w:pPr>
            <w:r>
              <w:rPr>
                <w:rFonts w:hint="eastAsia" w:ascii="宋体" w:hAnsi="宋体" w:eastAsia="宋体"/>
              </w:rPr>
              <w:t>1.77%</w:t>
            </w:r>
          </w:p>
        </w:tc>
        <w:tc>
          <w:tcPr>
            <w:tcW w:w="0" w:type="auto"/>
            <w:shd w:val="clear" w:color="auto" w:fill="auto"/>
          </w:tcPr>
          <w:p w14:paraId="44EE54D9">
            <w:pPr>
              <w:jc w:val="center"/>
              <w:rPr>
                <w:rFonts w:ascii="宋体" w:hAnsi="宋体" w:eastAsia="宋体" w:cs="宋体"/>
                <w:sz w:val="24"/>
                <w:szCs w:val="24"/>
              </w:rPr>
            </w:pPr>
            <w:r>
              <w:rPr>
                <w:rFonts w:hint="eastAsia" w:ascii="宋体" w:hAnsi="宋体" w:eastAsia="宋体"/>
              </w:rPr>
              <w:t>-0.27%</w:t>
            </w:r>
          </w:p>
        </w:tc>
        <w:tc>
          <w:tcPr>
            <w:tcW w:w="0" w:type="auto"/>
            <w:shd w:val="clear" w:color="auto" w:fill="auto"/>
          </w:tcPr>
          <w:p w14:paraId="6363E514">
            <w:pPr>
              <w:jc w:val="center"/>
              <w:rPr>
                <w:rFonts w:ascii="宋体" w:hAnsi="宋体" w:eastAsia="宋体" w:cs="宋体"/>
                <w:sz w:val="24"/>
                <w:szCs w:val="24"/>
              </w:rPr>
            </w:pPr>
            <w:r>
              <w:rPr>
                <w:rFonts w:hint="eastAsia" w:ascii="宋体" w:hAnsi="宋体" w:eastAsia="宋体"/>
              </w:rPr>
              <w:t>-0.03%</w:t>
            </w:r>
          </w:p>
        </w:tc>
      </w:tr>
      <w:tr w14:paraId="6E1A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FF7112">
            <w:pPr>
              <w:jc w:val="center"/>
              <w:rPr>
                <w:rFonts w:ascii="宋体" w:hAnsi="宋体" w:eastAsia="宋体" w:cs="宋体"/>
                <w:sz w:val="24"/>
                <w:szCs w:val="24"/>
              </w:rPr>
            </w:pPr>
            <w:r>
              <w:rPr>
                <w:rFonts w:hint="eastAsia" w:ascii="宋体" w:hAnsi="宋体" w:eastAsia="宋体"/>
              </w:rPr>
              <w:t>2024.04.08-2025.06.30</w:t>
            </w:r>
          </w:p>
        </w:tc>
        <w:tc>
          <w:tcPr>
            <w:tcW w:w="0" w:type="auto"/>
            <w:shd w:val="clear" w:color="auto" w:fill="auto"/>
          </w:tcPr>
          <w:p w14:paraId="30B06EB0">
            <w:pPr>
              <w:jc w:val="center"/>
              <w:rPr>
                <w:rFonts w:ascii="宋体" w:hAnsi="宋体" w:eastAsia="宋体" w:cs="宋体"/>
                <w:sz w:val="24"/>
                <w:szCs w:val="24"/>
              </w:rPr>
            </w:pPr>
            <w:r>
              <w:rPr>
                <w:rFonts w:hint="eastAsia" w:ascii="宋体" w:hAnsi="宋体" w:eastAsia="宋体"/>
              </w:rPr>
              <w:t>44.21%</w:t>
            </w:r>
          </w:p>
        </w:tc>
        <w:tc>
          <w:tcPr>
            <w:tcW w:w="0" w:type="auto"/>
            <w:shd w:val="clear" w:color="auto" w:fill="auto"/>
          </w:tcPr>
          <w:p w14:paraId="1A9EA420">
            <w:pPr>
              <w:jc w:val="center"/>
              <w:rPr>
                <w:rFonts w:ascii="宋体" w:hAnsi="宋体" w:eastAsia="宋体" w:cs="宋体"/>
                <w:sz w:val="24"/>
                <w:szCs w:val="24"/>
              </w:rPr>
            </w:pPr>
            <w:r>
              <w:rPr>
                <w:rFonts w:hint="eastAsia" w:ascii="宋体" w:hAnsi="宋体" w:eastAsia="宋体"/>
              </w:rPr>
              <w:t>2.44%</w:t>
            </w:r>
          </w:p>
        </w:tc>
        <w:tc>
          <w:tcPr>
            <w:tcW w:w="0" w:type="auto"/>
            <w:shd w:val="clear" w:color="auto" w:fill="auto"/>
          </w:tcPr>
          <w:p w14:paraId="6F117A2D">
            <w:pPr>
              <w:jc w:val="center"/>
              <w:rPr>
                <w:rFonts w:ascii="宋体" w:hAnsi="宋体" w:eastAsia="宋体" w:cs="宋体"/>
                <w:sz w:val="24"/>
                <w:szCs w:val="24"/>
              </w:rPr>
            </w:pPr>
            <w:r>
              <w:rPr>
                <w:rFonts w:hint="eastAsia" w:ascii="宋体" w:hAnsi="宋体" w:eastAsia="宋体"/>
              </w:rPr>
              <w:t>42.36%</w:t>
            </w:r>
          </w:p>
        </w:tc>
        <w:tc>
          <w:tcPr>
            <w:tcW w:w="0" w:type="auto"/>
            <w:shd w:val="clear" w:color="auto" w:fill="auto"/>
          </w:tcPr>
          <w:p w14:paraId="27A089A3">
            <w:pPr>
              <w:jc w:val="center"/>
              <w:rPr>
                <w:rFonts w:ascii="宋体" w:hAnsi="宋体" w:eastAsia="宋体" w:cs="宋体"/>
                <w:sz w:val="24"/>
                <w:szCs w:val="24"/>
              </w:rPr>
            </w:pPr>
            <w:r>
              <w:rPr>
                <w:rFonts w:hint="eastAsia" w:ascii="宋体" w:hAnsi="宋体" w:eastAsia="宋体"/>
              </w:rPr>
              <w:t>2.50%</w:t>
            </w:r>
          </w:p>
        </w:tc>
        <w:tc>
          <w:tcPr>
            <w:tcW w:w="0" w:type="auto"/>
            <w:shd w:val="clear" w:color="auto" w:fill="auto"/>
          </w:tcPr>
          <w:p w14:paraId="2A0743FD">
            <w:pPr>
              <w:jc w:val="center"/>
              <w:rPr>
                <w:rFonts w:ascii="宋体" w:hAnsi="宋体" w:eastAsia="宋体" w:cs="宋体"/>
                <w:sz w:val="24"/>
                <w:szCs w:val="24"/>
              </w:rPr>
            </w:pPr>
            <w:r>
              <w:rPr>
                <w:rFonts w:hint="eastAsia" w:ascii="宋体" w:hAnsi="宋体" w:eastAsia="宋体"/>
              </w:rPr>
              <w:t>1.85%</w:t>
            </w:r>
          </w:p>
        </w:tc>
        <w:tc>
          <w:tcPr>
            <w:tcW w:w="0" w:type="auto"/>
            <w:shd w:val="clear" w:color="auto" w:fill="auto"/>
          </w:tcPr>
          <w:p w14:paraId="0B99180A">
            <w:pPr>
              <w:jc w:val="center"/>
              <w:rPr>
                <w:rFonts w:ascii="宋体" w:hAnsi="宋体" w:eastAsia="宋体" w:cs="宋体"/>
                <w:sz w:val="24"/>
                <w:szCs w:val="24"/>
              </w:rPr>
            </w:pPr>
            <w:r>
              <w:rPr>
                <w:rFonts w:hint="eastAsia" w:ascii="宋体" w:hAnsi="宋体" w:eastAsia="宋体"/>
              </w:rPr>
              <w:t>-0.06%</w:t>
            </w:r>
          </w:p>
        </w:tc>
      </w:tr>
    </w:tbl>
    <w:p w14:paraId="6126D1A2">
      <w:pPr>
        <w:pStyle w:val="7"/>
        <w:spacing w:before="0" w:beforeAutospacing="0" w:after="0" w:afterAutospacing="0" w:line="360" w:lineRule="auto"/>
        <w:ind w:firstLine="420"/>
        <w:rPr>
          <w:sz w:val="21"/>
          <w:szCs w:val="21"/>
        </w:rPr>
      </w:pPr>
      <w:bookmarkStart w:id="130" w:name="chapter_level1_14_3500_section_1_end"/>
      <w:bookmarkEnd w:id="130"/>
      <w:bookmarkStart w:id="131" w:name="field_0_indatatable_1_end"/>
      <w:bookmarkEnd w:id="131"/>
      <w:r>
        <w:rPr>
          <w:rFonts w:hint="eastAsia"/>
          <w:sz w:val="21"/>
          <w:szCs w:val="21"/>
        </w:rPr>
        <w:t xml:space="preserve">  </w:t>
      </w:r>
    </w:p>
    <w:p w14:paraId="2FD84E5F">
      <w:pPr>
        <w:widowControl/>
        <w:jc w:val="left"/>
        <w:rPr>
          <w:rFonts w:ascii="宋体" w:hAnsi="宋体" w:eastAsia="宋体"/>
        </w:rPr>
      </w:pPr>
      <w:r>
        <w:rPr>
          <w:rFonts w:ascii="宋体" w:hAnsi="宋体" w:eastAsia="宋体"/>
        </w:rPr>
        <w:br w:type="page"/>
      </w:r>
    </w:p>
    <w:p w14:paraId="1FD2BC3B">
      <w:pPr>
        <w:pStyle w:val="2"/>
        <w:jc w:val="center"/>
        <w:rPr>
          <w:rFonts w:ascii="宋体" w:hAnsi="宋体" w:eastAsia="宋体"/>
          <w:sz w:val="30"/>
        </w:rPr>
      </w:pPr>
      <w:bookmarkStart w:id="132" w:name="_Toc207950935"/>
      <w:bookmarkStart w:id="133" w:name="chapter_level1_15_62"/>
      <w:r>
        <w:rPr>
          <w:rFonts w:hint="eastAsia" w:ascii="宋体" w:hAnsi="宋体" w:eastAsia="宋体"/>
          <w:sz w:val="30"/>
        </w:rPr>
        <w:t>第十二部分  基金的财产</w:t>
      </w:r>
      <w:bookmarkEnd w:id="132"/>
      <w:bookmarkEnd w:id="133"/>
    </w:p>
    <w:p w14:paraId="260E023E">
      <w:pPr>
        <w:pStyle w:val="7"/>
        <w:spacing w:before="0" w:beforeAutospacing="0" w:after="0" w:afterAutospacing="0" w:line="360" w:lineRule="auto"/>
        <w:ind w:firstLine="420"/>
        <w:rPr>
          <w:sz w:val="21"/>
          <w:szCs w:val="21"/>
        </w:rPr>
      </w:pPr>
      <w:bookmarkStart w:id="134" w:name="chapter_level1_15_62_section_1"/>
      <w:bookmarkEnd w:id="134"/>
      <w:r>
        <w:rPr>
          <w:rStyle w:val="11"/>
          <w:rFonts w:hint="eastAsia"/>
          <w:sz w:val="21"/>
          <w:szCs w:val="21"/>
        </w:rPr>
        <w:t>一、基金资产总值</w:t>
      </w:r>
    </w:p>
    <w:p w14:paraId="5654A7C2">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14:paraId="60935484">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2F743371">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349766E6">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4D202349">
      <w:pPr>
        <w:pStyle w:val="7"/>
        <w:spacing w:before="0" w:beforeAutospacing="0" w:after="0" w:afterAutospacing="0" w:line="360" w:lineRule="auto"/>
        <w:ind w:firstLine="420"/>
        <w:rPr>
          <w:sz w:val="21"/>
          <w:szCs w:val="21"/>
        </w:rPr>
      </w:pPr>
      <w:r>
        <w:rPr>
          <w:rFonts w:hint="eastAsia"/>
          <w:sz w:val="21"/>
          <w:szCs w:val="21"/>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11737D17">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5E052613">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50E32921">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5" w:name="chapter_level1_15_62_section_1_end"/>
      <w:bookmarkEnd w:id="135"/>
      <w:r>
        <w:rPr>
          <w:rFonts w:hint="eastAsia"/>
          <w:sz w:val="21"/>
          <w:szCs w:val="21"/>
        </w:rPr>
        <w:t>得相互抵销。非因基金财产本身承担的债务，不得对基金财产强制执行。</w:t>
      </w:r>
    </w:p>
    <w:p w14:paraId="2FA957E5">
      <w:pPr>
        <w:widowControl/>
        <w:jc w:val="left"/>
        <w:rPr>
          <w:rFonts w:ascii="宋体" w:hAnsi="宋体" w:eastAsia="宋体"/>
        </w:rPr>
      </w:pPr>
      <w:r>
        <w:rPr>
          <w:rFonts w:ascii="宋体" w:hAnsi="宋体" w:eastAsia="宋体"/>
        </w:rPr>
        <w:br w:type="page"/>
      </w:r>
    </w:p>
    <w:p w14:paraId="3404619F">
      <w:pPr>
        <w:pStyle w:val="2"/>
        <w:jc w:val="center"/>
        <w:rPr>
          <w:rFonts w:ascii="宋体" w:hAnsi="宋体" w:eastAsia="宋体"/>
          <w:sz w:val="30"/>
        </w:rPr>
      </w:pPr>
      <w:bookmarkStart w:id="136" w:name="_Toc207950936"/>
      <w:bookmarkStart w:id="137" w:name="chapter_level1_16_63"/>
      <w:r>
        <w:rPr>
          <w:rFonts w:hint="eastAsia" w:ascii="宋体" w:hAnsi="宋体" w:eastAsia="宋体"/>
          <w:sz w:val="30"/>
        </w:rPr>
        <w:t>第十三部分  基金资产的估值</w:t>
      </w:r>
      <w:bookmarkEnd w:id="136"/>
      <w:bookmarkEnd w:id="137"/>
    </w:p>
    <w:p w14:paraId="17854C4A">
      <w:pPr>
        <w:pStyle w:val="7"/>
        <w:spacing w:before="0" w:beforeAutospacing="0" w:after="0" w:afterAutospacing="0" w:line="360" w:lineRule="auto"/>
        <w:ind w:firstLine="420"/>
        <w:rPr>
          <w:sz w:val="21"/>
          <w:szCs w:val="21"/>
        </w:rPr>
      </w:pPr>
      <w:bookmarkStart w:id="138" w:name="chapter_level1_16_63_section_1"/>
      <w:bookmarkEnd w:id="138"/>
      <w:r>
        <w:rPr>
          <w:rStyle w:val="11"/>
          <w:rFonts w:hint="eastAsia"/>
          <w:sz w:val="21"/>
          <w:szCs w:val="21"/>
        </w:rPr>
        <w:t>一、估值日</w:t>
      </w:r>
    </w:p>
    <w:p w14:paraId="7FD735AD">
      <w:pPr>
        <w:pStyle w:val="7"/>
        <w:spacing w:before="0" w:beforeAutospacing="0" w:after="0" w:afterAutospacing="0" w:line="360" w:lineRule="auto"/>
        <w:ind w:firstLine="420"/>
        <w:rPr>
          <w:sz w:val="21"/>
          <w:szCs w:val="21"/>
        </w:rPr>
      </w:pPr>
      <w:r>
        <w:rPr>
          <w:rFonts w:hint="eastAsia"/>
          <w:sz w:val="21"/>
          <w:szCs w:val="21"/>
        </w:rPr>
        <w:t>本基金的估值日为本基金相关的证券、期货交易场所的交易日以及国家法律法规规定需要对外披露基金净值的非交易日。</w:t>
      </w:r>
    </w:p>
    <w:p w14:paraId="7C9CBCBA">
      <w:pPr>
        <w:pStyle w:val="7"/>
        <w:spacing w:before="0" w:beforeAutospacing="0" w:after="0" w:afterAutospacing="0" w:line="360" w:lineRule="auto"/>
        <w:ind w:firstLine="420"/>
        <w:rPr>
          <w:sz w:val="21"/>
          <w:szCs w:val="21"/>
        </w:rPr>
      </w:pPr>
      <w:r>
        <w:rPr>
          <w:rStyle w:val="11"/>
          <w:rFonts w:hint="eastAsia"/>
          <w:sz w:val="21"/>
          <w:szCs w:val="21"/>
        </w:rPr>
        <w:t>二、估值对象</w:t>
      </w:r>
    </w:p>
    <w:p w14:paraId="2806DF23">
      <w:pPr>
        <w:pStyle w:val="7"/>
        <w:spacing w:before="0" w:beforeAutospacing="0" w:after="0" w:afterAutospacing="0" w:line="360" w:lineRule="auto"/>
        <w:ind w:firstLine="420"/>
        <w:rPr>
          <w:sz w:val="21"/>
          <w:szCs w:val="21"/>
        </w:rPr>
      </w:pPr>
      <w:r>
        <w:rPr>
          <w:rFonts w:hint="eastAsia"/>
          <w:sz w:val="21"/>
          <w:szCs w:val="21"/>
        </w:rPr>
        <w:t>基金所拥有的股票（含存托凭证）、债券、股指期货合约、国债期货合约、股票期权合约和银行存款本息、应收款项、资产支持证券、其它投资等资产及负债。</w:t>
      </w:r>
    </w:p>
    <w:p w14:paraId="1EEE3988">
      <w:pPr>
        <w:pStyle w:val="7"/>
        <w:spacing w:before="0" w:beforeAutospacing="0" w:after="0" w:afterAutospacing="0" w:line="360" w:lineRule="auto"/>
        <w:ind w:firstLine="420"/>
        <w:rPr>
          <w:sz w:val="21"/>
          <w:szCs w:val="21"/>
        </w:rPr>
      </w:pPr>
      <w:r>
        <w:rPr>
          <w:rStyle w:val="11"/>
          <w:rFonts w:hint="eastAsia"/>
          <w:sz w:val="21"/>
          <w:szCs w:val="21"/>
        </w:rPr>
        <w:t>三、估值原则</w:t>
      </w:r>
    </w:p>
    <w:p w14:paraId="35DE87A8">
      <w:pPr>
        <w:pStyle w:val="7"/>
        <w:spacing w:before="0" w:beforeAutospacing="0" w:after="0" w:afterAutospacing="0" w:line="360" w:lineRule="auto"/>
        <w:ind w:firstLine="420"/>
        <w:rPr>
          <w:sz w:val="21"/>
          <w:szCs w:val="21"/>
        </w:rPr>
      </w:pPr>
      <w:r>
        <w:rPr>
          <w:rFonts w:hint="eastAsia"/>
          <w:sz w:val="21"/>
          <w:szCs w:val="21"/>
        </w:rPr>
        <w:t>基金管理人在确定相关金融资产和金融负债的公允价值时，应符合《企业会计准则》、监管部门有关规定。</w:t>
      </w:r>
    </w:p>
    <w:p w14:paraId="3B5C0BF3">
      <w:pPr>
        <w:pStyle w:val="7"/>
        <w:spacing w:before="0" w:beforeAutospacing="0" w:after="0" w:afterAutospacing="0" w:line="360" w:lineRule="auto"/>
        <w:ind w:firstLine="420"/>
        <w:rPr>
          <w:sz w:val="21"/>
          <w:szCs w:val="21"/>
        </w:rPr>
      </w:pPr>
      <w:r>
        <w:rPr>
          <w:rFonts w:hint="eastAsia"/>
          <w:sz w:val="21"/>
          <w:szCs w:val="21"/>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63F5E16">
      <w:pPr>
        <w:pStyle w:val="7"/>
        <w:spacing w:before="0" w:beforeAutospacing="0" w:after="0" w:afterAutospacing="0" w:line="360" w:lineRule="auto"/>
        <w:ind w:firstLine="420"/>
        <w:rPr>
          <w:sz w:val="21"/>
          <w:szCs w:val="21"/>
        </w:rPr>
      </w:pPr>
      <w:r>
        <w:rPr>
          <w:rFonts w:hint="eastAsia"/>
          <w:sz w:val="21"/>
          <w:szCs w:val="21"/>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1D874690">
      <w:pPr>
        <w:pStyle w:val="7"/>
        <w:spacing w:before="0" w:beforeAutospacing="0" w:after="0" w:afterAutospacing="0" w:line="360" w:lineRule="auto"/>
        <w:ind w:firstLine="420"/>
        <w:rPr>
          <w:sz w:val="21"/>
          <w:szCs w:val="21"/>
        </w:rPr>
      </w:pPr>
      <w:r>
        <w:rPr>
          <w:rFonts w:hint="eastAsia"/>
          <w:sz w:val="21"/>
          <w:szCs w:val="21"/>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4761156">
      <w:pPr>
        <w:pStyle w:val="7"/>
        <w:spacing w:before="0" w:beforeAutospacing="0" w:after="0" w:afterAutospacing="0" w:line="360" w:lineRule="auto"/>
        <w:ind w:firstLine="420"/>
        <w:rPr>
          <w:sz w:val="21"/>
          <w:szCs w:val="21"/>
        </w:rPr>
      </w:pPr>
      <w:r>
        <w:rPr>
          <w:rStyle w:val="11"/>
          <w:rFonts w:hint="eastAsia"/>
          <w:sz w:val="21"/>
          <w:szCs w:val="21"/>
        </w:rPr>
        <w:t>四、估值方法</w:t>
      </w:r>
    </w:p>
    <w:p w14:paraId="7A956635">
      <w:pPr>
        <w:pStyle w:val="7"/>
        <w:spacing w:before="0" w:beforeAutospacing="0" w:after="0" w:afterAutospacing="0" w:line="360" w:lineRule="auto"/>
        <w:ind w:firstLine="420"/>
        <w:rPr>
          <w:sz w:val="21"/>
          <w:szCs w:val="21"/>
        </w:rPr>
      </w:pPr>
      <w:r>
        <w:rPr>
          <w:rFonts w:hint="eastAsia"/>
          <w:sz w:val="21"/>
          <w:szCs w:val="21"/>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2F31CB01">
      <w:pPr>
        <w:pStyle w:val="7"/>
        <w:spacing w:before="0" w:beforeAutospacing="0" w:after="0" w:afterAutospacing="0" w:line="360" w:lineRule="auto"/>
        <w:ind w:firstLine="420"/>
        <w:rPr>
          <w:sz w:val="21"/>
          <w:szCs w:val="21"/>
        </w:rPr>
      </w:pPr>
      <w:r>
        <w:rPr>
          <w:rFonts w:hint="eastAsia"/>
          <w:sz w:val="21"/>
          <w:szCs w:val="21"/>
        </w:rPr>
        <w:t>2、对于已上市或已挂牌转让的不含权固定收益品种，选取估值日第三方估值基准服务机构提供的相应品种当日的估值全价进行估值。</w:t>
      </w:r>
    </w:p>
    <w:p w14:paraId="13C37A99">
      <w:pPr>
        <w:pStyle w:val="7"/>
        <w:spacing w:before="0" w:beforeAutospacing="0" w:after="0" w:afterAutospacing="0" w:line="360" w:lineRule="auto"/>
        <w:ind w:firstLine="420"/>
        <w:rPr>
          <w:sz w:val="21"/>
          <w:szCs w:val="21"/>
        </w:rPr>
      </w:pPr>
      <w:r>
        <w:rPr>
          <w:rFonts w:hint="eastAsia"/>
          <w:sz w:val="21"/>
          <w:szCs w:val="21"/>
        </w:rPr>
        <w:t>3、对于已上市或已挂牌转让的含权固定收益品种，选取估值日第三方估值基准服务机构提供的相应品种当日的唯一估值全价或推荐估值全价进行估值。</w:t>
      </w:r>
    </w:p>
    <w:p w14:paraId="3AC8FC01">
      <w:pPr>
        <w:pStyle w:val="7"/>
        <w:spacing w:before="0" w:beforeAutospacing="0" w:after="0" w:afterAutospacing="0" w:line="360" w:lineRule="auto"/>
        <w:ind w:firstLine="420"/>
        <w:rPr>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4935548">
      <w:pPr>
        <w:pStyle w:val="7"/>
        <w:spacing w:before="0" w:beforeAutospacing="0" w:after="0" w:afterAutospacing="0" w:line="360" w:lineRule="auto"/>
        <w:ind w:firstLine="420"/>
        <w:rPr>
          <w:sz w:val="21"/>
          <w:szCs w:val="21"/>
        </w:rPr>
      </w:pPr>
      <w:r>
        <w:rPr>
          <w:rFonts w:hint="eastAsia"/>
          <w:sz w:val="21"/>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7CBF8117">
      <w:pPr>
        <w:pStyle w:val="7"/>
        <w:spacing w:before="0" w:beforeAutospacing="0" w:after="0" w:afterAutospacing="0" w:line="360" w:lineRule="auto"/>
        <w:ind w:firstLine="420"/>
        <w:rPr>
          <w:sz w:val="21"/>
          <w:szCs w:val="21"/>
        </w:rPr>
      </w:pPr>
      <w:r>
        <w:rPr>
          <w:rFonts w:hint="eastAsia"/>
          <w:sz w:val="21"/>
          <w:szCs w:val="21"/>
        </w:rPr>
        <w:t>5、对于未上市或未挂牌转让且不存在活跃市场的固定收益品种，应采用在当前情况下适用并且有足够可利用数据和其他信息支持的估值技术确定其公允价值。</w:t>
      </w:r>
    </w:p>
    <w:p w14:paraId="4EBEC2A1">
      <w:pPr>
        <w:pStyle w:val="7"/>
        <w:spacing w:before="0" w:beforeAutospacing="0" w:after="0" w:afterAutospacing="0" w:line="360" w:lineRule="auto"/>
        <w:ind w:firstLine="420"/>
        <w:rPr>
          <w:sz w:val="21"/>
          <w:szCs w:val="21"/>
        </w:rPr>
      </w:pPr>
      <w:r>
        <w:rPr>
          <w:rFonts w:hint="eastAsia"/>
          <w:sz w:val="21"/>
          <w:szCs w:val="21"/>
        </w:rPr>
        <w:t>6、处于未上市期间的有价证券应区分如下情况处理：</w:t>
      </w:r>
    </w:p>
    <w:p w14:paraId="498480D4">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768FDDDC">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14:paraId="0D97D8B8">
      <w:pPr>
        <w:pStyle w:val="7"/>
        <w:spacing w:before="0" w:beforeAutospacing="0" w:after="0" w:afterAutospacing="0" w:line="360" w:lineRule="auto"/>
        <w:ind w:firstLine="420"/>
        <w:rPr>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7A59B93">
      <w:pPr>
        <w:pStyle w:val="7"/>
        <w:spacing w:before="0" w:beforeAutospacing="0" w:after="0" w:afterAutospacing="0" w:line="360" w:lineRule="auto"/>
        <w:ind w:firstLine="420"/>
        <w:rPr>
          <w:sz w:val="21"/>
          <w:szCs w:val="21"/>
        </w:rPr>
      </w:pPr>
      <w:r>
        <w:rPr>
          <w:rFonts w:hint="eastAsia"/>
          <w:sz w:val="21"/>
          <w:szCs w:val="21"/>
        </w:rPr>
        <w:t>7、本基金投资存托凭证的估值核算，依照境内上市交易的股票执行。</w:t>
      </w:r>
    </w:p>
    <w:p w14:paraId="6903D4D4">
      <w:pPr>
        <w:pStyle w:val="7"/>
        <w:spacing w:before="0" w:beforeAutospacing="0" w:after="0" w:afterAutospacing="0" w:line="360" w:lineRule="auto"/>
        <w:ind w:firstLine="420"/>
        <w:rPr>
          <w:sz w:val="21"/>
          <w:szCs w:val="21"/>
        </w:rPr>
      </w:pPr>
      <w:r>
        <w:rPr>
          <w:rFonts w:hint="eastAsia"/>
          <w:sz w:val="21"/>
          <w:szCs w:val="21"/>
        </w:rPr>
        <w:t>8、同一证券同时在两个或两个以上市场交易的，按证券所处的市场分别估值。</w:t>
      </w:r>
    </w:p>
    <w:p w14:paraId="19F5B40B">
      <w:pPr>
        <w:pStyle w:val="7"/>
        <w:spacing w:before="0" w:beforeAutospacing="0" w:after="0" w:afterAutospacing="0" w:line="360" w:lineRule="auto"/>
        <w:ind w:firstLine="420"/>
        <w:rPr>
          <w:sz w:val="21"/>
          <w:szCs w:val="21"/>
        </w:rPr>
      </w:pPr>
      <w:r>
        <w:rPr>
          <w:rFonts w:hint="eastAsia"/>
          <w:sz w:val="21"/>
          <w:szCs w:val="21"/>
        </w:rPr>
        <w:t>9、本基金投资股指期货、国债期货合约，一般以估值当日结算价确定公允价值，估值当日无结算价的，且最近交易日后未发生影响公允价值计量的重大事件的，采用最近交易日结算价估值。</w:t>
      </w:r>
    </w:p>
    <w:p w14:paraId="43970939">
      <w:pPr>
        <w:pStyle w:val="7"/>
        <w:spacing w:before="0" w:beforeAutospacing="0" w:after="0" w:afterAutospacing="0" w:line="360" w:lineRule="auto"/>
        <w:ind w:firstLine="420"/>
        <w:rPr>
          <w:sz w:val="21"/>
          <w:szCs w:val="21"/>
        </w:rPr>
      </w:pPr>
      <w:r>
        <w:rPr>
          <w:rFonts w:hint="eastAsia"/>
          <w:sz w:val="21"/>
          <w:szCs w:val="21"/>
        </w:rPr>
        <w:t>10、本基金投资股票期权，根据相关法律法规以及监管部门的规定估值。</w:t>
      </w:r>
    </w:p>
    <w:p w14:paraId="47FD7DDA">
      <w:pPr>
        <w:pStyle w:val="7"/>
        <w:spacing w:before="0" w:beforeAutospacing="0" w:after="0" w:afterAutospacing="0" w:line="360" w:lineRule="auto"/>
        <w:ind w:firstLine="420"/>
        <w:rPr>
          <w:sz w:val="21"/>
          <w:szCs w:val="21"/>
        </w:rPr>
      </w:pPr>
      <w:r>
        <w:rPr>
          <w:rFonts w:hint="eastAsia"/>
          <w:sz w:val="21"/>
          <w:szCs w:val="21"/>
        </w:rPr>
        <w:t>11、本基金参与融资及转融通证券出借业务的，应参照法律法规及行业协会的相关规定进行估值。</w:t>
      </w:r>
    </w:p>
    <w:p w14:paraId="6C3FA4FD">
      <w:pPr>
        <w:pStyle w:val="7"/>
        <w:spacing w:before="0" w:beforeAutospacing="0" w:after="0" w:afterAutospacing="0" w:line="360" w:lineRule="auto"/>
        <w:ind w:firstLine="420"/>
        <w:rPr>
          <w:sz w:val="21"/>
          <w:szCs w:val="21"/>
        </w:rPr>
      </w:pPr>
      <w:r>
        <w:rPr>
          <w:rFonts w:hint="eastAsia"/>
          <w:sz w:val="21"/>
          <w:szCs w:val="21"/>
        </w:rPr>
        <w:t>12、汇率</w:t>
      </w:r>
    </w:p>
    <w:p w14:paraId="23FF19B2">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1571B7F8">
      <w:pPr>
        <w:pStyle w:val="7"/>
        <w:spacing w:before="0" w:beforeAutospacing="0" w:after="0" w:afterAutospacing="0" w:line="360" w:lineRule="auto"/>
        <w:ind w:firstLine="420"/>
        <w:rPr>
          <w:sz w:val="21"/>
          <w:szCs w:val="21"/>
        </w:rPr>
      </w:pPr>
      <w:r>
        <w:rPr>
          <w:rFonts w:hint="eastAsia"/>
          <w:sz w:val="21"/>
          <w:szCs w:val="21"/>
        </w:rPr>
        <w:t>13、如有确凿证据表明按上述方法进行估值不能客观反映其公允价值的，基金管理人可根据具体情况与基金托管人商定后，按最能反映公允价值的方法估值。</w:t>
      </w:r>
    </w:p>
    <w:p w14:paraId="54607800">
      <w:pPr>
        <w:pStyle w:val="7"/>
        <w:spacing w:before="0" w:beforeAutospacing="0" w:after="0" w:afterAutospacing="0" w:line="360" w:lineRule="auto"/>
        <w:ind w:firstLine="420"/>
        <w:rPr>
          <w:sz w:val="21"/>
          <w:szCs w:val="21"/>
        </w:rPr>
      </w:pPr>
      <w:r>
        <w:rPr>
          <w:rFonts w:hint="eastAsia"/>
          <w:sz w:val="21"/>
          <w:szCs w:val="21"/>
        </w:rPr>
        <w:t>14、相关法律法规以及监管部门有强制规定的，从其规定。如有新增事项，按国家最新规定估值。</w:t>
      </w:r>
    </w:p>
    <w:p w14:paraId="191D5679">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25EFF057">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9" w:name="chapter_level1_16_63_section_1_end"/>
      <w:bookmarkEnd w:id="139"/>
      <w:r>
        <w:rPr>
          <w:rFonts w:hint="eastAsia"/>
          <w:sz w:val="21"/>
          <w:szCs w:val="21"/>
        </w:rPr>
        <w:t>对外予以公布。</w:t>
      </w:r>
    </w:p>
    <w:p w14:paraId="5032C935">
      <w:pPr>
        <w:pStyle w:val="7"/>
        <w:spacing w:before="0" w:beforeAutospacing="0" w:after="0" w:afterAutospacing="0" w:line="360" w:lineRule="auto"/>
        <w:ind w:firstLine="420"/>
        <w:rPr>
          <w:sz w:val="21"/>
          <w:szCs w:val="21"/>
        </w:rPr>
      </w:pPr>
      <w:bookmarkStart w:id="140" w:name="chapter_level1_16_63_section_2"/>
      <w:bookmarkEnd w:id="140"/>
      <w:r>
        <w:rPr>
          <w:rStyle w:val="11"/>
          <w:rFonts w:hint="eastAsia"/>
          <w:sz w:val="21"/>
          <w:szCs w:val="21"/>
        </w:rPr>
        <w:t>五、估值程序</w:t>
      </w:r>
    </w:p>
    <w:p w14:paraId="5373F32B">
      <w:pPr>
        <w:pStyle w:val="7"/>
        <w:spacing w:before="0" w:beforeAutospacing="0" w:after="0" w:afterAutospacing="0" w:line="360" w:lineRule="auto"/>
        <w:ind w:firstLine="420"/>
        <w:rPr>
          <w:sz w:val="21"/>
          <w:szCs w:val="21"/>
        </w:rPr>
      </w:pPr>
      <w:r>
        <w:rPr>
          <w:rFonts w:hint="eastAsia"/>
          <w:sz w:val="21"/>
          <w:szCs w:val="21"/>
        </w:rPr>
        <w:t>1、基金份额净值是按照每个工作日闭市后，基金资产净值除以当日基金份额的余额数量计算，精确到</w:t>
      </w:r>
      <w:bookmarkStart w:id="141" w:name="field_63_netdecimalvalue_1"/>
      <w:r>
        <w:rPr>
          <w:sz w:val="21"/>
          <w:szCs w:val="21"/>
        </w:rPr>
        <w:t>0.0001</w:t>
      </w:r>
      <w:bookmarkEnd w:id="141"/>
      <w:r>
        <w:rPr>
          <w:rFonts w:hint="eastAsia"/>
          <w:sz w:val="21"/>
          <w:szCs w:val="21"/>
        </w:rPr>
        <w:t>元，小数点后第</w:t>
      </w:r>
      <w:bookmarkStart w:id="142" w:name="field_0_netdecimaladd1_2"/>
      <w:r>
        <w:rPr>
          <w:sz w:val="21"/>
          <w:szCs w:val="21"/>
        </w:rPr>
        <w:t>5</w:t>
      </w:r>
      <w:bookmarkEnd w:id="142"/>
      <w:r>
        <w:rPr>
          <w:rFonts w:hint="eastAsia"/>
          <w:sz w:val="21"/>
          <w:szCs w:val="21"/>
        </w:rPr>
        <w:t>位四舍五入，由此产生的误差计入基金财产。基金管理人可以设立大额赎回情形下的净值精度应急调整机制。国家另有规定的，从其规定。</w:t>
      </w:r>
    </w:p>
    <w:p w14:paraId="65B9AD72">
      <w:pPr>
        <w:pStyle w:val="7"/>
        <w:spacing w:before="0" w:beforeAutospacing="0" w:after="0" w:afterAutospacing="0" w:line="360" w:lineRule="auto"/>
        <w:ind w:firstLine="420"/>
        <w:rPr>
          <w:sz w:val="21"/>
          <w:szCs w:val="21"/>
        </w:rPr>
      </w:pPr>
      <w:r>
        <w:rPr>
          <w:rFonts w:hint="eastAsia"/>
          <w:sz w:val="21"/>
          <w:szCs w:val="21"/>
        </w:rPr>
        <w:t>基金管理人于每个工作日计算基金资产净值及基金份额净值，并按规定公告。</w:t>
      </w:r>
    </w:p>
    <w:p w14:paraId="7BD52BD0">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w:t>
      </w:r>
    </w:p>
    <w:p w14:paraId="494D3B8A">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27E64A09">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w:t>
      </w:r>
      <w:bookmarkStart w:id="143" w:name="field_63_netdecimal_2"/>
      <w:r>
        <w:rPr>
          <w:sz w:val="21"/>
          <w:szCs w:val="21"/>
        </w:rPr>
        <w:t>4</w:t>
      </w:r>
      <w:bookmarkEnd w:id="143"/>
      <w:r>
        <w:rPr>
          <w:rFonts w:hint="eastAsia"/>
          <w:sz w:val="21"/>
          <w:szCs w:val="21"/>
        </w:rPr>
        <w:t>位以内(含第</w:t>
      </w:r>
      <w:bookmarkStart w:id="144" w:name="field_63_netdecimal_3"/>
      <w:r>
        <w:rPr>
          <w:sz w:val="21"/>
          <w:szCs w:val="21"/>
        </w:rPr>
        <w:t>4</w:t>
      </w:r>
      <w:bookmarkEnd w:id="144"/>
      <w:r>
        <w:rPr>
          <w:rFonts w:hint="eastAsia"/>
          <w:sz w:val="21"/>
          <w:szCs w:val="21"/>
        </w:rPr>
        <w:t>位)发生估值错误时，视为基金份额净值错误。</w:t>
      </w:r>
    </w:p>
    <w:p w14:paraId="4A13E7F9">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14:paraId="223A5393">
      <w:pPr>
        <w:pStyle w:val="7"/>
        <w:spacing w:before="0" w:beforeAutospacing="0" w:after="0" w:afterAutospacing="0" w:line="360" w:lineRule="auto"/>
        <w:ind w:firstLine="420"/>
        <w:rPr>
          <w:sz w:val="21"/>
          <w:szCs w:val="21"/>
        </w:rPr>
      </w:pPr>
      <w:r>
        <w:rPr>
          <w:rFonts w:hint="eastAsia"/>
          <w:sz w:val="21"/>
          <w:szCs w:val="21"/>
        </w:rPr>
        <w:t>1、估值错误类型</w:t>
      </w:r>
    </w:p>
    <w:p w14:paraId="233E5FC4">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802062A">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14:paraId="17A91003">
      <w:pPr>
        <w:pStyle w:val="7"/>
        <w:spacing w:before="0" w:beforeAutospacing="0" w:after="0" w:afterAutospacing="0" w:line="360" w:lineRule="auto"/>
        <w:ind w:firstLine="420"/>
        <w:rPr>
          <w:sz w:val="21"/>
          <w:szCs w:val="21"/>
        </w:rPr>
      </w:pPr>
      <w:r>
        <w:rPr>
          <w:rFonts w:hint="eastAsia"/>
          <w:sz w:val="21"/>
          <w:szCs w:val="21"/>
        </w:rPr>
        <w:t>2、估值错误处理原则</w:t>
      </w:r>
    </w:p>
    <w:p w14:paraId="5A6E7CE6">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27B3DDEE">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14:paraId="7E3EF834">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74771D2">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14:paraId="30FB9674">
      <w:pPr>
        <w:pStyle w:val="7"/>
        <w:spacing w:before="0" w:beforeAutospacing="0" w:after="0" w:afterAutospacing="0" w:line="360" w:lineRule="auto"/>
        <w:ind w:firstLine="420"/>
        <w:rPr>
          <w:sz w:val="21"/>
          <w:szCs w:val="21"/>
        </w:rPr>
      </w:pPr>
      <w:r>
        <w:rPr>
          <w:rFonts w:hint="eastAsia"/>
          <w:sz w:val="21"/>
          <w:szCs w:val="21"/>
        </w:rPr>
        <w:t>3、估值错误处理程序</w:t>
      </w:r>
    </w:p>
    <w:p w14:paraId="4249A789">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14:paraId="68B7D577">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14:paraId="4CCB31B5">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14:paraId="383F1D8C">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14:paraId="6266F390">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14:paraId="5753F41F">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14:paraId="5C8B90C7">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14:paraId="2CE90684">
      <w:pPr>
        <w:pStyle w:val="7"/>
        <w:spacing w:before="0" w:beforeAutospacing="0" w:after="0" w:afterAutospacing="0" w:line="360" w:lineRule="auto"/>
        <w:ind w:firstLine="420"/>
        <w:rPr>
          <w:sz w:val="21"/>
          <w:szCs w:val="21"/>
        </w:rPr>
      </w:pPr>
      <w:r>
        <w:rPr>
          <w:rFonts w:hint="eastAsia"/>
          <w:sz w:val="21"/>
          <w:szCs w:val="21"/>
        </w:rPr>
        <w:t>（2）错误偏差达到基金份额净值的0.25%时，基金管理人应当通报基金托管人并报中国证监会备案；错误偏差达到基金份额净值的0.5%时，基金管理人应当公告，并报中国证监会备案。</w:t>
      </w:r>
    </w:p>
    <w:p w14:paraId="5AB1A778">
      <w:pPr>
        <w:pStyle w:val="7"/>
        <w:spacing w:before="0" w:beforeAutospacing="0" w:after="0" w:afterAutospacing="0" w:line="360" w:lineRule="auto"/>
        <w:ind w:firstLine="420"/>
        <w:rPr>
          <w:sz w:val="21"/>
          <w:szCs w:val="21"/>
        </w:rPr>
      </w:pPr>
      <w:r>
        <w:rPr>
          <w:rFonts w:hint="eastAsia"/>
          <w:sz w:val="21"/>
          <w:szCs w:val="21"/>
        </w:rPr>
        <w:t>（3）前述内容如法律法规或者监管部门另有规定的，从其规定。如果行业另有通行做法，基金管理人和基金托管人应本着平等和保护基金份额持有人利益的原则进行协商。</w:t>
      </w:r>
    </w:p>
    <w:p w14:paraId="1170C7D8">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010455BD">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5596E1D1">
      <w:pPr>
        <w:pStyle w:val="7"/>
        <w:spacing w:before="0" w:beforeAutospacing="0" w:after="0" w:afterAutospacing="0" w:line="360" w:lineRule="auto"/>
        <w:ind w:firstLine="420"/>
        <w:rPr>
          <w:sz w:val="21"/>
          <w:szCs w:val="21"/>
        </w:rPr>
      </w:pPr>
      <w:r>
        <w:rPr>
          <w:rFonts w:hint="eastAsia"/>
          <w:sz w:val="21"/>
          <w:szCs w:val="21"/>
        </w:rPr>
        <w:t>2、因不可抗力或者其他情形致使基金管理人、基金托管人无法准确评估基金资产价值时；</w:t>
      </w:r>
    </w:p>
    <w:p w14:paraId="448CEA24">
      <w:pPr>
        <w:pStyle w:val="7"/>
        <w:spacing w:before="0" w:beforeAutospacing="0" w:after="0" w:afterAutospacing="0" w:line="360" w:lineRule="auto"/>
        <w:ind w:firstLine="420"/>
        <w:rPr>
          <w:sz w:val="21"/>
          <w:szCs w:val="21"/>
        </w:rPr>
      </w:pPr>
      <w:r>
        <w:rPr>
          <w:rFonts w:hint="eastAsia"/>
          <w:sz w:val="21"/>
          <w:szCs w:val="21"/>
        </w:rPr>
        <w:t>3、当前一估值日基金资产净值50%以上的资产出现无可参考的活跃市场价格且采用估值技术仍导致公允价值存在重大不确定性时，经与基金托管人协商确认后，基金管理人应当暂停估值；</w:t>
      </w:r>
    </w:p>
    <w:p w14:paraId="1F725E3C">
      <w:pPr>
        <w:pStyle w:val="7"/>
        <w:spacing w:before="0" w:beforeAutospacing="0" w:after="0" w:afterAutospacing="0" w:line="360" w:lineRule="auto"/>
        <w:ind w:firstLine="420"/>
        <w:rPr>
          <w:sz w:val="21"/>
          <w:szCs w:val="21"/>
        </w:rPr>
      </w:pPr>
      <w:r>
        <w:rPr>
          <w:rFonts w:hint="eastAsia"/>
          <w:sz w:val="21"/>
          <w:szCs w:val="21"/>
        </w:rPr>
        <w:t>4、法律法规、中国证监会和基金合同认定的其它情形。</w:t>
      </w:r>
    </w:p>
    <w:p w14:paraId="64113CCF">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266B8864">
      <w:pPr>
        <w:pStyle w:val="7"/>
        <w:spacing w:before="0" w:beforeAutospacing="0" w:after="0" w:afterAutospacing="0" w:line="360" w:lineRule="auto"/>
        <w:ind w:firstLine="420"/>
        <w:rPr>
          <w:sz w:val="21"/>
          <w:szCs w:val="21"/>
        </w:rPr>
      </w:pPr>
      <w:r>
        <w:rPr>
          <w:rFonts w:hint="eastAsia"/>
          <w:sz w:val="21"/>
          <w:szCs w:val="21"/>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w:t>
      </w:r>
    </w:p>
    <w:p w14:paraId="0E1AA95E">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7ACE8DBB">
      <w:pPr>
        <w:pStyle w:val="7"/>
        <w:spacing w:before="0" w:beforeAutospacing="0" w:after="0" w:afterAutospacing="0" w:line="360" w:lineRule="auto"/>
        <w:ind w:firstLine="420"/>
        <w:rPr>
          <w:sz w:val="21"/>
          <w:szCs w:val="21"/>
        </w:rPr>
      </w:pPr>
      <w:r>
        <w:rPr>
          <w:rFonts w:hint="eastAsia"/>
          <w:sz w:val="21"/>
          <w:szCs w:val="21"/>
        </w:rPr>
        <w:t>1、基金管理人或基金托管人按估值方法的第13项进行估值时，所造成的误差不作为基金资产估值错误处理。</w:t>
      </w:r>
    </w:p>
    <w:p w14:paraId="12A0B708">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登记结算公司或证券经营机构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w:t>
      </w:r>
      <w:bookmarkStart w:id="145" w:name="chapter_level1_16_63_section_2_end"/>
      <w:bookmarkEnd w:id="145"/>
      <w:r>
        <w:rPr>
          <w:rFonts w:hint="eastAsia"/>
          <w:sz w:val="21"/>
          <w:szCs w:val="21"/>
        </w:rPr>
        <w:t>施消除或减轻由此造成的影响。</w:t>
      </w:r>
    </w:p>
    <w:p w14:paraId="2E8A4BCE">
      <w:pPr>
        <w:widowControl/>
        <w:jc w:val="left"/>
        <w:rPr>
          <w:rFonts w:ascii="宋体" w:hAnsi="宋体" w:eastAsia="宋体"/>
        </w:rPr>
      </w:pPr>
      <w:r>
        <w:rPr>
          <w:rFonts w:ascii="宋体" w:hAnsi="宋体" w:eastAsia="宋体"/>
        </w:rPr>
        <w:br w:type="page"/>
      </w:r>
    </w:p>
    <w:p w14:paraId="632E80EC">
      <w:pPr>
        <w:pStyle w:val="2"/>
        <w:jc w:val="center"/>
        <w:rPr>
          <w:rFonts w:ascii="宋体" w:hAnsi="宋体" w:eastAsia="宋体"/>
          <w:sz w:val="30"/>
        </w:rPr>
      </w:pPr>
      <w:bookmarkStart w:id="146" w:name="chapter_level1_17_64"/>
      <w:bookmarkStart w:id="147" w:name="_Toc207950937"/>
      <w:r>
        <w:rPr>
          <w:rFonts w:hint="eastAsia" w:ascii="宋体" w:hAnsi="宋体" w:eastAsia="宋体"/>
          <w:sz w:val="30"/>
        </w:rPr>
        <w:t>第十四部分  基金的收益与分配</w:t>
      </w:r>
      <w:bookmarkEnd w:id="146"/>
      <w:bookmarkEnd w:id="147"/>
    </w:p>
    <w:p w14:paraId="7CA2F1BB">
      <w:pPr>
        <w:pStyle w:val="7"/>
        <w:spacing w:before="0" w:beforeAutospacing="0" w:after="0" w:afterAutospacing="0" w:line="360" w:lineRule="auto"/>
        <w:ind w:firstLine="420"/>
        <w:rPr>
          <w:sz w:val="21"/>
          <w:szCs w:val="21"/>
        </w:rPr>
      </w:pPr>
      <w:bookmarkStart w:id="148" w:name="chapter_level1_17_64_section_1"/>
      <w:bookmarkEnd w:id="148"/>
      <w:r>
        <w:rPr>
          <w:rStyle w:val="11"/>
          <w:rFonts w:hint="eastAsia"/>
          <w:sz w:val="21"/>
          <w:szCs w:val="21"/>
        </w:rPr>
        <w:t>一、基金收益分配原则</w:t>
      </w:r>
    </w:p>
    <w:p w14:paraId="23BBC495">
      <w:pPr>
        <w:pStyle w:val="7"/>
        <w:spacing w:before="0" w:beforeAutospacing="0" w:after="0" w:afterAutospacing="0" w:line="360" w:lineRule="auto"/>
        <w:ind w:firstLine="420"/>
        <w:rPr>
          <w:sz w:val="21"/>
          <w:szCs w:val="21"/>
        </w:rPr>
      </w:pPr>
      <w:r>
        <w:rPr>
          <w:rFonts w:hint="eastAsia"/>
          <w:sz w:val="21"/>
          <w:szCs w:val="21"/>
        </w:rPr>
        <w:t>1、本基金基金份额的收益分配方式采用现金分红；</w:t>
      </w:r>
    </w:p>
    <w:p w14:paraId="2D10EB38">
      <w:pPr>
        <w:pStyle w:val="7"/>
        <w:spacing w:before="0" w:beforeAutospacing="0" w:after="0" w:afterAutospacing="0" w:line="360" w:lineRule="auto"/>
        <w:ind w:firstLine="420"/>
        <w:rPr>
          <w:sz w:val="21"/>
          <w:szCs w:val="21"/>
        </w:rPr>
      </w:pPr>
      <w:r>
        <w:rPr>
          <w:rFonts w:hint="eastAsia"/>
          <w:sz w:val="21"/>
          <w:szCs w:val="21"/>
        </w:rPr>
        <w:t>2、当收益评价日核定的基金份额净值增长率超过标的指数同期增长率达到0.01%以上时，可进行收益分配；</w:t>
      </w:r>
    </w:p>
    <w:p w14:paraId="3116DF76">
      <w:pPr>
        <w:pStyle w:val="7"/>
        <w:spacing w:before="0" w:beforeAutospacing="0" w:after="0" w:afterAutospacing="0" w:line="360" w:lineRule="auto"/>
        <w:ind w:firstLine="420"/>
        <w:rPr>
          <w:sz w:val="21"/>
          <w:szCs w:val="21"/>
        </w:rPr>
      </w:pPr>
      <w:r>
        <w:rPr>
          <w:rFonts w:hint="eastAsia"/>
          <w:sz w:val="21"/>
          <w:szCs w:val="21"/>
        </w:rPr>
        <w:t>3、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w:t>
      </w:r>
    </w:p>
    <w:p w14:paraId="2514DB37">
      <w:pPr>
        <w:pStyle w:val="7"/>
        <w:spacing w:before="0" w:beforeAutospacing="0" w:after="0" w:afterAutospacing="0" w:line="360" w:lineRule="auto"/>
        <w:ind w:firstLine="420"/>
        <w:rPr>
          <w:sz w:val="21"/>
          <w:szCs w:val="21"/>
        </w:rPr>
      </w:pPr>
      <w:r>
        <w:rPr>
          <w:rFonts w:hint="eastAsia"/>
          <w:sz w:val="21"/>
          <w:szCs w:val="21"/>
        </w:rPr>
        <w:t>4、若《基金合同》生效不满3个月可不进行收益分配；</w:t>
      </w:r>
    </w:p>
    <w:p w14:paraId="0B532F82">
      <w:pPr>
        <w:pStyle w:val="7"/>
        <w:spacing w:before="0" w:beforeAutospacing="0" w:after="0" w:afterAutospacing="0" w:line="360" w:lineRule="auto"/>
        <w:ind w:firstLine="420"/>
        <w:rPr>
          <w:sz w:val="21"/>
          <w:szCs w:val="21"/>
        </w:rPr>
      </w:pPr>
      <w:r>
        <w:rPr>
          <w:rFonts w:hint="eastAsia"/>
          <w:sz w:val="21"/>
          <w:szCs w:val="21"/>
        </w:rPr>
        <w:t>5、每一基金份额享有同等分配权；</w:t>
      </w:r>
    </w:p>
    <w:p w14:paraId="0E594AA4">
      <w:pPr>
        <w:pStyle w:val="7"/>
        <w:spacing w:before="0" w:beforeAutospacing="0" w:after="0" w:afterAutospacing="0" w:line="360" w:lineRule="auto"/>
        <w:ind w:firstLine="420"/>
        <w:rPr>
          <w:sz w:val="21"/>
          <w:szCs w:val="21"/>
        </w:rPr>
      </w:pPr>
      <w:r>
        <w:rPr>
          <w:rFonts w:hint="eastAsia"/>
          <w:sz w:val="21"/>
          <w:szCs w:val="21"/>
        </w:rPr>
        <w:t>6、法律法规或监管机关、证券交易所、登记机构另有规定的，从其规定。</w:t>
      </w:r>
    </w:p>
    <w:p w14:paraId="20F5B9C6">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在不违反法律法规且对基金份额持有人利益无实质性不利影响的前提下，基金管理人经与基金托管人协商一致后可对基金收益分配原则进行调整，并及时公告。</w:t>
      </w:r>
    </w:p>
    <w:p w14:paraId="2EEF5D90">
      <w:pPr>
        <w:pStyle w:val="7"/>
        <w:spacing w:before="0" w:beforeAutospacing="0" w:after="0" w:afterAutospacing="0" w:line="360" w:lineRule="auto"/>
        <w:ind w:firstLine="420"/>
        <w:rPr>
          <w:sz w:val="21"/>
          <w:szCs w:val="21"/>
        </w:rPr>
      </w:pPr>
      <w:r>
        <w:rPr>
          <w:rStyle w:val="11"/>
          <w:rFonts w:hint="eastAsia"/>
          <w:sz w:val="21"/>
          <w:szCs w:val="21"/>
        </w:rPr>
        <w:t>二、基金收益分配比例及金额的确定原则</w:t>
      </w:r>
    </w:p>
    <w:p w14:paraId="2354485D">
      <w:pPr>
        <w:pStyle w:val="7"/>
        <w:spacing w:before="0" w:beforeAutospacing="0" w:after="0" w:afterAutospacing="0" w:line="360" w:lineRule="auto"/>
        <w:ind w:firstLine="420"/>
        <w:rPr>
          <w:sz w:val="21"/>
          <w:szCs w:val="21"/>
        </w:rPr>
      </w:pPr>
      <w:r>
        <w:rPr>
          <w:rFonts w:hint="eastAsia"/>
          <w:sz w:val="21"/>
          <w:szCs w:val="21"/>
        </w:rPr>
        <w:t>1、在收益评价日，基金管理人计算基金份额净值增长率、标的指数同期增长率。</w:t>
      </w:r>
    </w:p>
    <w:p w14:paraId="3E720DAE">
      <w:pPr>
        <w:pStyle w:val="7"/>
        <w:spacing w:before="0" w:beforeAutospacing="0" w:after="0" w:afterAutospacing="0" w:line="360" w:lineRule="auto"/>
        <w:ind w:firstLine="420"/>
        <w:rPr>
          <w:sz w:val="21"/>
          <w:szCs w:val="21"/>
        </w:rPr>
      </w:pPr>
      <w:r>
        <w:rPr>
          <w:rFonts w:hint="eastAsia"/>
          <w:sz w:val="21"/>
          <w:szCs w:val="21"/>
        </w:rPr>
        <w:t>基金收益评价日本基金相对标的指数的超额收益率＝基金份额净值增长率－标的指数同期增长率。</w:t>
      </w:r>
    </w:p>
    <w:p w14:paraId="0B51C2EC">
      <w:pPr>
        <w:pStyle w:val="7"/>
        <w:spacing w:before="0" w:beforeAutospacing="0" w:after="0" w:afterAutospacing="0" w:line="360" w:lineRule="auto"/>
        <w:ind w:firstLine="420"/>
        <w:rPr>
          <w:sz w:val="21"/>
          <w:szCs w:val="21"/>
        </w:rPr>
      </w:pPr>
      <w:r>
        <w:rPr>
          <w:rFonts w:hint="eastAsia"/>
          <w:sz w:val="21"/>
          <w:szCs w:val="21"/>
        </w:rPr>
        <w:t>基金份额净值增长率为收益评价日基金份额净值与基金上市前一日基金份额净值之比减去1乘以100%；标的指数同期增长率为收益评价日标的指数收盘价与基金上市前一日标的指数收盘价之比减去1乘以100%。</w:t>
      </w:r>
    </w:p>
    <w:p w14:paraId="1A0A6B9A">
      <w:pPr>
        <w:pStyle w:val="7"/>
        <w:spacing w:before="0" w:beforeAutospacing="0" w:after="0" w:afterAutospacing="0" w:line="360" w:lineRule="auto"/>
        <w:ind w:firstLine="420"/>
        <w:rPr>
          <w:sz w:val="21"/>
          <w:szCs w:val="21"/>
        </w:rPr>
      </w:pPr>
      <w:r>
        <w:rPr>
          <w:rFonts w:hint="eastAsia"/>
          <w:sz w:val="21"/>
          <w:szCs w:val="21"/>
        </w:rPr>
        <w:t>期间如发生基金份额折算、拆分或合并，则以基金份额折算、经拆分或合并调整后的基金份额折算日为初始日重新计算上述指标。</w:t>
      </w:r>
    </w:p>
    <w:p w14:paraId="77325D4D">
      <w:pPr>
        <w:pStyle w:val="7"/>
        <w:spacing w:before="0" w:beforeAutospacing="0" w:after="0" w:afterAutospacing="0" w:line="360" w:lineRule="auto"/>
        <w:ind w:firstLine="420"/>
        <w:rPr>
          <w:sz w:val="21"/>
          <w:szCs w:val="21"/>
        </w:rPr>
      </w:pPr>
      <w:r>
        <w:rPr>
          <w:rFonts w:hint="eastAsia"/>
          <w:sz w:val="21"/>
          <w:szCs w:val="21"/>
        </w:rPr>
        <w:t>收益评价日日期以基金管理人相关公告为准。</w:t>
      </w:r>
    </w:p>
    <w:p w14:paraId="40884329">
      <w:pPr>
        <w:pStyle w:val="7"/>
        <w:spacing w:before="0" w:beforeAutospacing="0" w:after="0" w:afterAutospacing="0" w:line="360" w:lineRule="auto"/>
        <w:ind w:firstLine="420"/>
        <w:rPr>
          <w:sz w:val="21"/>
          <w:szCs w:val="21"/>
        </w:rPr>
      </w:pPr>
      <w:r>
        <w:rPr>
          <w:rFonts w:hint="eastAsia"/>
          <w:sz w:val="21"/>
          <w:szCs w:val="21"/>
        </w:rPr>
        <w:t>2、根据前述收益分配原则计算截至基金收益评价日本基金的份额可分配收益，并确定收益分配比例。</w:t>
      </w:r>
    </w:p>
    <w:p w14:paraId="2A25050B">
      <w:pPr>
        <w:pStyle w:val="7"/>
        <w:spacing w:before="0" w:beforeAutospacing="0" w:after="0" w:afterAutospacing="0" w:line="360" w:lineRule="auto"/>
        <w:ind w:firstLine="420"/>
        <w:rPr>
          <w:sz w:val="21"/>
          <w:szCs w:val="21"/>
        </w:rPr>
      </w:pPr>
      <w:r>
        <w:rPr>
          <w:rFonts w:hint="eastAsia"/>
          <w:sz w:val="21"/>
          <w:szCs w:val="21"/>
        </w:rPr>
        <w:t>3、根据前述可供分配利润及收益分配比例计算收益分配金额。</w:t>
      </w:r>
    </w:p>
    <w:p w14:paraId="3822AC11">
      <w:pPr>
        <w:pStyle w:val="7"/>
        <w:spacing w:before="0" w:beforeAutospacing="0" w:after="0" w:afterAutospacing="0" w:line="360" w:lineRule="auto"/>
        <w:ind w:firstLine="420"/>
        <w:rPr>
          <w:sz w:val="21"/>
          <w:szCs w:val="21"/>
        </w:rPr>
      </w:pPr>
      <w:r>
        <w:rPr>
          <w:rStyle w:val="11"/>
          <w:rFonts w:hint="eastAsia"/>
          <w:sz w:val="21"/>
          <w:szCs w:val="21"/>
        </w:rPr>
        <w:t>三、收益分配方案</w:t>
      </w:r>
    </w:p>
    <w:p w14:paraId="76C47776">
      <w:pPr>
        <w:pStyle w:val="7"/>
        <w:spacing w:before="0" w:beforeAutospacing="0" w:after="0" w:afterAutospacing="0" w:line="360" w:lineRule="auto"/>
        <w:ind w:firstLine="420"/>
        <w:rPr>
          <w:sz w:val="21"/>
          <w:szCs w:val="21"/>
        </w:rPr>
      </w:pPr>
      <w:r>
        <w:rPr>
          <w:rFonts w:hint="eastAsia"/>
          <w:sz w:val="21"/>
          <w:szCs w:val="21"/>
        </w:rPr>
        <w:t>基金收益分配方案中应载明基金收益分配对象、分配时间、分配数额及比例、分配方式等内容。</w:t>
      </w:r>
    </w:p>
    <w:p w14:paraId="263FF6E4">
      <w:pPr>
        <w:pStyle w:val="7"/>
        <w:spacing w:before="0" w:beforeAutospacing="0" w:after="0" w:afterAutospacing="0" w:line="360" w:lineRule="auto"/>
        <w:ind w:firstLine="420"/>
        <w:rPr>
          <w:sz w:val="21"/>
          <w:szCs w:val="21"/>
        </w:rPr>
      </w:pPr>
      <w:r>
        <w:rPr>
          <w:rStyle w:val="11"/>
          <w:rFonts w:hint="eastAsia"/>
          <w:sz w:val="21"/>
          <w:szCs w:val="21"/>
        </w:rPr>
        <w:t>四、收益分配方案的确定、公告与实施</w:t>
      </w:r>
    </w:p>
    <w:p w14:paraId="090FE145">
      <w:pPr>
        <w:pStyle w:val="7"/>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本基金收益分配方案由基金管理人拟定，并由基金托管人复核，依照《信息披露办法》的有关规定在规定媒介公告。</w:t>
      </w:r>
    </w:p>
    <w:p w14:paraId="69DBE027">
      <w:pPr>
        <w:pStyle w:val="7"/>
        <w:spacing w:before="0" w:beforeAutospacing="0" w:after="0" w:afterAutospacing="0" w:line="360" w:lineRule="auto"/>
        <w:ind w:firstLine="420"/>
        <w:rPr>
          <w:sz w:val="21"/>
          <w:szCs w:val="21"/>
        </w:rPr>
      </w:pPr>
      <w:r>
        <w:rPr>
          <w:rStyle w:val="11"/>
          <w:rFonts w:hint="eastAsia"/>
          <w:sz w:val="21"/>
          <w:szCs w:val="21"/>
        </w:rPr>
        <w:t>五、基金收益分配中发生的费用</w:t>
      </w:r>
    </w:p>
    <w:p w14:paraId="4D90BC68">
      <w:pPr>
        <w:pStyle w:val="7"/>
        <w:spacing w:before="0" w:beforeAutospacing="0" w:after="0" w:afterAutospacing="0" w:line="360" w:lineRule="auto"/>
        <w:ind w:firstLine="420"/>
        <w:rPr>
          <w:sz w:val="21"/>
          <w:szCs w:val="21"/>
        </w:rPr>
      </w:pPr>
      <w:bookmarkStart w:id="149" w:name="chapter_level1_17_64_section_1_end"/>
      <w:bookmarkEnd w:id="149"/>
      <w:r>
        <w:rPr>
          <w:rFonts w:hint="eastAsia"/>
          <w:sz w:val="21"/>
          <w:szCs w:val="21"/>
        </w:rPr>
        <w:t>基金收益分配时所发生的银行转账或其他手续费用由投资者自行承担。</w:t>
      </w:r>
    </w:p>
    <w:p w14:paraId="113322D6">
      <w:pPr>
        <w:widowControl/>
        <w:jc w:val="left"/>
        <w:rPr>
          <w:rFonts w:ascii="宋体" w:hAnsi="宋体" w:eastAsia="宋体"/>
        </w:rPr>
      </w:pPr>
      <w:r>
        <w:rPr>
          <w:rFonts w:ascii="宋体" w:hAnsi="宋体" w:eastAsia="宋体"/>
        </w:rPr>
        <w:br w:type="page"/>
      </w:r>
    </w:p>
    <w:p w14:paraId="09BE3896">
      <w:pPr>
        <w:pStyle w:val="2"/>
        <w:jc w:val="center"/>
        <w:rPr>
          <w:rFonts w:ascii="宋体" w:hAnsi="宋体" w:eastAsia="宋体"/>
          <w:sz w:val="30"/>
        </w:rPr>
      </w:pPr>
      <w:bookmarkStart w:id="150" w:name="chapter_level1_18_65"/>
      <w:bookmarkStart w:id="151" w:name="_Toc207950938"/>
      <w:r>
        <w:rPr>
          <w:rFonts w:hint="eastAsia" w:ascii="宋体" w:hAnsi="宋体" w:eastAsia="宋体"/>
          <w:sz w:val="30"/>
        </w:rPr>
        <w:t>第十五部分  基金的费用与税收</w:t>
      </w:r>
      <w:bookmarkEnd w:id="150"/>
      <w:bookmarkEnd w:id="151"/>
    </w:p>
    <w:p w14:paraId="5A53145A">
      <w:pPr>
        <w:pStyle w:val="7"/>
        <w:spacing w:before="0" w:beforeAutospacing="0" w:after="0" w:afterAutospacing="0" w:line="360" w:lineRule="auto"/>
        <w:ind w:firstLine="420"/>
        <w:rPr>
          <w:sz w:val="21"/>
          <w:szCs w:val="21"/>
        </w:rPr>
      </w:pPr>
      <w:bookmarkStart w:id="152" w:name="chapter_level1_18_65_section_1"/>
      <w:bookmarkEnd w:id="152"/>
      <w:r>
        <w:rPr>
          <w:rStyle w:val="11"/>
          <w:rFonts w:hint="eastAsia"/>
          <w:sz w:val="21"/>
          <w:szCs w:val="21"/>
        </w:rPr>
        <w:t>一、基金费用的种类</w:t>
      </w:r>
    </w:p>
    <w:p w14:paraId="1E38B8BE">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DC6F0DF">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D4EF37B">
      <w:pPr>
        <w:pStyle w:val="7"/>
        <w:spacing w:before="0" w:beforeAutospacing="0" w:after="0" w:afterAutospacing="0" w:line="360" w:lineRule="auto"/>
        <w:ind w:firstLine="420"/>
        <w:rPr>
          <w:sz w:val="21"/>
          <w:szCs w:val="21"/>
        </w:rPr>
      </w:pPr>
      <w:r>
        <w:rPr>
          <w:rFonts w:hint="eastAsia"/>
          <w:sz w:val="21"/>
          <w:szCs w:val="21"/>
        </w:rPr>
        <w:t xml:space="preserve">3、基金的证券、期货、股票期权交易费用； </w:t>
      </w:r>
    </w:p>
    <w:p w14:paraId="1EC06E55">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4、《基金合同》生效后与基金相关的信息披露费用，但法律法规、中国证监会另有规定的除外； </w:t>
      </w:r>
    </w:p>
    <w:p w14:paraId="1C9856B4">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5、《基金合同》生效后与基金相关的公证费、会计师费、律师费、仲裁费和诉讼费； </w:t>
      </w:r>
    </w:p>
    <w:p w14:paraId="338A2683">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3307D287">
      <w:pPr>
        <w:pStyle w:val="7"/>
        <w:spacing w:before="0" w:beforeAutospacing="0" w:after="0" w:afterAutospacing="0" w:line="360" w:lineRule="auto"/>
        <w:ind w:firstLine="420"/>
        <w:rPr>
          <w:sz w:val="21"/>
          <w:szCs w:val="21"/>
        </w:rPr>
      </w:pPr>
      <w:r>
        <w:rPr>
          <w:rFonts w:hint="eastAsia"/>
          <w:sz w:val="21"/>
          <w:szCs w:val="21"/>
        </w:rPr>
        <w:t xml:space="preserve">7、基金银行汇划费用、账户开户及维护费用、场内注册登记费用、IOPV计算与发布费用、收益分配中发生的费用（银行转账或其他手续费用除外）； </w:t>
      </w:r>
    </w:p>
    <w:p w14:paraId="767D43B9">
      <w:pPr>
        <w:pStyle w:val="7"/>
        <w:spacing w:before="0" w:beforeAutospacing="0" w:after="0" w:afterAutospacing="0" w:line="360" w:lineRule="auto"/>
        <w:ind w:firstLine="420"/>
        <w:rPr>
          <w:sz w:val="21"/>
          <w:szCs w:val="21"/>
        </w:rPr>
      </w:pPr>
      <w:r>
        <w:rPr>
          <w:rFonts w:hint="eastAsia"/>
          <w:sz w:val="21"/>
          <w:szCs w:val="21"/>
        </w:rPr>
        <w:t xml:space="preserve">8、基金上市费及年费； </w:t>
      </w:r>
    </w:p>
    <w:p w14:paraId="766CAE27">
      <w:pPr>
        <w:pStyle w:val="7"/>
        <w:spacing w:before="0" w:beforeAutospacing="0" w:after="0" w:afterAutospacing="0" w:line="360" w:lineRule="auto"/>
        <w:ind w:firstLine="420"/>
        <w:rPr>
          <w:sz w:val="21"/>
          <w:szCs w:val="21"/>
        </w:rPr>
      </w:pPr>
      <w:r>
        <w:rPr>
          <w:rFonts w:hint="eastAsia"/>
          <w:sz w:val="21"/>
          <w:szCs w:val="21"/>
        </w:rPr>
        <w:t xml:space="preserve">9、因投资港股通标的股票而产生的各项合理费用； </w:t>
      </w:r>
    </w:p>
    <w:p w14:paraId="19172E49">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14:paraId="5B11C661">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7C722F02">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F3D283B">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3" w:name="field_0_managementrate_1"/>
      <w:r>
        <w:rPr>
          <w:sz w:val="21"/>
          <w:szCs w:val="21"/>
        </w:rPr>
        <w:t>0.50</w:t>
      </w:r>
      <w:bookmarkEnd w:id="153"/>
      <w:r>
        <w:rPr>
          <w:rFonts w:hint="eastAsia"/>
          <w:sz w:val="21"/>
          <w:szCs w:val="21"/>
        </w:rPr>
        <w:t xml:space="preserve">%年费率计提。管理费的计算方法如下： </w:t>
      </w:r>
    </w:p>
    <w:p w14:paraId="3A527A13">
      <w:pPr>
        <w:pStyle w:val="7"/>
        <w:spacing w:before="0" w:beforeAutospacing="0" w:after="0" w:afterAutospacing="0" w:line="360" w:lineRule="auto"/>
        <w:ind w:firstLine="420"/>
        <w:rPr>
          <w:sz w:val="21"/>
          <w:szCs w:val="21"/>
        </w:rPr>
      </w:pPr>
      <w:r>
        <w:rPr>
          <w:rFonts w:hint="eastAsia"/>
          <w:sz w:val="21"/>
          <w:szCs w:val="21"/>
        </w:rPr>
        <w:t>H＝E×</w:t>
      </w:r>
      <w:bookmarkStart w:id="154" w:name="field_0_managementrate_2"/>
      <w:r>
        <w:rPr>
          <w:sz w:val="21"/>
          <w:szCs w:val="21"/>
        </w:rPr>
        <w:t>0.50</w:t>
      </w:r>
      <w:bookmarkEnd w:id="154"/>
      <w:r>
        <w:rPr>
          <w:rFonts w:hint="eastAsia"/>
          <w:sz w:val="21"/>
          <w:szCs w:val="21"/>
        </w:rPr>
        <w:t xml:space="preserve">%÷当年天数 </w:t>
      </w:r>
    </w:p>
    <w:p w14:paraId="6E1DA20F">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2DC3348F">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58FFD66C">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款指令，基金托管人复核后于次月前5个工作日内从基金财产中一次性支付给基金管理人。若遇法定节假日、公休日等，支付日期顺延至最近可支付日支付。 </w:t>
      </w:r>
    </w:p>
    <w:p w14:paraId="406A58D5">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2EFE5C3">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5" w:name="field_0_trusteerate_1"/>
      <w:r>
        <w:rPr>
          <w:sz w:val="21"/>
          <w:szCs w:val="21"/>
        </w:rPr>
        <w:t>0.10</w:t>
      </w:r>
      <w:bookmarkEnd w:id="155"/>
      <w:r>
        <w:rPr>
          <w:rFonts w:hint="eastAsia"/>
          <w:sz w:val="21"/>
          <w:szCs w:val="21"/>
        </w:rPr>
        <w:t xml:space="preserve">%年费率计提。托管费的计算方法如下： </w:t>
      </w:r>
    </w:p>
    <w:p w14:paraId="7CFB329C">
      <w:pPr>
        <w:pStyle w:val="7"/>
        <w:spacing w:before="0" w:beforeAutospacing="0" w:after="0" w:afterAutospacing="0" w:line="360" w:lineRule="auto"/>
        <w:ind w:firstLine="420"/>
        <w:rPr>
          <w:sz w:val="21"/>
          <w:szCs w:val="21"/>
        </w:rPr>
      </w:pPr>
      <w:r>
        <w:rPr>
          <w:rFonts w:hint="eastAsia"/>
          <w:sz w:val="21"/>
          <w:szCs w:val="21"/>
        </w:rPr>
        <w:t>H＝E×</w:t>
      </w:r>
      <w:bookmarkStart w:id="156" w:name="field_0_trusteerate_2"/>
      <w:r>
        <w:rPr>
          <w:sz w:val="21"/>
          <w:szCs w:val="21"/>
        </w:rPr>
        <w:t>0.10</w:t>
      </w:r>
      <w:bookmarkEnd w:id="156"/>
      <w:r>
        <w:rPr>
          <w:rFonts w:hint="eastAsia"/>
          <w:sz w:val="21"/>
          <w:szCs w:val="21"/>
        </w:rPr>
        <w:t xml:space="preserve">%÷当年天数 </w:t>
      </w:r>
    </w:p>
    <w:p w14:paraId="40BAC147">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D44811A">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1252304">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5个工作日内从基金财产中一次性支取。若遇法定节假日、公休日等，支付日期顺延至最近可支付日支付。 </w:t>
      </w:r>
    </w:p>
    <w:p w14:paraId="7FEA5D52">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上述“一、基金费用的种类”中第3－10项费用，根据有关法规及相应协议规定，按费用实际支出金额列入当期费用，由基金托管人从基金财产中支付。 </w:t>
      </w:r>
    </w:p>
    <w:p w14:paraId="2B08745A">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4CA369A8">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69629F94">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47FCC1AA">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D451084">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5976DAFD">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14:paraId="2AA74380">
      <w:pPr>
        <w:pStyle w:val="7"/>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14:paraId="57113F28">
      <w:pPr>
        <w:pStyle w:val="7"/>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14:paraId="39873911">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382BCE94">
      <w:pPr>
        <w:pStyle w:val="7"/>
        <w:spacing w:before="0" w:beforeAutospacing="0" w:after="0" w:afterAutospacing="0" w:line="360" w:lineRule="auto"/>
        <w:ind w:firstLine="420"/>
        <w:rPr>
          <w:sz w:val="21"/>
          <w:szCs w:val="21"/>
        </w:rPr>
      </w:pPr>
      <w:r>
        <w:rPr>
          <w:rStyle w:val="11"/>
          <w:rFonts w:hint="eastAsia"/>
          <w:sz w:val="21"/>
          <w:szCs w:val="21"/>
        </w:rPr>
        <w:t>四、基金税收</w:t>
      </w:r>
    </w:p>
    <w:p w14:paraId="3655E4F6">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7" w:name="chapter_level1_18_65_section_1_end"/>
      <w:bookmarkEnd w:id="157"/>
      <w:r>
        <w:rPr>
          <w:rFonts w:hint="eastAsia"/>
          <w:sz w:val="21"/>
          <w:szCs w:val="21"/>
        </w:rPr>
        <w:t xml:space="preserve">税收征收的规定代扣代缴。 </w:t>
      </w:r>
    </w:p>
    <w:p w14:paraId="17B97AB7">
      <w:pPr>
        <w:widowControl/>
        <w:jc w:val="left"/>
        <w:rPr>
          <w:rFonts w:ascii="宋体" w:hAnsi="宋体" w:eastAsia="宋体"/>
        </w:rPr>
      </w:pPr>
      <w:r>
        <w:rPr>
          <w:rFonts w:ascii="宋体" w:hAnsi="宋体" w:eastAsia="宋体"/>
        </w:rPr>
        <w:br w:type="page"/>
      </w:r>
    </w:p>
    <w:p w14:paraId="3D4D94FB">
      <w:pPr>
        <w:pStyle w:val="2"/>
        <w:jc w:val="center"/>
        <w:rPr>
          <w:rFonts w:ascii="宋体" w:hAnsi="宋体" w:eastAsia="宋体"/>
          <w:sz w:val="30"/>
        </w:rPr>
      </w:pPr>
      <w:bookmarkStart w:id="158" w:name="_Toc207950939"/>
      <w:bookmarkStart w:id="159" w:name="chapter_level1_19_66"/>
      <w:r>
        <w:rPr>
          <w:rFonts w:hint="eastAsia" w:ascii="宋体" w:hAnsi="宋体" w:eastAsia="宋体"/>
          <w:sz w:val="30"/>
        </w:rPr>
        <w:t>第十六部分  基金的会计与审计</w:t>
      </w:r>
      <w:bookmarkEnd w:id="158"/>
      <w:bookmarkEnd w:id="159"/>
    </w:p>
    <w:p w14:paraId="09DF97D1">
      <w:pPr>
        <w:pStyle w:val="7"/>
        <w:spacing w:before="0" w:beforeAutospacing="0" w:after="0" w:afterAutospacing="0" w:line="360" w:lineRule="auto"/>
        <w:ind w:firstLine="420"/>
        <w:rPr>
          <w:sz w:val="21"/>
          <w:szCs w:val="21"/>
        </w:rPr>
      </w:pPr>
      <w:bookmarkStart w:id="160" w:name="chapter_level1_19_66_section_1"/>
      <w:bookmarkEnd w:id="160"/>
      <w:r>
        <w:rPr>
          <w:rStyle w:val="11"/>
          <w:rFonts w:hint="eastAsia"/>
          <w:sz w:val="21"/>
          <w:szCs w:val="21"/>
        </w:rPr>
        <w:t>一、基金的会计政策</w:t>
      </w:r>
    </w:p>
    <w:p w14:paraId="6913FCDD">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5073F5B3">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14:paraId="0C643C4D">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76DF0922">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14:paraId="02C456BA">
      <w:pPr>
        <w:pStyle w:val="7"/>
        <w:spacing w:before="0" w:beforeAutospacing="0" w:after="0" w:afterAutospacing="0" w:line="360" w:lineRule="auto"/>
        <w:ind w:firstLine="420"/>
        <w:rPr>
          <w:sz w:val="21"/>
          <w:szCs w:val="21"/>
        </w:rPr>
      </w:pPr>
      <w:r>
        <w:rPr>
          <w:rFonts w:hint="eastAsia"/>
          <w:sz w:val="21"/>
          <w:szCs w:val="21"/>
        </w:rPr>
        <w:t>5、本基金独立建账、独立核算；</w:t>
      </w:r>
    </w:p>
    <w:p w14:paraId="48935BDB">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70FB1438">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45758E9B">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23A7212F">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1、基金管理人聘请与基金管理人、基金托管人相互独立的符合《证券法》规定的会计师事务所及其注册会计师对本基金的年度财务报表进行审计。</w:t>
      </w:r>
    </w:p>
    <w:p w14:paraId="62E2A442">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12A4A4A5">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61" w:name="chapter_level1_19_66_section_1_end"/>
      <w:bookmarkEnd w:id="161"/>
      <w:r>
        <w:rPr>
          <w:rFonts w:hint="eastAsia"/>
          <w:sz w:val="21"/>
          <w:szCs w:val="21"/>
        </w:rPr>
        <w:t>务所需按照《信息披露办法》的有关规定在规定媒介公告。</w:t>
      </w:r>
    </w:p>
    <w:p w14:paraId="56587AAE">
      <w:pPr>
        <w:widowControl/>
        <w:jc w:val="left"/>
        <w:rPr>
          <w:rFonts w:ascii="宋体" w:hAnsi="宋体" w:eastAsia="宋体"/>
        </w:rPr>
      </w:pPr>
      <w:r>
        <w:rPr>
          <w:rFonts w:ascii="宋体" w:hAnsi="宋体" w:eastAsia="宋体"/>
        </w:rPr>
        <w:br w:type="page"/>
      </w:r>
    </w:p>
    <w:p w14:paraId="0786A29E">
      <w:pPr>
        <w:pStyle w:val="2"/>
        <w:jc w:val="center"/>
        <w:rPr>
          <w:rFonts w:ascii="宋体" w:hAnsi="宋体" w:eastAsia="宋体"/>
          <w:sz w:val="30"/>
        </w:rPr>
      </w:pPr>
      <w:bookmarkStart w:id="162" w:name="chapter_level1_20_67"/>
      <w:bookmarkStart w:id="163" w:name="_Toc207950940"/>
      <w:r>
        <w:rPr>
          <w:rFonts w:hint="eastAsia" w:ascii="宋体" w:hAnsi="宋体" w:eastAsia="宋体"/>
          <w:sz w:val="30"/>
        </w:rPr>
        <w:t>第十七部分  基金的信息披露</w:t>
      </w:r>
      <w:bookmarkEnd w:id="162"/>
      <w:bookmarkEnd w:id="163"/>
    </w:p>
    <w:p w14:paraId="4A86E2F0">
      <w:pPr>
        <w:pStyle w:val="7"/>
        <w:spacing w:before="0" w:beforeAutospacing="0" w:after="0" w:afterAutospacing="0" w:line="360" w:lineRule="auto"/>
        <w:ind w:firstLine="420"/>
        <w:rPr>
          <w:sz w:val="21"/>
          <w:szCs w:val="21"/>
        </w:rPr>
      </w:pPr>
      <w:bookmarkStart w:id="164" w:name="chapter_level1_20_67_section_1"/>
      <w:bookmarkEnd w:id="164"/>
      <w:r>
        <w:rPr>
          <w:rFonts w:hint="eastAsia"/>
          <w:sz w:val="21"/>
          <w:szCs w:val="21"/>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3A5BFB17">
      <w:pPr>
        <w:pStyle w:val="7"/>
        <w:spacing w:before="0" w:beforeAutospacing="0" w:after="0" w:afterAutospacing="0" w:line="360" w:lineRule="auto"/>
        <w:ind w:firstLine="420"/>
        <w:rPr>
          <w:sz w:val="21"/>
          <w:szCs w:val="21"/>
        </w:rPr>
      </w:pPr>
      <w:r>
        <w:rPr>
          <w:rFonts w:hint="eastAsia"/>
          <w:sz w:val="21"/>
          <w:szCs w:val="21"/>
        </w:rPr>
        <w:t>二、信息披露义务人</w:t>
      </w:r>
    </w:p>
    <w:p w14:paraId="6F00B87B">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本基金信息披露义务人包括基金管理人、基金托管人、召集基金份额持有人大会的基金份额持有人等法律、行政法规和中国证监会规定的自然人、法人和非法人组织。</w:t>
      </w:r>
    </w:p>
    <w:p w14:paraId="33356FBA">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302F55F4">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49D660C1">
      <w:pPr>
        <w:pStyle w:val="7"/>
        <w:spacing w:before="0" w:beforeAutospacing="0" w:after="0" w:afterAutospacing="0" w:line="360" w:lineRule="auto"/>
        <w:ind w:firstLine="420"/>
        <w:rPr>
          <w:sz w:val="21"/>
          <w:szCs w:val="21"/>
        </w:rPr>
      </w:pPr>
      <w:r>
        <w:rPr>
          <w:rFonts w:hint="eastAsia"/>
          <w:sz w:val="21"/>
          <w:szCs w:val="21"/>
        </w:rPr>
        <w:t>三、本基金信息披露义务人承诺公开披露的基金信息，不得有下列行为：</w:t>
      </w:r>
    </w:p>
    <w:p w14:paraId="0C255BC3">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14:paraId="275A8686">
      <w:pPr>
        <w:pStyle w:val="7"/>
        <w:spacing w:before="0" w:beforeAutospacing="0" w:after="0" w:afterAutospacing="0" w:line="360" w:lineRule="auto"/>
        <w:ind w:firstLine="420"/>
        <w:rPr>
          <w:sz w:val="21"/>
          <w:szCs w:val="21"/>
        </w:rPr>
      </w:pPr>
      <w:r>
        <w:rPr>
          <w:rFonts w:hint="eastAsia"/>
          <w:sz w:val="21"/>
          <w:szCs w:val="21"/>
        </w:rPr>
        <w:t>2、对证券投资业绩进行预测；</w:t>
      </w:r>
    </w:p>
    <w:p w14:paraId="0837552C">
      <w:pPr>
        <w:pStyle w:val="7"/>
        <w:spacing w:before="0" w:beforeAutospacing="0" w:after="0" w:afterAutospacing="0" w:line="360" w:lineRule="auto"/>
        <w:ind w:firstLine="420"/>
        <w:rPr>
          <w:sz w:val="21"/>
          <w:szCs w:val="21"/>
        </w:rPr>
      </w:pPr>
      <w:r>
        <w:rPr>
          <w:rFonts w:hint="eastAsia"/>
          <w:sz w:val="21"/>
          <w:szCs w:val="21"/>
        </w:rPr>
        <w:t>3、违规承诺收益或者承担损失；</w:t>
      </w:r>
    </w:p>
    <w:p w14:paraId="15EC5AF9">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1DE0AC30">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5、登载任何自然人、法人和非法人组织的祝贺性、恭维性或推荐性的文字；</w:t>
      </w:r>
    </w:p>
    <w:p w14:paraId="6DD2E7FC">
      <w:pPr>
        <w:pStyle w:val="7"/>
        <w:spacing w:before="0" w:beforeAutospacing="0" w:after="0" w:afterAutospacing="0" w:line="360" w:lineRule="auto"/>
        <w:ind w:firstLine="420"/>
        <w:rPr>
          <w:sz w:val="21"/>
          <w:szCs w:val="21"/>
        </w:rPr>
      </w:pPr>
      <w:r>
        <w:rPr>
          <w:rFonts w:hint="eastAsia"/>
          <w:sz w:val="21"/>
          <w:szCs w:val="21"/>
        </w:rPr>
        <w:t>6、中国证监会禁止的其他行为。</w:t>
      </w:r>
    </w:p>
    <w:p w14:paraId="6C082DF2">
      <w:pPr>
        <w:pStyle w:val="7"/>
        <w:spacing w:before="0" w:beforeAutospacing="0" w:after="0" w:afterAutospacing="0" w:line="360" w:lineRule="auto"/>
        <w:ind w:firstLine="420"/>
        <w:rPr>
          <w:sz w:val="21"/>
          <w:szCs w:val="21"/>
        </w:rPr>
      </w:pPr>
      <w:r>
        <w:rPr>
          <w:rFonts w:hint="eastAsia"/>
          <w:sz w:val="21"/>
          <w:szCs w:val="21"/>
        </w:rPr>
        <w:t>四、本基金公开披露的信息应采用中文文本。如同时采用外文文本的，基金信息披露义务人应保证不同文本的内容一致。不同文本之间发生歧义的，以中文文本为准。</w:t>
      </w:r>
    </w:p>
    <w:p w14:paraId="65EE89A1">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1ACBB374">
      <w:pPr>
        <w:pStyle w:val="7"/>
        <w:spacing w:before="0" w:beforeAutospacing="0" w:after="0" w:afterAutospacing="0" w:line="360" w:lineRule="auto"/>
        <w:ind w:firstLine="420"/>
        <w:rPr>
          <w:sz w:val="21"/>
          <w:szCs w:val="21"/>
        </w:rPr>
      </w:pPr>
      <w:r>
        <w:rPr>
          <w:rFonts w:hint="eastAsia"/>
          <w:sz w:val="21"/>
          <w:szCs w:val="21"/>
        </w:rPr>
        <w:t>五、公开披露的基金信息</w:t>
      </w:r>
    </w:p>
    <w:p w14:paraId="7A675DC4">
      <w:pPr>
        <w:pStyle w:val="7"/>
        <w:spacing w:before="0" w:beforeAutospacing="0" w:after="0" w:afterAutospacing="0" w:line="360" w:lineRule="auto"/>
        <w:ind w:firstLine="420"/>
        <w:rPr>
          <w:sz w:val="21"/>
          <w:szCs w:val="21"/>
        </w:rPr>
      </w:pPr>
      <w:r>
        <w:rPr>
          <w:rFonts w:hint="eastAsia"/>
          <w:sz w:val="21"/>
          <w:szCs w:val="21"/>
        </w:rPr>
        <w:t>公开披露的基金信息包括：</w:t>
      </w:r>
    </w:p>
    <w:p w14:paraId="3DFAF3B4">
      <w:pPr>
        <w:pStyle w:val="7"/>
        <w:spacing w:before="0" w:beforeAutospacing="0" w:after="0" w:afterAutospacing="0" w:line="360" w:lineRule="auto"/>
        <w:ind w:firstLine="420"/>
        <w:rPr>
          <w:sz w:val="21"/>
          <w:szCs w:val="21"/>
        </w:rPr>
      </w:pPr>
      <w:r>
        <w:rPr>
          <w:rFonts w:hint="eastAsia"/>
          <w:sz w:val="21"/>
          <w:szCs w:val="21"/>
        </w:rPr>
        <w:t>（一）基金招募说明书、基金合同、基金托管协议、基金产品资料概要</w:t>
      </w:r>
    </w:p>
    <w:p w14:paraId="31725534">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2CA7D0A1">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6E095144">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6BDA2D07">
      <w:pPr>
        <w:pStyle w:val="7"/>
        <w:spacing w:before="0" w:beforeAutospacing="0" w:after="0" w:afterAutospacing="0" w:line="360" w:lineRule="auto"/>
        <w:ind w:firstLine="420"/>
        <w:rPr>
          <w:sz w:val="21"/>
          <w:szCs w:val="21"/>
        </w:rPr>
      </w:pPr>
      <w:r>
        <w:rPr>
          <w:rFonts w:hint="eastAsia"/>
          <w:sz w:val="21"/>
          <w:szCs w:val="21"/>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70868A62">
      <w:pPr>
        <w:pStyle w:val="7"/>
        <w:spacing w:before="0" w:beforeAutospacing="0" w:after="0" w:afterAutospacing="0" w:line="360" w:lineRule="auto"/>
        <w:ind w:firstLine="420"/>
        <w:rPr>
          <w:sz w:val="21"/>
          <w:szCs w:val="21"/>
        </w:rPr>
      </w:pPr>
      <w:r>
        <w:rPr>
          <w:rFonts w:hint="eastAsia"/>
          <w:sz w:val="21"/>
          <w:szCs w:val="21"/>
        </w:rPr>
        <w:t>5、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13AE4BDF">
      <w:pPr>
        <w:pStyle w:val="7"/>
        <w:spacing w:before="0" w:beforeAutospacing="0" w:after="0" w:afterAutospacing="0" w:line="360" w:lineRule="auto"/>
        <w:ind w:firstLine="420"/>
        <w:rPr>
          <w:sz w:val="21"/>
          <w:szCs w:val="21"/>
        </w:rPr>
      </w:pPr>
      <w:r>
        <w:rPr>
          <w:rFonts w:hint="eastAsia"/>
          <w:sz w:val="21"/>
          <w:szCs w:val="21"/>
        </w:rPr>
        <w:t>（二）基金份额发售公告</w:t>
      </w:r>
    </w:p>
    <w:p w14:paraId="2D339D8D">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w:t>
      </w:r>
    </w:p>
    <w:p w14:paraId="18DA9B5C">
      <w:pPr>
        <w:pStyle w:val="7"/>
        <w:spacing w:before="0" w:beforeAutospacing="0" w:after="0" w:afterAutospacing="0" w:line="360" w:lineRule="auto"/>
        <w:ind w:firstLine="420"/>
        <w:rPr>
          <w:sz w:val="21"/>
          <w:szCs w:val="21"/>
        </w:rPr>
      </w:pPr>
      <w:r>
        <w:rPr>
          <w:rFonts w:hint="eastAsia"/>
          <w:sz w:val="21"/>
          <w:szCs w:val="21"/>
        </w:rPr>
        <w:t>（三）《基金合同》生效公告</w:t>
      </w:r>
    </w:p>
    <w:p w14:paraId="55CDC571">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基金管理人应当在收到中国证监会确认文件的次日在规定媒介上登载《基金合同》生效公告。</w:t>
      </w:r>
    </w:p>
    <w:p w14:paraId="0BB76378">
      <w:pPr>
        <w:pStyle w:val="7"/>
        <w:spacing w:before="0" w:beforeAutospacing="0" w:after="0" w:afterAutospacing="0" w:line="360" w:lineRule="auto"/>
        <w:ind w:firstLine="420"/>
        <w:rPr>
          <w:sz w:val="21"/>
          <w:szCs w:val="21"/>
        </w:rPr>
      </w:pPr>
      <w:r>
        <w:rPr>
          <w:rFonts w:hint="eastAsia"/>
          <w:sz w:val="21"/>
          <w:szCs w:val="21"/>
        </w:rPr>
        <w:t>（四）基金开始申购、赎回公告</w:t>
      </w:r>
    </w:p>
    <w:p w14:paraId="34910575">
      <w:pPr>
        <w:pStyle w:val="7"/>
        <w:spacing w:before="0" w:beforeAutospacing="0" w:after="0" w:afterAutospacing="0" w:line="360" w:lineRule="auto"/>
        <w:ind w:firstLine="420"/>
        <w:rPr>
          <w:sz w:val="21"/>
          <w:szCs w:val="21"/>
        </w:rPr>
      </w:pPr>
      <w:r>
        <w:rPr>
          <w:rFonts w:hint="eastAsia"/>
          <w:sz w:val="21"/>
          <w:szCs w:val="21"/>
        </w:rPr>
        <w:t>基金管理人应于申购开始日、赎回开始日前按规定在规定报刊及网站上公告。</w:t>
      </w:r>
    </w:p>
    <w:p w14:paraId="4A5C9CC7">
      <w:pPr>
        <w:pStyle w:val="7"/>
        <w:spacing w:before="0" w:beforeAutospacing="0" w:after="0" w:afterAutospacing="0" w:line="360" w:lineRule="auto"/>
        <w:ind w:firstLine="420"/>
        <w:rPr>
          <w:sz w:val="21"/>
          <w:szCs w:val="21"/>
        </w:rPr>
      </w:pPr>
      <w:r>
        <w:rPr>
          <w:rFonts w:hint="eastAsia"/>
          <w:sz w:val="21"/>
          <w:szCs w:val="21"/>
        </w:rPr>
        <w:t>（五）基金份额上市交易公告书</w:t>
      </w:r>
    </w:p>
    <w:p w14:paraId="32FD6CD1">
      <w:pPr>
        <w:pStyle w:val="7"/>
        <w:spacing w:before="0" w:beforeAutospacing="0" w:after="0" w:afterAutospacing="0" w:line="360" w:lineRule="auto"/>
        <w:ind w:firstLine="420"/>
        <w:rPr>
          <w:sz w:val="21"/>
          <w:szCs w:val="21"/>
        </w:rPr>
      </w:pPr>
      <w:r>
        <w:rPr>
          <w:rFonts w:hint="eastAsia"/>
          <w:sz w:val="21"/>
          <w:szCs w:val="21"/>
        </w:rPr>
        <w:t>基金份额获准在证券交易所上市交易的，基金管理人应当在基金份额上市交易三个工作日前，将基金份额上市交易公告书登载在规定网站上，并将上市交易公告书提示性公告登载在规定报刊上。</w:t>
      </w:r>
    </w:p>
    <w:p w14:paraId="015428AD">
      <w:pPr>
        <w:pStyle w:val="7"/>
        <w:spacing w:before="0" w:beforeAutospacing="0" w:after="0" w:afterAutospacing="0" w:line="360" w:lineRule="auto"/>
        <w:ind w:firstLine="420"/>
        <w:rPr>
          <w:sz w:val="21"/>
          <w:szCs w:val="21"/>
        </w:rPr>
      </w:pPr>
      <w:r>
        <w:rPr>
          <w:rFonts w:hint="eastAsia"/>
          <w:sz w:val="21"/>
          <w:szCs w:val="21"/>
        </w:rPr>
        <w:t>（六）基金份额折算日和折算结果公告</w:t>
      </w:r>
    </w:p>
    <w:p w14:paraId="4AA3B964">
      <w:pPr>
        <w:pStyle w:val="7"/>
        <w:spacing w:before="0" w:beforeAutospacing="0" w:after="0" w:afterAutospacing="0" w:line="360" w:lineRule="auto"/>
        <w:ind w:firstLine="420"/>
        <w:rPr>
          <w:sz w:val="21"/>
          <w:szCs w:val="21"/>
        </w:rPr>
      </w:pPr>
      <w:r>
        <w:rPr>
          <w:rFonts w:hint="eastAsia"/>
          <w:sz w:val="21"/>
          <w:szCs w:val="21"/>
        </w:rPr>
        <w:t>基金管理人确定基金份额折算日，并依照《信息披露办法》的有关规定将基金份额折算日公告登载于规定媒介上。</w:t>
      </w:r>
    </w:p>
    <w:p w14:paraId="0C7AD8E5">
      <w:pPr>
        <w:pStyle w:val="7"/>
        <w:spacing w:before="0" w:beforeAutospacing="0" w:after="0" w:afterAutospacing="0" w:line="360" w:lineRule="auto"/>
        <w:ind w:firstLine="420"/>
        <w:rPr>
          <w:sz w:val="21"/>
          <w:szCs w:val="21"/>
        </w:rPr>
      </w:pPr>
      <w:r>
        <w:rPr>
          <w:rFonts w:hint="eastAsia"/>
          <w:sz w:val="21"/>
          <w:szCs w:val="21"/>
        </w:rPr>
        <w:t>基金份额进行折算并由登记机构完成基金份额的变更登记后，基金管理人将基金份额折算结果公告登载于规定媒介上。</w:t>
      </w:r>
    </w:p>
    <w:p w14:paraId="21344758">
      <w:pPr>
        <w:pStyle w:val="7"/>
        <w:spacing w:before="0" w:beforeAutospacing="0" w:after="0" w:afterAutospacing="0" w:line="360" w:lineRule="auto"/>
        <w:ind w:firstLine="420"/>
        <w:rPr>
          <w:sz w:val="21"/>
          <w:szCs w:val="21"/>
        </w:rPr>
      </w:pPr>
      <w:r>
        <w:rPr>
          <w:rFonts w:hint="eastAsia"/>
          <w:sz w:val="21"/>
          <w:szCs w:val="21"/>
        </w:rPr>
        <w:t>（七）基金净值信息</w:t>
      </w:r>
    </w:p>
    <w:p w14:paraId="43A38382">
      <w:pPr>
        <w:pStyle w:val="7"/>
        <w:spacing w:before="0" w:beforeAutospacing="0" w:after="0" w:afterAutospacing="0" w:line="360" w:lineRule="auto"/>
        <w:ind w:firstLine="420"/>
        <w:rPr>
          <w:sz w:val="21"/>
          <w:szCs w:val="21"/>
        </w:rPr>
      </w:pPr>
      <w:r>
        <w:rPr>
          <w:rFonts w:hint="eastAsia"/>
          <w:sz w:val="21"/>
          <w:szCs w:val="21"/>
        </w:rPr>
        <w:t>《基金合同》生效后，在基金份额上市交易或者开始办理基金份额申购或者赎回前，基金管理人应当至少每周在规定网站披露一次基金份额净值和基金份额累计净值。</w:t>
      </w:r>
    </w:p>
    <w:p w14:paraId="5C2432B4">
      <w:pPr>
        <w:pStyle w:val="7"/>
        <w:spacing w:before="0" w:beforeAutospacing="0" w:after="0" w:afterAutospacing="0" w:line="360" w:lineRule="auto"/>
        <w:ind w:firstLine="420"/>
        <w:rPr>
          <w:sz w:val="21"/>
          <w:szCs w:val="21"/>
        </w:rPr>
      </w:pPr>
      <w:r>
        <w:rPr>
          <w:rFonts w:hint="eastAsia"/>
          <w:sz w:val="21"/>
          <w:szCs w:val="21"/>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0D661585">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基金管理人应当在不晚于半年度和年度最后一日的次日，在规定网站披露半年度和年度最后一日的基金份额净值和基金份额累计净值。</w:t>
      </w:r>
    </w:p>
    <w:p w14:paraId="1E345F03">
      <w:pPr>
        <w:pStyle w:val="7"/>
        <w:spacing w:before="0" w:beforeAutospacing="0" w:after="0" w:afterAutospacing="0" w:line="360" w:lineRule="auto"/>
        <w:ind w:firstLine="420"/>
        <w:rPr>
          <w:sz w:val="21"/>
          <w:szCs w:val="21"/>
        </w:rPr>
      </w:pPr>
      <w:r>
        <w:rPr>
          <w:rFonts w:hint="eastAsia"/>
          <w:sz w:val="21"/>
          <w:szCs w:val="21"/>
        </w:rPr>
        <w:t>（八）申购赎回清单</w:t>
      </w:r>
    </w:p>
    <w:p w14:paraId="6C123FB6">
      <w:pPr>
        <w:pStyle w:val="7"/>
        <w:spacing w:before="0" w:beforeAutospacing="0" w:after="0" w:afterAutospacing="0" w:line="360" w:lineRule="auto"/>
        <w:ind w:firstLine="420"/>
        <w:rPr>
          <w:sz w:val="21"/>
          <w:szCs w:val="21"/>
        </w:rPr>
      </w:pPr>
      <w:r>
        <w:rPr>
          <w:rFonts w:hint="eastAsia"/>
          <w:sz w:val="21"/>
          <w:szCs w:val="21"/>
        </w:rPr>
        <w:t>在开始办理基金份额申购或者赎回之后，基金管理人应当在每个开放日，通过规定网站、基金份额申购、赎回代理券商以及其他媒介公告当日的申购赎回清单。</w:t>
      </w:r>
    </w:p>
    <w:p w14:paraId="05F33447">
      <w:pPr>
        <w:pStyle w:val="7"/>
        <w:spacing w:before="0" w:beforeAutospacing="0" w:after="0" w:afterAutospacing="0" w:line="360" w:lineRule="auto"/>
        <w:ind w:firstLine="420"/>
        <w:rPr>
          <w:sz w:val="21"/>
          <w:szCs w:val="21"/>
        </w:rPr>
      </w:pPr>
      <w:r>
        <w:rPr>
          <w:rFonts w:hint="eastAsia"/>
          <w:sz w:val="21"/>
          <w:szCs w:val="21"/>
        </w:rPr>
        <w:t>（九）基金定期报告，包括基金年度报告、基金中期报告和基金季度报告（含资产组合季度报告）</w:t>
      </w:r>
    </w:p>
    <w:p w14:paraId="3B33DB41">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6FB1C591">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14:paraId="05D66614">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14:paraId="674B7D8A">
      <w:pPr>
        <w:pStyle w:val="7"/>
        <w:spacing w:before="0" w:beforeAutospacing="0" w:after="0" w:afterAutospacing="0" w:line="360" w:lineRule="auto"/>
        <w:ind w:firstLine="420"/>
        <w:rPr>
          <w:sz w:val="21"/>
          <w:szCs w:val="21"/>
        </w:rPr>
      </w:pPr>
      <w:r>
        <w:rPr>
          <w:rFonts w:hint="eastAsia"/>
          <w:sz w:val="21"/>
          <w:szCs w:val="21"/>
        </w:rPr>
        <w:t>基金合同生效不足2个月的，本基金管理人可以不编制当期季度报告、中期报告或者年度报告。</w:t>
      </w:r>
    </w:p>
    <w:p w14:paraId="11DBEDE0">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4E810B6A">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132FF06B">
      <w:pPr>
        <w:pStyle w:val="7"/>
        <w:spacing w:before="0" w:beforeAutospacing="0" w:after="0" w:afterAutospacing="0" w:line="360" w:lineRule="auto"/>
        <w:ind w:firstLine="420"/>
        <w:rPr>
          <w:sz w:val="21"/>
          <w:szCs w:val="21"/>
        </w:rPr>
      </w:pPr>
      <w:r>
        <w:rPr>
          <w:rFonts w:hint="eastAsia"/>
          <w:sz w:val="21"/>
          <w:szCs w:val="21"/>
        </w:rPr>
        <w:t>（十）临时报告</w:t>
      </w:r>
    </w:p>
    <w:p w14:paraId="2C7AF30D">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本基金发生重大事件，有关信息披露义务人应当依照《信息披露办法》编制临时报告书，并登载在规定报刊和规定网站上。</w:t>
      </w:r>
    </w:p>
    <w:p w14:paraId="210A9DE6">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146D4145">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73AE00EC">
      <w:pPr>
        <w:pStyle w:val="7"/>
        <w:spacing w:before="0" w:beforeAutospacing="0" w:after="0" w:afterAutospacing="0" w:line="360" w:lineRule="auto"/>
        <w:ind w:firstLine="420"/>
        <w:rPr>
          <w:sz w:val="21"/>
          <w:szCs w:val="21"/>
        </w:rPr>
      </w:pPr>
      <w:r>
        <w:rPr>
          <w:rFonts w:hint="eastAsia"/>
          <w:sz w:val="21"/>
          <w:szCs w:val="21"/>
        </w:rPr>
        <w:t>2、《基金合同》终止、基金清算；</w:t>
      </w:r>
    </w:p>
    <w:p w14:paraId="2ABDA4F0">
      <w:pPr>
        <w:pStyle w:val="7"/>
        <w:spacing w:before="0" w:beforeAutospacing="0" w:after="0" w:afterAutospacing="0" w:line="360" w:lineRule="auto"/>
        <w:ind w:firstLine="420"/>
        <w:rPr>
          <w:sz w:val="21"/>
          <w:szCs w:val="21"/>
        </w:rPr>
      </w:pPr>
      <w:r>
        <w:rPr>
          <w:rFonts w:hint="eastAsia"/>
          <w:sz w:val="21"/>
          <w:szCs w:val="21"/>
        </w:rPr>
        <w:t>3、转换基金运作方式、基金合并；</w:t>
      </w:r>
    </w:p>
    <w:p w14:paraId="51C4D938">
      <w:pPr>
        <w:pStyle w:val="7"/>
        <w:spacing w:before="0" w:beforeAutospacing="0" w:after="0" w:afterAutospacing="0" w:line="360" w:lineRule="auto"/>
        <w:ind w:firstLine="420"/>
        <w:rPr>
          <w:sz w:val="21"/>
          <w:szCs w:val="21"/>
        </w:rPr>
      </w:pPr>
      <w:r>
        <w:rPr>
          <w:rFonts w:hint="eastAsia"/>
          <w:sz w:val="21"/>
          <w:szCs w:val="21"/>
        </w:rPr>
        <w:t>4、更换基金管理人、基金托管人、基金份额登记机构，基金改聘会计师事务所；</w:t>
      </w:r>
    </w:p>
    <w:p w14:paraId="31873C70">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4D951C8F">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0B1B1B41">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17BCE753">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14:paraId="6B2DF41C">
      <w:pPr>
        <w:pStyle w:val="7"/>
        <w:spacing w:before="0" w:beforeAutospacing="0" w:after="0" w:afterAutospacing="0" w:line="360" w:lineRule="auto"/>
        <w:ind w:firstLine="420"/>
        <w:rPr>
          <w:sz w:val="21"/>
          <w:szCs w:val="21"/>
        </w:rPr>
      </w:pPr>
      <w:r>
        <w:rPr>
          <w:rFonts w:hint="eastAsia"/>
          <w:sz w:val="21"/>
          <w:szCs w:val="21"/>
        </w:rPr>
        <w:t>9、基金管理人的高级管理人员、基金经理和基金托管人专门基金托管部门负责人发生变动；</w:t>
      </w:r>
    </w:p>
    <w:p w14:paraId="20B8FA67">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10、基金管理人的董事在最近12个月内变更超过百分之五十，基金管理人、基金托管人专门基金托管部门的主要业务人员在最近12个月内变动超过百分之三十；</w:t>
      </w:r>
    </w:p>
    <w:p w14:paraId="1C9187A6">
      <w:pPr>
        <w:pStyle w:val="7"/>
        <w:spacing w:before="0" w:beforeAutospacing="0" w:after="0" w:afterAutospacing="0" w:line="360" w:lineRule="auto"/>
        <w:ind w:firstLine="420"/>
        <w:rPr>
          <w:sz w:val="21"/>
          <w:szCs w:val="21"/>
        </w:rPr>
      </w:pPr>
      <w:r>
        <w:rPr>
          <w:rFonts w:hint="eastAsia"/>
          <w:sz w:val="21"/>
          <w:szCs w:val="21"/>
        </w:rPr>
        <w:t>11、涉及基金财产、基金管理业务、基金托管业务的诉讼或仲裁；</w:t>
      </w:r>
    </w:p>
    <w:p w14:paraId="08EF891A">
      <w:pPr>
        <w:pStyle w:val="7"/>
        <w:spacing w:before="0" w:beforeAutospacing="0" w:after="0" w:afterAutospacing="0" w:line="360" w:lineRule="auto"/>
        <w:ind w:firstLine="420"/>
        <w:rPr>
          <w:sz w:val="21"/>
          <w:szCs w:val="21"/>
        </w:rPr>
      </w:pPr>
      <w:r>
        <w:rPr>
          <w:rFonts w:hint="eastAsia"/>
          <w:sz w:val="21"/>
          <w:szCs w:val="21"/>
        </w:rPr>
        <w:t>12、基金管理人或其高级管理人员、基金经理因基金管理业务相关行为受到重大行政处罚、刑事处罚，基金托管人或其专门基金托管部门负责人因基金托管业务相关行为受到重大行政处罚、刑事处罚；</w:t>
      </w:r>
    </w:p>
    <w:p w14:paraId="55C5688C">
      <w:pPr>
        <w:pStyle w:val="7"/>
        <w:spacing w:before="0" w:beforeAutospacing="0" w:after="0" w:afterAutospacing="0" w:line="360" w:lineRule="auto"/>
        <w:ind w:firstLine="420"/>
        <w:rPr>
          <w:sz w:val="21"/>
          <w:szCs w:val="21"/>
        </w:rPr>
      </w:pPr>
      <w:r>
        <w:rPr>
          <w:rFonts w:hint="eastAsia"/>
          <w:sz w:val="21"/>
          <w:szCs w:val="21"/>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1E87E2D5">
      <w:pPr>
        <w:pStyle w:val="7"/>
        <w:spacing w:before="0" w:beforeAutospacing="0" w:after="0" w:afterAutospacing="0" w:line="360" w:lineRule="auto"/>
        <w:ind w:firstLine="420"/>
        <w:rPr>
          <w:sz w:val="21"/>
          <w:szCs w:val="21"/>
        </w:rPr>
      </w:pPr>
      <w:r>
        <w:rPr>
          <w:rFonts w:hint="eastAsia"/>
          <w:sz w:val="21"/>
          <w:szCs w:val="21"/>
        </w:rPr>
        <w:t>14、基金收益分配事项；</w:t>
      </w:r>
    </w:p>
    <w:p w14:paraId="3EC150FB">
      <w:pPr>
        <w:pStyle w:val="7"/>
        <w:spacing w:before="0" w:beforeAutospacing="0" w:after="0" w:afterAutospacing="0" w:line="360" w:lineRule="auto"/>
        <w:ind w:firstLine="420"/>
        <w:rPr>
          <w:sz w:val="21"/>
          <w:szCs w:val="21"/>
        </w:rPr>
      </w:pPr>
      <w:r>
        <w:rPr>
          <w:rFonts w:hint="eastAsia"/>
          <w:sz w:val="21"/>
          <w:szCs w:val="21"/>
        </w:rPr>
        <w:t>15、管理费、托管费、申购费、赎回费等费用计提标准、计提方式和费率发生变更；</w:t>
      </w:r>
    </w:p>
    <w:p w14:paraId="7573A85C">
      <w:pPr>
        <w:pStyle w:val="7"/>
        <w:spacing w:before="0" w:beforeAutospacing="0" w:after="0" w:afterAutospacing="0" w:line="360" w:lineRule="auto"/>
        <w:ind w:firstLine="420"/>
        <w:rPr>
          <w:sz w:val="21"/>
          <w:szCs w:val="21"/>
        </w:rPr>
      </w:pPr>
      <w:r>
        <w:rPr>
          <w:rFonts w:hint="eastAsia"/>
          <w:sz w:val="21"/>
          <w:szCs w:val="21"/>
        </w:rPr>
        <w:t>16、基金份额净值计价错误达基金份额净值0.5%；</w:t>
      </w:r>
    </w:p>
    <w:p w14:paraId="2BA507E1">
      <w:pPr>
        <w:pStyle w:val="7"/>
        <w:spacing w:before="0" w:beforeAutospacing="0" w:after="0" w:afterAutospacing="0" w:line="360" w:lineRule="auto"/>
        <w:ind w:firstLine="420"/>
        <w:rPr>
          <w:sz w:val="21"/>
          <w:szCs w:val="21"/>
        </w:rPr>
      </w:pPr>
      <w:r>
        <w:rPr>
          <w:rFonts w:hint="eastAsia"/>
          <w:sz w:val="21"/>
          <w:szCs w:val="21"/>
        </w:rPr>
        <w:t>17、本基金开始办理申购、赎回；</w:t>
      </w:r>
    </w:p>
    <w:p w14:paraId="3BA46FD7">
      <w:pPr>
        <w:pStyle w:val="7"/>
        <w:spacing w:before="0" w:beforeAutospacing="0" w:after="0" w:afterAutospacing="0" w:line="360" w:lineRule="auto"/>
        <w:ind w:firstLine="420"/>
        <w:rPr>
          <w:sz w:val="21"/>
          <w:szCs w:val="21"/>
        </w:rPr>
      </w:pPr>
      <w:r>
        <w:rPr>
          <w:rFonts w:hint="eastAsia"/>
          <w:sz w:val="21"/>
          <w:szCs w:val="21"/>
        </w:rPr>
        <w:t>18、本基金暂停接受申购、赎回申请或重新接受申购、赎回申请；</w:t>
      </w:r>
    </w:p>
    <w:p w14:paraId="229AD42E">
      <w:pPr>
        <w:pStyle w:val="7"/>
        <w:spacing w:before="0" w:beforeAutospacing="0" w:after="0" w:afterAutospacing="0" w:line="360" w:lineRule="auto"/>
        <w:ind w:firstLine="420"/>
        <w:rPr>
          <w:sz w:val="21"/>
          <w:szCs w:val="21"/>
        </w:rPr>
      </w:pPr>
      <w:r>
        <w:rPr>
          <w:rFonts w:hint="eastAsia"/>
          <w:sz w:val="21"/>
          <w:szCs w:val="21"/>
        </w:rPr>
        <w:t>19、本基金变更标的指数；</w:t>
      </w:r>
    </w:p>
    <w:p w14:paraId="513678AE">
      <w:pPr>
        <w:pStyle w:val="7"/>
        <w:spacing w:before="0" w:beforeAutospacing="0" w:after="0" w:afterAutospacing="0" w:line="360" w:lineRule="auto"/>
        <w:ind w:firstLine="420"/>
        <w:rPr>
          <w:sz w:val="21"/>
          <w:szCs w:val="21"/>
        </w:rPr>
      </w:pPr>
      <w:r>
        <w:rPr>
          <w:rFonts w:hint="eastAsia"/>
          <w:sz w:val="21"/>
          <w:szCs w:val="21"/>
        </w:rPr>
        <w:t>20、基金份额停复牌、暂停上市、恢复上市或终止上市交易；</w:t>
      </w:r>
    </w:p>
    <w:p w14:paraId="36F38A9B">
      <w:pPr>
        <w:pStyle w:val="7"/>
        <w:spacing w:before="0" w:beforeAutospacing="0" w:after="0" w:afterAutospacing="0" w:line="360" w:lineRule="auto"/>
        <w:ind w:firstLine="420"/>
        <w:rPr>
          <w:sz w:val="21"/>
          <w:szCs w:val="21"/>
        </w:rPr>
      </w:pPr>
      <w:r>
        <w:rPr>
          <w:rFonts w:hint="eastAsia"/>
          <w:sz w:val="21"/>
          <w:szCs w:val="21"/>
        </w:rPr>
        <w:t>21、调整基金份额类别的设置；</w:t>
      </w:r>
    </w:p>
    <w:p w14:paraId="49EC850D">
      <w:pPr>
        <w:pStyle w:val="7"/>
        <w:spacing w:before="0" w:beforeAutospacing="0" w:after="0" w:afterAutospacing="0" w:line="360" w:lineRule="auto"/>
        <w:ind w:firstLine="420"/>
        <w:rPr>
          <w:sz w:val="21"/>
          <w:szCs w:val="21"/>
        </w:rPr>
      </w:pPr>
      <w:r>
        <w:rPr>
          <w:rFonts w:hint="eastAsia"/>
          <w:sz w:val="21"/>
          <w:szCs w:val="21"/>
        </w:rPr>
        <w:t>22、基金推出新业务或服务；</w:t>
      </w:r>
    </w:p>
    <w:p w14:paraId="33DA25C1">
      <w:pPr>
        <w:pStyle w:val="7"/>
        <w:spacing w:before="0" w:beforeAutospacing="0" w:after="0" w:afterAutospacing="0" w:line="360" w:lineRule="auto"/>
        <w:ind w:firstLine="420"/>
        <w:rPr>
          <w:sz w:val="21"/>
          <w:szCs w:val="21"/>
        </w:rPr>
      </w:pPr>
      <w:r>
        <w:rPr>
          <w:rFonts w:hint="eastAsia"/>
          <w:sz w:val="21"/>
          <w:szCs w:val="21"/>
        </w:rPr>
        <w:t>23、发生涉及本基金申购、赎回事项调整或潜在影响投资者赎回等重大事项时；</w:t>
      </w:r>
    </w:p>
    <w:p w14:paraId="27A6A2B5">
      <w:pPr>
        <w:pStyle w:val="7"/>
        <w:spacing w:before="0" w:beforeAutospacing="0" w:after="0" w:afterAutospacing="0" w:line="360" w:lineRule="auto"/>
        <w:ind w:firstLine="420"/>
        <w:rPr>
          <w:sz w:val="21"/>
          <w:szCs w:val="21"/>
        </w:rPr>
      </w:pPr>
      <w:r>
        <w:rPr>
          <w:rFonts w:hint="eastAsia"/>
          <w:sz w:val="21"/>
          <w:szCs w:val="21"/>
        </w:rPr>
        <w:t>24、连续30个工作日、40个工作日及45个工作日出现基金份额持有人数量不满二百人或者基金资产净值低于五千万元情形的；</w:t>
      </w:r>
    </w:p>
    <w:p w14:paraId="2C2B2C83">
      <w:pPr>
        <w:pStyle w:val="7"/>
        <w:spacing w:before="0" w:beforeAutospacing="0" w:after="0" w:afterAutospacing="0" w:line="360" w:lineRule="auto"/>
        <w:ind w:firstLine="420"/>
        <w:rPr>
          <w:sz w:val="21"/>
          <w:szCs w:val="21"/>
        </w:rPr>
      </w:pPr>
      <w:r>
        <w:rPr>
          <w:rFonts w:hint="eastAsia"/>
          <w:sz w:val="21"/>
          <w:szCs w:val="21"/>
        </w:rPr>
        <w:t>25、基金信息披露义务人认为可能对基金份额持有人权益或者基金份额的价格产生重大影响的其他事项、中国证监会或基金合同规定的其他事项。</w:t>
      </w:r>
    </w:p>
    <w:p w14:paraId="10C85992">
      <w:pPr>
        <w:pStyle w:val="7"/>
        <w:spacing w:before="0" w:beforeAutospacing="0" w:after="0" w:afterAutospacing="0" w:line="360" w:lineRule="auto"/>
        <w:ind w:firstLine="420"/>
        <w:rPr>
          <w:sz w:val="21"/>
          <w:szCs w:val="21"/>
        </w:rPr>
      </w:pPr>
      <w:r>
        <w:rPr>
          <w:rFonts w:hint="eastAsia"/>
          <w:sz w:val="21"/>
          <w:szCs w:val="21"/>
        </w:rPr>
        <w:t>（十一）澄清公告</w:t>
      </w:r>
    </w:p>
    <w:p w14:paraId="46BFFF7C">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10407168">
      <w:pPr>
        <w:pStyle w:val="7"/>
        <w:spacing w:before="0" w:beforeAutospacing="0" w:after="0" w:afterAutospacing="0" w:line="360" w:lineRule="auto"/>
        <w:ind w:firstLine="420"/>
        <w:rPr>
          <w:sz w:val="21"/>
          <w:szCs w:val="21"/>
        </w:rPr>
      </w:pPr>
      <w:r>
        <w:rPr>
          <w:rFonts w:hint="eastAsia"/>
          <w:sz w:val="21"/>
          <w:szCs w:val="21"/>
        </w:rPr>
        <w:t>（十二）清算报告</w:t>
      </w:r>
    </w:p>
    <w:p w14:paraId="504F3F6F">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清算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5489F183">
      <w:pPr>
        <w:pStyle w:val="7"/>
        <w:spacing w:before="0" w:beforeAutospacing="0" w:after="0" w:afterAutospacing="0" w:line="360" w:lineRule="auto"/>
        <w:ind w:firstLine="420"/>
        <w:rPr>
          <w:sz w:val="21"/>
          <w:szCs w:val="21"/>
        </w:rPr>
      </w:pPr>
      <w:r>
        <w:rPr>
          <w:rFonts w:hint="eastAsia"/>
          <w:sz w:val="21"/>
          <w:szCs w:val="21"/>
        </w:rPr>
        <w:t>（十三）基金份额持有人大会决议</w:t>
      </w:r>
    </w:p>
    <w:p w14:paraId="2B4A074C">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08689698">
      <w:pPr>
        <w:pStyle w:val="7"/>
        <w:spacing w:before="0" w:beforeAutospacing="0" w:after="0" w:afterAutospacing="0" w:line="360" w:lineRule="auto"/>
        <w:ind w:firstLine="420"/>
        <w:rPr>
          <w:sz w:val="21"/>
          <w:szCs w:val="21"/>
        </w:rPr>
      </w:pPr>
      <w:r>
        <w:rPr>
          <w:rFonts w:hint="eastAsia"/>
          <w:sz w:val="21"/>
          <w:szCs w:val="21"/>
        </w:rPr>
        <w:t>（十四）基金投资资产支持证券的信息披露</w:t>
      </w:r>
    </w:p>
    <w:p w14:paraId="7F09AA08">
      <w:pPr>
        <w:pStyle w:val="7"/>
        <w:spacing w:before="0" w:beforeAutospacing="0" w:after="0" w:afterAutospacing="0" w:line="360" w:lineRule="auto"/>
        <w:ind w:firstLine="420"/>
        <w:rPr>
          <w:sz w:val="21"/>
          <w:szCs w:val="21"/>
        </w:rPr>
      </w:pPr>
      <w:r>
        <w:rPr>
          <w:rFonts w:hint="eastAsia"/>
          <w:sz w:val="21"/>
          <w:szCs w:val="21"/>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78557178">
      <w:pPr>
        <w:pStyle w:val="7"/>
        <w:spacing w:before="0" w:beforeAutospacing="0" w:after="0" w:afterAutospacing="0" w:line="360" w:lineRule="auto"/>
        <w:ind w:firstLine="420"/>
        <w:rPr>
          <w:sz w:val="21"/>
          <w:szCs w:val="21"/>
        </w:rPr>
      </w:pPr>
      <w:r>
        <w:rPr>
          <w:rFonts w:hint="eastAsia"/>
          <w:sz w:val="21"/>
          <w:szCs w:val="21"/>
        </w:rPr>
        <w:t>（十五）基金投资股指期货、国债期货、股票期权的信息披露</w:t>
      </w:r>
    </w:p>
    <w:p w14:paraId="31556A7D">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投资政策、持仓情况、损益情况、风险指标、估值方法等，并充分揭示股指期货、国债期货、股票期权交易对基金总体风险的影响以及是否符合既定的交易政策和交易目标等。</w:t>
      </w:r>
    </w:p>
    <w:p w14:paraId="583C5DED">
      <w:pPr>
        <w:pStyle w:val="7"/>
        <w:spacing w:before="0" w:beforeAutospacing="0" w:after="0" w:afterAutospacing="0" w:line="360" w:lineRule="auto"/>
        <w:ind w:firstLine="420"/>
        <w:rPr>
          <w:sz w:val="21"/>
          <w:szCs w:val="21"/>
        </w:rPr>
      </w:pPr>
      <w:r>
        <w:rPr>
          <w:rFonts w:hint="eastAsia"/>
          <w:sz w:val="21"/>
          <w:szCs w:val="21"/>
        </w:rPr>
        <w:t>（十六）参与融资和转融通证券出借业务的信息披露</w:t>
      </w:r>
    </w:p>
    <w:p w14:paraId="04809558">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交易情况，包括投资策略、业务开展情况、损益情况、风险及其管理情况等，并就转融通证券出借业务在报告期内发生的重大关联交易事项做详细说明。</w:t>
      </w:r>
    </w:p>
    <w:p w14:paraId="43E19EB7">
      <w:pPr>
        <w:pStyle w:val="7"/>
        <w:spacing w:before="0" w:beforeAutospacing="0" w:after="0" w:afterAutospacing="0" w:line="360" w:lineRule="auto"/>
        <w:ind w:firstLine="420"/>
        <w:rPr>
          <w:sz w:val="21"/>
          <w:szCs w:val="21"/>
        </w:rPr>
      </w:pPr>
      <w:r>
        <w:rPr>
          <w:rFonts w:hint="eastAsia"/>
          <w:sz w:val="21"/>
          <w:szCs w:val="21"/>
        </w:rPr>
        <w:t>（十七）基金投资港股通标的股票的信息披露</w:t>
      </w:r>
    </w:p>
    <w:p w14:paraId="33F9DE9C">
      <w:pPr>
        <w:pStyle w:val="7"/>
        <w:spacing w:before="0" w:beforeAutospacing="0" w:after="0" w:afterAutospacing="0" w:line="360" w:lineRule="auto"/>
        <w:ind w:firstLine="420"/>
        <w:rPr>
          <w:sz w:val="21"/>
          <w:szCs w:val="21"/>
        </w:rPr>
      </w:pPr>
      <w:r>
        <w:rPr>
          <w:rFonts w:hint="eastAsia"/>
          <w:sz w:val="21"/>
          <w:szCs w:val="21"/>
        </w:rPr>
        <w:t>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w:t>
      </w:r>
    </w:p>
    <w:p w14:paraId="2DFB1BCB">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14:paraId="19A88DC4">
      <w:pPr>
        <w:pStyle w:val="7"/>
        <w:spacing w:before="0" w:beforeAutospacing="0" w:after="0" w:afterAutospacing="0" w:line="360" w:lineRule="auto"/>
        <w:ind w:firstLine="420"/>
        <w:rPr>
          <w:sz w:val="21"/>
          <w:szCs w:val="21"/>
        </w:rPr>
      </w:pPr>
      <w:r>
        <w:rPr>
          <w:rFonts w:hint="eastAsia"/>
          <w:sz w:val="21"/>
          <w:szCs w:val="21"/>
        </w:rPr>
        <w:t>六、信息披露事务管理</w:t>
      </w:r>
    </w:p>
    <w:p w14:paraId="383B600E">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246A1B49">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基金信息披露义务人公开披露基金信息，应当符合中国证监会相关基金信息披露内容与格式准则等法规以及证券交易所的自律管理规则的规定。</w:t>
      </w:r>
    </w:p>
    <w:p w14:paraId="69E054F0">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基金份额净值、申购对价、赎回对价、基金定期报告、更新的招募说明书、基金产品资料概要、基金清算报告等相关基金信息进行复核、审查，并向基金管理人进行书面或电子确认。</w:t>
      </w:r>
    </w:p>
    <w:p w14:paraId="75CB4B66">
      <w:pPr>
        <w:pStyle w:val="7"/>
        <w:spacing w:before="0" w:beforeAutospacing="0" w:after="0" w:afterAutospacing="0" w:line="360" w:lineRule="auto"/>
        <w:ind w:firstLine="420"/>
        <w:rPr>
          <w:sz w:val="21"/>
          <w:szCs w:val="21"/>
        </w:rPr>
      </w:pPr>
      <w:r>
        <w:rPr>
          <w:rFonts w:hint="eastAsia"/>
          <w:sz w:val="21"/>
          <w:szCs w:val="21"/>
        </w:rPr>
        <w:t>基金管理人、基金托管人应当在规定报刊中选择一家披露信息的报刊。基金管理人、基金托管人应当向中国证监会基金电子披露网站报送拟披露的基金信息，并保证相关报送信息的真实、准确、完整、及时。</w:t>
      </w:r>
    </w:p>
    <w:p w14:paraId="3DBCCBCF">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284E2D41">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5F7A718D">
      <w:pPr>
        <w:pStyle w:val="7"/>
        <w:spacing w:before="0" w:beforeAutospacing="0" w:after="0" w:afterAutospacing="0" w:line="360" w:lineRule="auto"/>
        <w:ind w:firstLine="420"/>
        <w:rPr>
          <w:sz w:val="21"/>
          <w:szCs w:val="21"/>
        </w:rPr>
      </w:pPr>
      <w:r>
        <w:rPr>
          <w:rFonts w:hint="eastAsia"/>
          <w:sz w:val="21"/>
          <w:szCs w:val="21"/>
        </w:rPr>
        <w:t>七、信息披露文件的存放与查阅</w:t>
      </w:r>
    </w:p>
    <w:p w14:paraId="30DEB522">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依法必须披露的信息发布后，基金管理人、基金托管人应当按照相关法律法规规定将信息置备于各自住所和基金上市交易的证券交易所，供社会公众查阅、复制。</w:t>
      </w:r>
    </w:p>
    <w:p w14:paraId="5250BA03">
      <w:pPr>
        <w:pStyle w:val="7"/>
        <w:spacing w:before="0" w:beforeAutospacing="0" w:after="0" w:afterAutospacing="0" w:line="360" w:lineRule="auto"/>
        <w:ind w:firstLine="420"/>
        <w:rPr>
          <w:sz w:val="21"/>
          <w:szCs w:val="21"/>
        </w:rPr>
      </w:pPr>
      <w:r>
        <w:rPr>
          <w:rFonts w:hint="eastAsia"/>
          <w:sz w:val="21"/>
          <w:szCs w:val="21"/>
        </w:rPr>
        <w:t>八、暂停或延迟披露基金相关信息的情形</w:t>
      </w:r>
    </w:p>
    <w:p w14:paraId="3F9418B3">
      <w:pPr>
        <w:pStyle w:val="7"/>
        <w:spacing w:before="0" w:beforeAutospacing="0" w:after="0" w:afterAutospacing="0" w:line="360" w:lineRule="auto"/>
        <w:ind w:firstLine="420"/>
        <w:rPr>
          <w:sz w:val="21"/>
          <w:szCs w:val="21"/>
        </w:rPr>
      </w:pPr>
      <w:r>
        <w:rPr>
          <w:rFonts w:hint="eastAsia"/>
          <w:sz w:val="21"/>
          <w:szCs w:val="21"/>
        </w:rPr>
        <w:t>当出现下述情况时，基金管理人和基金托管人可暂停或延迟披露基金相关信息：</w:t>
      </w:r>
    </w:p>
    <w:p w14:paraId="1F08D9C9">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70F3E367">
      <w:pPr>
        <w:pStyle w:val="7"/>
        <w:spacing w:before="0" w:beforeAutospacing="0" w:after="0" w:afterAutospacing="0" w:line="360" w:lineRule="auto"/>
        <w:ind w:firstLine="420"/>
        <w:rPr>
          <w:sz w:val="21"/>
          <w:szCs w:val="21"/>
        </w:rPr>
      </w:pPr>
      <w:r>
        <w:rPr>
          <w:rFonts w:hint="eastAsia"/>
          <w:sz w:val="21"/>
          <w:szCs w:val="21"/>
        </w:rPr>
        <w:t>2、因不可抗力或者其他情形致使基金管理人、基金托管人无法准确评估基金资产价值时；</w:t>
      </w:r>
    </w:p>
    <w:p w14:paraId="5EE1D24D">
      <w:pPr>
        <w:pStyle w:val="7"/>
        <w:spacing w:before="0" w:beforeAutospacing="0" w:after="0" w:afterAutospacing="0" w:line="360" w:lineRule="auto"/>
        <w:ind w:firstLine="420"/>
        <w:rPr>
          <w:sz w:val="21"/>
          <w:szCs w:val="21"/>
        </w:rPr>
      </w:pPr>
      <w:r>
        <w:rPr>
          <w:rFonts w:hint="eastAsia"/>
          <w:sz w:val="21"/>
          <w:szCs w:val="21"/>
        </w:rPr>
        <w:t>3、当前一估值日基金资产净值50%以上的资产出现无可参考的活跃市场价格且采用估值技术仍导致公允价值存在重大不确定性时，经与基金托管人协商确认后，基金管理人应当暂停估值；</w:t>
      </w:r>
    </w:p>
    <w:p w14:paraId="03578AB2">
      <w:pPr>
        <w:pStyle w:val="7"/>
        <w:spacing w:before="0" w:beforeAutospacing="0" w:after="0" w:afterAutospacing="0" w:line="360" w:lineRule="auto"/>
        <w:ind w:firstLine="420"/>
        <w:rPr>
          <w:sz w:val="21"/>
          <w:szCs w:val="21"/>
        </w:rPr>
      </w:pPr>
      <w:bookmarkStart w:id="165" w:name="chapter_level1_20_67_section_1_end"/>
      <w:bookmarkEnd w:id="165"/>
      <w:r>
        <w:rPr>
          <w:rFonts w:hint="eastAsia"/>
          <w:sz w:val="21"/>
          <w:szCs w:val="21"/>
        </w:rPr>
        <w:t>4、法律法规、中国证监会和基金合同认定的其它情形。</w:t>
      </w:r>
    </w:p>
    <w:p w14:paraId="0440B0CE">
      <w:pPr>
        <w:widowControl/>
        <w:jc w:val="left"/>
        <w:rPr>
          <w:rFonts w:ascii="宋体" w:hAnsi="宋体" w:eastAsia="宋体"/>
        </w:rPr>
      </w:pPr>
      <w:r>
        <w:rPr>
          <w:rFonts w:ascii="宋体" w:hAnsi="宋体" w:eastAsia="宋体"/>
        </w:rPr>
        <w:br w:type="page"/>
      </w:r>
    </w:p>
    <w:p w14:paraId="4D1076B1">
      <w:pPr>
        <w:pStyle w:val="2"/>
        <w:jc w:val="center"/>
        <w:rPr>
          <w:rFonts w:ascii="宋体" w:hAnsi="宋体" w:eastAsia="宋体"/>
          <w:sz w:val="30"/>
        </w:rPr>
      </w:pPr>
      <w:bookmarkStart w:id="166" w:name="chapter_level1_22_68"/>
      <w:bookmarkStart w:id="167" w:name="_Toc207950941"/>
      <w:r>
        <w:rPr>
          <w:rFonts w:hint="eastAsia" w:ascii="宋体" w:hAnsi="宋体" w:eastAsia="宋体"/>
          <w:sz w:val="30"/>
        </w:rPr>
        <w:t>第十八部分  风险揭示</w:t>
      </w:r>
      <w:bookmarkEnd w:id="166"/>
      <w:bookmarkEnd w:id="167"/>
    </w:p>
    <w:p w14:paraId="48A92FC6">
      <w:pPr>
        <w:pStyle w:val="7"/>
        <w:spacing w:before="0" w:beforeAutospacing="0" w:after="0" w:afterAutospacing="0" w:line="360" w:lineRule="auto"/>
        <w:ind w:firstLine="420"/>
        <w:rPr>
          <w:sz w:val="21"/>
          <w:szCs w:val="21"/>
        </w:rPr>
      </w:pPr>
      <w:bookmarkStart w:id="168" w:name="chapter_level1_22_68_section_1"/>
      <w:bookmarkEnd w:id="168"/>
      <w:r>
        <w:rPr>
          <w:rFonts w:hint="eastAsia"/>
          <w:sz w:val="21"/>
          <w:szCs w:val="21"/>
        </w:rPr>
        <w:t>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w:t>
      </w:r>
    </w:p>
    <w:p w14:paraId="013DC63A">
      <w:pPr>
        <w:pStyle w:val="7"/>
        <w:spacing w:before="0" w:beforeAutospacing="0" w:after="0" w:afterAutospacing="0" w:line="360" w:lineRule="auto"/>
        <w:ind w:firstLine="420"/>
        <w:rPr>
          <w:sz w:val="21"/>
          <w:szCs w:val="21"/>
        </w:rPr>
      </w:pPr>
      <w:r>
        <w:rPr>
          <w:rFonts w:hint="eastAsia"/>
          <w:sz w:val="21"/>
          <w:szCs w:val="21"/>
        </w:rPr>
        <w:t>投资于本基金的主要风险包括以下几个方面：</w:t>
      </w:r>
    </w:p>
    <w:p w14:paraId="723981C1">
      <w:pPr>
        <w:pStyle w:val="7"/>
        <w:spacing w:before="0" w:beforeAutospacing="0" w:after="0" w:afterAutospacing="0" w:line="360" w:lineRule="auto"/>
        <w:ind w:firstLine="420"/>
        <w:rPr>
          <w:sz w:val="21"/>
          <w:szCs w:val="21"/>
        </w:rPr>
      </w:pPr>
      <w:r>
        <w:rPr>
          <w:rStyle w:val="11"/>
          <w:rFonts w:hint="eastAsia"/>
          <w:sz w:val="21"/>
          <w:szCs w:val="21"/>
          <w:lang w:val="en-US" w:eastAsia="zh-CN"/>
        </w:rPr>
        <w:t>一、</w:t>
      </w:r>
      <w:r>
        <w:rPr>
          <w:rStyle w:val="11"/>
          <w:rFonts w:hint="eastAsia"/>
          <w:sz w:val="21"/>
          <w:szCs w:val="21"/>
        </w:rPr>
        <w:t>标的指数回报与股票市场平均回报偏离的风险 </w:t>
      </w:r>
    </w:p>
    <w:p w14:paraId="5FD4DBE0">
      <w:pPr>
        <w:pStyle w:val="7"/>
        <w:spacing w:before="0" w:beforeAutospacing="0" w:after="0" w:afterAutospacing="0" w:line="360" w:lineRule="auto"/>
        <w:ind w:firstLine="420"/>
        <w:rPr>
          <w:sz w:val="21"/>
          <w:szCs w:val="21"/>
        </w:rPr>
      </w:pPr>
      <w:r>
        <w:rPr>
          <w:rFonts w:hint="eastAsia"/>
          <w:sz w:val="21"/>
          <w:szCs w:val="21"/>
        </w:rPr>
        <w:t>标的指数并不能完全代表整个股票市场。标的指数成份股的平均回报率与整个股票市场的平均回报率可能存在偏离。 </w:t>
      </w:r>
    </w:p>
    <w:p w14:paraId="253EC900">
      <w:pPr>
        <w:pStyle w:val="7"/>
        <w:spacing w:before="0" w:beforeAutospacing="0" w:after="0" w:afterAutospacing="0" w:line="360" w:lineRule="auto"/>
        <w:ind w:firstLine="420"/>
        <w:rPr>
          <w:sz w:val="21"/>
          <w:szCs w:val="21"/>
        </w:rPr>
      </w:pPr>
      <w:r>
        <w:rPr>
          <w:rStyle w:val="11"/>
          <w:rFonts w:hint="eastAsia"/>
          <w:sz w:val="21"/>
          <w:szCs w:val="21"/>
          <w:lang w:val="en-US" w:eastAsia="zh-CN"/>
        </w:rPr>
        <w:t>二、</w:t>
      </w:r>
      <w:r>
        <w:rPr>
          <w:rStyle w:val="11"/>
          <w:rFonts w:hint="eastAsia"/>
          <w:sz w:val="21"/>
          <w:szCs w:val="21"/>
        </w:rPr>
        <w:t>标的指数波动的风险 </w:t>
      </w:r>
    </w:p>
    <w:p w14:paraId="031EF337">
      <w:pPr>
        <w:pStyle w:val="7"/>
        <w:spacing w:before="0" w:beforeAutospacing="0" w:after="0" w:afterAutospacing="0" w:line="360" w:lineRule="auto"/>
        <w:ind w:firstLine="420"/>
        <w:rPr>
          <w:sz w:val="21"/>
          <w:szCs w:val="21"/>
        </w:rPr>
      </w:pPr>
      <w:r>
        <w:rPr>
          <w:rFonts w:hint="eastAsia"/>
          <w:sz w:val="21"/>
          <w:szCs w:val="21"/>
        </w:rPr>
        <w:t>标的指数成份股的价格可能受到政治因素、经济因素、上市公司经营状况、投资人心理和交易制度等各种因素的影响而波动，导致指数波动，从而使基金收益水平发生变化，产生风险。 </w:t>
      </w:r>
    </w:p>
    <w:p w14:paraId="1CD92AEA">
      <w:pPr>
        <w:pStyle w:val="7"/>
        <w:spacing w:before="0" w:beforeAutospacing="0" w:after="0" w:afterAutospacing="0" w:line="360" w:lineRule="auto"/>
        <w:ind w:firstLine="420"/>
        <w:rPr>
          <w:sz w:val="21"/>
          <w:szCs w:val="21"/>
        </w:rPr>
      </w:pPr>
      <w:r>
        <w:rPr>
          <w:rStyle w:val="11"/>
          <w:rFonts w:hint="eastAsia"/>
          <w:sz w:val="21"/>
          <w:szCs w:val="21"/>
          <w:lang w:val="en-US" w:eastAsia="zh-CN"/>
        </w:rPr>
        <w:t>三、</w:t>
      </w:r>
      <w:r>
        <w:rPr>
          <w:rStyle w:val="11"/>
          <w:rFonts w:hint="eastAsia"/>
          <w:sz w:val="21"/>
          <w:szCs w:val="21"/>
        </w:rPr>
        <w:t>基金投资组合回报与标的指数回报偏离的风险 </w:t>
      </w:r>
    </w:p>
    <w:p w14:paraId="128EB6D2">
      <w:pPr>
        <w:pStyle w:val="7"/>
        <w:spacing w:before="0" w:beforeAutospacing="0" w:after="0" w:afterAutospacing="0" w:line="360" w:lineRule="auto"/>
        <w:ind w:firstLine="420"/>
        <w:rPr>
          <w:sz w:val="21"/>
          <w:szCs w:val="21"/>
        </w:rPr>
      </w:pPr>
      <w:r>
        <w:rPr>
          <w:rFonts w:hint="eastAsia"/>
          <w:sz w:val="21"/>
          <w:szCs w:val="21"/>
        </w:rPr>
        <w:t>以下因素可能使基金投资组合的收益率与标的指数的收益率发生偏离： </w:t>
      </w:r>
    </w:p>
    <w:p w14:paraId="3B4606CB">
      <w:pPr>
        <w:pStyle w:val="7"/>
        <w:spacing w:before="0" w:beforeAutospacing="0" w:after="0" w:afterAutospacing="0" w:line="360" w:lineRule="auto"/>
        <w:ind w:firstLine="420"/>
        <w:rPr>
          <w:sz w:val="21"/>
          <w:szCs w:val="21"/>
        </w:rPr>
      </w:pPr>
      <w:r>
        <w:rPr>
          <w:rFonts w:hint="eastAsia"/>
          <w:sz w:val="21"/>
          <w:szCs w:val="21"/>
        </w:rPr>
        <w:t>1、由于标的指数调整成份股或变更编制方法，使本基金在相应的组合调整中产生跟踪偏离度与跟踪误差。 </w:t>
      </w:r>
    </w:p>
    <w:p w14:paraId="7F412BA9">
      <w:pPr>
        <w:pStyle w:val="7"/>
        <w:spacing w:before="0" w:beforeAutospacing="0" w:after="0" w:afterAutospacing="0" w:line="360" w:lineRule="auto"/>
        <w:ind w:firstLine="420"/>
        <w:rPr>
          <w:sz w:val="21"/>
          <w:szCs w:val="21"/>
        </w:rPr>
      </w:pPr>
      <w:r>
        <w:rPr>
          <w:rFonts w:hint="eastAsia"/>
          <w:sz w:val="21"/>
          <w:szCs w:val="21"/>
        </w:rPr>
        <w:t>2、由于标的指数成份股发生送配股、增发等行为导致成份股在标的指数中的权重发生变化，使本基金在相应的组合调整中产生跟踪偏离度和跟踪误差。 </w:t>
      </w:r>
    </w:p>
    <w:p w14:paraId="31271EBA">
      <w:pPr>
        <w:pStyle w:val="7"/>
        <w:spacing w:before="0" w:beforeAutospacing="0" w:after="0" w:afterAutospacing="0" w:line="360" w:lineRule="auto"/>
        <w:ind w:firstLine="420"/>
        <w:rPr>
          <w:sz w:val="21"/>
          <w:szCs w:val="21"/>
        </w:rPr>
      </w:pPr>
      <w:r>
        <w:rPr>
          <w:rFonts w:hint="eastAsia"/>
          <w:sz w:val="21"/>
          <w:szCs w:val="21"/>
        </w:rPr>
        <w:t>3、成份股派发现金红利、成份股增发、送配等所获收益可能导致基金收益率偏离标的指数收益率，从而产生跟踪偏离度。 </w:t>
      </w:r>
    </w:p>
    <w:p w14:paraId="79A80B45">
      <w:pPr>
        <w:pStyle w:val="7"/>
        <w:spacing w:before="0" w:beforeAutospacing="0" w:after="0" w:afterAutospacing="0" w:line="360" w:lineRule="auto"/>
        <w:ind w:firstLine="420"/>
        <w:rPr>
          <w:sz w:val="21"/>
          <w:szCs w:val="21"/>
        </w:rPr>
      </w:pPr>
      <w:r>
        <w:rPr>
          <w:rFonts w:hint="eastAsia"/>
          <w:sz w:val="21"/>
          <w:szCs w:val="21"/>
        </w:rPr>
        <w:t>4、由于成份股停牌、摘牌或流动性差等原因使本基金无法及时调整投资组合或承担冲击成本而产生跟踪偏离度和跟踪误差。 </w:t>
      </w:r>
    </w:p>
    <w:p w14:paraId="49BF8C9F">
      <w:pPr>
        <w:pStyle w:val="7"/>
        <w:spacing w:before="0" w:beforeAutospacing="0" w:after="0" w:afterAutospacing="0" w:line="360" w:lineRule="auto"/>
        <w:ind w:firstLine="420"/>
        <w:rPr>
          <w:sz w:val="21"/>
          <w:szCs w:val="21"/>
        </w:rPr>
      </w:pPr>
      <w:r>
        <w:rPr>
          <w:rFonts w:hint="eastAsia"/>
          <w:sz w:val="21"/>
          <w:szCs w:val="21"/>
        </w:rPr>
        <w:t>5、由于基金投资过程中的证券交易成本，以及基金管理费和托管费等费用的存在，使基金投资组合与标的指数产生跟踪偏离度与跟踪误差。 </w:t>
      </w:r>
    </w:p>
    <w:p w14:paraId="0FDEB8EE">
      <w:pPr>
        <w:pStyle w:val="7"/>
        <w:spacing w:before="0" w:beforeAutospacing="0" w:after="0" w:afterAutospacing="0" w:line="360" w:lineRule="auto"/>
        <w:ind w:firstLine="420"/>
        <w:rPr>
          <w:sz w:val="21"/>
          <w:szCs w:val="21"/>
        </w:rPr>
      </w:pPr>
      <w:r>
        <w:rPr>
          <w:rFonts w:hint="eastAsia"/>
          <w:sz w:val="21"/>
          <w:szCs w:val="21"/>
        </w:rPr>
        <w:t>6、在本基金指数化投资过程中，基金管理人的管理能力，例如跟踪指数的水平、技术手段、买入卖出的时机选择等，都会对本基金的收益产生影响，从而影响本基金对标的指数的跟踪程度。 </w:t>
      </w:r>
    </w:p>
    <w:p w14:paraId="199B9D90">
      <w:pPr>
        <w:pStyle w:val="7"/>
        <w:spacing w:before="0" w:beforeAutospacing="0" w:after="0" w:afterAutospacing="0" w:line="360" w:lineRule="auto"/>
        <w:ind w:firstLine="420"/>
        <w:rPr>
          <w:sz w:val="21"/>
          <w:szCs w:val="21"/>
        </w:rPr>
      </w:pPr>
      <w:r>
        <w:rPr>
          <w:rFonts w:hint="eastAsia"/>
          <w:sz w:val="21"/>
          <w:szCs w:val="21"/>
        </w:rPr>
        <w:t>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16BC602E">
      <w:pPr>
        <w:pStyle w:val="7"/>
        <w:spacing w:before="0" w:beforeAutospacing="0" w:after="0" w:afterAutospacing="0" w:line="360" w:lineRule="auto"/>
        <w:ind w:firstLine="420"/>
        <w:rPr>
          <w:sz w:val="21"/>
          <w:szCs w:val="21"/>
        </w:rPr>
      </w:pPr>
      <w:r>
        <w:rPr>
          <w:rStyle w:val="11"/>
          <w:rFonts w:hint="eastAsia"/>
          <w:sz w:val="21"/>
          <w:szCs w:val="21"/>
          <w:lang w:val="en-US" w:eastAsia="zh-CN"/>
        </w:rPr>
        <w:t>四、</w:t>
      </w:r>
      <w:r>
        <w:rPr>
          <w:rStyle w:val="11"/>
          <w:rFonts w:hint="eastAsia"/>
          <w:sz w:val="21"/>
          <w:szCs w:val="21"/>
        </w:rPr>
        <w:t>流动性风险</w:t>
      </w:r>
    </w:p>
    <w:p w14:paraId="733D34DD">
      <w:pPr>
        <w:pStyle w:val="7"/>
        <w:spacing w:before="0" w:beforeAutospacing="0" w:after="0" w:afterAutospacing="0" w:line="360" w:lineRule="auto"/>
        <w:ind w:firstLine="420"/>
        <w:rPr>
          <w:sz w:val="21"/>
          <w:szCs w:val="21"/>
        </w:rPr>
      </w:pPr>
      <w:r>
        <w:rPr>
          <w:rFonts w:hint="eastAsia"/>
          <w:sz w:val="21"/>
          <w:szCs w:val="21"/>
        </w:rPr>
        <w:t>1、本基金交易方式带来的流动性风险</w:t>
      </w:r>
    </w:p>
    <w:p w14:paraId="721EBC01">
      <w:pPr>
        <w:pStyle w:val="7"/>
        <w:spacing w:before="0" w:beforeAutospacing="0" w:after="0" w:afterAutospacing="0" w:line="360" w:lineRule="auto"/>
        <w:ind w:firstLine="420"/>
        <w:rPr>
          <w:sz w:val="21"/>
          <w:szCs w:val="21"/>
        </w:rPr>
      </w:pPr>
      <w:r>
        <w:rPr>
          <w:rFonts w:hint="eastAsia"/>
          <w:sz w:val="21"/>
          <w:szCs w:val="21"/>
        </w:rPr>
        <w:t>①本基金最小申购、赎回单位设置较高，中小投资者只能在二级市场上按交易价格卖出基金份额。</w:t>
      </w:r>
    </w:p>
    <w:p w14:paraId="1E9D643C">
      <w:pPr>
        <w:pStyle w:val="7"/>
        <w:spacing w:before="0" w:beforeAutospacing="0" w:after="0" w:afterAutospacing="0" w:line="360" w:lineRule="auto"/>
        <w:ind w:firstLine="420"/>
        <w:rPr>
          <w:sz w:val="21"/>
          <w:szCs w:val="21"/>
        </w:rPr>
      </w:pPr>
      <w:r>
        <w:rPr>
          <w:rFonts w:hint="eastAsia"/>
          <w:sz w:val="21"/>
          <w:szCs w:val="21"/>
        </w:rPr>
        <w:t>②基金将在深圳证券交易所上市交易，但不保证市场交易一定活跃；基金的交易可能因各种原因被暂停，当基金不再符合相关上市条件时，基金的上市也可能被终止。</w:t>
      </w:r>
    </w:p>
    <w:p w14:paraId="7240DB5B">
      <w:pPr>
        <w:pStyle w:val="7"/>
        <w:spacing w:before="0" w:beforeAutospacing="0" w:after="0" w:afterAutospacing="0" w:line="360" w:lineRule="auto"/>
        <w:ind w:firstLine="420"/>
        <w:rPr>
          <w:sz w:val="21"/>
          <w:szCs w:val="21"/>
        </w:rPr>
      </w:pPr>
      <w:r>
        <w:rPr>
          <w:rFonts w:hint="eastAsia"/>
          <w:sz w:val="21"/>
          <w:szCs w:val="21"/>
        </w:rPr>
        <w:t>③尽管由于投资者可以进行申购、赎回，基金一般不会持续出现大幅折溢价情况。但是，基金的二级市场交易价格受市场供求的影响，可能高于（称为溢价）或低于（称为折价）基金份额净值。</w:t>
      </w:r>
    </w:p>
    <w:p w14:paraId="6D415A01">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14:paraId="5369CE5E">
      <w:pPr>
        <w:pStyle w:val="7"/>
        <w:spacing w:before="0" w:beforeAutospacing="0" w:after="0" w:afterAutospacing="0" w:line="360" w:lineRule="auto"/>
        <w:ind w:firstLine="420"/>
        <w:rPr>
          <w:sz w:val="21"/>
          <w:szCs w:val="21"/>
        </w:rPr>
      </w:pPr>
      <w:r>
        <w:rPr>
          <w:rFonts w:hint="eastAsia"/>
          <w:sz w:val="21"/>
          <w:szCs w:val="21"/>
        </w:rPr>
        <w:t>本基金投资对象是具有良好流动性的金融工具，包括国内依法发行上市的股票（包括存托凭证、港股通标的股票）、股指期货、国债期货、股票期权、债券、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2BFDFEFF">
      <w:pPr>
        <w:pStyle w:val="7"/>
        <w:spacing w:before="0" w:beforeAutospacing="0" w:after="0" w:afterAutospacing="0" w:line="360" w:lineRule="auto"/>
        <w:ind w:firstLine="420"/>
        <w:rPr>
          <w:sz w:val="21"/>
          <w:szCs w:val="21"/>
        </w:rPr>
      </w:pPr>
      <w:r>
        <w:rPr>
          <w:rFonts w:hint="eastAsia"/>
          <w:sz w:val="21"/>
          <w:szCs w:val="21"/>
        </w:rPr>
        <w:t>3、实施备用的流动性风险管理工具的情形、程序及对投资者的潜在影响</w:t>
      </w:r>
    </w:p>
    <w:p w14:paraId="5F75E23A">
      <w:pPr>
        <w:pStyle w:val="7"/>
        <w:spacing w:before="0" w:beforeAutospacing="0" w:after="0" w:afterAutospacing="0" w:line="360" w:lineRule="auto"/>
        <w:ind w:firstLine="420"/>
        <w:rPr>
          <w:sz w:val="21"/>
          <w:szCs w:val="21"/>
        </w:rPr>
      </w:pPr>
      <w:r>
        <w:rPr>
          <w:rFonts w:hint="eastAsia"/>
          <w:sz w:val="21"/>
          <w:szCs w:val="21"/>
        </w:rPr>
        <w:t>本基金备用流动性风险管理工具包括但不限于暂停接受赎回申请、延缓支付赎回对价、暂停基金估值以及证监会认定的其他措施。</w:t>
      </w:r>
    </w:p>
    <w:p w14:paraId="6DE24689">
      <w:pPr>
        <w:pStyle w:val="7"/>
        <w:spacing w:before="0" w:beforeAutospacing="0" w:after="0" w:afterAutospacing="0" w:line="360" w:lineRule="auto"/>
        <w:ind w:firstLine="420"/>
        <w:rPr>
          <w:sz w:val="21"/>
          <w:szCs w:val="21"/>
        </w:rPr>
      </w:pPr>
      <w:r>
        <w:rPr>
          <w:rFonts w:hint="eastAsia"/>
          <w:sz w:val="21"/>
          <w:szCs w:val="21"/>
        </w:rPr>
        <w:t>暂停接受赎回申请、延缓支付赎回对价等工具的情形、程序见招募说明书“基金份额的申购与赎回”部分之“暂停赎回或延缓支付赎回对价的情形及处理方式”的相关规定。若本基金暂停赎回申请，投资者在暂停赎回期间将无法赎回其持有的基金份额。若本基金延缓支付赎回对价，赎回对价支付时间将后延，可能对投资者的资金安排带来不利影响。</w:t>
      </w:r>
    </w:p>
    <w:p w14:paraId="75885290">
      <w:pPr>
        <w:pStyle w:val="7"/>
        <w:spacing w:before="0" w:beforeAutospacing="0" w:after="0" w:afterAutospacing="0" w:line="360" w:lineRule="auto"/>
        <w:ind w:firstLine="420"/>
        <w:rPr>
          <w:sz w:val="21"/>
          <w:szCs w:val="21"/>
        </w:rPr>
      </w:pPr>
      <w:r>
        <w:rPr>
          <w:rFonts w:hint="eastAsia"/>
          <w:sz w:val="21"/>
          <w:szCs w:val="21"/>
        </w:rPr>
        <w:t>暂停基金估值的情形、程序见招募说明书“基金资产的估值”部分之“暂停估值的情形”的相关规定。若本基金暂停基金估值，一方面投资者将无法知晓本基金的基金份额净值，另一方面基金将暂停接受申购赎回申请或延缓支付赎回对价，将导致投资者无法申购或赎回本基金，或赎回对价支付时间将后延，可能对投资者的资金安排带来不利影响。</w:t>
      </w:r>
    </w:p>
    <w:p w14:paraId="07F96B90">
      <w:pPr>
        <w:pStyle w:val="7"/>
        <w:spacing w:before="0" w:beforeAutospacing="0" w:after="0" w:afterAutospacing="0" w:line="360" w:lineRule="auto"/>
        <w:ind w:firstLine="420"/>
        <w:rPr>
          <w:sz w:val="21"/>
          <w:szCs w:val="21"/>
        </w:rPr>
      </w:pPr>
      <w:r>
        <w:rPr>
          <w:rStyle w:val="11"/>
          <w:rFonts w:hint="eastAsia"/>
          <w:sz w:val="21"/>
          <w:szCs w:val="21"/>
          <w:lang w:val="en-US" w:eastAsia="zh-CN"/>
        </w:rPr>
        <w:t>五、</w:t>
      </w:r>
      <w:r>
        <w:rPr>
          <w:rStyle w:val="11"/>
          <w:rFonts w:hint="eastAsia"/>
          <w:sz w:val="21"/>
          <w:szCs w:val="21"/>
        </w:rPr>
        <w:t>标的指数变更的风险</w:t>
      </w:r>
    </w:p>
    <w:p w14:paraId="70E0EBD4">
      <w:pPr>
        <w:pStyle w:val="7"/>
        <w:spacing w:before="0" w:beforeAutospacing="0" w:after="0" w:afterAutospacing="0" w:line="360" w:lineRule="auto"/>
        <w:ind w:firstLine="420"/>
        <w:rPr>
          <w:sz w:val="21"/>
          <w:szCs w:val="21"/>
        </w:rPr>
      </w:pPr>
      <w:r>
        <w:rPr>
          <w:rFonts w:hint="eastAsia"/>
          <w:sz w:val="21"/>
          <w:szCs w:val="21"/>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14:paraId="519CA4B7">
      <w:pPr>
        <w:pStyle w:val="7"/>
        <w:spacing w:before="0" w:beforeAutospacing="0" w:after="0" w:afterAutospacing="0" w:line="360" w:lineRule="auto"/>
        <w:ind w:firstLine="420"/>
        <w:rPr>
          <w:sz w:val="21"/>
          <w:szCs w:val="21"/>
        </w:rPr>
      </w:pPr>
      <w:r>
        <w:rPr>
          <w:rStyle w:val="11"/>
          <w:rFonts w:hint="eastAsia"/>
          <w:sz w:val="21"/>
          <w:szCs w:val="21"/>
        </w:rPr>
        <w:t>六、指数编制机构停止服务的风险</w:t>
      </w:r>
    </w:p>
    <w:p w14:paraId="3E089728">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14:paraId="4F224819">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2E117FD1">
      <w:pPr>
        <w:pStyle w:val="7"/>
        <w:spacing w:before="0" w:beforeAutospacing="0" w:after="0" w:afterAutospacing="0" w:line="360" w:lineRule="auto"/>
        <w:ind w:firstLine="420"/>
        <w:rPr>
          <w:sz w:val="21"/>
          <w:szCs w:val="21"/>
        </w:rPr>
      </w:pPr>
      <w:r>
        <w:rPr>
          <w:rFonts w:hint="eastAsia"/>
          <w:sz w:val="21"/>
          <w:szCs w:val="21"/>
        </w:rPr>
        <w:t>七、跟踪误差控制未达约定目标的风险</w:t>
      </w:r>
    </w:p>
    <w:p w14:paraId="7D2FC197">
      <w:pPr>
        <w:pStyle w:val="7"/>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14:paraId="4D50ED25">
      <w:pPr>
        <w:pStyle w:val="7"/>
        <w:spacing w:before="0" w:beforeAutospacing="0" w:after="0" w:afterAutospacing="0" w:line="360" w:lineRule="auto"/>
        <w:ind w:firstLine="420"/>
        <w:rPr>
          <w:sz w:val="21"/>
          <w:szCs w:val="21"/>
        </w:rPr>
      </w:pPr>
      <w:r>
        <w:rPr>
          <w:rFonts w:hint="eastAsia"/>
          <w:sz w:val="21"/>
          <w:szCs w:val="21"/>
        </w:rPr>
        <w:t>八、成份股停牌的风险</w:t>
      </w:r>
    </w:p>
    <w:p w14:paraId="32956E75">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14:paraId="184DCE02">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14:paraId="56214E50">
      <w:pPr>
        <w:pStyle w:val="7"/>
        <w:spacing w:before="0" w:beforeAutospacing="0" w:after="0" w:afterAutospacing="0" w:line="360" w:lineRule="auto"/>
        <w:ind w:firstLine="420"/>
        <w:rPr>
          <w:sz w:val="21"/>
          <w:szCs w:val="21"/>
        </w:rPr>
      </w:pPr>
      <w:r>
        <w:rPr>
          <w:rFonts w:hint="eastAsia"/>
          <w:sz w:val="21"/>
          <w:szCs w:val="21"/>
        </w:rPr>
        <w:t>2、停牌成份股可能因其权重占比、市场复牌预期、现金替代标识等因素影响本基金二级市场价格的折溢价水平。</w:t>
      </w:r>
    </w:p>
    <w:p w14:paraId="0661AFCD">
      <w:pPr>
        <w:pStyle w:val="7"/>
        <w:spacing w:before="0" w:beforeAutospacing="0" w:after="0" w:afterAutospacing="0" w:line="360" w:lineRule="auto"/>
        <w:ind w:firstLine="420"/>
        <w:rPr>
          <w:sz w:val="21"/>
          <w:szCs w:val="21"/>
        </w:rPr>
      </w:pPr>
      <w:r>
        <w:rPr>
          <w:rFonts w:hint="eastAsia"/>
          <w:sz w:val="21"/>
          <w:szCs w:val="21"/>
        </w:rPr>
        <w:t>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14:paraId="1ED876DB">
      <w:pPr>
        <w:pStyle w:val="7"/>
        <w:spacing w:before="0" w:beforeAutospacing="0" w:after="0" w:afterAutospacing="0" w:line="360" w:lineRule="auto"/>
        <w:ind w:firstLine="420"/>
        <w:rPr>
          <w:sz w:val="21"/>
          <w:szCs w:val="21"/>
        </w:rPr>
      </w:pPr>
      <w:r>
        <w:rPr>
          <w:rFonts w:hint="eastAsia"/>
          <w:sz w:val="21"/>
          <w:szCs w:val="21"/>
        </w:rPr>
        <w:t>4、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w:t>
      </w:r>
    </w:p>
    <w:p w14:paraId="76EFFB51">
      <w:pPr>
        <w:pStyle w:val="7"/>
        <w:spacing w:before="0" w:beforeAutospacing="0" w:after="0" w:afterAutospacing="0" w:line="360" w:lineRule="auto"/>
        <w:ind w:firstLine="420"/>
        <w:rPr>
          <w:sz w:val="21"/>
          <w:szCs w:val="21"/>
        </w:rPr>
      </w:pPr>
      <w:r>
        <w:rPr>
          <w:rFonts w:hint="eastAsia"/>
          <w:sz w:val="21"/>
          <w:szCs w:val="21"/>
        </w:rPr>
        <w:t>九、成份股退市的风险</w:t>
      </w:r>
    </w:p>
    <w:p w14:paraId="28DE6FDB">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14:paraId="4DD61F64">
      <w:pPr>
        <w:pStyle w:val="7"/>
        <w:spacing w:before="0" w:beforeAutospacing="0" w:after="0" w:afterAutospacing="0" w:line="360" w:lineRule="auto"/>
        <w:ind w:firstLine="420"/>
        <w:rPr>
          <w:sz w:val="21"/>
          <w:szCs w:val="21"/>
        </w:rPr>
      </w:pPr>
      <w:r>
        <w:rPr>
          <w:rStyle w:val="11"/>
          <w:rFonts w:hint="eastAsia"/>
          <w:sz w:val="21"/>
          <w:szCs w:val="21"/>
        </w:rPr>
        <w:t>十、基金份额二级市场交易价格折溢价的风险</w:t>
      </w:r>
    </w:p>
    <w:p w14:paraId="1016B22B">
      <w:pPr>
        <w:pStyle w:val="7"/>
        <w:spacing w:before="0" w:beforeAutospacing="0" w:after="0" w:afterAutospacing="0" w:line="360" w:lineRule="auto"/>
        <w:ind w:firstLine="420"/>
        <w:rPr>
          <w:sz w:val="21"/>
          <w:szCs w:val="21"/>
        </w:rPr>
      </w:pPr>
      <w:r>
        <w:rPr>
          <w:rFonts w:hint="eastAsia"/>
          <w:sz w:val="21"/>
          <w:szCs w:val="21"/>
        </w:rPr>
        <w:t>基金份额在证券交易所的交易价格受诸多因素影响，可能存在不同于基金份额净值的情形，即存在价格折溢价的风险。 </w:t>
      </w:r>
    </w:p>
    <w:p w14:paraId="2C1F4C04">
      <w:pPr>
        <w:pStyle w:val="7"/>
        <w:spacing w:before="0" w:beforeAutospacing="0" w:after="0" w:afterAutospacing="0" w:line="360" w:lineRule="auto"/>
        <w:ind w:firstLine="420"/>
        <w:rPr>
          <w:sz w:val="21"/>
          <w:szCs w:val="21"/>
        </w:rPr>
      </w:pPr>
      <w:r>
        <w:rPr>
          <w:rStyle w:val="11"/>
          <w:rFonts w:hint="eastAsia"/>
          <w:sz w:val="21"/>
          <w:szCs w:val="21"/>
        </w:rPr>
        <w:t>十一、基金份额参考净值决策和基金份额参考净值计算错误的风险 </w:t>
      </w:r>
    </w:p>
    <w:p w14:paraId="314538B4">
      <w:pPr>
        <w:pStyle w:val="7"/>
        <w:spacing w:before="0" w:beforeAutospacing="0" w:after="0" w:afterAutospacing="0" w:line="360" w:lineRule="auto"/>
        <w:ind w:firstLine="420"/>
        <w:rPr>
          <w:sz w:val="21"/>
          <w:szCs w:val="21"/>
        </w:rPr>
      </w:pPr>
      <w:r>
        <w:rPr>
          <w:rFonts w:hint="eastAsia"/>
          <w:sz w:val="21"/>
          <w:szCs w:val="21"/>
        </w:rPr>
        <w:t>本基金基金份额参考净值（IOPV）由基金管理人或基金管理人委托的机构计算，并交由深圳证券交易所对外发布，仅供投资人交易、申购、赎回基金份额时参考。基金份额参考净值与实时的基金份额净值可能存在差异，基金份额参考净值计算可能出现错误，投资人若参考基金份额参考净值进行投资决策可能导致损失，需投资人自行承担。 </w:t>
      </w:r>
    </w:p>
    <w:p w14:paraId="04013A04">
      <w:pPr>
        <w:pStyle w:val="7"/>
        <w:spacing w:before="0" w:beforeAutospacing="0" w:after="0" w:afterAutospacing="0" w:line="360" w:lineRule="auto"/>
        <w:ind w:firstLine="420"/>
        <w:rPr>
          <w:sz w:val="21"/>
          <w:szCs w:val="21"/>
        </w:rPr>
      </w:pPr>
      <w:r>
        <w:rPr>
          <w:rStyle w:val="11"/>
          <w:rFonts w:hint="eastAsia"/>
          <w:sz w:val="21"/>
          <w:szCs w:val="21"/>
        </w:rPr>
        <w:t>十二、退市风险 </w:t>
      </w:r>
    </w:p>
    <w:p w14:paraId="6B81721E">
      <w:pPr>
        <w:pStyle w:val="7"/>
        <w:spacing w:before="0" w:beforeAutospacing="0" w:after="0" w:afterAutospacing="0" w:line="360" w:lineRule="auto"/>
        <w:ind w:firstLine="420"/>
        <w:rPr>
          <w:sz w:val="21"/>
          <w:szCs w:val="21"/>
        </w:rPr>
      </w:pPr>
      <w:r>
        <w:rPr>
          <w:rFonts w:hint="eastAsia"/>
          <w:sz w:val="21"/>
          <w:szCs w:val="21"/>
        </w:rPr>
        <w:t>因本基金不再符合证券交易所上市条件被终止上市，或被基金份额持有人大会决议提前终止上市等原因，导致基金份额不能继续进行二级市场交易的风险。 </w:t>
      </w:r>
    </w:p>
    <w:p w14:paraId="6399A813">
      <w:pPr>
        <w:pStyle w:val="7"/>
        <w:spacing w:before="0" w:beforeAutospacing="0" w:after="0" w:afterAutospacing="0" w:line="360" w:lineRule="auto"/>
        <w:ind w:firstLine="420"/>
        <w:rPr>
          <w:sz w:val="21"/>
          <w:szCs w:val="21"/>
        </w:rPr>
      </w:pPr>
      <w:r>
        <w:rPr>
          <w:rStyle w:val="11"/>
          <w:rFonts w:hint="eastAsia"/>
          <w:sz w:val="21"/>
          <w:szCs w:val="21"/>
        </w:rPr>
        <w:t>十三、投资人申购失败的风险 </w:t>
      </w:r>
    </w:p>
    <w:p w14:paraId="6632998E">
      <w:pPr>
        <w:pStyle w:val="7"/>
        <w:spacing w:before="0" w:beforeAutospacing="0" w:after="0" w:afterAutospacing="0" w:line="360" w:lineRule="auto"/>
        <w:ind w:firstLine="420"/>
        <w:rPr>
          <w:sz w:val="21"/>
          <w:szCs w:val="21"/>
        </w:rPr>
      </w:pPr>
      <w:r>
        <w:rPr>
          <w:rFonts w:hint="eastAsia"/>
          <w:sz w:val="21"/>
          <w:szCs w:val="21"/>
        </w:rPr>
        <w:t>本基金的申购赎回清单中，可能仅允许对部分成份股使用现金替代，且设置现金替代比例上限，因此，投资人申购时，可能存在因个别成份股涨停、临时停牌等原因而无法买入申购所需的足够的成份股，导致申购失败的风险。 </w:t>
      </w:r>
    </w:p>
    <w:p w14:paraId="75635F0E">
      <w:pPr>
        <w:pStyle w:val="7"/>
        <w:spacing w:before="0" w:beforeAutospacing="0" w:after="0" w:afterAutospacing="0" w:line="360" w:lineRule="auto"/>
        <w:ind w:firstLine="420"/>
        <w:rPr>
          <w:sz w:val="21"/>
          <w:szCs w:val="21"/>
        </w:rPr>
      </w:pPr>
      <w:r>
        <w:rPr>
          <w:rStyle w:val="11"/>
          <w:rFonts w:hint="eastAsia"/>
          <w:sz w:val="21"/>
          <w:szCs w:val="21"/>
        </w:rPr>
        <w:t>十四、投资人赎回失败的风险 </w:t>
      </w:r>
    </w:p>
    <w:p w14:paraId="53F2C9BB">
      <w:pPr>
        <w:pStyle w:val="7"/>
        <w:spacing w:before="0" w:beforeAutospacing="0" w:after="0" w:afterAutospacing="0" w:line="360" w:lineRule="auto"/>
        <w:ind w:firstLine="420"/>
        <w:rPr>
          <w:sz w:val="21"/>
          <w:szCs w:val="21"/>
        </w:rPr>
      </w:pPr>
      <w:r>
        <w:rPr>
          <w:rFonts w:hint="eastAsia"/>
          <w:sz w:val="21"/>
          <w:szCs w:val="21"/>
        </w:rPr>
        <w:t>投资人提出赎回申请时，如基金组合中不具备足额的符合条件的赎回对价，可能导致赎回失败的情形。 </w:t>
      </w:r>
    </w:p>
    <w:p w14:paraId="7C63D39C">
      <w:pPr>
        <w:pStyle w:val="7"/>
        <w:spacing w:before="0" w:beforeAutospacing="0" w:after="0" w:afterAutospacing="0" w:line="360" w:lineRule="auto"/>
        <w:ind w:firstLine="420"/>
        <w:rPr>
          <w:sz w:val="21"/>
          <w:szCs w:val="21"/>
        </w:rPr>
      </w:pPr>
      <w:r>
        <w:rPr>
          <w:rFonts w:hint="eastAsia"/>
          <w:sz w:val="21"/>
          <w:szCs w:val="21"/>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0C13CA4E">
      <w:pPr>
        <w:pStyle w:val="7"/>
        <w:spacing w:before="0" w:beforeAutospacing="0" w:after="0" w:afterAutospacing="0" w:line="360" w:lineRule="auto"/>
        <w:ind w:firstLine="420"/>
        <w:rPr>
          <w:sz w:val="21"/>
          <w:szCs w:val="21"/>
        </w:rPr>
      </w:pPr>
      <w:r>
        <w:rPr>
          <w:rStyle w:val="11"/>
          <w:rFonts w:hint="eastAsia"/>
          <w:sz w:val="21"/>
          <w:szCs w:val="21"/>
        </w:rPr>
        <w:t>十五、上海证券交易所上市的成份股可以现金替代方式的风险</w:t>
      </w:r>
    </w:p>
    <w:p w14:paraId="4813BABA">
      <w:pPr>
        <w:pStyle w:val="7"/>
        <w:spacing w:before="0" w:beforeAutospacing="0" w:after="0" w:afterAutospacing="0" w:line="360" w:lineRule="auto"/>
        <w:ind w:firstLine="420"/>
        <w:rPr>
          <w:sz w:val="21"/>
          <w:szCs w:val="21"/>
        </w:rPr>
      </w:pPr>
      <w:r>
        <w:rPr>
          <w:rFonts w:hint="eastAsia"/>
          <w:sz w:val="21"/>
          <w:szCs w:val="21"/>
        </w:rPr>
        <w:t>在通过深圳证券交易所申购赎回的模式中，上海证券交易所上市的成份股可以现金替代方式不同于现有其他现金替代方式，可能给申购和赎回投资者带来价格的不确定性，从而间接影响本基金二级市场价格的折溢价水平。极端情况下，如果使用上海证券交易所可以现金替代证券的权重增加，该方式带来的不确定性可能导致本基金的二级市场价格折溢价处于相对较高水平。</w:t>
      </w:r>
    </w:p>
    <w:p w14:paraId="58FB6A18">
      <w:pPr>
        <w:pStyle w:val="7"/>
        <w:spacing w:before="0" w:beforeAutospacing="0" w:after="0" w:afterAutospacing="0" w:line="360" w:lineRule="auto"/>
        <w:ind w:firstLine="420"/>
        <w:rPr>
          <w:sz w:val="21"/>
          <w:szCs w:val="21"/>
        </w:rPr>
      </w:pPr>
      <w:r>
        <w:rPr>
          <w:rFonts w:hint="eastAsia"/>
          <w:sz w:val="21"/>
          <w:szCs w:val="21"/>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上交所可以现金替代的证券进行处理，投资者的利益可能受到影响。</w:t>
      </w:r>
    </w:p>
    <w:p w14:paraId="1B1C9AED">
      <w:pPr>
        <w:pStyle w:val="7"/>
        <w:spacing w:before="0" w:beforeAutospacing="0" w:after="0" w:afterAutospacing="0" w:line="360" w:lineRule="auto"/>
        <w:ind w:firstLine="420"/>
        <w:rPr>
          <w:sz w:val="21"/>
          <w:szCs w:val="21"/>
        </w:rPr>
      </w:pPr>
      <w:r>
        <w:rPr>
          <w:rStyle w:val="11"/>
          <w:rFonts w:hint="eastAsia"/>
          <w:sz w:val="21"/>
          <w:szCs w:val="21"/>
        </w:rPr>
        <w:t>十六、赎回对价的变现风险 </w:t>
      </w:r>
    </w:p>
    <w:p w14:paraId="1CFF84DF">
      <w:pPr>
        <w:pStyle w:val="7"/>
        <w:spacing w:before="0" w:beforeAutospacing="0" w:after="0" w:afterAutospacing="0" w:line="360" w:lineRule="auto"/>
        <w:ind w:firstLine="420"/>
        <w:rPr>
          <w:sz w:val="21"/>
          <w:szCs w:val="21"/>
        </w:rPr>
      </w:pPr>
      <w:r>
        <w:rPr>
          <w:rFonts w:hint="eastAsia"/>
          <w:sz w:val="21"/>
          <w:szCs w:val="21"/>
        </w:rPr>
        <w:t>本基金赎回对价包括组合证券、现金替代、现金差额等。在组合证券变现过程中，由于市场变化、部分成份股流动性差等因素，导致投资人变现后的价值与赎回时赎回对价的价值有差异，存在变现风险。 </w:t>
      </w:r>
    </w:p>
    <w:p w14:paraId="1DEDF0A1">
      <w:pPr>
        <w:pStyle w:val="7"/>
        <w:spacing w:before="0" w:beforeAutospacing="0" w:after="0" w:afterAutospacing="0" w:line="360" w:lineRule="auto"/>
        <w:ind w:firstLine="420"/>
        <w:rPr>
          <w:sz w:val="21"/>
          <w:szCs w:val="21"/>
        </w:rPr>
      </w:pPr>
      <w:r>
        <w:rPr>
          <w:rStyle w:val="11"/>
          <w:rFonts w:hint="eastAsia"/>
          <w:sz w:val="21"/>
          <w:szCs w:val="21"/>
        </w:rPr>
        <w:t>十七、第三方机构服务的风险 </w:t>
      </w:r>
    </w:p>
    <w:p w14:paraId="7FCD5ECC">
      <w:pPr>
        <w:pStyle w:val="7"/>
        <w:spacing w:before="0" w:beforeAutospacing="0" w:after="0" w:afterAutospacing="0" w:line="360" w:lineRule="auto"/>
        <w:ind w:firstLine="420"/>
        <w:rPr>
          <w:sz w:val="21"/>
          <w:szCs w:val="21"/>
        </w:rPr>
      </w:pPr>
      <w:r>
        <w:rPr>
          <w:rFonts w:hint="eastAsia"/>
          <w:sz w:val="21"/>
          <w:szCs w:val="21"/>
        </w:rPr>
        <w:t>本基金的多项服务委托第三方机构办理，存在以下风险： </w:t>
      </w:r>
    </w:p>
    <w:p w14:paraId="443A07DA">
      <w:pPr>
        <w:pStyle w:val="7"/>
        <w:spacing w:before="0" w:beforeAutospacing="0" w:after="0" w:afterAutospacing="0" w:line="360" w:lineRule="auto"/>
        <w:ind w:firstLine="420"/>
        <w:rPr>
          <w:sz w:val="21"/>
          <w:szCs w:val="21"/>
        </w:rPr>
      </w:pPr>
      <w:r>
        <w:rPr>
          <w:rFonts w:hint="eastAsia"/>
          <w:sz w:val="21"/>
          <w:szCs w:val="21"/>
        </w:rPr>
        <w:t>1、申购赎回代理券商因多种原因，导致代理申购、赎回业务受到限制、暂停或终止，由此影响对投资人申购赎回服务的风险。 </w:t>
      </w:r>
    </w:p>
    <w:p w14:paraId="45288986">
      <w:pPr>
        <w:pStyle w:val="7"/>
        <w:spacing w:before="0" w:beforeAutospacing="0" w:after="0" w:afterAutospacing="0" w:line="360" w:lineRule="auto"/>
        <w:ind w:firstLine="420"/>
        <w:rPr>
          <w:sz w:val="21"/>
          <w:szCs w:val="21"/>
        </w:rPr>
      </w:pPr>
      <w:r>
        <w:rPr>
          <w:rFonts w:hint="eastAsia"/>
          <w:sz w:val="21"/>
          <w:szCs w:val="21"/>
        </w:rPr>
        <w:t>2、登记机构可能调整结算制度，如实施货银对付制度，对投资人基金份额、组合证券及资金的结算方式发生变化，制度调整可能给投资人带来风险。同样的风险还可能来自于证券交易所及其他代理机构。 </w:t>
      </w:r>
    </w:p>
    <w:p w14:paraId="1EC15E7B">
      <w:pPr>
        <w:pStyle w:val="7"/>
        <w:spacing w:before="0" w:beforeAutospacing="0" w:after="0" w:afterAutospacing="0" w:line="360" w:lineRule="auto"/>
        <w:ind w:firstLine="420"/>
        <w:rPr>
          <w:sz w:val="21"/>
          <w:szCs w:val="21"/>
        </w:rPr>
      </w:pPr>
      <w:r>
        <w:rPr>
          <w:rFonts w:hint="eastAsia"/>
          <w:sz w:val="21"/>
          <w:szCs w:val="21"/>
        </w:rPr>
        <w:t>3、证券交易所、登记机构、基金托管人及其他代理机构可能违约，导致基金或投资人利益受损的风险。 </w:t>
      </w:r>
    </w:p>
    <w:p w14:paraId="46773367">
      <w:pPr>
        <w:pStyle w:val="7"/>
        <w:spacing w:before="0" w:beforeAutospacing="0" w:after="0" w:afterAutospacing="0" w:line="360" w:lineRule="auto"/>
        <w:ind w:firstLine="420"/>
        <w:rPr>
          <w:sz w:val="21"/>
          <w:szCs w:val="21"/>
        </w:rPr>
      </w:pPr>
      <w:r>
        <w:rPr>
          <w:rStyle w:val="11"/>
          <w:rFonts w:hint="eastAsia"/>
          <w:sz w:val="21"/>
          <w:szCs w:val="21"/>
        </w:rPr>
        <w:t>十八、股指期货投资风险</w:t>
      </w:r>
    </w:p>
    <w:p w14:paraId="0E685531">
      <w:pPr>
        <w:pStyle w:val="7"/>
        <w:spacing w:before="0" w:beforeAutospacing="0" w:after="0" w:afterAutospacing="0" w:line="360" w:lineRule="auto"/>
        <w:ind w:firstLine="420"/>
        <w:rPr>
          <w:sz w:val="21"/>
          <w:szCs w:val="21"/>
        </w:rPr>
      </w:pPr>
      <w:r>
        <w:rPr>
          <w:rFonts w:hint="eastAsia"/>
          <w:sz w:val="21"/>
          <w:szCs w:val="21"/>
        </w:rPr>
        <w:t>1、杠杆风险</w:t>
      </w:r>
    </w:p>
    <w:p w14:paraId="741DF578">
      <w:pPr>
        <w:pStyle w:val="7"/>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14:paraId="44CAC2CF">
      <w:pPr>
        <w:pStyle w:val="7"/>
        <w:spacing w:before="0" w:beforeAutospacing="0" w:after="0" w:afterAutospacing="0" w:line="360" w:lineRule="auto"/>
        <w:ind w:firstLine="420"/>
        <w:rPr>
          <w:sz w:val="21"/>
          <w:szCs w:val="21"/>
        </w:rPr>
      </w:pPr>
      <w:r>
        <w:rPr>
          <w:rFonts w:hint="eastAsia"/>
          <w:sz w:val="21"/>
          <w:szCs w:val="21"/>
        </w:rPr>
        <w:t>2、基差风险</w:t>
      </w:r>
    </w:p>
    <w:p w14:paraId="2C686024">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14:paraId="2EECB50A">
      <w:pPr>
        <w:pStyle w:val="7"/>
        <w:spacing w:before="0" w:beforeAutospacing="0" w:after="0" w:afterAutospacing="0" w:line="360" w:lineRule="auto"/>
        <w:ind w:firstLine="420"/>
        <w:rPr>
          <w:sz w:val="21"/>
          <w:szCs w:val="21"/>
        </w:rPr>
      </w:pPr>
      <w:r>
        <w:rPr>
          <w:rFonts w:hint="eastAsia"/>
          <w:sz w:val="21"/>
          <w:szCs w:val="21"/>
        </w:rPr>
        <w:t>3、合约展期风险</w:t>
      </w:r>
    </w:p>
    <w:p w14:paraId="0DF33A2C">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14:paraId="01A0786C">
      <w:pPr>
        <w:pStyle w:val="7"/>
        <w:spacing w:before="0" w:beforeAutospacing="0" w:after="0" w:afterAutospacing="0" w:line="360" w:lineRule="auto"/>
        <w:ind w:firstLine="420"/>
        <w:rPr>
          <w:sz w:val="21"/>
          <w:szCs w:val="21"/>
        </w:rPr>
      </w:pPr>
      <w:r>
        <w:rPr>
          <w:rFonts w:hint="eastAsia"/>
          <w:sz w:val="21"/>
          <w:szCs w:val="21"/>
        </w:rPr>
        <w:t>4、模型风险</w:t>
      </w:r>
    </w:p>
    <w:p w14:paraId="70A6B1B7">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407BA0DE">
      <w:pPr>
        <w:pStyle w:val="7"/>
        <w:spacing w:before="0" w:beforeAutospacing="0" w:after="0" w:afterAutospacing="0" w:line="360" w:lineRule="auto"/>
        <w:ind w:firstLine="420"/>
        <w:rPr>
          <w:sz w:val="21"/>
          <w:szCs w:val="21"/>
        </w:rPr>
      </w:pPr>
      <w:r>
        <w:rPr>
          <w:rStyle w:val="11"/>
          <w:rFonts w:hint="eastAsia"/>
          <w:sz w:val="21"/>
          <w:szCs w:val="21"/>
        </w:rPr>
        <w:t>十九、资产支持证券（ABS）的风险</w:t>
      </w:r>
    </w:p>
    <w:p w14:paraId="5A900EAE">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240F1687">
      <w:pPr>
        <w:pStyle w:val="7"/>
        <w:spacing w:before="0" w:beforeAutospacing="0" w:after="0" w:afterAutospacing="0" w:line="360" w:lineRule="auto"/>
        <w:ind w:firstLine="420"/>
        <w:rPr>
          <w:sz w:val="21"/>
          <w:szCs w:val="21"/>
        </w:rPr>
      </w:pPr>
      <w:r>
        <w:rPr>
          <w:rStyle w:val="11"/>
          <w:rFonts w:hint="eastAsia"/>
          <w:sz w:val="21"/>
          <w:szCs w:val="21"/>
        </w:rPr>
        <w:t>二十、股票期权风险</w:t>
      </w:r>
    </w:p>
    <w:p w14:paraId="7C53E676">
      <w:pPr>
        <w:pStyle w:val="7"/>
        <w:spacing w:before="0" w:beforeAutospacing="0" w:after="0" w:afterAutospacing="0" w:line="360" w:lineRule="auto"/>
        <w:ind w:firstLine="420"/>
        <w:rPr>
          <w:sz w:val="21"/>
          <w:szCs w:val="21"/>
        </w:rPr>
      </w:pPr>
      <w:r>
        <w:rPr>
          <w:rFonts w:hint="eastAsia"/>
          <w:sz w:val="21"/>
          <w:szCs w:val="21"/>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4700293F">
      <w:pPr>
        <w:pStyle w:val="7"/>
        <w:spacing w:before="0" w:beforeAutospacing="0" w:after="0" w:afterAutospacing="0" w:line="360" w:lineRule="auto"/>
        <w:ind w:firstLine="420"/>
        <w:rPr>
          <w:sz w:val="21"/>
          <w:szCs w:val="21"/>
        </w:rPr>
      </w:pPr>
      <w:r>
        <w:rPr>
          <w:rFonts w:hint="eastAsia"/>
          <w:sz w:val="21"/>
          <w:szCs w:val="21"/>
        </w:rPr>
        <w:t>价格风险：股票期权买方的价格风险即为他所付出的权利金，风险具有确定性。股票期权卖方的价格风险不定，不过其所收取的权利金可以提供相应保护，当发生亏损时，可以抵消部分损失。</w:t>
      </w:r>
    </w:p>
    <w:p w14:paraId="388AC5CC">
      <w:pPr>
        <w:pStyle w:val="7"/>
        <w:spacing w:before="0" w:beforeAutospacing="0" w:after="0" w:afterAutospacing="0" w:line="360" w:lineRule="auto"/>
        <w:ind w:firstLine="420"/>
        <w:rPr>
          <w:sz w:val="21"/>
          <w:szCs w:val="21"/>
        </w:rPr>
      </w:pPr>
      <w:r>
        <w:rPr>
          <w:rFonts w:hint="eastAsia"/>
          <w:sz w:val="21"/>
          <w:szCs w:val="21"/>
        </w:rPr>
        <w:t>操作风险：操作风险是指由于管理不善或者制度执行出现问题等原因所导致的风险。股票期权作为一种衍生品，虽然可以用来管理风险，但若使用不当，也会产生巨额损失。</w:t>
      </w:r>
    </w:p>
    <w:p w14:paraId="1510156E">
      <w:pPr>
        <w:pStyle w:val="7"/>
        <w:spacing w:before="0" w:beforeAutospacing="0" w:after="0" w:afterAutospacing="0" w:line="360" w:lineRule="auto"/>
        <w:ind w:firstLine="420"/>
        <w:rPr>
          <w:sz w:val="21"/>
          <w:szCs w:val="21"/>
        </w:rPr>
      </w:pPr>
      <w:r>
        <w:rPr>
          <w:rStyle w:val="11"/>
          <w:rFonts w:hint="eastAsia"/>
          <w:sz w:val="21"/>
          <w:szCs w:val="21"/>
        </w:rPr>
        <w:t>二十一、融资业务的主要风险</w:t>
      </w:r>
    </w:p>
    <w:p w14:paraId="179EAB73">
      <w:pPr>
        <w:pStyle w:val="7"/>
        <w:spacing w:before="0" w:beforeAutospacing="0" w:after="0" w:afterAutospacing="0" w:line="360" w:lineRule="auto"/>
        <w:ind w:firstLine="420"/>
        <w:rPr>
          <w:sz w:val="21"/>
          <w:szCs w:val="21"/>
        </w:rPr>
      </w:pPr>
      <w:r>
        <w:rPr>
          <w:rFonts w:hint="eastAsia"/>
          <w:sz w:val="21"/>
          <w:szCs w:val="21"/>
        </w:rPr>
        <w:t>1、杠杆效应放大风险</w:t>
      </w:r>
    </w:p>
    <w:p w14:paraId="6C4CBEE1">
      <w:pPr>
        <w:pStyle w:val="7"/>
        <w:spacing w:before="0" w:beforeAutospacing="0" w:after="0" w:afterAutospacing="0" w:line="360" w:lineRule="auto"/>
        <w:ind w:firstLine="420"/>
        <w:rPr>
          <w:sz w:val="21"/>
          <w:szCs w:val="21"/>
        </w:rPr>
      </w:pPr>
      <w:r>
        <w:rPr>
          <w:rFonts w:hint="eastAsia"/>
          <w:sz w:val="21"/>
          <w:szCs w:val="21"/>
        </w:rPr>
        <w:t>投资者通过融资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166A07C2">
      <w:pPr>
        <w:pStyle w:val="7"/>
        <w:spacing w:before="0" w:beforeAutospacing="0" w:after="0" w:afterAutospacing="0" w:line="360" w:lineRule="auto"/>
        <w:ind w:firstLine="420"/>
        <w:rPr>
          <w:sz w:val="21"/>
          <w:szCs w:val="21"/>
        </w:rPr>
      </w:pPr>
      <w:r>
        <w:rPr>
          <w:rFonts w:hint="eastAsia"/>
          <w:sz w:val="21"/>
          <w:szCs w:val="21"/>
        </w:rPr>
        <w:t>2、担保能力及限制交易风险</w:t>
      </w:r>
    </w:p>
    <w:p w14:paraId="17D56047">
      <w:pPr>
        <w:pStyle w:val="7"/>
        <w:spacing w:before="0" w:beforeAutospacing="0" w:after="0" w:afterAutospacing="0" w:line="360" w:lineRule="auto"/>
        <w:ind w:firstLine="420"/>
        <w:rPr>
          <w:sz w:val="21"/>
          <w:szCs w:val="21"/>
        </w:rPr>
      </w:pPr>
      <w:r>
        <w:rPr>
          <w:rFonts w:hint="eastAsia"/>
          <w:sz w:val="21"/>
          <w:szCs w:val="21"/>
        </w:rPr>
        <w:t>单只或全部证券被暂停融资、投资者账户被暂停或取消融资资格等，这些影响可能给投资者造成经济损失。此外，投资者也可能面临由于自身维持担保比例低于融资合同约定的担保要求，且未能及时补充担保物，导致信用账户交易受到限制，从而造成经济损失。</w:t>
      </w:r>
    </w:p>
    <w:p w14:paraId="6216C4F8">
      <w:pPr>
        <w:pStyle w:val="7"/>
        <w:spacing w:before="0" w:beforeAutospacing="0" w:after="0" w:afterAutospacing="0" w:line="360" w:lineRule="auto"/>
        <w:ind w:firstLine="420"/>
        <w:rPr>
          <w:sz w:val="21"/>
          <w:szCs w:val="21"/>
        </w:rPr>
      </w:pPr>
      <w:r>
        <w:rPr>
          <w:rFonts w:hint="eastAsia"/>
          <w:sz w:val="21"/>
          <w:szCs w:val="21"/>
        </w:rPr>
        <w:t>3、强制平仓风险</w:t>
      </w:r>
    </w:p>
    <w:p w14:paraId="229385C4">
      <w:pPr>
        <w:pStyle w:val="7"/>
        <w:spacing w:before="0" w:beforeAutospacing="0" w:after="0" w:afterAutospacing="0" w:line="360" w:lineRule="auto"/>
        <w:ind w:firstLine="420"/>
        <w:rPr>
          <w:sz w:val="21"/>
          <w:szCs w:val="21"/>
        </w:rPr>
      </w:pPr>
      <w:r>
        <w:rPr>
          <w:rFonts w:hint="eastAsia"/>
          <w:sz w:val="21"/>
          <w:szCs w:val="21"/>
        </w:rPr>
        <w:t>投资者在从事融资交易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3AD40CF7">
      <w:pPr>
        <w:pStyle w:val="7"/>
        <w:spacing w:before="0" w:beforeAutospacing="0" w:after="0" w:afterAutospacing="0" w:line="360" w:lineRule="auto"/>
        <w:ind w:firstLine="420"/>
        <w:rPr>
          <w:sz w:val="21"/>
          <w:szCs w:val="21"/>
        </w:rPr>
      </w:pPr>
      <w:r>
        <w:rPr>
          <w:rStyle w:val="11"/>
          <w:rFonts w:hint="eastAsia"/>
          <w:sz w:val="21"/>
          <w:szCs w:val="21"/>
        </w:rPr>
        <w:t>二十二、转融通证券出借的主要风险</w:t>
      </w:r>
    </w:p>
    <w:p w14:paraId="30D7E021">
      <w:pPr>
        <w:pStyle w:val="7"/>
        <w:spacing w:before="0" w:beforeAutospacing="0" w:after="0" w:afterAutospacing="0" w:line="360" w:lineRule="auto"/>
        <w:ind w:firstLine="420"/>
        <w:rPr>
          <w:sz w:val="21"/>
          <w:szCs w:val="21"/>
        </w:rPr>
      </w:pPr>
      <w:r>
        <w:rPr>
          <w:rFonts w:hint="eastAsia"/>
          <w:sz w:val="21"/>
          <w:szCs w:val="21"/>
        </w:rPr>
        <w:t>1、流动性风险：出借人在出借证券后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284030B4">
      <w:pPr>
        <w:pStyle w:val="7"/>
        <w:spacing w:before="0" w:beforeAutospacing="0" w:after="0" w:afterAutospacing="0" w:line="360" w:lineRule="auto"/>
        <w:ind w:firstLine="420"/>
        <w:rPr>
          <w:sz w:val="21"/>
          <w:szCs w:val="21"/>
        </w:rPr>
      </w:pPr>
      <w:r>
        <w:rPr>
          <w:rFonts w:hint="eastAsia"/>
          <w:sz w:val="21"/>
          <w:szCs w:val="21"/>
        </w:rPr>
        <w:t>2、提前或延迟了结风险：证券出借期间，如发生标的证券范围调整、标的证券暂停交易、标的证券对应的上市公司被以终止上市为目的进行收购、终止上市等情况，可能面临合约提前了结或延迟了结的风险。</w:t>
      </w:r>
    </w:p>
    <w:p w14:paraId="3D72D60B">
      <w:pPr>
        <w:pStyle w:val="7"/>
        <w:spacing w:before="0" w:beforeAutospacing="0" w:after="0" w:afterAutospacing="0" w:line="360" w:lineRule="auto"/>
        <w:ind w:firstLine="420"/>
        <w:rPr>
          <w:sz w:val="21"/>
          <w:szCs w:val="21"/>
        </w:rPr>
      </w:pPr>
      <w:r>
        <w:rPr>
          <w:rFonts w:hint="eastAsia"/>
          <w:sz w:val="21"/>
          <w:szCs w:val="21"/>
        </w:rPr>
        <w:t>3、市场风险：转融通出借收益按照证券当日收市后市值、融出日（或展期日）费率和实际出借天数计算，因此可能面临证券市值波动、费率变动而导致的市场风险。</w:t>
      </w:r>
    </w:p>
    <w:p w14:paraId="58E1F00D">
      <w:pPr>
        <w:pStyle w:val="7"/>
        <w:spacing w:before="0" w:beforeAutospacing="0" w:after="0" w:afterAutospacing="0" w:line="360" w:lineRule="auto"/>
        <w:ind w:firstLine="420"/>
        <w:rPr>
          <w:sz w:val="21"/>
          <w:szCs w:val="21"/>
        </w:rPr>
      </w:pPr>
      <w:r>
        <w:rPr>
          <w:rFonts w:hint="eastAsia"/>
          <w:sz w:val="21"/>
          <w:szCs w:val="21"/>
        </w:rPr>
        <w:t>4、跟踪误差风险：对于指数型组合，当组合发生大额赎回或市场大幅波动时，存在由于转融通出借证券无法提前了结并变现，单一股票占比被动上升而导致组合跟踪误差扩大的风险。</w:t>
      </w:r>
    </w:p>
    <w:p w14:paraId="4D30EEA9">
      <w:pPr>
        <w:pStyle w:val="7"/>
        <w:spacing w:before="0" w:beforeAutospacing="0" w:after="0" w:afterAutospacing="0" w:line="360" w:lineRule="auto"/>
        <w:ind w:firstLine="420"/>
        <w:rPr>
          <w:sz w:val="21"/>
          <w:szCs w:val="21"/>
        </w:rPr>
      </w:pPr>
      <w:r>
        <w:rPr>
          <w:rFonts w:hint="eastAsia"/>
          <w:sz w:val="21"/>
          <w:szCs w:val="21"/>
        </w:rPr>
        <w:t>5、交易对手违约风险：存在由于交易对手违约而导致证券到期不能按时或足额归还、相应权益补偿和借券费用不能支付等交易对手违约风险。</w:t>
      </w:r>
    </w:p>
    <w:p w14:paraId="135024B1">
      <w:pPr>
        <w:pStyle w:val="7"/>
        <w:spacing w:before="0" w:beforeAutospacing="0" w:after="0" w:afterAutospacing="0" w:line="360" w:lineRule="auto"/>
        <w:ind w:firstLine="420"/>
        <w:rPr>
          <w:sz w:val="21"/>
          <w:szCs w:val="21"/>
        </w:rPr>
      </w:pPr>
      <w:r>
        <w:rPr>
          <w:rFonts w:hint="eastAsia"/>
          <w:sz w:val="21"/>
          <w:szCs w:val="21"/>
        </w:rPr>
        <w:t>6、操作风险：转融通业务具体实施过程中，在投资决策、交易等环节，可能面临由于操作人员操作失误、系统不完善等原因引发的操作风险。</w:t>
      </w:r>
    </w:p>
    <w:p w14:paraId="39D8B0BC">
      <w:pPr>
        <w:pStyle w:val="7"/>
        <w:spacing w:before="0" w:beforeAutospacing="0" w:after="0" w:afterAutospacing="0" w:line="360" w:lineRule="auto"/>
        <w:ind w:firstLine="420"/>
        <w:rPr>
          <w:sz w:val="21"/>
          <w:szCs w:val="21"/>
        </w:rPr>
      </w:pPr>
      <w:r>
        <w:rPr>
          <w:rFonts w:hint="eastAsia"/>
          <w:sz w:val="21"/>
          <w:szCs w:val="21"/>
        </w:rPr>
        <w:t>7、法律合规风险：在转融通证券出借过程中，存在由于标的证券价格波动导致组合合规指标超标且无法进行调整的风险，以及在证券出借业务中发生操纵价格、利益输送等法律合规风险。</w:t>
      </w:r>
    </w:p>
    <w:p w14:paraId="4A43F75C">
      <w:pPr>
        <w:pStyle w:val="7"/>
        <w:spacing w:before="0" w:beforeAutospacing="0" w:after="0" w:afterAutospacing="0" w:line="360" w:lineRule="auto"/>
        <w:ind w:firstLine="420"/>
        <w:rPr>
          <w:sz w:val="21"/>
          <w:szCs w:val="21"/>
        </w:rPr>
      </w:pPr>
      <w:r>
        <w:rPr>
          <w:rStyle w:val="11"/>
          <w:rFonts w:hint="eastAsia"/>
          <w:sz w:val="21"/>
          <w:szCs w:val="21"/>
        </w:rPr>
        <w:t>二十三、港股通机制下港股投资风险</w:t>
      </w:r>
    </w:p>
    <w:p w14:paraId="5C9B72EA">
      <w:pPr>
        <w:pStyle w:val="7"/>
        <w:spacing w:before="0" w:beforeAutospacing="0" w:after="0" w:afterAutospacing="0" w:line="360" w:lineRule="auto"/>
        <w:ind w:firstLine="420"/>
        <w:rPr>
          <w:sz w:val="21"/>
          <w:szCs w:val="21"/>
        </w:rPr>
      </w:pPr>
      <w:r>
        <w:rPr>
          <w:rFonts w:hint="eastAsia"/>
          <w:sz w:val="21"/>
          <w:szCs w:val="21"/>
        </w:rPr>
        <w:t>本基金投资范围包括内地与香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w:t>
      </w:r>
    </w:p>
    <w:p w14:paraId="1B731EA4">
      <w:pPr>
        <w:pStyle w:val="7"/>
        <w:spacing w:before="0" w:beforeAutospacing="0" w:after="0" w:afterAutospacing="0" w:line="360" w:lineRule="auto"/>
        <w:ind w:firstLine="420"/>
        <w:rPr>
          <w:sz w:val="21"/>
          <w:szCs w:val="21"/>
        </w:rPr>
      </w:pPr>
      <w:r>
        <w:rPr>
          <w:rStyle w:val="11"/>
          <w:rFonts w:hint="eastAsia"/>
          <w:sz w:val="21"/>
          <w:szCs w:val="21"/>
        </w:rPr>
        <w:t>二十四、国债期货投资风险</w:t>
      </w:r>
    </w:p>
    <w:p w14:paraId="245D8745">
      <w:pPr>
        <w:pStyle w:val="7"/>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32AC1D71">
      <w:pPr>
        <w:pStyle w:val="7"/>
        <w:spacing w:before="0" w:beforeAutospacing="0" w:after="0" w:afterAutospacing="0" w:line="360" w:lineRule="auto"/>
        <w:ind w:firstLine="420"/>
        <w:rPr>
          <w:sz w:val="21"/>
          <w:szCs w:val="21"/>
        </w:rPr>
      </w:pPr>
      <w:r>
        <w:rPr>
          <w:rStyle w:val="11"/>
          <w:rFonts w:hint="eastAsia"/>
          <w:sz w:val="21"/>
          <w:szCs w:val="21"/>
        </w:rPr>
        <w:t>二十五、投资于存托凭证的风险</w:t>
      </w:r>
    </w:p>
    <w:p w14:paraId="085103CB">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588C560D">
      <w:pPr>
        <w:pStyle w:val="7"/>
        <w:spacing w:before="0" w:beforeAutospacing="0" w:after="0" w:afterAutospacing="0" w:line="360" w:lineRule="auto"/>
        <w:ind w:firstLine="420"/>
        <w:rPr>
          <w:sz w:val="21"/>
          <w:szCs w:val="21"/>
        </w:rPr>
      </w:pPr>
      <w:r>
        <w:rPr>
          <w:rStyle w:val="11"/>
          <w:rFonts w:hint="eastAsia"/>
          <w:sz w:val="21"/>
          <w:szCs w:val="21"/>
        </w:rPr>
        <w:t>二十六、自动清算的风险</w:t>
      </w:r>
    </w:p>
    <w:p w14:paraId="7F1C9BF7">
      <w:pPr>
        <w:pStyle w:val="7"/>
        <w:spacing w:before="0" w:beforeAutospacing="0" w:after="0" w:afterAutospacing="0" w:line="360" w:lineRule="auto"/>
        <w:ind w:firstLine="420"/>
        <w:rPr>
          <w:sz w:val="21"/>
          <w:szCs w:val="21"/>
        </w:rPr>
      </w:pPr>
      <w:r>
        <w:rPr>
          <w:rFonts w:hint="eastAsia"/>
          <w:sz w:val="21"/>
          <w:szCs w:val="21"/>
        </w:rPr>
        <w:t>基金合同生效后，连续50个工作日出现基金份额持有人数量不满二百人或者基金资产净值低于五千万元情形的，本基金将根据基金合同的约定进行基金财产清算并终止，且无需召开基金份额持有人大会。因此本基金有面临自动清算的风险。</w:t>
      </w:r>
    </w:p>
    <w:p w14:paraId="4FB086F9">
      <w:pPr>
        <w:pStyle w:val="7"/>
        <w:spacing w:before="0" w:beforeAutospacing="0" w:after="0" w:afterAutospacing="0" w:line="360" w:lineRule="auto"/>
        <w:ind w:firstLine="420"/>
        <w:rPr>
          <w:sz w:val="21"/>
          <w:szCs w:val="21"/>
        </w:rPr>
      </w:pPr>
      <w:r>
        <w:rPr>
          <w:rStyle w:val="11"/>
          <w:rFonts w:hint="eastAsia"/>
          <w:sz w:val="21"/>
          <w:szCs w:val="21"/>
        </w:rPr>
        <w:t>二十七、管理风险与操作风险 </w:t>
      </w:r>
    </w:p>
    <w:p w14:paraId="2B8FF91E">
      <w:pPr>
        <w:pStyle w:val="7"/>
        <w:spacing w:before="0" w:beforeAutospacing="0" w:after="0" w:afterAutospacing="0" w:line="360" w:lineRule="auto"/>
        <w:ind w:firstLine="420"/>
        <w:rPr>
          <w:sz w:val="21"/>
          <w:szCs w:val="21"/>
        </w:rPr>
      </w:pPr>
      <w:r>
        <w:rPr>
          <w:rFonts w:hint="eastAsia"/>
          <w:sz w:val="21"/>
          <w:szCs w:val="21"/>
        </w:rPr>
        <w:t>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1B55DE02">
      <w:pPr>
        <w:pStyle w:val="7"/>
        <w:spacing w:before="0" w:beforeAutospacing="0" w:after="0" w:afterAutospacing="0" w:line="360" w:lineRule="auto"/>
        <w:ind w:firstLine="420"/>
        <w:rPr>
          <w:sz w:val="21"/>
          <w:szCs w:val="21"/>
        </w:rPr>
      </w:pPr>
      <w:r>
        <w:rPr>
          <w:rFonts w:hint="eastAsia"/>
          <w:sz w:val="21"/>
          <w:szCs w:val="21"/>
        </w:rPr>
        <w:t>相关当事人在业务各环节操作过程中，可能因内部控制存在缺陷或者人为因素造成操作失误或违反操作规程等引致风险，例如，申购赎回清单编制错误、越权违规交易、欺诈行为及交易错误等风险。 </w:t>
      </w:r>
    </w:p>
    <w:p w14:paraId="79EC81A6">
      <w:pPr>
        <w:pStyle w:val="7"/>
        <w:spacing w:before="0" w:beforeAutospacing="0" w:after="0" w:afterAutospacing="0" w:line="360" w:lineRule="auto"/>
        <w:ind w:firstLine="420"/>
        <w:rPr>
          <w:sz w:val="21"/>
          <w:szCs w:val="21"/>
        </w:rPr>
      </w:pPr>
      <w:r>
        <w:rPr>
          <w:rStyle w:val="11"/>
          <w:rFonts w:hint="eastAsia"/>
          <w:sz w:val="21"/>
          <w:szCs w:val="21"/>
        </w:rPr>
        <w:t>二十八、技术风险</w:t>
      </w:r>
    </w:p>
    <w:p w14:paraId="7A13BBC4">
      <w:pPr>
        <w:pStyle w:val="7"/>
        <w:spacing w:before="0" w:beforeAutospacing="0" w:after="0" w:afterAutospacing="0" w:line="360" w:lineRule="auto"/>
        <w:ind w:firstLine="420"/>
        <w:rPr>
          <w:sz w:val="21"/>
          <w:szCs w:val="21"/>
        </w:rPr>
      </w:pPr>
      <w:r>
        <w:rPr>
          <w:rFonts w:hint="eastAsia"/>
          <w:sz w:val="21"/>
          <w:szCs w:val="21"/>
        </w:rPr>
        <w:t>在本基金的投资、交易、服务与后台运作等业务过程中，可能因为技术系统的故障或差错导致投资人的利益受到影响。这种技术风险可能来自基金管理人、基金托管人、证券交易所、登记机构及销售代理机构等。</w:t>
      </w:r>
    </w:p>
    <w:p w14:paraId="20939258">
      <w:pPr>
        <w:pStyle w:val="7"/>
        <w:spacing w:before="0" w:beforeAutospacing="0" w:after="0" w:afterAutospacing="0" w:line="360" w:lineRule="auto"/>
        <w:ind w:firstLine="420"/>
        <w:rPr>
          <w:sz w:val="21"/>
          <w:szCs w:val="21"/>
        </w:rPr>
      </w:pPr>
      <w:r>
        <w:rPr>
          <w:rStyle w:val="11"/>
          <w:rFonts w:hint="eastAsia"/>
          <w:sz w:val="21"/>
          <w:szCs w:val="21"/>
        </w:rPr>
        <w:t>二十九、不可抗力 </w:t>
      </w:r>
    </w:p>
    <w:p w14:paraId="5217487C">
      <w:pPr>
        <w:pStyle w:val="7"/>
        <w:spacing w:before="0" w:beforeAutospacing="0" w:after="0" w:afterAutospacing="0" w:line="360" w:lineRule="auto"/>
        <w:ind w:firstLine="420"/>
        <w:rPr>
          <w:sz w:val="21"/>
          <w:szCs w:val="21"/>
        </w:rPr>
      </w:pPr>
      <w:r>
        <w:rPr>
          <w:rFonts w:hint="eastAsia"/>
          <w:sz w:val="21"/>
          <w:szCs w:val="21"/>
        </w:rPr>
        <w:t>战争、自然灾害等不可抗力可能导致基金资产有遭受损失的风险。基金管理人、基金托管人、证券交易所、登记机构和销售代理机构等可能因不可抗力无法正常工作，从而影响基</w:t>
      </w:r>
      <w:bookmarkStart w:id="169" w:name="chapter_level1_22_68_section_1_end"/>
      <w:bookmarkEnd w:id="169"/>
      <w:r>
        <w:rPr>
          <w:rFonts w:hint="eastAsia"/>
          <w:sz w:val="21"/>
          <w:szCs w:val="21"/>
        </w:rPr>
        <w:t>金的各项业务按正常时限完成。</w:t>
      </w:r>
    </w:p>
    <w:p w14:paraId="16AC4449">
      <w:pPr>
        <w:widowControl/>
        <w:jc w:val="left"/>
        <w:rPr>
          <w:rFonts w:ascii="宋体" w:hAnsi="宋体" w:eastAsia="宋体"/>
        </w:rPr>
      </w:pPr>
      <w:r>
        <w:rPr>
          <w:rFonts w:ascii="宋体" w:hAnsi="宋体" w:eastAsia="宋体"/>
        </w:rPr>
        <w:br w:type="page"/>
      </w:r>
    </w:p>
    <w:p w14:paraId="139AF962">
      <w:pPr>
        <w:pStyle w:val="2"/>
        <w:jc w:val="center"/>
        <w:rPr>
          <w:rFonts w:ascii="宋体" w:hAnsi="宋体" w:eastAsia="宋体"/>
          <w:sz w:val="30"/>
        </w:rPr>
      </w:pPr>
      <w:bookmarkStart w:id="170" w:name="_Toc207950942"/>
      <w:bookmarkStart w:id="171" w:name="chapter_level1_23_69"/>
      <w:r>
        <w:rPr>
          <w:rFonts w:hint="eastAsia" w:ascii="宋体" w:hAnsi="宋体" w:eastAsia="宋体"/>
          <w:sz w:val="30"/>
        </w:rPr>
        <w:t>第十九部分  基金合同的变更、终止与基金财产的清算</w:t>
      </w:r>
      <w:bookmarkEnd w:id="170"/>
      <w:bookmarkEnd w:id="171"/>
    </w:p>
    <w:p w14:paraId="352DF715">
      <w:pPr>
        <w:pStyle w:val="7"/>
        <w:spacing w:before="0" w:beforeAutospacing="0" w:after="0" w:afterAutospacing="0" w:line="360" w:lineRule="auto"/>
        <w:ind w:firstLine="420"/>
        <w:rPr>
          <w:sz w:val="21"/>
          <w:szCs w:val="21"/>
        </w:rPr>
      </w:pPr>
      <w:bookmarkStart w:id="172" w:name="chapter_level1_23_69_section_1"/>
      <w:bookmarkEnd w:id="172"/>
      <w:r>
        <w:rPr>
          <w:rStyle w:val="11"/>
          <w:rFonts w:hint="eastAsia"/>
          <w:sz w:val="21"/>
          <w:szCs w:val="21"/>
        </w:rPr>
        <w:t>一、基金合同的变更</w:t>
      </w:r>
    </w:p>
    <w:p w14:paraId="3CAC7EC8">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0ED58F01">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35D13C91">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578082BA">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52C2DC62">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7EDD6432">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4F297AC2">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7F2A0CB1">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3ECF37E9">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5097A90B">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1A6F5766">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5D3E8787">
      <w:pPr>
        <w:pStyle w:val="7"/>
        <w:spacing w:before="0" w:beforeAutospacing="0" w:after="0" w:afterAutospacing="0" w:line="360" w:lineRule="auto"/>
        <w:ind w:firstLine="420"/>
        <w:rPr>
          <w:sz w:val="21"/>
          <w:szCs w:val="21"/>
        </w:rPr>
      </w:pPr>
      <w:r>
        <w:rPr>
          <w:rFonts w:hint="eastAsia"/>
          <w:sz w:val="21"/>
          <w:szCs w:val="21"/>
        </w:rPr>
        <w:t>2、基金财产清算小组组成：基金财产清算小组成员由基金管理人、基金托管人、符合《证券法》规定的注册会计师、律师以及中国证监会指定的人员组成。基金财产清算小组可以聘用必要的工作人员。</w:t>
      </w:r>
    </w:p>
    <w:p w14:paraId="2006EC49">
      <w:pPr>
        <w:pStyle w:val="7"/>
        <w:spacing w:before="0" w:beforeAutospacing="0" w:after="0" w:afterAutospacing="0" w:line="360" w:lineRule="auto"/>
        <w:ind w:firstLine="420"/>
        <w:rPr>
          <w:sz w:val="21"/>
          <w:szCs w:val="21"/>
        </w:rPr>
      </w:pPr>
      <w:r>
        <w:rPr>
          <w:rFonts w:hint="eastAsia"/>
          <w:sz w:val="21"/>
          <w:szCs w:val="21"/>
        </w:rPr>
        <w:t>3、基金财产清算小组职责：基金财产清算小组负责基金财产的保管、清理、估价、变现和分配。基金财产清算小组可以依法进行必要的民事活动。</w:t>
      </w:r>
    </w:p>
    <w:p w14:paraId="7282C6FB">
      <w:pPr>
        <w:pStyle w:val="7"/>
        <w:spacing w:before="0" w:beforeAutospacing="0" w:after="0" w:afterAutospacing="0" w:line="360" w:lineRule="auto"/>
        <w:ind w:firstLine="420"/>
        <w:rPr>
          <w:sz w:val="21"/>
          <w:szCs w:val="21"/>
        </w:rPr>
      </w:pPr>
      <w:r>
        <w:rPr>
          <w:rFonts w:hint="eastAsia"/>
          <w:sz w:val="21"/>
          <w:szCs w:val="21"/>
        </w:rPr>
        <w:t>4、基金财产清算程序：</w:t>
      </w:r>
    </w:p>
    <w:p w14:paraId="4CD06BA9">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57F6643C">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6CA31266">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61CA0843">
      <w:pPr>
        <w:pStyle w:val="7"/>
        <w:spacing w:before="0" w:beforeAutospacing="0" w:after="0" w:afterAutospacing="0" w:line="360" w:lineRule="auto"/>
        <w:ind w:firstLine="420"/>
        <w:rPr>
          <w:sz w:val="21"/>
          <w:szCs w:val="21"/>
        </w:rPr>
      </w:pPr>
      <w:r>
        <w:rPr>
          <w:rFonts w:hint="eastAsia"/>
          <w:sz w:val="21"/>
          <w:szCs w:val="21"/>
        </w:rPr>
        <w:t>（4）制作清算报告；</w:t>
      </w:r>
    </w:p>
    <w:p w14:paraId="07D776C2">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24484A24">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3987268B">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4972505E">
      <w:pPr>
        <w:pStyle w:val="7"/>
        <w:spacing w:before="0" w:beforeAutospacing="0" w:after="0" w:afterAutospacing="0" w:line="360" w:lineRule="auto"/>
        <w:ind w:firstLine="420"/>
        <w:rPr>
          <w:sz w:val="21"/>
          <w:szCs w:val="21"/>
        </w:rPr>
      </w:pPr>
      <w:r>
        <w:rPr>
          <w:rFonts w:hint="eastAsia"/>
          <w:sz w:val="21"/>
          <w:szCs w:val="21"/>
        </w:rPr>
        <w:t>5、基金财产清算的期限为6个月，但因本基金所持证券的流动性受到限制而不能及时变现的，清算期限相应顺延。</w:t>
      </w:r>
    </w:p>
    <w:p w14:paraId="226E5EF7">
      <w:pPr>
        <w:pStyle w:val="7"/>
        <w:spacing w:before="0" w:beforeAutospacing="0" w:after="0" w:afterAutospacing="0" w:line="360" w:lineRule="auto"/>
        <w:ind w:firstLine="420"/>
        <w:rPr>
          <w:sz w:val="21"/>
          <w:szCs w:val="21"/>
        </w:rPr>
      </w:pPr>
      <w:r>
        <w:rPr>
          <w:rStyle w:val="11"/>
          <w:rFonts w:hint="eastAsia"/>
          <w:sz w:val="21"/>
          <w:szCs w:val="21"/>
        </w:rPr>
        <w:t>四、清算费用</w:t>
      </w:r>
    </w:p>
    <w:p w14:paraId="2C6CB244">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39EE9C79">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1822D4A6">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43AFD751">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1F7851E7">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29A84EF">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201FCA3D">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基金财产清算账册及有关文件由基金托管人保存20年以上，法律法规另有规定的从其</w:t>
      </w:r>
      <w:bookmarkStart w:id="173" w:name="chapter_level1_23_69_section_1_end"/>
      <w:bookmarkEnd w:id="173"/>
      <w:r>
        <w:rPr>
          <w:rFonts w:hint="eastAsia"/>
          <w:sz w:val="21"/>
          <w:szCs w:val="21"/>
        </w:rPr>
        <w:t>规定。</w:t>
      </w:r>
    </w:p>
    <w:p w14:paraId="2C4C5CE0">
      <w:pPr>
        <w:widowControl/>
        <w:jc w:val="left"/>
        <w:rPr>
          <w:rFonts w:ascii="宋体" w:hAnsi="宋体" w:eastAsia="宋体"/>
        </w:rPr>
      </w:pPr>
      <w:r>
        <w:rPr>
          <w:rFonts w:ascii="宋体" w:hAnsi="宋体" w:eastAsia="宋体"/>
        </w:rPr>
        <w:br w:type="page"/>
      </w:r>
    </w:p>
    <w:p w14:paraId="7C22EB8D">
      <w:pPr>
        <w:pStyle w:val="2"/>
        <w:jc w:val="center"/>
        <w:rPr>
          <w:rFonts w:ascii="宋体" w:hAnsi="宋体" w:eastAsia="宋体"/>
          <w:sz w:val="30"/>
        </w:rPr>
      </w:pPr>
      <w:bookmarkStart w:id="174" w:name="chapter_level1_24_71"/>
      <w:bookmarkStart w:id="175" w:name="_Toc207950943"/>
      <w:r>
        <w:rPr>
          <w:rFonts w:hint="eastAsia" w:ascii="宋体" w:hAnsi="宋体" w:eastAsia="宋体"/>
          <w:sz w:val="30"/>
        </w:rPr>
        <w:t>第二十部分  基金合同的内容摘要</w:t>
      </w:r>
      <w:bookmarkEnd w:id="174"/>
      <w:bookmarkEnd w:id="175"/>
    </w:p>
    <w:p w14:paraId="4C100E32">
      <w:pPr>
        <w:pStyle w:val="7"/>
        <w:spacing w:before="0" w:beforeAutospacing="0" w:after="0" w:afterAutospacing="0" w:line="360" w:lineRule="auto"/>
        <w:ind w:firstLine="420"/>
        <w:rPr>
          <w:sz w:val="21"/>
          <w:szCs w:val="21"/>
        </w:rPr>
      </w:pPr>
      <w:bookmarkStart w:id="176" w:name="chapter_level1_24_71_section_1"/>
      <w:bookmarkEnd w:id="176"/>
      <w:r>
        <w:rPr>
          <w:rStyle w:val="11"/>
          <w:rFonts w:hint="eastAsia"/>
          <w:sz w:val="21"/>
          <w:szCs w:val="21"/>
        </w:rPr>
        <w:t>一、基金份额持有人、基金管理人和基金托管人的权利、义务</w:t>
      </w:r>
    </w:p>
    <w:p w14:paraId="6D44E6E6">
      <w:pPr>
        <w:pStyle w:val="7"/>
        <w:spacing w:before="0" w:beforeAutospacing="0" w:after="0" w:afterAutospacing="0" w:line="360" w:lineRule="auto"/>
        <w:ind w:firstLine="420"/>
        <w:rPr>
          <w:sz w:val="21"/>
          <w:szCs w:val="21"/>
        </w:rPr>
      </w:pPr>
      <w:r>
        <w:rPr>
          <w:rFonts w:hint="eastAsia"/>
          <w:sz w:val="21"/>
          <w:szCs w:val="21"/>
        </w:rPr>
        <w:t>（一）基金份额持有人的权利与义务</w:t>
      </w:r>
    </w:p>
    <w:p w14:paraId="6C317191">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998A61B">
      <w:pPr>
        <w:pStyle w:val="7"/>
        <w:spacing w:before="0" w:beforeAutospacing="0" w:after="0" w:afterAutospacing="0" w:line="360" w:lineRule="auto"/>
        <w:ind w:firstLine="420"/>
        <w:rPr>
          <w:sz w:val="21"/>
          <w:szCs w:val="21"/>
        </w:rPr>
      </w:pPr>
      <w:r>
        <w:rPr>
          <w:rFonts w:hint="eastAsia"/>
          <w:sz w:val="21"/>
          <w:szCs w:val="21"/>
        </w:rPr>
        <w:t>每份基金份额具有同等的合法权益。</w:t>
      </w:r>
    </w:p>
    <w:p w14:paraId="0B01B772">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1EC83311">
      <w:pPr>
        <w:pStyle w:val="7"/>
        <w:spacing w:before="0" w:beforeAutospacing="0" w:after="0" w:afterAutospacing="0" w:line="360" w:lineRule="auto"/>
        <w:ind w:firstLine="420"/>
        <w:rPr>
          <w:sz w:val="21"/>
          <w:szCs w:val="21"/>
        </w:rPr>
      </w:pPr>
      <w:r>
        <w:rPr>
          <w:rFonts w:hint="eastAsia"/>
          <w:sz w:val="21"/>
          <w:szCs w:val="21"/>
        </w:rPr>
        <w:t>（1）分享基金财产收益；</w:t>
      </w:r>
    </w:p>
    <w:p w14:paraId="3452BFD3">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14:paraId="33E01A67">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5F7CB426">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354056A6">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14:paraId="44DA645D">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0037D7FE">
      <w:pPr>
        <w:pStyle w:val="7"/>
        <w:spacing w:before="0" w:beforeAutospacing="0" w:after="0" w:afterAutospacing="0" w:line="360" w:lineRule="auto"/>
        <w:ind w:firstLine="420"/>
        <w:rPr>
          <w:sz w:val="21"/>
          <w:szCs w:val="21"/>
        </w:rPr>
      </w:pPr>
      <w:r>
        <w:rPr>
          <w:rFonts w:hint="eastAsia"/>
          <w:sz w:val="21"/>
          <w:szCs w:val="21"/>
        </w:rPr>
        <w:t>（7）监督基金管理人的投资运作；</w:t>
      </w:r>
    </w:p>
    <w:p w14:paraId="130A64FB">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5131CB0D">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54E4B519">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28ABF146">
      <w:pPr>
        <w:pStyle w:val="7"/>
        <w:spacing w:before="0" w:beforeAutospacing="0" w:after="0" w:afterAutospacing="0" w:line="360" w:lineRule="auto"/>
        <w:ind w:firstLine="420"/>
        <w:rPr>
          <w:sz w:val="21"/>
          <w:szCs w:val="21"/>
        </w:rPr>
      </w:pPr>
      <w:r>
        <w:rPr>
          <w:rFonts w:hint="eastAsia"/>
          <w:sz w:val="21"/>
          <w:szCs w:val="21"/>
        </w:rPr>
        <w:t>（1）认真阅读并遵守《基金合同》、招募说明书及基金产品资料概要等信息披露文件；</w:t>
      </w:r>
    </w:p>
    <w:p w14:paraId="30A21934">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002D4162">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3220B063">
      <w:pPr>
        <w:pStyle w:val="7"/>
        <w:spacing w:before="0" w:beforeAutospacing="0" w:after="0" w:afterAutospacing="0" w:line="360" w:lineRule="auto"/>
        <w:ind w:firstLine="420"/>
        <w:rPr>
          <w:sz w:val="21"/>
          <w:szCs w:val="21"/>
        </w:rPr>
      </w:pPr>
      <w:r>
        <w:rPr>
          <w:rFonts w:hint="eastAsia"/>
          <w:sz w:val="21"/>
          <w:szCs w:val="21"/>
        </w:rPr>
        <w:t>（4）交纳基金认购款项和认购股票、申购对价及法律法规和《基金合同》所规定的费用；</w:t>
      </w:r>
    </w:p>
    <w:p w14:paraId="3C69FB60">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26C22FD6">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5E531AF2">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5C9DCE34">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2B20D78D">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（9）法律法规及中国证监会规定的和《基金合同》约定的其他义务。</w:t>
      </w:r>
    </w:p>
    <w:p w14:paraId="30481AFC">
      <w:pPr>
        <w:pStyle w:val="7"/>
        <w:spacing w:before="0" w:beforeAutospacing="0" w:after="0" w:afterAutospacing="0" w:line="360" w:lineRule="auto"/>
        <w:ind w:firstLine="420"/>
        <w:rPr>
          <w:sz w:val="21"/>
          <w:szCs w:val="21"/>
        </w:rPr>
      </w:pPr>
      <w:r>
        <w:rPr>
          <w:rFonts w:hint="eastAsia"/>
          <w:sz w:val="21"/>
          <w:szCs w:val="21"/>
        </w:rPr>
        <w:t>（二）基金管理人的权利与义务</w:t>
      </w:r>
    </w:p>
    <w:p w14:paraId="1B40425C">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387FC1C9">
      <w:pPr>
        <w:pStyle w:val="7"/>
        <w:spacing w:before="0" w:beforeAutospacing="0" w:after="0" w:afterAutospacing="0" w:line="360" w:lineRule="auto"/>
        <w:ind w:firstLine="420"/>
        <w:rPr>
          <w:sz w:val="21"/>
          <w:szCs w:val="21"/>
        </w:rPr>
      </w:pPr>
      <w:r>
        <w:rPr>
          <w:rFonts w:hint="eastAsia"/>
          <w:sz w:val="21"/>
          <w:szCs w:val="21"/>
        </w:rPr>
        <w:t>（1）依法募集资金；</w:t>
      </w:r>
    </w:p>
    <w:p w14:paraId="39201C7C">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2BAAC6B9">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5036C57A">
      <w:pPr>
        <w:pStyle w:val="7"/>
        <w:spacing w:before="0" w:beforeAutospacing="0" w:after="0" w:afterAutospacing="0" w:line="360" w:lineRule="auto"/>
        <w:ind w:firstLine="420"/>
        <w:rPr>
          <w:sz w:val="21"/>
          <w:szCs w:val="21"/>
        </w:rPr>
      </w:pPr>
      <w:r>
        <w:rPr>
          <w:rFonts w:hint="eastAsia"/>
          <w:sz w:val="21"/>
          <w:szCs w:val="21"/>
        </w:rPr>
        <w:t>（4）销售基金份额；</w:t>
      </w:r>
    </w:p>
    <w:p w14:paraId="3E7B121F">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14:paraId="6F385C28">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2127C277">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1F5657D0">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023EA717">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1D076E18">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66373024">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（11）在《基金合同》约定的范围内，拒绝或暂停受理申购与赎回申请； </w:t>
      </w:r>
    </w:p>
    <w:p w14:paraId="4BF43697">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6AE610C9">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（13）在法律法规允许的前提下，为基金的利益依法为基金进行融资和转融通证券出借业务；</w:t>
      </w:r>
    </w:p>
    <w:p w14:paraId="3FB642D5">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62E58AF4">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722AA6D5">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（16）在符合有关法律、法规的前提下，制订和调整有关基金认购、申购、赎回、非交易过户等业务规则；</w:t>
      </w:r>
    </w:p>
    <w:p w14:paraId="0E14CF24">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14:paraId="6B8AA642">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528015D7">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14:paraId="01721735">
      <w:pPr>
        <w:pStyle w:val="7"/>
        <w:spacing w:before="0" w:beforeAutospacing="0" w:after="0" w:afterAutospacing="0" w:line="360" w:lineRule="auto"/>
        <w:ind w:firstLine="420"/>
        <w:rPr>
          <w:sz w:val="21"/>
          <w:szCs w:val="21"/>
        </w:rPr>
      </w:pPr>
      <w:r>
        <w:rPr>
          <w:rFonts w:hint="eastAsia"/>
          <w:sz w:val="21"/>
          <w:szCs w:val="21"/>
        </w:rPr>
        <w:t>（2）办理基金备案手续；</w:t>
      </w:r>
    </w:p>
    <w:p w14:paraId="61CC732D">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42E8F0B0">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665D16E6">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03A647CB">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50A95FA8">
      <w:pPr>
        <w:pStyle w:val="7"/>
        <w:spacing w:before="0" w:beforeAutospacing="0" w:after="0" w:afterAutospacing="0" w:line="360" w:lineRule="auto"/>
        <w:ind w:firstLine="420"/>
        <w:rPr>
          <w:sz w:val="21"/>
          <w:szCs w:val="21"/>
        </w:rPr>
      </w:pPr>
      <w:r>
        <w:rPr>
          <w:rFonts w:hint="eastAsia"/>
          <w:sz w:val="21"/>
          <w:szCs w:val="21"/>
        </w:rPr>
        <w:t>（7）依法接受基金托管人的监督；</w:t>
      </w:r>
    </w:p>
    <w:p w14:paraId="1D867E80">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（8）采取适当合理的措施使计算基金份额认购价格、申购对价、赎回对价的方法符合《基金合同》等法律文件的规定，按有关规定计算并公告基金净值信息，确定基金份额申购、赎回对价，编制申购赎回清单；</w:t>
      </w:r>
    </w:p>
    <w:p w14:paraId="451D4ABF">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5D5DA454">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14:paraId="6A02B3A5">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6EEA6834">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向审计、法律等外部专业顾问提供的情况除外；</w:t>
      </w:r>
    </w:p>
    <w:p w14:paraId="3391D230">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541F6368">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（14）按规定受理申购与赎回申请，及时、足额支付赎回对价；</w:t>
      </w:r>
    </w:p>
    <w:p w14:paraId="279D687F">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5759F58C">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（16）按规定保存基金财产管理业务活动的会计账册、报表、记录和其他相关资料，保存期限不低于法定最低期限；</w:t>
      </w:r>
    </w:p>
    <w:p w14:paraId="5AF88E14">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0A442144">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62211AD6">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43B6654C">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4AEBE44A">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17F45A3F">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6AFB5641">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w:t>
      </w:r>
    </w:p>
    <w:p w14:paraId="4304F063">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658B98A4">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14:paraId="447CF9FE">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14:paraId="6B61B3AB">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14:paraId="55B4FFB3">
      <w:pPr>
        <w:pStyle w:val="7"/>
        <w:spacing w:before="0" w:beforeAutospacing="0" w:after="0" w:afterAutospacing="0" w:line="360" w:lineRule="auto"/>
        <w:ind w:firstLine="420"/>
        <w:rPr>
          <w:sz w:val="21"/>
          <w:szCs w:val="21"/>
        </w:rPr>
      </w:pPr>
      <w:r>
        <w:rPr>
          <w:rFonts w:hint="eastAsia"/>
          <w:sz w:val="21"/>
          <w:szCs w:val="21"/>
        </w:rPr>
        <w:t>（三） 基金托管人的权利与义务</w:t>
      </w:r>
    </w:p>
    <w:p w14:paraId="4B00426F">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125F1536">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4850EB6C">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7BE6F3D7">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4CEF936">
      <w:pPr>
        <w:pStyle w:val="7"/>
        <w:spacing w:before="0" w:beforeAutospacing="0" w:after="0" w:afterAutospacing="0" w:line="360" w:lineRule="auto"/>
        <w:ind w:firstLine="420"/>
        <w:rPr>
          <w:sz w:val="21"/>
          <w:szCs w:val="21"/>
        </w:rPr>
      </w:pPr>
      <w:r>
        <w:rPr>
          <w:rFonts w:hint="eastAsia"/>
          <w:sz w:val="21"/>
          <w:szCs w:val="21"/>
        </w:rPr>
        <w:t>（4）根据相关市场规则，为基金开设资金账户、证券账户等投资所需账户，为基金办理证券、期货交易资金清算；</w:t>
      </w:r>
    </w:p>
    <w:p w14:paraId="128B36F9">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14:paraId="06240232">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3C174F92">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501E4937">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02A6305E">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1EAADD73">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09376FA0">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CB8E4C1">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76EA0A28">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6373EC0C">
      <w:pPr>
        <w:pStyle w:val="7"/>
        <w:spacing w:before="0" w:beforeAutospacing="0" w:after="0" w:afterAutospacing="0" w:line="360" w:lineRule="auto"/>
        <w:ind w:firstLine="420"/>
        <w:rPr>
          <w:sz w:val="21"/>
          <w:szCs w:val="21"/>
        </w:rPr>
      </w:pPr>
      <w:r>
        <w:rPr>
          <w:rFonts w:hint="eastAsia"/>
          <w:sz w:val="21"/>
          <w:szCs w:val="21"/>
        </w:rPr>
        <w:t>（6）按规定开设基金财产的资金账户、证券账户等投资所需账户，按照《基金合同》的约定，根据基金管理人的投资指令，及时办理清算、交割事宜；</w:t>
      </w:r>
    </w:p>
    <w:p w14:paraId="3451CACD">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（7）保守基金商业秘密，除《基金法》、《基金合同》及其他有关规定另有规定外，在基金信息公开披露前予以保密，向审计、法律等外部专业顾问提供的情况除外；</w:t>
      </w:r>
    </w:p>
    <w:p w14:paraId="428D9789">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（8）复核、审查基金管理人计算的基金资产净值、基金份额净值、基金份额申购、赎回对价；</w:t>
      </w:r>
    </w:p>
    <w:p w14:paraId="0E0981EF">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4E4E3C38">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690FB426">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（11）保存基金托管业务活动的记录、账册、报表和其他相关资料，保存期限不低于法定最低期限；</w:t>
      </w:r>
    </w:p>
    <w:p w14:paraId="620157A9">
      <w:pPr>
        <w:pStyle w:val="7"/>
        <w:spacing w:before="0" w:beforeAutospacing="0" w:after="0" w:afterAutospacing="0" w:line="360" w:lineRule="auto"/>
        <w:ind w:firstLine="420"/>
        <w:rPr>
          <w:sz w:val="21"/>
          <w:szCs w:val="21"/>
        </w:rPr>
      </w:pPr>
      <w:r>
        <w:rPr>
          <w:rFonts w:hint="eastAsia"/>
          <w:sz w:val="21"/>
          <w:szCs w:val="21"/>
        </w:rPr>
        <w:t>（12）从基金管理人或其委托的登记机构处接收并保存基金份额持有人名册；</w:t>
      </w:r>
    </w:p>
    <w:p w14:paraId="476AF826">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4DB20C64">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（14）依据基金管理人的指令或有关规定向基金份额持有人支付基金收益和赎回对价的现金部分；</w:t>
      </w:r>
    </w:p>
    <w:p w14:paraId="33298E35">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2B58B31B">
      <w:pPr>
        <w:pStyle w:val="7"/>
        <w:spacing w:before="0" w:beforeAutospacing="0" w:after="0" w:afterAutospacing="0" w:line="360" w:lineRule="auto"/>
        <w:ind w:firstLine="420"/>
        <w:rPr>
          <w:sz w:val="21"/>
          <w:szCs w:val="21"/>
        </w:rPr>
      </w:pPr>
      <w:r>
        <w:rPr>
          <w:rFonts w:hint="eastAsia"/>
          <w:sz w:val="21"/>
          <w:szCs w:val="21"/>
        </w:rPr>
        <w:t>（16）按照法律法规、《基金合同》和托管协议的规定监督基金管理人的投资运作；</w:t>
      </w:r>
    </w:p>
    <w:p w14:paraId="2D6B28BF">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0A8BCE00">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（18）面临解散、依法被撤销或者被依法宣告破产时，及时报告中国证监会，并通知基金管理人；</w:t>
      </w:r>
    </w:p>
    <w:p w14:paraId="717C3FA4">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5F04C0B0">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5985F24F">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59BE1C0B">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2C11340F">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2AC13076">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基金份额持有人大会由基金份额持有人组成，基金份额持有人的合法授权代表有权代表基金份额持有人出席会议并表决。基金份额持有人持有的每一基金份额拥有平等的投票权。</w:t>
      </w:r>
    </w:p>
    <w:p w14:paraId="712D7FE8">
      <w:pPr>
        <w:pStyle w:val="7"/>
        <w:spacing w:before="0" w:beforeAutospacing="0" w:after="0" w:afterAutospacing="0" w:line="360" w:lineRule="auto"/>
        <w:ind w:firstLine="420"/>
        <w:rPr>
          <w:sz w:val="21"/>
          <w:szCs w:val="21"/>
        </w:rPr>
      </w:pPr>
      <w:r>
        <w:rPr>
          <w:rFonts w:hint="eastAsia"/>
          <w:sz w:val="21"/>
          <w:szCs w:val="21"/>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4937C82F">
      <w:pPr>
        <w:pStyle w:val="7"/>
        <w:spacing w:before="0" w:beforeAutospacing="0" w:after="0" w:afterAutospacing="0" w:line="360" w:lineRule="auto"/>
        <w:ind w:firstLine="420"/>
        <w:rPr>
          <w:sz w:val="21"/>
          <w:szCs w:val="21"/>
        </w:rPr>
      </w:pPr>
      <w:r>
        <w:rPr>
          <w:rFonts w:hint="eastAsia"/>
          <w:sz w:val="21"/>
          <w:szCs w:val="21"/>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F546DCF">
      <w:pPr>
        <w:pStyle w:val="7"/>
        <w:spacing w:before="0" w:beforeAutospacing="0" w:after="0" w:afterAutospacing="0" w:line="360" w:lineRule="auto"/>
        <w:ind w:firstLine="420"/>
        <w:rPr>
          <w:sz w:val="21"/>
          <w:szCs w:val="21"/>
        </w:rPr>
      </w:pPr>
      <w:r>
        <w:rPr>
          <w:rFonts w:hint="eastAsia"/>
          <w:sz w:val="21"/>
          <w:szCs w:val="21"/>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34B395A4">
      <w:pPr>
        <w:pStyle w:val="7"/>
        <w:spacing w:before="0" w:beforeAutospacing="0" w:after="0" w:afterAutospacing="0" w:line="360" w:lineRule="auto"/>
        <w:ind w:firstLine="420"/>
        <w:rPr>
          <w:sz w:val="21"/>
          <w:szCs w:val="21"/>
        </w:rPr>
      </w:pPr>
      <w:r>
        <w:rPr>
          <w:rFonts w:hint="eastAsia"/>
          <w:sz w:val="21"/>
          <w:szCs w:val="21"/>
        </w:rPr>
        <w:t>法律法规或监管机构对基金份额持有人大会另有规定的，从其规定。</w:t>
      </w:r>
    </w:p>
    <w:p w14:paraId="2E9757E5">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14:paraId="20246D62">
      <w:pPr>
        <w:pStyle w:val="7"/>
        <w:spacing w:before="0" w:beforeAutospacing="0" w:after="0" w:afterAutospacing="0" w:line="360" w:lineRule="auto"/>
        <w:ind w:firstLine="420"/>
        <w:rPr>
          <w:sz w:val="21"/>
          <w:szCs w:val="21"/>
        </w:rPr>
      </w:pPr>
      <w:r>
        <w:rPr>
          <w:rFonts w:hint="eastAsia"/>
          <w:sz w:val="21"/>
          <w:szCs w:val="21"/>
        </w:rPr>
        <w:t>（一）召开事由</w:t>
      </w:r>
    </w:p>
    <w:p w14:paraId="1A08AA0E">
      <w:pPr>
        <w:pStyle w:val="7"/>
        <w:spacing w:before="0" w:beforeAutospacing="0" w:after="0" w:afterAutospacing="0" w:line="360" w:lineRule="auto"/>
        <w:ind w:firstLine="420"/>
        <w:rPr>
          <w:sz w:val="21"/>
          <w:szCs w:val="21"/>
        </w:rPr>
      </w:pPr>
      <w:r>
        <w:rPr>
          <w:rFonts w:hint="eastAsia"/>
          <w:sz w:val="21"/>
          <w:szCs w:val="21"/>
        </w:rPr>
        <w:t>1、除法律法规、中国证监会和基金合同另有规定外，当出现或需要决定下列事由之一的，应当召开基金份额持有人大会：</w:t>
      </w:r>
    </w:p>
    <w:p w14:paraId="5DA7F711">
      <w:pPr>
        <w:pStyle w:val="7"/>
        <w:spacing w:before="0" w:beforeAutospacing="0" w:after="0" w:afterAutospacing="0" w:line="360" w:lineRule="auto"/>
        <w:ind w:firstLine="420"/>
        <w:rPr>
          <w:sz w:val="21"/>
          <w:szCs w:val="21"/>
        </w:rPr>
      </w:pPr>
      <w:r>
        <w:rPr>
          <w:rFonts w:hint="eastAsia"/>
          <w:sz w:val="21"/>
          <w:szCs w:val="21"/>
        </w:rPr>
        <w:t>（1）终止《基金合同》；</w:t>
      </w:r>
    </w:p>
    <w:p w14:paraId="7BD37F5A">
      <w:pPr>
        <w:pStyle w:val="7"/>
        <w:spacing w:before="0" w:beforeAutospacing="0" w:after="0" w:afterAutospacing="0" w:line="360" w:lineRule="auto"/>
        <w:ind w:firstLine="420"/>
        <w:rPr>
          <w:sz w:val="21"/>
          <w:szCs w:val="21"/>
        </w:rPr>
      </w:pPr>
      <w:r>
        <w:rPr>
          <w:rFonts w:hint="eastAsia"/>
          <w:sz w:val="21"/>
          <w:szCs w:val="21"/>
        </w:rPr>
        <w:t>（2）更换基金管理人；</w:t>
      </w:r>
    </w:p>
    <w:p w14:paraId="18E4CCD7">
      <w:pPr>
        <w:pStyle w:val="7"/>
        <w:spacing w:before="0" w:beforeAutospacing="0" w:after="0" w:afterAutospacing="0" w:line="360" w:lineRule="auto"/>
        <w:ind w:firstLine="420"/>
        <w:rPr>
          <w:sz w:val="21"/>
          <w:szCs w:val="21"/>
        </w:rPr>
      </w:pPr>
      <w:r>
        <w:rPr>
          <w:rFonts w:hint="eastAsia"/>
          <w:sz w:val="21"/>
          <w:szCs w:val="21"/>
        </w:rPr>
        <w:t>（3）更换基金托管人；</w:t>
      </w:r>
    </w:p>
    <w:p w14:paraId="0999FF00">
      <w:pPr>
        <w:pStyle w:val="7"/>
        <w:spacing w:before="0" w:beforeAutospacing="0" w:after="0" w:afterAutospacing="0" w:line="360" w:lineRule="auto"/>
        <w:ind w:firstLine="420"/>
        <w:rPr>
          <w:sz w:val="21"/>
          <w:szCs w:val="21"/>
        </w:rPr>
      </w:pPr>
      <w:r>
        <w:rPr>
          <w:rFonts w:hint="eastAsia"/>
          <w:sz w:val="21"/>
          <w:szCs w:val="21"/>
        </w:rPr>
        <w:t>（4）转换基金运作方式；</w:t>
      </w:r>
    </w:p>
    <w:p w14:paraId="5A448D28">
      <w:pPr>
        <w:pStyle w:val="7"/>
        <w:spacing w:before="0" w:beforeAutospacing="0" w:after="0" w:afterAutospacing="0" w:line="360" w:lineRule="auto"/>
        <w:ind w:firstLine="420"/>
        <w:rPr>
          <w:sz w:val="21"/>
          <w:szCs w:val="21"/>
        </w:rPr>
      </w:pPr>
      <w:r>
        <w:rPr>
          <w:rFonts w:hint="eastAsia"/>
          <w:sz w:val="21"/>
          <w:szCs w:val="21"/>
        </w:rPr>
        <w:t>（5）调整基金管理人、基金托管人的报酬标准；</w:t>
      </w:r>
    </w:p>
    <w:p w14:paraId="7D96BB15">
      <w:pPr>
        <w:pStyle w:val="7"/>
        <w:spacing w:before="0" w:beforeAutospacing="0" w:after="0" w:afterAutospacing="0" w:line="360" w:lineRule="auto"/>
        <w:ind w:firstLine="420"/>
        <w:rPr>
          <w:sz w:val="21"/>
          <w:szCs w:val="21"/>
        </w:rPr>
      </w:pPr>
      <w:r>
        <w:rPr>
          <w:rFonts w:hint="eastAsia"/>
          <w:sz w:val="21"/>
          <w:szCs w:val="21"/>
        </w:rPr>
        <w:t>（6）变更基金类别；</w:t>
      </w:r>
    </w:p>
    <w:p w14:paraId="6C88F5FF">
      <w:pPr>
        <w:pStyle w:val="7"/>
        <w:spacing w:before="0" w:beforeAutospacing="0" w:after="0" w:afterAutospacing="0" w:line="360" w:lineRule="auto"/>
        <w:ind w:firstLine="420"/>
        <w:rPr>
          <w:sz w:val="21"/>
          <w:szCs w:val="21"/>
        </w:rPr>
      </w:pPr>
      <w:r>
        <w:rPr>
          <w:rFonts w:hint="eastAsia"/>
          <w:sz w:val="21"/>
          <w:szCs w:val="21"/>
        </w:rPr>
        <w:t>（7）本基金与其他基金的合并；</w:t>
      </w:r>
    </w:p>
    <w:p w14:paraId="641352E4">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14:paraId="035D4B08">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14:paraId="36295EC4">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7A9B2DFD">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3B7395C7">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0230811D">
      <w:pPr>
        <w:pStyle w:val="7"/>
        <w:spacing w:before="0" w:beforeAutospacing="0" w:after="0" w:afterAutospacing="0" w:line="360" w:lineRule="auto"/>
        <w:ind w:firstLine="420"/>
        <w:rPr>
          <w:sz w:val="21"/>
          <w:szCs w:val="21"/>
        </w:rPr>
      </w:pPr>
      <w:r>
        <w:rPr>
          <w:rFonts w:hint="eastAsia"/>
          <w:sz w:val="21"/>
          <w:szCs w:val="21"/>
        </w:rPr>
        <w:t>（13）终止基金上市，但因基金不再具备上市条件而被深圳证券交易所终止上市的情形除外；</w:t>
      </w:r>
    </w:p>
    <w:p w14:paraId="5A9143F6">
      <w:pPr>
        <w:pStyle w:val="7"/>
        <w:spacing w:before="0" w:beforeAutospacing="0" w:after="0" w:afterAutospacing="0" w:line="360" w:lineRule="auto"/>
        <w:ind w:firstLine="420"/>
        <w:rPr>
          <w:sz w:val="21"/>
          <w:szCs w:val="21"/>
        </w:rPr>
      </w:pPr>
      <w:r>
        <w:rPr>
          <w:rFonts w:hint="eastAsia"/>
          <w:sz w:val="21"/>
          <w:szCs w:val="21"/>
        </w:rPr>
        <w:t>（14）法律法规、《基金合同》或中国证监会规定的其他应当召开基金份额持有人大会的事项。</w:t>
      </w:r>
    </w:p>
    <w:p w14:paraId="7D1BFBE3">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4AFE52DB">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14:paraId="1A9F3724">
      <w:pPr>
        <w:pStyle w:val="7"/>
        <w:spacing w:before="0" w:beforeAutospacing="0" w:after="0" w:afterAutospacing="0" w:line="360" w:lineRule="auto"/>
        <w:ind w:firstLine="420"/>
        <w:rPr>
          <w:sz w:val="21"/>
          <w:szCs w:val="21"/>
        </w:rPr>
      </w:pPr>
      <w:r>
        <w:rPr>
          <w:rFonts w:hint="eastAsia"/>
          <w:sz w:val="21"/>
          <w:szCs w:val="21"/>
        </w:rPr>
        <w:t>（2）调整本基金的申购费率、调低赎回费率或变更收费方式或调整基金份额类别设置、对基金份额分类办法及规则进行调整；</w:t>
      </w:r>
    </w:p>
    <w:p w14:paraId="00886ED1">
      <w:pPr>
        <w:pStyle w:val="7"/>
        <w:spacing w:before="0" w:beforeAutospacing="0" w:after="0" w:afterAutospacing="0" w:line="360" w:lineRule="auto"/>
        <w:ind w:firstLine="420"/>
        <w:rPr>
          <w:sz w:val="21"/>
          <w:szCs w:val="21"/>
        </w:rPr>
      </w:pPr>
      <w:r>
        <w:rPr>
          <w:rFonts w:hint="eastAsia"/>
          <w:sz w:val="21"/>
          <w:szCs w:val="21"/>
        </w:rPr>
        <w:t>（3）因相应的法律法规、深圳证券交易所或者登记机构的相关业务规则发生变动而应当对《基金合同》进行修改；</w:t>
      </w:r>
    </w:p>
    <w:p w14:paraId="7C49C3D4">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2D2802CB">
      <w:pPr>
        <w:pStyle w:val="7"/>
        <w:spacing w:before="0" w:beforeAutospacing="0" w:after="0" w:afterAutospacing="0" w:line="360" w:lineRule="auto"/>
        <w:ind w:firstLine="420"/>
        <w:rPr>
          <w:sz w:val="21"/>
          <w:szCs w:val="21"/>
        </w:rPr>
      </w:pPr>
      <w:r>
        <w:rPr>
          <w:rFonts w:hint="eastAsia"/>
          <w:sz w:val="21"/>
          <w:szCs w:val="21"/>
        </w:rPr>
        <w:t>（5）基金管理人、相关证券交易所和登记机构等调整有关基金申购、赎回、交易、转托管、非交易过户等业务的规则；</w:t>
      </w:r>
    </w:p>
    <w:p w14:paraId="4CDC6298">
      <w:pPr>
        <w:pStyle w:val="7"/>
        <w:spacing w:before="0" w:beforeAutospacing="0" w:after="0" w:afterAutospacing="0" w:line="360" w:lineRule="auto"/>
        <w:ind w:firstLine="420"/>
        <w:rPr>
          <w:sz w:val="21"/>
          <w:szCs w:val="21"/>
        </w:rPr>
      </w:pPr>
      <w:r>
        <w:rPr>
          <w:rFonts w:hint="eastAsia"/>
          <w:sz w:val="21"/>
          <w:szCs w:val="21"/>
        </w:rPr>
        <w:t>（6）经履行相关程序后，基金推出新业务或服务；</w:t>
      </w:r>
    </w:p>
    <w:p w14:paraId="6D026774">
      <w:pPr>
        <w:pStyle w:val="7"/>
        <w:spacing w:before="0" w:beforeAutospacing="0" w:after="0" w:afterAutospacing="0" w:line="360" w:lineRule="auto"/>
        <w:ind w:firstLine="420"/>
        <w:rPr>
          <w:sz w:val="21"/>
          <w:szCs w:val="21"/>
        </w:rPr>
      </w:pPr>
      <w:r>
        <w:rPr>
          <w:rFonts w:hint="eastAsia"/>
          <w:sz w:val="21"/>
          <w:szCs w:val="21"/>
        </w:rPr>
        <w:t>（7）本基金的联接基金采取其他方式参与本基金的申购赎回；</w:t>
      </w:r>
    </w:p>
    <w:p w14:paraId="44F0BAC8">
      <w:pPr>
        <w:pStyle w:val="7"/>
        <w:spacing w:before="0" w:beforeAutospacing="0" w:after="0" w:afterAutospacing="0" w:line="360" w:lineRule="auto"/>
        <w:ind w:firstLine="420"/>
        <w:rPr>
          <w:sz w:val="21"/>
          <w:szCs w:val="21"/>
        </w:rPr>
      </w:pPr>
      <w:r>
        <w:rPr>
          <w:rFonts w:hint="eastAsia"/>
          <w:sz w:val="21"/>
          <w:szCs w:val="21"/>
        </w:rPr>
        <w:t>（8）调整基金的申购赎回方式及申购对价、赎回对价组成；调整申购赎回清单的内容，调整申购赎回清单计算和公告时间或频率；</w:t>
      </w:r>
    </w:p>
    <w:p w14:paraId="4D41CA0E">
      <w:pPr>
        <w:pStyle w:val="7"/>
        <w:spacing w:before="0" w:beforeAutospacing="0" w:after="0" w:afterAutospacing="0" w:line="360" w:lineRule="auto"/>
        <w:ind w:firstLine="420"/>
        <w:rPr>
          <w:sz w:val="21"/>
          <w:szCs w:val="21"/>
        </w:rPr>
      </w:pPr>
      <w:r>
        <w:rPr>
          <w:rFonts w:hint="eastAsia"/>
          <w:sz w:val="21"/>
          <w:szCs w:val="21"/>
        </w:rPr>
        <w:t>（9）进行基金份额的拆分与合并；</w:t>
      </w:r>
    </w:p>
    <w:p w14:paraId="3EFA6E7A">
      <w:pPr>
        <w:pStyle w:val="7"/>
        <w:spacing w:before="0" w:beforeAutospacing="0" w:after="0" w:afterAutospacing="0" w:line="360" w:lineRule="auto"/>
        <w:ind w:firstLine="420"/>
        <w:rPr>
          <w:sz w:val="21"/>
          <w:szCs w:val="21"/>
        </w:rPr>
      </w:pPr>
      <w:r>
        <w:rPr>
          <w:rFonts w:hint="eastAsia"/>
          <w:sz w:val="21"/>
          <w:szCs w:val="21"/>
        </w:rPr>
        <w:t>（10）按照法律法规和《基金合同》规定不需召开基金份额持有人大会的其他情形。</w:t>
      </w:r>
    </w:p>
    <w:p w14:paraId="358987E1">
      <w:pPr>
        <w:pStyle w:val="7"/>
        <w:spacing w:before="0" w:beforeAutospacing="0" w:after="0" w:afterAutospacing="0" w:line="360" w:lineRule="auto"/>
        <w:ind w:firstLine="420"/>
        <w:rPr>
          <w:sz w:val="21"/>
          <w:szCs w:val="21"/>
        </w:rPr>
      </w:pPr>
      <w:r>
        <w:rPr>
          <w:rFonts w:hint="eastAsia"/>
          <w:sz w:val="21"/>
          <w:szCs w:val="21"/>
        </w:rPr>
        <w:t>（二）会议召集人及召集方式</w:t>
      </w:r>
    </w:p>
    <w:p w14:paraId="014C429F">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053986FA">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06943E80">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0228760">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3F1A5D70">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49B2C20">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697FB346">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71E69792">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44C7B6E9">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14:paraId="73730A02">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6B4E8874">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1824B33D">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21A3D869">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14:paraId="0E61555D">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41DB1B6F">
      <w:pPr>
        <w:pStyle w:val="7"/>
        <w:spacing w:before="0" w:beforeAutospacing="0" w:after="0" w:afterAutospacing="0" w:line="360" w:lineRule="auto"/>
        <w:ind w:firstLine="420"/>
        <w:rPr>
          <w:sz w:val="21"/>
          <w:szCs w:val="21"/>
        </w:rPr>
      </w:pPr>
      <w:r>
        <w:rPr>
          <w:rFonts w:hint="eastAsia"/>
          <w:sz w:val="21"/>
          <w:szCs w:val="21"/>
        </w:rPr>
        <w:t>（7）召集人需要通知的其他事项。</w:t>
      </w:r>
    </w:p>
    <w:p w14:paraId="0BACFF50">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7E417240">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BA473D4">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14:paraId="68659A18">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60D8DE64">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2F3ACC7">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1E77BB2">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7E4730AA">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6A6213D3">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0BE9EEEB">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383B7680">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DB3C5FC">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w:t>
      </w:r>
    </w:p>
    <w:p w14:paraId="682F1E1D">
      <w:pPr>
        <w:pStyle w:val="7"/>
        <w:spacing w:before="0" w:beforeAutospacing="0" w:after="0" w:afterAutospacing="0" w:line="360" w:lineRule="auto"/>
        <w:ind w:firstLine="420"/>
        <w:rPr>
          <w:sz w:val="21"/>
          <w:szCs w:val="21"/>
        </w:rPr>
      </w:pPr>
      <w:r>
        <w:rPr>
          <w:rFonts w:hint="eastAsia"/>
          <w:sz w:val="21"/>
          <w:szCs w:val="21"/>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DCF5761">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31B1480">
      <w:pPr>
        <w:pStyle w:val="7"/>
        <w:spacing w:before="0" w:beforeAutospacing="0" w:after="0" w:afterAutospacing="0" w:line="360" w:lineRule="auto"/>
        <w:ind w:firstLine="420"/>
        <w:rPr>
          <w:sz w:val="21"/>
          <w:szCs w:val="21"/>
        </w:rPr>
      </w:pPr>
      <w:r>
        <w:rPr>
          <w:rFonts w:hint="eastAsia"/>
          <w:sz w:val="21"/>
          <w:szCs w:val="21"/>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34154E6D">
      <w:pPr>
        <w:pStyle w:val="7"/>
        <w:spacing w:before="0" w:beforeAutospacing="0" w:after="0" w:afterAutospacing="0" w:line="360" w:lineRule="auto"/>
        <w:ind w:firstLine="420"/>
        <w:rPr>
          <w:sz w:val="21"/>
          <w:szCs w:val="21"/>
        </w:rPr>
      </w:pPr>
      <w:r>
        <w:rPr>
          <w:rFonts w:hint="eastAsia"/>
          <w:sz w:val="21"/>
          <w:szCs w:val="21"/>
        </w:rPr>
        <w:t>（五）议事内容与程序</w:t>
      </w:r>
    </w:p>
    <w:p w14:paraId="3247E88F">
      <w:pPr>
        <w:pStyle w:val="7"/>
        <w:spacing w:before="0" w:beforeAutospacing="0" w:after="0" w:afterAutospacing="0" w:line="360" w:lineRule="auto"/>
        <w:ind w:firstLine="420"/>
        <w:rPr>
          <w:sz w:val="21"/>
          <w:szCs w:val="21"/>
        </w:rPr>
      </w:pPr>
      <w:r>
        <w:rPr>
          <w:rFonts w:hint="eastAsia"/>
          <w:sz w:val="21"/>
          <w:szCs w:val="21"/>
        </w:rPr>
        <w:t>1、议事内容及提案权</w:t>
      </w:r>
    </w:p>
    <w:p w14:paraId="1F33970A">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63D786DB">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74299583">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5A278DD3">
      <w:pPr>
        <w:pStyle w:val="7"/>
        <w:spacing w:before="0" w:beforeAutospacing="0" w:after="0" w:afterAutospacing="0" w:line="360" w:lineRule="auto"/>
        <w:ind w:firstLine="420"/>
        <w:rPr>
          <w:sz w:val="21"/>
          <w:szCs w:val="21"/>
        </w:rPr>
      </w:pPr>
      <w:r>
        <w:rPr>
          <w:rFonts w:hint="eastAsia"/>
          <w:sz w:val="21"/>
          <w:szCs w:val="21"/>
        </w:rPr>
        <w:t>2、议事程序</w:t>
      </w:r>
    </w:p>
    <w:p w14:paraId="07CF8AD8">
      <w:pPr>
        <w:pStyle w:val="7"/>
        <w:spacing w:before="0" w:beforeAutospacing="0" w:after="0" w:afterAutospacing="0" w:line="360" w:lineRule="auto"/>
        <w:ind w:firstLine="420"/>
        <w:rPr>
          <w:sz w:val="21"/>
          <w:szCs w:val="21"/>
        </w:rPr>
      </w:pPr>
      <w:r>
        <w:rPr>
          <w:rFonts w:hint="eastAsia"/>
          <w:sz w:val="21"/>
          <w:szCs w:val="21"/>
        </w:rPr>
        <w:t>（1）现场开会</w:t>
      </w:r>
    </w:p>
    <w:p w14:paraId="7C1481A5">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4B3A4E6">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313B8F2E">
      <w:pPr>
        <w:pStyle w:val="7"/>
        <w:spacing w:before="0" w:beforeAutospacing="0" w:after="0" w:afterAutospacing="0" w:line="360" w:lineRule="auto"/>
        <w:ind w:firstLine="420"/>
        <w:rPr>
          <w:sz w:val="21"/>
          <w:szCs w:val="21"/>
        </w:rPr>
      </w:pPr>
      <w:r>
        <w:rPr>
          <w:rFonts w:hint="eastAsia"/>
          <w:sz w:val="21"/>
          <w:szCs w:val="21"/>
        </w:rPr>
        <w:t>（2）通讯开会</w:t>
      </w:r>
    </w:p>
    <w:p w14:paraId="1AE44928">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574EEFCD">
      <w:pPr>
        <w:pStyle w:val="7"/>
        <w:spacing w:before="0" w:beforeAutospacing="0" w:after="0" w:afterAutospacing="0" w:line="360" w:lineRule="auto"/>
        <w:ind w:firstLine="420"/>
        <w:rPr>
          <w:sz w:val="21"/>
          <w:szCs w:val="21"/>
        </w:rPr>
      </w:pPr>
      <w:r>
        <w:rPr>
          <w:rFonts w:hint="eastAsia"/>
          <w:sz w:val="21"/>
          <w:szCs w:val="21"/>
        </w:rPr>
        <w:t>（六）表决</w:t>
      </w:r>
    </w:p>
    <w:p w14:paraId="1ADA46F9">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7B4B015F">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04C55337">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67DF83C7">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59618CED">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710B2384">
      <w:pPr>
        <w:pStyle w:val="7"/>
        <w:spacing w:before="0" w:beforeAutospacing="0" w:after="0" w:afterAutospacing="0" w:line="360" w:lineRule="auto"/>
        <w:ind w:firstLine="420"/>
        <w:rPr>
          <w:sz w:val="21"/>
          <w:szCs w:val="21"/>
        </w:rPr>
      </w:pPr>
      <w:r>
        <w:rPr>
          <w:rFonts w:hint="eastAsia"/>
          <w:sz w:val="21"/>
          <w:szCs w:val="21"/>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9B2C2E4">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67182644">
      <w:pPr>
        <w:pStyle w:val="7"/>
        <w:spacing w:before="0" w:beforeAutospacing="0" w:after="0" w:afterAutospacing="0" w:line="360" w:lineRule="auto"/>
        <w:ind w:firstLine="420"/>
        <w:rPr>
          <w:sz w:val="21"/>
          <w:szCs w:val="21"/>
        </w:rPr>
      </w:pPr>
      <w:r>
        <w:rPr>
          <w:rFonts w:hint="eastAsia"/>
          <w:sz w:val="21"/>
          <w:szCs w:val="21"/>
        </w:rPr>
        <w:t>（七）计票</w:t>
      </w:r>
    </w:p>
    <w:p w14:paraId="7F795807">
      <w:pPr>
        <w:pStyle w:val="7"/>
        <w:spacing w:before="0" w:beforeAutospacing="0" w:after="0" w:afterAutospacing="0" w:line="360" w:lineRule="auto"/>
        <w:ind w:firstLine="420"/>
        <w:rPr>
          <w:sz w:val="21"/>
          <w:szCs w:val="21"/>
        </w:rPr>
      </w:pPr>
      <w:r>
        <w:rPr>
          <w:rFonts w:hint="eastAsia"/>
          <w:sz w:val="21"/>
          <w:szCs w:val="21"/>
        </w:rPr>
        <w:t>1、现场开会</w:t>
      </w:r>
    </w:p>
    <w:p w14:paraId="2B5052C7">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55D84493">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25726426">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39FA0E82">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38FE2E89">
      <w:pPr>
        <w:pStyle w:val="7"/>
        <w:spacing w:before="0" w:beforeAutospacing="0" w:after="0" w:afterAutospacing="0" w:line="360" w:lineRule="auto"/>
        <w:ind w:firstLine="420"/>
        <w:rPr>
          <w:sz w:val="21"/>
          <w:szCs w:val="21"/>
        </w:rPr>
      </w:pPr>
      <w:r>
        <w:rPr>
          <w:rFonts w:hint="eastAsia"/>
          <w:sz w:val="21"/>
          <w:szCs w:val="21"/>
        </w:rPr>
        <w:t>2、通讯开会</w:t>
      </w:r>
    </w:p>
    <w:p w14:paraId="76A44172">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67F9147">
      <w:pPr>
        <w:pStyle w:val="7"/>
        <w:spacing w:before="0" w:beforeAutospacing="0" w:after="0" w:afterAutospacing="0" w:line="360" w:lineRule="auto"/>
        <w:ind w:firstLine="420"/>
        <w:rPr>
          <w:sz w:val="21"/>
          <w:szCs w:val="21"/>
        </w:rPr>
      </w:pPr>
      <w:r>
        <w:rPr>
          <w:rFonts w:hint="eastAsia"/>
          <w:sz w:val="21"/>
          <w:szCs w:val="21"/>
        </w:rPr>
        <w:t>（八）生效与公告</w:t>
      </w:r>
    </w:p>
    <w:p w14:paraId="7430B246">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1FC83AE3">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656FA390">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77D4C6F4">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3A789FA7">
      <w:pPr>
        <w:pStyle w:val="7"/>
        <w:spacing w:before="0" w:beforeAutospacing="0" w:after="0" w:afterAutospacing="0" w:line="360" w:lineRule="auto"/>
        <w:ind w:firstLine="420"/>
        <w:rPr>
          <w:sz w:val="21"/>
          <w:szCs w:val="21"/>
        </w:rPr>
      </w:pPr>
      <w:r>
        <w:rPr>
          <w:rFonts w:hint="eastAsia"/>
          <w:sz w:val="21"/>
          <w:szCs w:val="21"/>
        </w:rPr>
        <w:t>（九）本部分关于基金份额持有人大会召开事由、召开条件、议事程序、表决条件等规定，凡是直接引用法律法规的部分，如将来法律法规修改导致相关内容被取消或变更的，基金管理人与基金托管人协商一致并提前公告后，可直接对本部分内容进行修改和调整，无需召开基金份额持有人大会审议。</w:t>
      </w:r>
    </w:p>
    <w:p w14:paraId="3826C3FA">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0D54D13C">
      <w:pPr>
        <w:pStyle w:val="7"/>
        <w:spacing w:before="0" w:beforeAutospacing="0" w:after="0" w:afterAutospacing="0" w:line="360" w:lineRule="auto"/>
        <w:ind w:firstLine="420"/>
        <w:rPr>
          <w:sz w:val="21"/>
          <w:szCs w:val="21"/>
        </w:rPr>
      </w:pPr>
      <w:r>
        <w:rPr>
          <w:rFonts w:hint="eastAsia"/>
          <w:sz w:val="21"/>
          <w:szCs w:val="21"/>
        </w:rPr>
        <w:t>（一）《基金合同》的变更</w:t>
      </w:r>
    </w:p>
    <w:p w14:paraId="47D58F2F">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76AE8A14">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2BC6DE88">
      <w:pPr>
        <w:pStyle w:val="7"/>
        <w:spacing w:before="0" w:beforeAutospacing="0" w:after="0" w:afterAutospacing="0" w:line="360" w:lineRule="auto"/>
        <w:ind w:firstLine="420"/>
        <w:rPr>
          <w:sz w:val="21"/>
          <w:szCs w:val="21"/>
        </w:rPr>
      </w:pPr>
      <w:r>
        <w:rPr>
          <w:rFonts w:hint="eastAsia"/>
          <w:sz w:val="21"/>
          <w:szCs w:val="21"/>
        </w:rPr>
        <w:t>（二）《基金合同》的终止事由</w:t>
      </w:r>
    </w:p>
    <w:p w14:paraId="5AF10C6F">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0087ADB1">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00F6D564">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530A899F">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74E6ECD0">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072986F1">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46FE2025">
      <w:pPr>
        <w:pStyle w:val="7"/>
        <w:spacing w:before="0" w:beforeAutospacing="0" w:after="0" w:afterAutospacing="0" w:line="360" w:lineRule="auto"/>
        <w:ind w:firstLine="420"/>
        <w:rPr>
          <w:sz w:val="21"/>
          <w:szCs w:val="21"/>
        </w:rPr>
      </w:pPr>
      <w:r>
        <w:rPr>
          <w:rFonts w:hint="eastAsia"/>
          <w:sz w:val="21"/>
          <w:szCs w:val="21"/>
        </w:rPr>
        <w:t>（三）基金财产的清算</w:t>
      </w:r>
    </w:p>
    <w:p w14:paraId="3F88A6C1">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7C47EDB4">
      <w:pPr>
        <w:pStyle w:val="7"/>
        <w:spacing w:before="0" w:beforeAutospacing="0" w:after="0" w:afterAutospacing="0" w:line="360" w:lineRule="auto"/>
        <w:ind w:firstLine="420"/>
        <w:rPr>
          <w:sz w:val="21"/>
          <w:szCs w:val="21"/>
        </w:rPr>
      </w:pPr>
      <w:r>
        <w:rPr>
          <w:rFonts w:hint="eastAsia"/>
          <w:sz w:val="21"/>
          <w:szCs w:val="21"/>
        </w:rPr>
        <w:t>2、基金财产清算小组组成：基金财产清算小组成员由基金管理人、基金托管人、符合《证券法》规定的注册会计师、律师以及中国证监会指定的人员组成。基金财产清算小组可以聘用必要的工作人员。</w:t>
      </w:r>
    </w:p>
    <w:p w14:paraId="2D1F5595">
      <w:pPr>
        <w:pStyle w:val="7"/>
        <w:spacing w:before="0" w:beforeAutospacing="0" w:after="0" w:afterAutospacing="0" w:line="360" w:lineRule="auto"/>
        <w:ind w:firstLine="420"/>
        <w:rPr>
          <w:sz w:val="21"/>
          <w:szCs w:val="21"/>
        </w:rPr>
      </w:pPr>
      <w:r>
        <w:rPr>
          <w:rFonts w:hint="eastAsia"/>
          <w:sz w:val="21"/>
          <w:szCs w:val="21"/>
        </w:rPr>
        <w:t>3、基金财产清算小组职责：基金财产清算小组负责基金财产的保管、清理、估价、变现和分配。基金财产清算小组可以依法进行必要的民事活动。</w:t>
      </w:r>
    </w:p>
    <w:p w14:paraId="265E1753">
      <w:pPr>
        <w:pStyle w:val="7"/>
        <w:spacing w:before="0" w:beforeAutospacing="0" w:after="0" w:afterAutospacing="0" w:line="360" w:lineRule="auto"/>
        <w:ind w:firstLine="420"/>
        <w:rPr>
          <w:sz w:val="21"/>
          <w:szCs w:val="21"/>
        </w:rPr>
      </w:pPr>
      <w:r>
        <w:rPr>
          <w:rFonts w:hint="eastAsia"/>
          <w:sz w:val="21"/>
          <w:szCs w:val="21"/>
        </w:rPr>
        <w:t>4、基金财产清算程序：</w:t>
      </w:r>
    </w:p>
    <w:p w14:paraId="688EB682">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2375DB14">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373061CE">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22F0F90C">
      <w:pPr>
        <w:pStyle w:val="7"/>
        <w:spacing w:before="0" w:beforeAutospacing="0" w:after="0" w:afterAutospacing="0" w:line="360" w:lineRule="auto"/>
        <w:ind w:firstLine="420"/>
        <w:rPr>
          <w:sz w:val="21"/>
          <w:szCs w:val="21"/>
        </w:rPr>
      </w:pPr>
      <w:r>
        <w:rPr>
          <w:rFonts w:hint="eastAsia"/>
          <w:sz w:val="21"/>
          <w:szCs w:val="21"/>
        </w:rPr>
        <w:t>（4）制作清算报告；</w:t>
      </w:r>
    </w:p>
    <w:p w14:paraId="6BA8DDBA">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3C1C6263">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61C85CE5">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1A2DFFAA">
      <w:pPr>
        <w:pStyle w:val="7"/>
        <w:spacing w:before="0" w:beforeAutospacing="0" w:after="0" w:afterAutospacing="0" w:line="360" w:lineRule="auto"/>
        <w:ind w:firstLine="420"/>
        <w:rPr>
          <w:sz w:val="21"/>
          <w:szCs w:val="21"/>
        </w:rPr>
      </w:pPr>
      <w:r>
        <w:rPr>
          <w:rFonts w:hint="eastAsia"/>
          <w:sz w:val="21"/>
          <w:szCs w:val="21"/>
        </w:rPr>
        <w:t>5、基金财产清算的期限为6个月，但因本基金所持证券的流动性受到限制而不能及时变现的，清算期限相应顺延。</w:t>
      </w:r>
    </w:p>
    <w:p w14:paraId="737DA2FB">
      <w:pPr>
        <w:pStyle w:val="7"/>
        <w:spacing w:before="0" w:beforeAutospacing="0" w:after="0" w:afterAutospacing="0" w:line="360" w:lineRule="auto"/>
        <w:ind w:firstLine="420"/>
        <w:rPr>
          <w:sz w:val="21"/>
          <w:szCs w:val="21"/>
        </w:rPr>
      </w:pPr>
      <w:r>
        <w:rPr>
          <w:rFonts w:hint="eastAsia"/>
          <w:sz w:val="21"/>
          <w:szCs w:val="21"/>
        </w:rPr>
        <w:t>（四）清算费用</w:t>
      </w:r>
    </w:p>
    <w:p w14:paraId="78426029">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3414E069">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14:paraId="50667ADC">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05B03FE7">
      <w:pPr>
        <w:pStyle w:val="7"/>
        <w:spacing w:before="0" w:beforeAutospacing="0" w:after="0" w:afterAutospacing="0" w:line="360" w:lineRule="auto"/>
        <w:ind w:firstLine="420"/>
        <w:rPr>
          <w:sz w:val="21"/>
          <w:szCs w:val="21"/>
        </w:rPr>
      </w:pPr>
      <w:r>
        <w:rPr>
          <w:rFonts w:hint="eastAsia"/>
          <w:sz w:val="21"/>
          <w:szCs w:val="21"/>
        </w:rPr>
        <w:t>（六）基金财产清算的公告</w:t>
      </w:r>
    </w:p>
    <w:p w14:paraId="60D751D8">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1002324">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14:paraId="316CACE5">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基金财产清算账册及有关文件由基金托管人保存20年以上，法律法规另有规定的从其规定。</w:t>
      </w:r>
    </w:p>
    <w:p w14:paraId="221FAA92">
      <w:pPr>
        <w:pStyle w:val="7"/>
        <w:spacing w:before="0" w:beforeAutospacing="0" w:after="0" w:afterAutospacing="0" w:line="360" w:lineRule="auto"/>
        <w:ind w:firstLine="420"/>
        <w:rPr>
          <w:sz w:val="21"/>
          <w:szCs w:val="21"/>
        </w:rPr>
      </w:pPr>
      <w:r>
        <w:rPr>
          <w:rStyle w:val="11"/>
          <w:rFonts w:hint="eastAsia"/>
          <w:sz w:val="21"/>
          <w:szCs w:val="21"/>
        </w:rPr>
        <w:t>四、争议的处理</w:t>
      </w:r>
    </w:p>
    <w:p w14:paraId="0EE37500">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14:paraId="70BA1997">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7F04F1D0">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14:paraId="365E2D11">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14:paraId="617D5141">
      <w:pPr>
        <w:pStyle w:val="7"/>
        <w:spacing w:before="0" w:beforeAutospacing="0" w:after="0" w:afterAutospacing="0" w:line="360" w:lineRule="auto"/>
        <w:ind w:firstLine="420"/>
        <w:rPr>
          <w:sz w:val="21"/>
          <w:szCs w:val="21"/>
        </w:rPr>
      </w:pPr>
      <w:r>
        <w:rPr>
          <w:rFonts w:hint="eastAsia"/>
          <w:sz w:val="21"/>
          <w:szCs w:val="21"/>
        </w:rPr>
        <w:t>本基金合同可印制成册，供投资人在基金管理人、基金托管人、代销机构的办公场所查</w:t>
      </w:r>
      <w:bookmarkStart w:id="177" w:name="chapter_level1_24_71_section_1_end"/>
      <w:bookmarkEnd w:id="177"/>
      <w:r>
        <w:rPr>
          <w:rFonts w:hint="eastAsia"/>
          <w:sz w:val="21"/>
          <w:szCs w:val="21"/>
        </w:rPr>
        <w:t>阅。</w:t>
      </w:r>
    </w:p>
    <w:p w14:paraId="35C5622A">
      <w:pPr>
        <w:widowControl/>
        <w:jc w:val="left"/>
        <w:rPr>
          <w:rFonts w:ascii="宋体" w:hAnsi="宋体" w:eastAsia="宋体"/>
        </w:rPr>
      </w:pPr>
      <w:r>
        <w:rPr>
          <w:rFonts w:ascii="宋体" w:hAnsi="宋体" w:eastAsia="宋体"/>
        </w:rPr>
        <w:br w:type="page"/>
      </w:r>
    </w:p>
    <w:p w14:paraId="31436F75">
      <w:pPr>
        <w:pStyle w:val="2"/>
        <w:jc w:val="center"/>
        <w:rPr>
          <w:rFonts w:ascii="宋体" w:hAnsi="宋体" w:eastAsia="宋体"/>
          <w:sz w:val="30"/>
        </w:rPr>
      </w:pPr>
      <w:bookmarkStart w:id="178" w:name="_Toc207950944"/>
      <w:bookmarkStart w:id="179" w:name="chapter_level1_25_72"/>
      <w:r>
        <w:rPr>
          <w:rFonts w:hint="eastAsia" w:ascii="宋体" w:hAnsi="宋体" w:eastAsia="宋体"/>
          <w:sz w:val="30"/>
        </w:rPr>
        <w:t>第二十一部分  基金托管协议的内容摘要</w:t>
      </w:r>
      <w:bookmarkEnd w:id="178"/>
      <w:bookmarkEnd w:id="179"/>
    </w:p>
    <w:p w14:paraId="0B318DE6">
      <w:pPr>
        <w:pStyle w:val="7"/>
        <w:spacing w:before="0" w:beforeAutospacing="0" w:after="0" w:afterAutospacing="0" w:line="360" w:lineRule="auto"/>
        <w:ind w:firstLine="420"/>
        <w:rPr>
          <w:sz w:val="21"/>
          <w:szCs w:val="21"/>
        </w:rPr>
      </w:pPr>
      <w:bookmarkStart w:id="180" w:name="chapter_level1_25_72_section_1"/>
      <w:bookmarkEnd w:id="180"/>
      <w:r>
        <w:rPr>
          <w:rStyle w:val="11"/>
          <w:rFonts w:hint="eastAsia"/>
          <w:sz w:val="21"/>
          <w:szCs w:val="21"/>
        </w:rPr>
        <w:t>一、基金托管协议当事人</w:t>
      </w:r>
    </w:p>
    <w:p w14:paraId="78629C4B">
      <w:pPr>
        <w:pStyle w:val="7"/>
        <w:spacing w:before="0" w:beforeAutospacing="0" w:after="0" w:afterAutospacing="0" w:line="360" w:lineRule="auto"/>
        <w:ind w:firstLine="420"/>
        <w:rPr>
          <w:sz w:val="21"/>
          <w:szCs w:val="21"/>
        </w:rPr>
      </w:pPr>
      <w:r>
        <w:rPr>
          <w:rFonts w:hint="eastAsia"/>
          <w:sz w:val="21"/>
          <w:szCs w:val="21"/>
        </w:rPr>
        <w:t>（一）基金管理人(或简称“管理人”)</w:t>
      </w:r>
    </w:p>
    <w:p w14:paraId="78E8CE52">
      <w:pPr>
        <w:pStyle w:val="7"/>
        <w:spacing w:before="0" w:beforeAutospacing="0" w:after="0" w:afterAutospacing="0" w:line="360" w:lineRule="auto"/>
        <w:ind w:firstLine="420"/>
        <w:rPr>
          <w:sz w:val="21"/>
          <w:szCs w:val="21"/>
        </w:rPr>
      </w:pPr>
      <w:r>
        <w:rPr>
          <w:rFonts w:hint="eastAsia"/>
          <w:sz w:val="21"/>
          <w:szCs w:val="21"/>
        </w:rPr>
        <w:t>名称：博时基金管理有限公司</w:t>
      </w:r>
    </w:p>
    <w:p w14:paraId="66A1D3C4">
      <w:pPr>
        <w:pStyle w:val="7"/>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14:paraId="64BCAABE">
      <w:pPr>
        <w:pStyle w:val="7"/>
        <w:spacing w:before="0" w:beforeAutospacing="0" w:after="0" w:afterAutospacing="0" w:line="360" w:lineRule="auto"/>
        <w:ind w:firstLine="420"/>
        <w:rPr>
          <w:sz w:val="21"/>
          <w:szCs w:val="21"/>
        </w:rPr>
      </w:pPr>
      <w:r>
        <w:rPr>
          <w:rFonts w:hint="eastAsia"/>
          <w:sz w:val="21"/>
          <w:szCs w:val="21"/>
        </w:rPr>
        <w:t>法定代表人：江向阳</w:t>
      </w:r>
    </w:p>
    <w:p w14:paraId="048A19ED">
      <w:pPr>
        <w:pStyle w:val="7"/>
        <w:spacing w:before="0" w:beforeAutospacing="0" w:after="0" w:afterAutospacing="0" w:line="360" w:lineRule="auto"/>
        <w:ind w:firstLine="420"/>
        <w:rPr>
          <w:sz w:val="21"/>
          <w:szCs w:val="21"/>
        </w:rPr>
      </w:pPr>
      <w:r>
        <w:rPr>
          <w:rFonts w:hint="eastAsia"/>
          <w:sz w:val="21"/>
          <w:szCs w:val="21"/>
        </w:rPr>
        <w:t>成立时间：1998年7月13日</w:t>
      </w:r>
    </w:p>
    <w:p w14:paraId="6385DCED">
      <w:pPr>
        <w:pStyle w:val="7"/>
        <w:spacing w:before="0" w:beforeAutospacing="0" w:after="0" w:afterAutospacing="0" w:line="360" w:lineRule="auto"/>
        <w:ind w:firstLine="420"/>
        <w:rPr>
          <w:sz w:val="21"/>
          <w:szCs w:val="21"/>
        </w:rPr>
      </w:pPr>
      <w:r>
        <w:rPr>
          <w:rFonts w:hint="eastAsia"/>
          <w:sz w:val="21"/>
          <w:szCs w:val="21"/>
        </w:rPr>
        <w:t>批准设立机关：中国证券监督管理委员会</w:t>
      </w:r>
    </w:p>
    <w:p w14:paraId="6BE86D6F">
      <w:pPr>
        <w:pStyle w:val="7"/>
        <w:spacing w:before="0" w:beforeAutospacing="0" w:after="0" w:afterAutospacing="0" w:line="360" w:lineRule="auto"/>
        <w:ind w:firstLine="420"/>
        <w:rPr>
          <w:sz w:val="21"/>
          <w:szCs w:val="21"/>
        </w:rPr>
      </w:pPr>
      <w:r>
        <w:rPr>
          <w:rFonts w:hint="eastAsia"/>
          <w:sz w:val="21"/>
          <w:szCs w:val="21"/>
        </w:rPr>
        <w:t>批准设立文号：中国证监会证监基字【1998】26号</w:t>
      </w:r>
    </w:p>
    <w:p w14:paraId="3E23A5BA">
      <w:pPr>
        <w:pStyle w:val="7"/>
        <w:spacing w:before="0" w:beforeAutospacing="0" w:after="0" w:afterAutospacing="0" w:line="360" w:lineRule="auto"/>
        <w:ind w:firstLine="420"/>
        <w:rPr>
          <w:sz w:val="21"/>
          <w:szCs w:val="21"/>
        </w:rPr>
      </w:pPr>
      <w:r>
        <w:rPr>
          <w:rFonts w:hint="eastAsia"/>
          <w:sz w:val="21"/>
          <w:szCs w:val="21"/>
        </w:rPr>
        <w:t>组织形式：有限责任公司</w:t>
      </w:r>
    </w:p>
    <w:p w14:paraId="63C9E74F">
      <w:pPr>
        <w:pStyle w:val="7"/>
        <w:spacing w:before="0" w:beforeAutospacing="0" w:after="0" w:afterAutospacing="0" w:line="360" w:lineRule="auto"/>
        <w:ind w:firstLine="420"/>
        <w:rPr>
          <w:sz w:val="21"/>
          <w:szCs w:val="21"/>
        </w:rPr>
      </w:pPr>
      <w:r>
        <w:rPr>
          <w:rFonts w:hint="eastAsia"/>
          <w:sz w:val="21"/>
          <w:szCs w:val="21"/>
        </w:rPr>
        <w:t>注册资本：2.5亿元人民币</w:t>
      </w:r>
    </w:p>
    <w:p w14:paraId="5495BEA8">
      <w:pPr>
        <w:pStyle w:val="7"/>
        <w:spacing w:before="0" w:beforeAutospacing="0" w:after="0" w:afterAutospacing="0" w:line="360" w:lineRule="auto"/>
        <w:ind w:firstLine="420"/>
        <w:rPr>
          <w:sz w:val="21"/>
          <w:szCs w:val="21"/>
        </w:rPr>
      </w:pPr>
      <w:r>
        <w:rPr>
          <w:rFonts w:hint="eastAsia"/>
          <w:sz w:val="21"/>
          <w:szCs w:val="21"/>
        </w:rPr>
        <w:t>存续期间：持续经营</w:t>
      </w:r>
    </w:p>
    <w:p w14:paraId="24C14447">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14:paraId="0F95BBF5">
      <w:pPr>
        <w:pStyle w:val="7"/>
        <w:spacing w:before="0" w:beforeAutospacing="0" w:after="0" w:afterAutospacing="0" w:line="360" w:lineRule="auto"/>
        <w:ind w:firstLine="420"/>
        <w:rPr>
          <w:sz w:val="21"/>
          <w:szCs w:val="21"/>
        </w:rPr>
      </w:pPr>
      <w:r>
        <w:rPr>
          <w:rFonts w:hint="eastAsia"/>
          <w:sz w:val="21"/>
          <w:szCs w:val="21"/>
        </w:rPr>
        <w:t>（二）基金托管人(或简称“托管人”)</w:t>
      </w:r>
    </w:p>
    <w:p w14:paraId="30FA44E5">
      <w:pPr>
        <w:pStyle w:val="7"/>
        <w:spacing w:before="0" w:beforeAutospacing="0" w:after="0" w:afterAutospacing="0" w:line="360" w:lineRule="auto"/>
        <w:ind w:firstLine="420"/>
        <w:rPr>
          <w:sz w:val="21"/>
          <w:szCs w:val="21"/>
        </w:rPr>
      </w:pPr>
      <w:r>
        <w:rPr>
          <w:rFonts w:hint="eastAsia"/>
          <w:sz w:val="21"/>
          <w:szCs w:val="21"/>
        </w:rPr>
        <w:t>名称：中信证券股份有限公司</w:t>
      </w:r>
    </w:p>
    <w:p w14:paraId="1DBA095A">
      <w:pPr>
        <w:pStyle w:val="7"/>
        <w:spacing w:before="0" w:beforeAutospacing="0" w:after="0" w:afterAutospacing="0" w:line="360" w:lineRule="auto"/>
        <w:ind w:firstLine="420"/>
        <w:rPr>
          <w:sz w:val="21"/>
          <w:szCs w:val="21"/>
        </w:rPr>
      </w:pPr>
      <w:r>
        <w:rPr>
          <w:rFonts w:hint="eastAsia"/>
          <w:sz w:val="21"/>
          <w:szCs w:val="21"/>
        </w:rPr>
        <w:t>注册地址：广东省深圳市福田区中心三路8号卓越时代广场（二期）北座</w:t>
      </w:r>
    </w:p>
    <w:p w14:paraId="3A8D3CB6">
      <w:pPr>
        <w:pStyle w:val="7"/>
        <w:spacing w:before="0" w:beforeAutospacing="0" w:after="0" w:afterAutospacing="0" w:line="360" w:lineRule="auto"/>
        <w:ind w:firstLine="420"/>
        <w:rPr>
          <w:sz w:val="21"/>
          <w:szCs w:val="21"/>
        </w:rPr>
      </w:pPr>
      <w:r>
        <w:rPr>
          <w:rFonts w:hint="eastAsia"/>
          <w:sz w:val="21"/>
          <w:szCs w:val="21"/>
        </w:rPr>
        <w:t>办公地址：北京市朝阳区亮马桥路48号中信证券大厦</w:t>
      </w:r>
    </w:p>
    <w:p w14:paraId="5023BF03">
      <w:pPr>
        <w:pStyle w:val="7"/>
        <w:spacing w:before="0" w:beforeAutospacing="0" w:after="0" w:afterAutospacing="0" w:line="360" w:lineRule="auto"/>
        <w:ind w:firstLine="420"/>
        <w:rPr>
          <w:sz w:val="21"/>
          <w:szCs w:val="21"/>
        </w:rPr>
      </w:pPr>
      <w:r>
        <w:rPr>
          <w:rFonts w:hint="eastAsia"/>
          <w:sz w:val="21"/>
          <w:szCs w:val="21"/>
        </w:rPr>
        <w:t>          广东省深圳市福田区中心三路8号中信证券大厦</w:t>
      </w:r>
    </w:p>
    <w:p w14:paraId="4D5401B2">
      <w:pPr>
        <w:pStyle w:val="7"/>
        <w:spacing w:before="0" w:beforeAutospacing="0" w:after="0" w:afterAutospacing="0" w:line="360" w:lineRule="auto"/>
        <w:ind w:firstLine="420"/>
        <w:rPr>
          <w:sz w:val="21"/>
          <w:szCs w:val="21"/>
        </w:rPr>
      </w:pPr>
      <w:r>
        <w:rPr>
          <w:rFonts w:hint="eastAsia"/>
          <w:sz w:val="21"/>
          <w:szCs w:val="21"/>
        </w:rPr>
        <w:t>法定代表人：张佑君</w:t>
      </w:r>
    </w:p>
    <w:p w14:paraId="6A90036C">
      <w:pPr>
        <w:pStyle w:val="7"/>
        <w:spacing w:before="0" w:beforeAutospacing="0" w:after="0" w:afterAutospacing="0" w:line="360" w:lineRule="auto"/>
        <w:ind w:firstLine="420"/>
        <w:rPr>
          <w:sz w:val="21"/>
          <w:szCs w:val="21"/>
        </w:rPr>
      </w:pPr>
      <w:r>
        <w:rPr>
          <w:rFonts w:hint="eastAsia"/>
          <w:sz w:val="21"/>
          <w:szCs w:val="21"/>
        </w:rPr>
        <w:t>成立时间：1995年10月25日</w:t>
      </w:r>
    </w:p>
    <w:p w14:paraId="75CCBB72">
      <w:pPr>
        <w:pStyle w:val="7"/>
        <w:spacing w:before="0" w:beforeAutospacing="0" w:after="0" w:afterAutospacing="0" w:line="360" w:lineRule="auto"/>
        <w:ind w:firstLine="420"/>
        <w:rPr>
          <w:sz w:val="21"/>
          <w:szCs w:val="21"/>
        </w:rPr>
      </w:pPr>
      <w:r>
        <w:rPr>
          <w:rFonts w:hint="eastAsia"/>
          <w:sz w:val="21"/>
          <w:szCs w:val="21"/>
        </w:rPr>
        <w:t>批准设立机关：国家工商总局</w:t>
      </w:r>
    </w:p>
    <w:p w14:paraId="3545EEB8">
      <w:pPr>
        <w:pStyle w:val="7"/>
        <w:spacing w:before="0" w:beforeAutospacing="0" w:after="0" w:afterAutospacing="0" w:line="360" w:lineRule="auto"/>
        <w:ind w:firstLine="420"/>
        <w:rPr>
          <w:sz w:val="21"/>
          <w:szCs w:val="21"/>
        </w:rPr>
      </w:pPr>
      <w:r>
        <w:rPr>
          <w:rFonts w:hint="eastAsia"/>
          <w:sz w:val="21"/>
          <w:szCs w:val="21"/>
        </w:rPr>
        <w:t>批准设立文号：100000000018305</w:t>
      </w:r>
    </w:p>
    <w:p w14:paraId="280D325C">
      <w:pPr>
        <w:pStyle w:val="7"/>
        <w:spacing w:before="0" w:beforeAutospacing="0" w:after="0" w:afterAutospacing="0" w:line="360" w:lineRule="auto"/>
        <w:ind w:firstLine="420"/>
        <w:rPr>
          <w:sz w:val="21"/>
          <w:szCs w:val="21"/>
        </w:rPr>
      </w:pPr>
      <w:r>
        <w:rPr>
          <w:rFonts w:hint="eastAsia"/>
          <w:sz w:val="21"/>
          <w:szCs w:val="21"/>
        </w:rPr>
        <w:t>组织形式：股份有限公司（上市）</w:t>
      </w:r>
    </w:p>
    <w:p w14:paraId="7B7BED1B">
      <w:pPr>
        <w:pStyle w:val="7"/>
        <w:spacing w:before="0" w:beforeAutospacing="0" w:after="0" w:afterAutospacing="0" w:line="360" w:lineRule="auto"/>
        <w:ind w:firstLine="420"/>
        <w:rPr>
          <w:sz w:val="21"/>
          <w:szCs w:val="21"/>
        </w:rPr>
      </w:pPr>
      <w:r>
        <w:rPr>
          <w:rFonts w:hint="eastAsia"/>
          <w:sz w:val="21"/>
          <w:szCs w:val="21"/>
        </w:rPr>
        <w:t>注册资本：14,820,546,829元人民币</w:t>
      </w:r>
    </w:p>
    <w:p w14:paraId="5FF1B535">
      <w:pPr>
        <w:pStyle w:val="7"/>
        <w:spacing w:before="0" w:beforeAutospacing="0" w:after="0" w:afterAutospacing="0" w:line="360" w:lineRule="auto"/>
        <w:ind w:firstLine="420"/>
        <w:rPr>
          <w:sz w:val="21"/>
          <w:szCs w:val="21"/>
        </w:rPr>
      </w:pPr>
      <w:r>
        <w:rPr>
          <w:rFonts w:hint="eastAsia"/>
          <w:sz w:val="21"/>
          <w:szCs w:val="21"/>
        </w:rPr>
        <w:t>基金托管资格批文及文号：《关于核准中信证券股份有限公司证券投资基金托管资格的批复》（证监许可[2014]1044号）</w:t>
      </w:r>
    </w:p>
    <w:p w14:paraId="60981190">
      <w:pPr>
        <w:pStyle w:val="7"/>
        <w:spacing w:before="0" w:beforeAutospacing="0" w:after="0" w:afterAutospacing="0" w:line="360" w:lineRule="auto"/>
        <w:ind w:firstLine="420"/>
        <w:rPr>
          <w:sz w:val="21"/>
          <w:szCs w:val="21"/>
        </w:rPr>
      </w:pPr>
      <w:r>
        <w:rPr>
          <w:rFonts w:hint="eastAsia"/>
          <w:sz w:val="21"/>
          <w:szCs w:val="21"/>
        </w:rPr>
        <w:t>经营范围：证券经纪（限山东省、河南省、浙江省天台县、浙江省苍南县以外区域）；证券投资咨询；与证券交易、证券投资活动有关的财务顾问；证券承销与保荐；证券自营；证券资产管理；融资融券；证券投资基金代销；为期货公司提供中间介绍业务；代销金融产品；股票期权做市。</w:t>
      </w:r>
    </w:p>
    <w:p w14:paraId="795E729B">
      <w:pPr>
        <w:pStyle w:val="7"/>
        <w:spacing w:before="0" w:beforeAutospacing="0" w:after="0" w:afterAutospacing="0" w:line="360" w:lineRule="auto"/>
        <w:ind w:firstLine="420"/>
        <w:rPr>
          <w:sz w:val="21"/>
          <w:szCs w:val="21"/>
        </w:rPr>
      </w:pPr>
      <w:r>
        <w:rPr>
          <w:rFonts w:hint="eastAsia"/>
          <w:sz w:val="21"/>
          <w:szCs w:val="21"/>
        </w:rPr>
        <w:t>存续期间：无限期</w:t>
      </w:r>
    </w:p>
    <w:p w14:paraId="3E077C34">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5FEBE1B">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14:paraId="254B6B0F">
      <w:pPr>
        <w:pStyle w:val="7"/>
        <w:spacing w:before="0" w:beforeAutospacing="0" w:after="0" w:afterAutospacing="0" w:line="360" w:lineRule="auto"/>
        <w:ind w:firstLine="420"/>
        <w:rPr>
          <w:sz w:val="21"/>
          <w:szCs w:val="21"/>
        </w:rPr>
      </w:pPr>
      <w:r>
        <w:rPr>
          <w:rFonts w:hint="eastAsia"/>
          <w:sz w:val="21"/>
          <w:szCs w:val="21"/>
        </w:rPr>
        <w:t>1、 基金托管人根据有关法律法规的规定和《基金合同》的约定，对下述基金投资范围进行监督。</w:t>
      </w:r>
    </w:p>
    <w:p w14:paraId="5541FE3B">
      <w:pPr>
        <w:pStyle w:val="7"/>
        <w:spacing w:before="0" w:beforeAutospacing="0" w:after="0" w:afterAutospacing="0" w:line="360" w:lineRule="auto"/>
        <w:ind w:firstLine="420"/>
        <w:rPr>
          <w:sz w:val="21"/>
          <w:szCs w:val="21"/>
        </w:rPr>
      </w:pPr>
      <w:r>
        <w:rPr>
          <w:rFonts w:hint="eastAsia"/>
          <w:sz w:val="21"/>
          <w:szCs w:val="21"/>
        </w:rPr>
        <w:t>本基金将投资于以下金融工具：</w:t>
      </w:r>
    </w:p>
    <w:p w14:paraId="2649A7FE">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14:paraId="74A4C800">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创业板及其他经中国证监会核准或注册上市的股票和存托凭证、港股通标的股票）、债券（包括国债、金融债、地方政府债、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5BD673A">
      <w:pPr>
        <w:pStyle w:val="7"/>
        <w:spacing w:before="0" w:beforeAutospacing="0" w:after="0" w:afterAutospacing="0" w:line="360" w:lineRule="auto"/>
        <w:ind w:firstLine="420"/>
        <w:rPr>
          <w:sz w:val="21"/>
          <w:szCs w:val="21"/>
        </w:rPr>
      </w:pPr>
      <w:r>
        <w:rPr>
          <w:rFonts w:hint="eastAsia"/>
          <w:sz w:val="21"/>
          <w:szCs w:val="21"/>
        </w:rPr>
        <w:t>本基金可根据法律法规的规定参与融资和转融通证券出借业务。未来在法律法规允许的前提下，本基金可根据相关法律法规规定参与融券业务。</w:t>
      </w:r>
    </w:p>
    <w:p w14:paraId="4BF6824A">
      <w:pPr>
        <w:pStyle w:val="7"/>
        <w:spacing w:before="0" w:beforeAutospacing="0" w:after="0" w:afterAutospacing="0" w:line="360" w:lineRule="auto"/>
        <w:ind w:firstLine="420"/>
        <w:rPr>
          <w:sz w:val="21"/>
          <w:szCs w:val="21"/>
        </w:rPr>
      </w:pPr>
      <w:r>
        <w:rPr>
          <w:rFonts w:hint="eastAsia"/>
          <w:sz w:val="21"/>
          <w:szCs w:val="21"/>
        </w:rPr>
        <w:t>如法律法规或中国证监会以后允许基金投资其他品种，本基金管理人在履行适当程序后，可以将其纳入本基金的投资范围。</w:t>
      </w:r>
    </w:p>
    <w:p w14:paraId="4FB88755">
      <w:pPr>
        <w:pStyle w:val="7"/>
        <w:spacing w:before="0" w:beforeAutospacing="0" w:after="0" w:afterAutospacing="0" w:line="360" w:lineRule="auto"/>
        <w:ind w:firstLine="420"/>
        <w:rPr>
          <w:sz w:val="21"/>
          <w:szCs w:val="21"/>
        </w:rPr>
      </w:pPr>
      <w:r>
        <w:rPr>
          <w:rFonts w:hint="eastAsia"/>
          <w:sz w:val="21"/>
          <w:szCs w:val="21"/>
        </w:rPr>
        <w:t>2、 基金托管人根据有关法律法规的规定及《基金合同》的约定对下述基金投资比例进行监督。</w:t>
      </w:r>
    </w:p>
    <w:p w14:paraId="708574D6">
      <w:pPr>
        <w:pStyle w:val="7"/>
        <w:spacing w:before="0" w:beforeAutospacing="0" w:after="0" w:afterAutospacing="0" w:line="360" w:lineRule="auto"/>
        <w:ind w:firstLine="420"/>
        <w:rPr>
          <w:sz w:val="21"/>
          <w:szCs w:val="21"/>
        </w:rPr>
      </w:pPr>
      <w:r>
        <w:rPr>
          <w:rFonts w:hint="eastAsia"/>
          <w:sz w:val="21"/>
          <w:szCs w:val="21"/>
        </w:rPr>
        <w:t>（1）按法律法规的规定及《基金合同》的约定，本基金的投资资产配置比例为：</w:t>
      </w:r>
    </w:p>
    <w:p w14:paraId="3FE28868">
      <w:pPr>
        <w:pStyle w:val="7"/>
        <w:spacing w:before="0" w:beforeAutospacing="0" w:after="0" w:afterAutospacing="0" w:line="360" w:lineRule="auto"/>
        <w:ind w:firstLine="420"/>
        <w:rPr>
          <w:sz w:val="21"/>
          <w:szCs w:val="21"/>
        </w:rPr>
      </w:pPr>
      <w:r>
        <w:rPr>
          <w:rFonts w:hint="eastAsia"/>
          <w:sz w:val="21"/>
          <w:szCs w:val="21"/>
        </w:rPr>
        <w:t>基金的投资组合比例为：本基金投资于标的指数成份股和备选成份股（含存托凭证）的资产比例不低于基金资产净值的90%，且不低于非现金基金资产的80%；投资港股通标的股票的比例不超过本基金股票资产的10%；本基金在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36063991">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14:paraId="6927CC21">
      <w:pPr>
        <w:pStyle w:val="7"/>
        <w:spacing w:before="0" w:beforeAutospacing="0" w:after="0" w:afterAutospacing="0" w:line="360" w:lineRule="auto"/>
        <w:ind w:firstLine="420"/>
        <w:rPr>
          <w:sz w:val="21"/>
          <w:szCs w:val="21"/>
        </w:rPr>
      </w:pPr>
      <w:r>
        <w:rPr>
          <w:rFonts w:hint="eastAsia"/>
          <w:sz w:val="21"/>
          <w:szCs w:val="21"/>
        </w:rPr>
        <w:t>（2）根据法律法规的规定及《基金合同》的约定，本基金投资组合遵循以下投资限制：</w:t>
      </w:r>
    </w:p>
    <w:p w14:paraId="13865237">
      <w:pPr>
        <w:pStyle w:val="7"/>
        <w:spacing w:before="0" w:beforeAutospacing="0" w:after="0" w:afterAutospacing="0" w:line="360" w:lineRule="auto"/>
        <w:ind w:firstLine="420"/>
        <w:rPr>
          <w:sz w:val="21"/>
          <w:szCs w:val="21"/>
        </w:rPr>
      </w:pPr>
      <w:r>
        <w:rPr>
          <w:rFonts w:hint="eastAsia"/>
          <w:sz w:val="21"/>
          <w:szCs w:val="21"/>
        </w:rPr>
        <w:t>1）本基金投资于标的指数成份股和备选成份股（含存托凭证）的资产比例不低于基金资产净值的90%，且不低于非现金基金资产的80%；投资港股通标的股票的比例不超过本基金股票资产的10%；</w:t>
      </w:r>
    </w:p>
    <w:p w14:paraId="459E8ECC">
      <w:pPr>
        <w:pStyle w:val="7"/>
        <w:spacing w:before="0" w:beforeAutospacing="0" w:after="0" w:afterAutospacing="0" w:line="360" w:lineRule="auto"/>
        <w:ind w:firstLine="420"/>
        <w:rPr>
          <w:sz w:val="21"/>
          <w:szCs w:val="21"/>
        </w:rPr>
      </w:pPr>
      <w:r>
        <w:rPr>
          <w:rFonts w:hint="eastAsia"/>
          <w:sz w:val="21"/>
          <w:szCs w:val="21"/>
        </w:rPr>
        <w:t>2）本基金每个交易日日终在扣除股指期货、股票期权和国债期货合约需缴纳的交易保证金后，应当保持不低于交易保证金一倍的现金，其中现金不包括结算备付金、存出保证金和应收申购款等；</w:t>
      </w:r>
    </w:p>
    <w:p w14:paraId="0E5D7ECA">
      <w:pPr>
        <w:pStyle w:val="7"/>
        <w:spacing w:before="0" w:beforeAutospacing="0" w:after="0" w:afterAutospacing="0" w:line="360" w:lineRule="auto"/>
        <w:ind w:firstLine="420"/>
        <w:rPr>
          <w:sz w:val="21"/>
          <w:szCs w:val="21"/>
        </w:rPr>
      </w:pPr>
      <w:r>
        <w:rPr>
          <w:rFonts w:hint="eastAsia"/>
          <w:sz w:val="21"/>
          <w:szCs w:val="21"/>
        </w:rPr>
        <w:t>3）本基金参与股指期货和国债期货交易，需遵守下列投资比例限制：</w:t>
      </w:r>
    </w:p>
    <w:p w14:paraId="238BBA43">
      <w:pPr>
        <w:pStyle w:val="7"/>
        <w:spacing w:before="0" w:beforeAutospacing="0" w:after="0" w:afterAutospacing="0" w:line="360" w:lineRule="auto"/>
        <w:ind w:firstLine="420"/>
        <w:rPr>
          <w:sz w:val="21"/>
          <w:szCs w:val="21"/>
        </w:rPr>
      </w:pPr>
      <w:r>
        <w:rPr>
          <w:rFonts w:hint="eastAsia"/>
          <w:sz w:val="21"/>
          <w:szCs w:val="21"/>
        </w:rPr>
        <w:t>①本基金在任何交易日日终，持有的买入股指期货合约价值，不得超过基金资产净值的10%；在任何交易日日终，持有的买入国债期货合约价值，不得超过基金资产净值的15%；</w:t>
      </w:r>
    </w:p>
    <w:p w14:paraId="3E1FE7FF">
      <w:pPr>
        <w:pStyle w:val="7"/>
        <w:spacing w:before="0" w:beforeAutospacing="0" w:after="0" w:afterAutospacing="0" w:line="360" w:lineRule="auto"/>
        <w:ind w:firstLine="420"/>
        <w:rPr>
          <w:sz w:val="21"/>
          <w:szCs w:val="21"/>
        </w:rPr>
      </w:pPr>
      <w:r>
        <w:rPr>
          <w:rFonts w:hint="eastAsia"/>
          <w:sz w:val="21"/>
          <w:szCs w:val="21"/>
        </w:rPr>
        <w:t>②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w:t>
      </w:r>
    </w:p>
    <w:p w14:paraId="7F7E04AA">
      <w:pPr>
        <w:pStyle w:val="7"/>
        <w:spacing w:before="0" w:beforeAutospacing="0" w:after="0" w:afterAutospacing="0" w:line="360" w:lineRule="auto"/>
        <w:ind w:firstLine="420"/>
        <w:rPr>
          <w:sz w:val="21"/>
          <w:szCs w:val="21"/>
        </w:rPr>
      </w:pPr>
      <w:r>
        <w:rPr>
          <w:rFonts w:hint="eastAsia"/>
          <w:sz w:val="21"/>
          <w:szCs w:val="21"/>
        </w:rPr>
        <w:t>③本基金在任何交易日日终，持有的卖出股指期货合约价值不得超过基金持有的股票总市值的20%；在任何交易日日终，持有的卖出国债期货合约价值不得超过基金持有的债券总市值的30%； </w:t>
      </w:r>
    </w:p>
    <w:p w14:paraId="4436FAF2">
      <w:pPr>
        <w:pStyle w:val="7"/>
        <w:spacing w:before="0" w:beforeAutospacing="0" w:after="0" w:afterAutospacing="0" w:line="360" w:lineRule="auto"/>
        <w:ind w:firstLine="420"/>
        <w:rPr>
          <w:sz w:val="21"/>
          <w:szCs w:val="21"/>
        </w:rPr>
      </w:pPr>
      <w:r>
        <w:rPr>
          <w:rFonts w:hint="eastAsia"/>
          <w:sz w:val="21"/>
          <w:szCs w:val="21"/>
        </w:rPr>
        <w:t>④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7857ABDC">
      <w:pPr>
        <w:pStyle w:val="7"/>
        <w:spacing w:before="0" w:beforeAutospacing="0" w:after="0" w:afterAutospacing="0" w:line="360" w:lineRule="auto"/>
        <w:ind w:firstLine="420"/>
        <w:rPr>
          <w:sz w:val="21"/>
          <w:szCs w:val="21"/>
        </w:rPr>
      </w:pPr>
      <w:r>
        <w:rPr>
          <w:rFonts w:hint="eastAsia"/>
          <w:sz w:val="21"/>
          <w:szCs w:val="21"/>
        </w:rPr>
        <w:t>⑤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0D541D87">
      <w:pPr>
        <w:pStyle w:val="7"/>
        <w:spacing w:before="0" w:beforeAutospacing="0" w:after="0" w:afterAutospacing="0" w:line="360" w:lineRule="auto"/>
        <w:ind w:firstLine="420"/>
        <w:rPr>
          <w:sz w:val="21"/>
          <w:szCs w:val="21"/>
        </w:rPr>
      </w:pPr>
      <w:r>
        <w:rPr>
          <w:rFonts w:hint="eastAsia"/>
          <w:sz w:val="21"/>
          <w:szCs w:val="21"/>
        </w:rPr>
        <w:t>4）本基金投资于同一原始权益人的各类资产支持证券的比例，不得超过基金资产净值的10％；</w:t>
      </w:r>
    </w:p>
    <w:p w14:paraId="2A5F14BC">
      <w:pPr>
        <w:pStyle w:val="7"/>
        <w:spacing w:before="0" w:beforeAutospacing="0" w:after="0" w:afterAutospacing="0" w:line="360" w:lineRule="auto"/>
        <w:ind w:firstLine="420"/>
        <w:rPr>
          <w:sz w:val="21"/>
          <w:szCs w:val="21"/>
        </w:rPr>
      </w:pPr>
      <w:r>
        <w:rPr>
          <w:rFonts w:hint="eastAsia"/>
          <w:sz w:val="21"/>
          <w:szCs w:val="21"/>
        </w:rPr>
        <w:t>5）本基金持有的全部资产支持证券，其市值不得超过基金资产净值的20％；</w:t>
      </w:r>
    </w:p>
    <w:p w14:paraId="6C57B00B">
      <w:pPr>
        <w:pStyle w:val="7"/>
        <w:spacing w:before="0" w:beforeAutospacing="0" w:after="0" w:afterAutospacing="0" w:line="360" w:lineRule="auto"/>
        <w:ind w:firstLine="420"/>
        <w:rPr>
          <w:sz w:val="21"/>
          <w:szCs w:val="21"/>
        </w:rPr>
      </w:pPr>
      <w:r>
        <w:rPr>
          <w:rFonts w:hint="eastAsia"/>
          <w:sz w:val="21"/>
          <w:szCs w:val="21"/>
        </w:rPr>
        <w:t>6）本基金持有的同一(指同一信用级别)资产支持证券的比例，不得超过该资产支持证券规模的10％；</w:t>
      </w:r>
    </w:p>
    <w:p w14:paraId="62F457B2">
      <w:pPr>
        <w:pStyle w:val="7"/>
        <w:spacing w:before="0" w:beforeAutospacing="0" w:after="0" w:afterAutospacing="0" w:line="360" w:lineRule="auto"/>
        <w:ind w:firstLine="420"/>
        <w:rPr>
          <w:sz w:val="21"/>
          <w:szCs w:val="21"/>
        </w:rPr>
      </w:pPr>
      <w:r>
        <w:rPr>
          <w:rFonts w:hint="eastAsia"/>
          <w:sz w:val="21"/>
          <w:szCs w:val="21"/>
        </w:rPr>
        <w:t>7）本基金管理人管理且由本基金托管人托管的全部基金投资于同一原始权益人的各类资产支持证券，不得超过其各类资产支持证券合计规模的10％；</w:t>
      </w:r>
    </w:p>
    <w:p w14:paraId="43BB416C">
      <w:pPr>
        <w:pStyle w:val="7"/>
        <w:spacing w:before="0" w:beforeAutospacing="0" w:after="0" w:afterAutospacing="0" w:line="360" w:lineRule="auto"/>
        <w:ind w:firstLine="420"/>
        <w:rPr>
          <w:sz w:val="21"/>
          <w:szCs w:val="21"/>
        </w:rPr>
      </w:pPr>
      <w:r>
        <w:rPr>
          <w:rFonts w:hint="eastAsia"/>
          <w:sz w:val="21"/>
          <w:szCs w:val="21"/>
        </w:rPr>
        <w:t>8）本基金应投资于信用级别评级为BBB以上(含BBB)的资产支持证券。基金持有资产支持证券期间，如果其信用等级下降、不再符合投资标准，应在评级报告发布之日起3个月内予以全部卖出；</w:t>
      </w:r>
    </w:p>
    <w:p w14:paraId="177EE0C0">
      <w:pPr>
        <w:pStyle w:val="7"/>
        <w:spacing w:before="0" w:beforeAutospacing="0" w:after="0" w:afterAutospacing="0" w:line="360" w:lineRule="auto"/>
        <w:ind w:firstLine="420"/>
        <w:rPr>
          <w:sz w:val="21"/>
          <w:szCs w:val="21"/>
        </w:rPr>
      </w:pPr>
      <w:r>
        <w:rPr>
          <w:rFonts w:hint="eastAsia"/>
          <w:sz w:val="21"/>
          <w:szCs w:val="21"/>
        </w:rPr>
        <w:t>9）基金财产参与股票发行申购，本基金所申报的金额不超过本基金的总资产，本基金所申报的股票数量不超过拟发行股票公司本次发行股票的总量；</w:t>
      </w:r>
    </w:p>
    <w:p w14:paraId="181F66B6">
      <w:pPr>
        <w:pStyle w:val="7"/>
        <w:spacing w:before="0" w:beforeAutospacing="0" w:after="0" w:afterAutospacing="0" w:line="360" w:lineRule="auto"/>
        <w:ind w:firstLine="420"/>
        <w:rPr>
          <w:sz w:val="21"/>
          <w:szCs w:val="21"/>
        </w:rPr>
      </w:pPr>
      <w:r>
        <w:rPr>
          <w:rFonts w:hint="eastAsia"/>
          <w:sz w:val="21"/>
          <w:szCs w:val="21"/>
        </w:rPr>
        <w:t>10）本基金参与融资的，在任何交易日日终，本基金持有的融资买入股票与其他有价证券市值之和，不得超过基金资产净值的95%；</w:t>
      </w:r>
    </w:p>
    <w:p w14:paraId="09C7A9F5">
      <w:pPr>
        <w:pStyle w:val="7"/>
        <w:spacing w:before="0" w:beforeAutospacing="0" w:after="0" w:afterAutospacing="0" w:line="360" w:lineRule="auto"/>
        <w:ind w:firstLine="420"/>
        <w:rPr>
          <w:sz w:val="21"/>
          <w:szCs w:val="21"/>
        </w:rPr>
      </w:pPr>
      <w:r>
        <w:rPr>
          <w:rFonts w:hint="eastAsia"/>
          <w:sz w:val="21"/>
          <w:szCs w:val="21"/>
        </w:rPr>
        <w:t>11）本基金参与转融通证券出借业务，需遵守下列投资限制：</w:t>
      </w:r>
    </w:p>
    <w:p w14:paraId="718CB829">
      <w:pPr>
        <w:pStyle w:val="7"/>
        <w:spacing w:before="0" w:beforeAutospacing="0" w:after="0" w:afterAutospacing="0" w:line="360" w:lineRule="auto"/>
        <w:ind w:firstLine="420"/>
        <w:rPr>
          <w:sz w:val="21"/>
          <w:szCs w:val="21"/>
        </w:rPr>
      </w:pPr>
      <w:r>
        <w:rPr>
          <w:rFonts w:hint="eastAsia"/>
          <w:sz w:val="21"/>
          <w:szCs w:val="21"/>
        </w:rPr>
        <w:t>①出借证券资产不得超过基金资产净值的30%，出借期限在10 个交易日以上的出借证券应纳入《流动性风险管理规定》所述流动性受限证券的范围；</w:t>
      </w:r>
    </w:p>
    <w:p w14:paraId="178455B1">
      <w:pPr>
        <w:pStyle w:val="7"/>
        <w:spacing w:before="0" w:beforeAutospacing="0" w:after="0" w:afterAutospacing="0" w:line="360" w:lineRule="auto"/>
        <w:ind w:firstLine="420"/>
        <w:rPr>
          <w:sz w:val="21"/>
          <w:szCs w:val="21"/>
        </w:rPr>
      </w:pPr>
      <w:r>
        <w:rPr>
          <w:rFonts w:hint="eastAsia"/>
          <w:sz w:val="21"/>
          <w:szCs w:val="21"/>
        </w:rPr>
        <w:t>②参与出借业务的单只证券不得超过本基金持有该证券总量的30%；</w:t>
      </w:r>
    </w:p>
    <w:p w14:paraId="261D505B">
      <w:pPr>
        <w:pStyle w:val="7"/>
        <w:spacing w:before="0" w:beforeAutospacing="0" w:after="0" w:afterAutospacing="0" w:line="360" w:lineRule="auto"/>
        <w:ind w:firstLine="420"/>
        <w:rPr>
          <w:sz w:val="21"/>
          <w:szCs w:val="21"/>
        </w:rPr>
      </w:pPr>
      <w:r>
        <w:rPr>
          <w:rFonts w:hint="eastAsia"/>
          <w:sz w:val="21"/>
          <w:szCs w:val="21"/>
        </w:rPr>
        <w:t>③最近6个月内日均基金资产净值不得低于2亿元；</w:t>
      </w:r>
    </w:p>
    <w:p w14:paraId="46BC7376">
      <w:pPr>
        <w:pStyle w:val="7"/>
        <w:spacing w:before="0" w:beforeAutospacing="0" w:after="0" w:afterAutospacing="0" w:line="360" w:lineRule="auto"/>
        <w:ind w:firstLine="420"/>
        <w:rPr>
          <w:sz w:val="21"/>
          <w:szCs w:val="21"/>
        </w:rPr>
      </w:pPr>
      <w:r>
        <w:rPr>
          <w:rFonts w:hint="eastAsia"/>
          <w:sz w:val="21"/>
          <w:szCs w:val="21"/>
        </w:rPr>
        <w:t>④证券出借的平均剩余期限不得超过30天，平均剩余期限按照市值加权平均计算；</w:t>
      </w:r>
    </w:p>
    <w:p w14:paraId="73F4DFA5">
      <w:pPr>
        <w:pStyle w:val="7"/>
        <w:spacing w:before="0" w:beforeAutospacing="0" w:after="0" w:afterAutospacing="0" w:line="360" w:lineRule="auto"/>
        <w:ind w:firstLine="420"/>
        <w:rPr>
          <w:sz w:val="21"/>
          <w:szCs w:val="21"/>
        </w:rPr>
      </w:pPr>
      <w:r>
        <w:rPr>
          <w:rFonts w:hint="eastAsia"/>
          <w:sz w:val="21"/>
          <w:szCs w:val="21"/>
        </w:rPr>
        <w:t>因证券市场波动、证券发行人合并、基金规模变动等基金管理人之外的因素致使基金投资不符合上述规定的，基金管理人不得新增出借业务；</w:t>
      </w:r>
    </w:p>
    <w:p w14:paraId="05020D17">
      <w:pPr>
        <w:pStyle w:val="7"/>
        <w:spacing w:before="0" w:beforeAutospacing="0" w:after="0" w:afterAutospacing="0" w:line="360" w:lineRule="auto"/>
        <w:ind w:firstLine="420"/>
        <w:rPr>
          <w:sz w:val="21"/>
          <w:szCs w:val="21"/>
        </w:rPr>
      </w:pPr>
      <w:r>
        <w:rPr>
          <w:rFonts w:hint="eastAsia"/>
          <w:sz w:val="21"/>
          <w:szCs w:val="21"/>
        </w:rPr>
        <w:t>12）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21A7DFAA">
      <w:pPr>
        <w:pStyle w:val="7"/>
        <w:spacing w:before="0" w:beforeAutospacing="0" w:after="0" w:afterAutospacing="0" w:line="360" w:lineRule="auto"/>
        <w:ind w:firstLine="420"/>
        <w:rPr>
          <w:sz w:val="21"/>
          <w:szCs w:val="21"/>
        </w:rPr>
      </w:pPr>
      <w:r>
        <w:rPr>
          <w:rFonts w:hint="eastAsia"/>
          <w:sz w:val="21"/>
          <w:szCs w:val="21"/>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096D85EF">
      <w:pPr>
        <w:pStyle w:val="7"/>
        <w:spacing w:before="0" w:beforeAutospacing="0" w:after="0" w:afterAutospacing="0" w:line="360" w:lineRule="auto"/>
        <w:ind w:firstLine="420"/>
        <w:rPr>
          <w:sz w:val="21"/>
          <w:szCs w:val="21"/>
        </w:rPr>
      </w:pPr>
      <w:r>
        <w:rPr>
          <w:rFonts w:hint="eastAsia"/>
          <w:sz w:val="21"/>
          <w:szCs w:val="21"/>
        </w:rPr>
        <w:t>14）本基金与私募类证券资管产品及中国证监会认定的其他主体为交易对手开展逆回购交易的，可接受质押品的资质要求应当与基金合同约定的投资范围保持一致；</w:t>
      </w:r>
    </w:p>
    <w:p w14:paraId="66C5CCFB">
      <w:pPr>
        <w:pStyle w:val="7"/>
        <w:spacing w:before="0" w:beforeAutospacing="0" w:after="0" w:afterAutospacing="0" w:line="360" w:lineRule="auto"/>
        <w:ind w:firstLine="420"/>
        <w:rPr>
          <w:sz w:val="21"/>
          <w:szCs w:val="21"/>
        </w:rPr>
      </w:pPr>
      <w:r>
        <w:rPr>
          <w:rFonts w:hint="eastAsia"/>
          <w:sz w:val="21"/>
          <w:szCs w:val="21"/>
        </w:rPr>
        <w:t>15）本基金资产总值不得超过基金资产净值的140%；</w:t>
      </w:r>
    </w:p>
    <w:p w14:paraId="3DF1E39C">
      <w:pPr>
        <w:pStyle w:val="7"/>
        <w:spacing w:before="0" w:beforeAutospacing="0" w:after="0" w:afterAutospacing="0" w:line="360" w:lineRule="auto"/>
        <w:ind w:firstLine="420"/>
        <w:rPr>
          <w:sz w:val="21"/>
          <w:szCs w:val="21"/>
        </w:rPr>
      </w:pPr>
      <w:r>
        <w:rPr>
          <w:rFonts w:hint="eastAsia"/>
          <w:sz w:val="21"/>
          <w:szCs w:val="21"/>
        </w:rPr>
        <w:t>16）本基金投资存托凭证的比例限制依照境内上市交易的股票执行；</w:t>
      </w:r>
    </w:p>
    <w:p w14:paraId="2737B548">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17）法律法规及中国证监会规定的和《基金合同》约定的其他投资限制。</w:t>
      </w:r>
    </w:p>
    <w:p w14:paraId="3D612C46">
      <w:pPr>
        <w:pStyle w:val="7"/>
        <w:spacing w:before="0" w:beforeAutospacing="0" w:after="0" w:afterAutospacing="0" w:line="360" w:lineRule="auto"/>
        <w:ind w:firstLine="420"/>
        <w:rPr>
          <w:sz w:val="21"/>
          <w:szCs w:val="21"/>
        </w:rPr>
      </w:pPr>
      <w:r>
        <w:rPr>
          <w:rFonts w:hint="eastAsia"/>
          <w:sz w:val="21"/>
          <w:szCs w:val="21"/>
        </w:rPr>
        <w:t>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22EECEFB">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626C3FC8">
      <w:pPr>
        <w:pStyle w:val="7"/>
        <w:spacing w:before="0" w:beforeAutospacing="0" w:after="0" w:afterAutospacing="0" w:line="360" w:lineRule="auto"/>
        <w:ind w:firstLine="420"/>
        <w:rPr>
          <w:sz w:val="21"/>
          <w:szCs w:val="21"/>
        </w:rPr>
      </w:pPr>
      <w:r>
        <w:rPr>
          <w:rFonts w:hint="eastAsia"/>
          <w:sz w:val="21"/>
          <w:szCs w:val="21"/>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4CEBA930">
      <w:pPr>
        <w:pStyle w:val="7"/>
        <w:spacing w:before="0" w:beforeAutospacing="0" w:after="0" w:afterAutospacing="0" w:line="360" w:lineRule="auto"/>
        <w:ind w:firstLine="420"/>
        <w:rPr>
          <w:sz w:val="21"/>
          <w:szCs w:val="21"/>
        </w:rPr>
      </w:pPr>
      <w:r>
        <w:rPr>
          <w:rFonts w:hint="eastAsia"/>
          <w:sz w:val="21"/>
          <w:szCs w:val="21"/>
        </w:rPr>
        <w:t>3、 基金托管人根据有关法律法规的规定及《基金合同》的约定对下述基金投资禁止行为通过事后监督方式进行监督：</w:t>
      </w:r>
    </w:p>
    <w:p w14:paraId="27ED7600">
      <w:pPr>
        <w:pStyle w:val="7"/>
        <w:spacing w:before="0" w:beforeAutospacing="0" w:after="0" w:afterAutospacing="0" w:line="360" w:lineRule="auto"/>
        <w:ind w:firstLine="420"/>
        <w:rPr>
          <w:sz w:val="21"/>
          <w:szCs w:val="21"/>
        </w:rPr>
      </w:pPr>
      <w:r>
        <w:rPr>
          <w:rFonts w:hint="eastAsia"/>
          <w:sz w:val="21"/>
          <w:szCs w:val="21"/>
        </w:rPr>
        <w:t>（1）承销证券；</w:t>
      </w:r>
    </w:p>
    <w:p w14:paraId="04E22FE1">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14:paraId="2B502AFC">
      <w:pPr>
        <w:pStyle w:val="7"/>
        <w:spacing w:before="0" w:beforeAutospacing="0" w:after="0" w:afterAutospacing="0" w:line="360" w:lineRule="auto"/>
        <w:ind w:firstLine="420"/>
        <w:rPr>
          <w:sz w:val="21"/>
          <w:szCs w:val="21"/>
        </w:rPr>
      </w:pPr>
      <w:r>
        <w:rPr>
          <w:rFonts w:hint="eastAsia"/>
          <w:sz w:val="21"/>
          <w:szCs w:val="21"/>
        </w:rPr>
        <w:t>（3）从事承担无限责任的投资；</w:t>
      </w:r>
    </w:p>
    <w:p w14:paraId="4B19DBE4">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14:paraId="3F155A52">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14:paraId="01B8892D">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5F743ED5">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0469742E">
      <w:pPr>
        <w:pStyle w:val="7"/>
        <w:spacing w:before="0" w:beforeAutospacing="0" w:after="0" w:afterAutospacing="0" w:line="360" w:lineRule="auto"/>
        <w:ind w:firstLine="420"/>
        <w:rPr>
          <w:sz w:val="21"/>
          <w:szCs w:val="21"/>
        </w:rPr>
      </w:pPr>
      <w:r>
        <w:rPr>
          <w:rFonts w:hint="eastAsia"/>
          <w:sz w:val="21"/>
          <w:szCs w:val="21"/>
        </w:rPr>
        <w:t>如法律、行政法规或监管部门取消或调整上述禁止性规定，如适用于本基金，基金管理人在履行适当程序后，则本基金投资不再受相关限制或按照调整后的规定执行。</w:t>
      </w:r>
    </w:p>
    <w:p w14:paraId="642E1870">
      <w:pPr>
        <w:pStyle w:val="7"/>
        <w:spacing w:before="0" w:beforeAutospacing="0" w:after="0" w:afterAutospacing="0" w:line="360" w:lineRule="auto"/>
        <w:ind w:firstLine="420"/>
        <w:rPr>
          <w:sz w:val="21"/>
          <w:szCs w:val="21"/>
        </w:rPr>
      </w:pPr>
      <w:r>
        <w:rPr>
          <w:rFonts w:hint="eastAsia"/>
          <w:sz w:val="21"/>
          <w:szCs w:val="21"/>
        </w:rPr>
        <w:t>4、基金托管人依据有关法律法规的规定和《基金合同》的约定对于基金关联投资限制进行监督。</w:t>
      </w:r>
    </w:p>
    <w:p w14:paraId="0646CDC1">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048ACB21">
      <w:pPr>
        <w:pStyle w:val="7"/>
        <w:spacing w:before="0" w:beforeAutospacing="0" w:after="0" w:afterAutospacing="0" w:line="360" w:lineRule="auto"/>
        <w:ind w:firstLine="420"/>
        <w:rPr>
          <w:sz w:val="21"/>
          <w:szCs w:val="21"/>
        </w:rPr>
      </w:pPr>
      <w:r>
        <w:rPr>
          <w:rFonts w:hint="eastAsia"/>
          <w:sz w:val="21"/>
          <w:szCs w:val="21"/>
        </w:rPr>
        <w:t>5、本基金参与银行间市场交易，由基金管理人决定银行间市场交易对手的名单，并按照审慎的风险控制原则在该名单中约定各交易对手所适用的交易结算方式。基金管理人应严格按照交易对手名单的范围在银行间债券市场选择交易对手；基金管理人在银行间市场进行现券买卖和回购交易时，需按交易对手名单中约定的该交易对手所适用的交易结算方式进行交易。基金托管人不对本基金参与银行间市场交易的交易对手和交易结算方式进行监控。</w:t>
      </w:r>
    </w:p>
    <w:p w14:paraId="6D9D6B52">
      <w:pPr>
        <w:pStyle w:val="7"/>
        <w:spacing w:before="0" w:beforeAutospacing="0" w:after="0" w:afterAutospacing="0" w:line="360" w:lineRule="auto"/>
        <w:ind w:firstLine="420"/>
        <w:rPr>
          <w:sz w:val="21"/>
          <w:szCs w:val="21"/>
        </w:rPr>
      </w:pPr>
      <w:r>
        <w:rPr>
          <w:rFonts w:hint="eastAsia"/>
          <w:sz w:val="21"/>
          <w:szCs w:val="21"/>
        </w:rPr>
        <w:t>6、基金托管人对基金投资流通受限证券的监督</w:t>
      </w:r>
    </w:p>
    <w:p w14:paraId="43AAB1AD">
      <w:pPr>
        <w:pStyle w:val="7"/>
        <w:spacing w:before="0" w:beforeAutospacing="0" w:after="0" w:afterAutospacing="0" w:line="360" w:lineRule="auto"/>
        <w:ind w:firstLine="420"/>
        <w:rPr>
          <w:sz w:val="21"/>
          <w:szCs w:val="21"/>
        </w:rPr>
      </w:pPr>
      <w:r>
        <w:rPr>
          <w:rFonts w:hint="eastAsia"/>
          <w:sz w:val="21"/>
          <w:szCs w:val="21"/>
        </w:rPr>
        <w:t>（1）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14:paraId="294AA079">
      <w:pPr>
        <w:pStyle w:val="7"/>
        <w:spacing w:before="0" w:beforeAutospacing="0" w:after="0" w:afterAutospacing="0" w:line="360" w:lineRule="auto"/>
        <w:ind w:firstLine="420"/>
        <w:rPr>
          <w:sz w:val="21"/>
          <w:szCs w:val="21"/>
        </w:rPr>
      </w:pPr>
      <w:r>
        <w:rPr>
          <w:rFonts w:hint="eastAsia"/>
          <w:sz w:val="21"/>
          <w:szCs w:val="21"/>
        </w:rPr>
        <w:t>（2）此处流通受限证券与上文所述的流动性受限资产并不完全一致，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w:t>
      </w:r>
    </w:p>
    <w:p w14:paraId="314B8C31">
      <w:pPr>
        <w:pStyle w:val="7"/>
        <w:spacing w:before="0" w:beforeAutospacing="0" w:after="0" w:afterAutospacing="0" w:line="360" w:lineRule="auto"/>
        <w:ind w:firstLine="420"/>
        <w:rPr>
          <w:sz w:val="21"/>
          <w:szCs w:val="21"/>
        </w:rPr>
      </w:pPr>
      <w:r>
        <w:rPr>
          <w:rFonts w:hint="eastAsia"/>
          <w:sz w:val="21"/>
          <w:szCs w:val="21"/>
        </w:rPr>
        <w:t>（3）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14:paraId="74F5E846">
      <w:pPr>
        <w:pStyle w:val="7"/>
        <w:spacing w:before="0" w:beforeAutospacing="0" w:after="0" w:afterAutospacing="0" w:line="360" w:lineRule="auto"/>
        <w:ind w:firstLine="420"/>
        <w:rPr>
          <w:sz w:val="21"/>
          <w:szCs w:val="21"/>
        </w:rPr>
      </w:pPr>
      <w:r>
        <w:rPr>
          <w:rFonts w:hint="eastAsia"/>
          <w:sz w:val="21"/>
          <w:szCs w:val="21"/>
        </w:rPr>
        <w:t>基金管理人应至少于首次执行投资指令之前两个工作日将上述资料书面发至基金托管人，保证基金托管人有足够的时间进行审核。基金托管人应在收到上述资料后两个工作日内，以书面或其他双方认可的方式进行确认。</w:t>
      </w:r>
    </w:p>
    <w:p w14:paraId="747EF51A">
      <w:pPr>
        <w:pStyle w:val="7"/>
        <w:spacing w:before="0" w:beforeAutospacing="0" w:after="0" w:afterAutospacing="0" w:line="360" w:lineRule="auto"/>
        <w:ind w:firstLine="420"/>
        <w:rPr>
          <w:sz w:val="21"/>
          <w:szCs w:val="21"/>
        </w:rPr>
      </w:pPr>
      <w:r>
        <w:rPr>
          <w:rFonts w:hint="eastAsia"/>
          <w:sz w:val="21"/>
          <w:szCs w:val="21"/>
        </w:rPr>
        <w:t>（4）基金投资非公开发行的流通受限证券前，基金管理人应向基金托管人提供符合法律法规要求的有关书面信息，包括但不限于拟发行证券主体的中国证监会批准文件、发行证券数量、发行价格、锁定期，基金拟认购的数量、价格、总成本、总成本占基金资产净值的比例、已持有流通受限证券市值占资产净值的比例、资金划付时间等。基金管理人应保证上述信息的真实、完整，并于拟执行投资指令前将上述信息书面发至基金托管人，保证基金托管人有足够的时间进行审核。</w:t>
      </w:r>
    </w:p>
    <w:p w14:paraId="35B2F9A4">
      <w:pPr>
        <w:pStyle w:val="7"/>
        <w:spacing w:before="0" w:beforeAutospacing="0" w:after="0" w:afterAutospacing="0" w:line="360" w:lineRule="auto"/>
        <w:ind w:firstLine="420"/>
        <w:rPr>
          <w:sz w:val="21"/>
          <w:szCs w:val="21"/>
        </w:rPr>
      </w:pPr>
      <w:r>
        <w:rPr>
          <w:rFonts w:hint="eastAsia"/>
          <w:sz w:val="21"/>
          <w:szCs w:val="21"/>
        </w:rPr>
        <w:t>（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备查资料的权利。否则，基金托管人有权拒绝执行有关指令。因拒绝执行该指令造成基金财产损失的，基金托管人不承担任何责任，并有权报告中国证监会。</w:t>
      </w:r>
    </w:p>
    <w:p w14:paraId="17AE5948">
      <w:pPr>
        <w:pStyle w:val="7"/>
        <w:spacing w:before="0" w:beforeAutospacing="0" w:after="0" w:afterAutospacing="0" w:line="360" w:lineRule="auto"/>
        <w:ind w:firstLine="420"/>
        <w:rPr>
          <w:sz w:val="21"/>
          <w:szCs w:val="21"/>
        </w:rPr>
      </w:pPr>
      <w:r>
        <w:rPr>
          <w:rFonts w:hint="eastAsia"/>
          <w:sz w:val="21"/>
          <w:szCs w:val="21"/>
        </w:rPr>
        <w:t>如基金管理人和基金托管人无法达成一致，应及时上报中国证监会请求解决。如果基金托管人切实履行监督职责，则不承担任何责任。</w:t>
      </w:r>
    </w:p>
    <w:p w14:paraId="2293774B">
      <w:pPr>
        <w:pStyle w:val="7"/>
        <w:spacing w:before="0" w:beforeAutospacing="0" w:after="0" w:afterAutospacing="0" w:line="360" w:lineRule="auto"/>
        <w:ind w:firstLine="420"/>
        <w:rPr>
          <w:sz w:val="21"/>
          <w:szCs w:val="21"/>
        </w:rPr>
      </w:pPr>
      <w:r>
        <w:rPr>
          <w:rFonts w:hint="eastAsia"/>
          <w:sz w:val="21"/>
          <w:szCs w:val="21"/>
        </w:rPr>
        <w:t>7、本基金投资银行存款的信用风险主要包括存款银行的信用等级、存款银行的支付能力等涉及到存款银行选择方面的风险。本基金的基金管理人根据相应规则确定存款银行，本基金投资存款银行以外的银行存款出现由于存款银行信用风险而造成的损失时由相关责任人进行赔偿。基金托管人不对本基金投资银行存款的存款银行进行监控。</w:t>
      </w:r>
    </w:p>
    <w:p w14:paraId="7D034487">
      <w:pPr>
        <w:pStyle w:val="7"/>
        <w:spacing w:before="0" w:beforeAutospacing="0" w:after="0" w:afterAutospacing="0" w:line="360" w:lineRule="auto"/>
        <w:ind w:firstLine="420"/>
        <w:rPr>
          <w:sz w:val="21"/>
          <w:szCs w:val="21"/>
        </w:rPr>
      </w:pPr>
      <w:r>
        <w:rPr>
          <w:rFonts w:hint="eastAsia"/>
          <w:sz w:val="21"/>
          <w:szCs w:val="21"/>
        </w:rPr>
        <w:t>8、基金参与转融通证券出借业务，基金管理人应当遵守审慎经营原则，配备技术系统和专业人员，制定科学合理的投资策略和风险管理制度，完善业务流程，有效防范和控制风险，托管人将对基金参与转融通证券出借业务进行监督和复核。</w:t>
      </w:r>
    </w:p>
    <w:p w14:paraId="7FC0FC6C">
      <w:pPr>
        <w:pStyle w:val="7"/>
        <w:spacing w:before="0" w:beforeAutospacing="0" w:after="0" w:afterAutospacing="0" w:line="360" w:lineRule="auto"/>
        <w:ind w:firstLine="420"/>
        <w:rPr>
          <w:sz w:val="21"/>
          <w:szCs w:val="21"/>
        </w:rPr>
      </w:pPr>
      <w:r>
        <w:rPr>
          <w:rFonts w:hint="eastAsia"/>
          <w:sz w:val="21"/>
          <w:szCs w:val="21"/>
        </w:rPr>
        <w:t>（二）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14:paraId="7B5633A6">
      <w:pPr>
        <w:pStyle w:val="7"/>
        <w:spacing w:before="0" w:beforeAutospacing="0" w:after="0" w:afterAutospacing="0" w:line="360" w:lineRule="auto"/>
        <w:ind w:firstLine="420"/>
        <w:rPr>
          <w:sz w:val="21"/>
          <w:szCs w:val="21"/>
        </w:rPr>
      </w:pPr>
      <w:r>
        <w:rPr>
          <w:rFonts w:hint="eastAsia"/>
          <w:sz w:val="21"/>
          <w:szCs w:val="21"/>
        </w:rPr>
        <w:t>（三） 基金托管人发现基金管理人的投资运作及其他运作违反法律法规、《基金合同》、本托管协议及其他有关规定时，应及时以书面形式通知基金管理人限期纠正，基金管理人收到通知后应在下一个工作日前及时核对，并以书面形式向基金托管人发出回函，进行解释或举证，说明违规原因及纠正期限。</w:t>
      </w:r>
    </w:p>
    <w:p w14:paraId="14267604">
      <w:pPr>
        <w:pStyle w:val="7"/>
        <w:spacing w:before="0" w:beforeAutospacing="0" w:after="0" w:afterAutospacing="0" w:line="360" w:lineRule="auto"/>
        <w:ind w:firstLine="420"/>
        <w:rPr>
          <w:sz w:val="21"/>
          <w:szCs w:val="21"/>
        </w:rPr>
      </w:pPr>
      <w:r>
        <w:rPr>
          <w:rFonts w:hint="eastAsia"/>
          <w:sz w:val="21"/>
          <w:szCs w:val="21"/>
        </w:rPr>
        <w:t>在限期内，基金托管人有权随时对通知事项进行复查，督促基金管理人改正。基金管理人对基金托管人通知的违规事项未能在限期内纠正的，基金托管人应报告中国证监会。基金管理人应赔偿因其违反法律法规、行业自律性规定或《基金合同》或本托管协议及其他有关规定而致使投资者和基金托管人遭受的损失。</w:t>
      </w:r>
    </w:p>
    <w:p w14:paraId="227CCD3C">
      <w:pPr>
        <w:pStyle w:val="7"/>
        <w:spacing w:before="0" w:beforeAutospacing="0" w:after="0" w:afterAutospacing="0" w:line="360" w:lineRule="auto"/>
        <w:ind w:firstLine="420"/>
        <w:rPr>
          <w:sz w:val="21"/>
          <w:szCs w:val="21"/>
        </w:rPr>
      </w:pPr>
      <w:r>
        <w:rPr>
          <w:rFonts w:hint="eastAsia"/>
          <w:sz w:val="21"/>
          <w:szCs w:val="21"/>
        </w:rPr>
        <w:t>对于依据交易程序尚未成交的且基金托管人在交易前能够监控的投资指令，基金托管人发现该投资指令违反有关法律法规规定或者违反《基金合同》约定的，应当拒绝执行，立即通知基金管理人，并向中国证监会报告。</w:t>
      </w:r>
    </w:p>
    <w:p w14:paraId="78114CEE">
      <w:pPr>
        <w:pStyle w:val="7"/>
        <w:spacing w:before="0" w:beforeAutospacing="0" w:after="0" w:afterAutospacing="0" w:line="360" w:lineRule="auto"/>
        <w:ind w:firstLine="420"/>
        <w:rPr>
          <w:sz w:val="21"/>
          <w:szCs w:val="21"/>
        </w:rPr>
      </w:pPr>
      <w:r>
        <w:rPr>
          <w:rFonts w:hint="eastAsia"/>
          <w:sz w:val="21"/>
          <w:szCs w:val="21"/>
        </w:rPr>
        <w:t>对于必须于估值完成后方可获知的监控指标或依据交易程序已经成交的投资指令，基金托管人发现该投资指令违反有关法律法规或者违反《基金合同》约定的，应当立即通知基金管理人，并报告中国证监会。</w:t>
      </w:r>
    </w:p>
    <w:p w14:paraId="33671D41">
      <w:pPr>
        <w:pStyle w:val="7"/>
        <w:spacing w:before="0" w:beforeAutospacing="0" w:after="0" w:afterAutospacing="0" w:line="360" w:lineRule="auto"/>
        <w:ind w:firstLine="420"/>
        <w:rPr>
          <w:sz w:val="21"/>
          <w:szCs w:val="21"/>
        </w:rPr>
      </w:pPr>
      <w:r>
        <w:rPr>
          <w:rFonts w:hint="eastAsia"/>
          <w:sz w:val="21"/>
          <w:szCs w:val="21"/>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14:paraId="40B7CD42">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基金托管人发现基金管理人有重大违规行为，应立即报告中国证监会，同时通知基金管理人限期纠正。</w:t>
      </w:r>
    </w:p>
    <w:p w14:paraId="575A931B">
      <w:pPr>
        <w:pStyle w:val="7"/>
        <w:spacing w:before="0" w:beforeAutospacing="0" w:after="0" w:afterAutospacing="0" w:line="360" w:lineRule="auto"/>
        <w:ind w:firstLine="420"/>
        <w:rPr>
          <w:sz w:val="21"/>
          <w:szCs w:val="21"/>
        </w:rPr>
      </w:pPr>
      <w:r>
        <w:rPr>
          <w:rFonts w:hint="eastAsia"/>
          <w:sz w:val="21"/>
          <w:szCs w:val="21"/>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14:paraId="7AECC99E">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079626D0">
      <w:pPr>
        <w:pStyle w:val="7"/>
        <w:spacing w:before="0" w:beforeAutospacing="0" w:after="0" w:afterAutospacing="0" w:line="360" w:lineRule="auto"/>
        <w:ind w:firstLine="420"/>
        <w:rPr>
          <w:sz w:val="21"/>
          <w:szCs w:val="21"/>
        </w:rPr>
      </w:pPr>
      <w:r>
        <w:rPr>
          <w:rFonts w:hint="eastAsia"/>
          <w:sz w:val="21"/>
          <w:szCs w:val="21"/>
        </w:rPr>
        <w:t>（一）基金管理人对基金托管人履行托管职责情况进行核查，核查事项包括但不限于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14:paraId="75C3C234">
      <w:pPr>
        <w:pStyle w:val="7"/>
        <w:spacing w:before="0" w:beforeAutospacing="0" w:after="0" w:afterAutospacing="0" w:line="360" w:lineRule="auto"/>
        <w:ind w:firstLine="420"/>
        <w:rPr>
          <w:sz w:val="21"/>
          <w:szCs w:val="21"/>
        </w:rPr>
      </w:pPr>
      <w:r>
        <w:rPr>
          <w:rFonts w:hint="eastAsia"/>
          <w:sz w:val="21"/>
          <w:szCs w:val="21"/>
        </w:rPr>
        <w:t>（二）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说明违规原因及纠正期限，并保证在规定期限内及时改正。在上述限期内，基金管理人有权随时对通知事项进行复查，督促基金托管人改正，并予协助配合。基金托管人应积极配合基金管理人的核查行为，包括但不限于：提交相关资料以供基金管理人核查托管财产的完整性和真实性，在规定时间内答复基金管理人并改正。基金托管人对基金管理人通知的违规事项未能在限期内纠正的，基金管理人应报告中国证监会。</w:t>
      </w:r>
    </w:p>
    <w:p w14:paraId="4BF6A153">
      <w:pPr>
        <w:pStyle w:val="7"/>
        <w:spacing w:before="0" w:beforeAutospacing="0" w:after="0" w:afterAutospacing="0" w:line="360" w:lineRule="auto"/>
        <w:ind w:firstLine="420"/>
        <w:rPr>
          <w:sz w:val="21"/>
          <w:szCs w:val="21"/>
        </w:rPr>
      </w:pPr>
      <w:r>
        <w:rPr>
          <w:rFonts w:hint="eastAsia"/>
          <w:sz w:val="21"/>
          <w:szCs w:val="21"/>
        </w:rPr>
        <w:t>（三）基金管理人发现基金托管人有重大违规行为，应立即报告中国证监会，同时通知基金托管人限期纠正，并将纠正结果报告中国证监会。</w:t>
      </w:r>
    </w:p>
    <w:p w14:paraId="341BF8A6">
      <w:pPr>
        <w:pStyle w:val="7"/>
        <w:spacing w:before="0" w:beforeAutospacing="0" w:after="0" w:afterAutospacing="0" w:line="360" w:lineRule="auto"/>
        <w:ind w:firstLine="420"/>
        <w:rPr>
          <w:sz w:val="21"/>
          <w:szCs w:val="21"/>
        </w:rPr>
      </w:pPr>
      <w:r>
        <w:rPr>
          <w:rFonts w:hint="eastAsia"/>
          <w:sz w:val="21"/>
          <w:szCs w:val="21"/>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0C3E6BA8">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585516D3">
      <w:pPr>
        <w:pStyle w:val="7"/>
        <w:spacing w:before="0" w:beforeAutospacing="0" w:after="0" w:afterAutospacing="0" w:line="360" w:lineRule="auto"/>
        <w:ind w:firstLine="420"/>
        <w:rPr>
          <w:sz w:val="21"/>
          <w:szCs w:val="21"/>
        </w:rPr>
      </w:pPr>
      <w:r>
        <w:rPr>
          <w:rFonts w:hint="eastAsia"/>
          <w:sz w:val="21"/>
          <w:szCs w:val="21"/>
        </w:rPr>
        <w:t>（一）基金财产保管的原则</w:t>
      </w:r>
    </w:p>
    <w:p w14:paraId="02B208E7">
      <w:pPr>
        <w:pStyle w:val="7"/>
        <w:spacing w:before="0" w:beforeAutospacing="0" w:after="0" w:afterAutospacing="0" w:line="360" w:lineRule="auto"/>
        <w:ind w:firstLine="420"/>
        <w:rPr>
          <w:sz w:val="21"/>
          <w:szCs w:val="21"/>
        </w:rPr>
      </w:pPr>
      <w:r>
        <w:rPr>
          <w:rFonts w:hint="eastAsia"/>
          <w:sz w:val="21"/>
          <w:szCs w:val="21"/>
        </w:rPr>
        <w:t>1、基金财产应独立于基金管理人、基金托管人和证券经纪机构的固有财产。</w:t>
      </w:r>
    </w:p>
    <w:p w14:paraId="77A14312">
      <w:pPr>
        <w:pStyle w:val="7"/>
        <w:spacing w:before="0" w:beforeAutospacing="0" w:after="0" w:afterAutospacing="0" w:line="360" w:lineRule="auto"/>
        <w:ind w:firstLine="420"/>
        <w:rPr>
          <w:sz w:val="21"/>
          <w:szCs w:val="21"/>
        </w:rPr>
      </w:pPr>
      <w:r>
        <w:rPr>
          <w:rFonts w:hint="eastAsia"/>
          <w:sz w:val="21"/>
          <w:szCs w:val="21"/>
        </w:rPr>
        <w:t>2、基金托管人应安全保管基金财产，未经基金管理人的合法合规指令或法律法规、《基金合同》及本协议另有规定，不得自行运用、处分、分配基金的任何财产。</w:t>
      </w:r>
    </w:p>
    <w:p w14:paraId="4AAB3E9F">
      <w:pPr>
        <w:pStyle w:val="7"/>
        <w:spacing w:before="0" w:beforeAutospacing="0" w:after="0" w:afterAutospacing="0" w:line="360" w:lineRule="auto"/>
        <w:ind w:firstLine="420"/>
        <w:rPr>
          <w:sz w:val="21"/>
          <w:szCs w:val="21"/>
        </w:rPr>
      </w:pPr>
      <w:r>
        <w:rPr>
          <w:rFonts w:hint="eastAsia"/>
          <w:sz w:val="21"/>
          <w:szCs w:val="21"/>
        </w:rPr>
        <w:t>3、基金托管人按照规定开设基金财产的资金账户、证券账户等投资所需账户，相关开户费用由基金资产承担。</w:t>
      </w:r>
    </w:p>
    <w:p w14:paraId="2A7DF66B">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4、基金托管人对所托管的不同基金财产分别设置账户，分账管理，独立核算，确保基金财产的完整与独立。</w:t>
      </w:r>
    </w:p>
    <w:p w14:paraId="4B3F0C93">
      <w:pPr>
        <w:pStyle w:val="7"/>
        <w:spacing w:before="0" w:beforeAutospacing="0" w:after="0" w:afterAutospacing="0" w:line="360" w:lineRule="auto"/>
        <w:ind w:firstLine="420"/>
        <w:rPr>
          <w:sz w:val="21"/>
          <w:szCs w:val="21"/>
        </w:rPr>
      </w:pPr>
      <w:r>
        <w:rPr>
          <w:rFonts w:hint="eastAsia"/>
          <w:sz w:val="21"/>
          <w:szCs w:val="21"/>
        </w:rPr>
        <w:t>5、对于因为基金认申购、投资产生的应收资产，应由基金管理人负责与有关当事人确定到账日期并通知基金托管人，到账日基金财产没有到达基金账户的，基金托管人应及时通知基金管理人采取措施进行催收。基金管理人未及时催收给基金财产造成损失的，基金管理人应负责向有关当事人追偿基金财产的损失，基金托管人对此不承担相应责任。</w:t>
      </w:r>
    </w:p>
    <w:p w14:paraId="032AA4E7">
      <w:pPr>
        <w:pStyle w:val="7"/>
        <w:spacing w:before="0" w:beforeAutospacing="0" w:after="0" w:afterAutospacing="0" w:line="360" w:lineRule="auto"/>
        <w:ind w:firstLine="420"/>
        <w:rPr>
          <w:sz w:val="21"/>
          <w:szCs w:val="21"/>
        </w:rPr>
      </w:pPr>
      <w:r>
        <w:rPr>
          <w:rFonts w:hint="eastAsia"/>
          <w:sz w:val="21"/>
          <w:szCs w:val="21"/>
        </w:rPr>
        <w:t>6、对因为基金管理人投资产生的存放或存管在基金托管人以外机构的基金财产，或交由期货公司或证券公司负责清算交收的基金财产（包括但不限于期货保证金账户内的资金、期货合约等）及其收益，若由于该等机构或该机构会员单位等本协议当事人外第三方的原因给基金财产造成的损失等，基金托管人不承担责任。</w:t>
      </w:r>
    </w:p>
    <w:p w14:paraId="5E2ABF15">
      <w:pPr>
        <w:pStyle w:val="7"/>
        <w:spacing w:before="0" w:beforeAutospacing="0" w:after="0" w:afterAutospacing="0" w:line="360" w:lineRule="auto"/>
        <w:ind w:firstLine="420"/>
        <w:rPr>
          <w:sz w:val="21"/>
          <w:szCs w:val="21"/>
        </w:rPr>
      </w:pPr>
      <w:r>
        <w:rPr>
          <w:rFonts w:hint="eastAsia"/>
          <w:sz w:val="21"/>
          <w:szCs w:val="21"/>
        </w:rPr>
        <w:t>7、除依据法律法规、《基金合同》及其他有关规定外，基金托管人不得委托第三人托管基金财产。</w:t>
      </w:r>
    </w:p>
    <w:p w14:paraId="7E2B20CA">
      <w:pPr>
        <w:pStyle w:val="7"/>
        <w:spacing w:before="0" w:beforeAutospacing="0" w:after="0" w:afterAutospacing="0" w:line="360" w:lineRule="auto"/>
        <w:ind w:firstLine="420"/>
        <w:rPr>
          <w:sz w:val="21"/>
          <w:szCs w:val="21"/>
        </w:rPr>
      </w:pPr>
      <w:r>
        <w:rPr>
          <w:rFonts w:hint="eastAsia"/>
          <w:sz w:val="21"/>
          <w:szCs w:val="21"/>
        </w:rPr>
        <w:t>（二）《基金合同》生效前募集资金的验资和入账</w:t>
      </w:r>
    </w:p>
    <w:p w14:paraId="54E6E202">
      <w:pPr>
        <w:pStyle w:val="7"/>
        <w:spacing w:before="0" w:beforeAutospacing="0" w:after="0" w:afterAutospacing="0" w:line="360" w:lineRule="auto"/>
        <w:ind w:firstLine="420"/>
        <w:rPr>
          <w:sz w:val="21"/>
          <w:szCs w:val="21"/>
        </w:rPr>
      </w:pPr>
      <w:r>
        <w:rPr>
          <w:rFonts w:hint="eastAsia"/>
          <w:sz w:val="21"/>
          <w:szCs w:val="21"/>
        </w:rPr>
        <w:t>1、基金募集期间募集的资金应存于基金管理人在具有托管资格的银行开立的“基金募集专户”，该账户由基金管理人开立并管理。基金募集期满或基金管理人宣布停止募集时，募集的基金份额总额、基金募集金额（含网下股票认购所募集的股票按《基金合同》约定的估值方法计算的价值）、基金份额持有人人数符合《基金法》、《运作办法》等有关规定的，由基金管理人在法定期限内聘请符合《中华人民共和国证券法》规定的会计师事务所对基金进行验资，并出具验资报告，出具的验资报告应由参加验资的2名以上(含2名)中国注册会计师签字方为有效。同时，基金管理人应将属于本基金财产的全部资金划入在基金托管人为本基金开立的基金银行账户中，股票划入基金托管人为本基金开立的基金证券账户中，并确保划入的资金与验资确认金额相一致。</w:t>
      </w:r>
    </w:p>
    <w:p w14:paraId="3631A91E">
      <w:pPr>
        <w:pStyle w:val="7"/>
        <w:spacing w:before="0" w:beforeAutospacing="0" w:after="0" w:afterAutospacing="0" w:line="360" w:lineRule="auto"/>
        <w:ind w:firstLine="420"/>
        <w:rPr>
          <w:sz w:val="21"/>
          <w:szCs w:val="21"/>
        </w:rPr>
      </w:pPr>
      <w:r>
        <w:rPr>
          <w:rFonts w:hint="eastAsia"/>
          <w:sz w:val="21"/>
          <w:szCs w:val="21"/>
        </w:rPr>
        <w:t>2、若基金募集期限届满，未能达到《基金合同》生效的条件，由基金管理人或相关机构按规定办理退款、股票解冻及返还等事宜，基金托管人应提供必要的协助。</w:t>
      </w:r>
    </w:p>
    <w:p w14:paraId="5AE36E22">
      <w:pPr>
        <w:pStyle w:val="7"/>
        <w:spacing w:before="0" w:beforeAutospacing="0" w:after="0" w:afterAutospacing="0" w:line="360" w:lineRule="auto"/>
        <w:ind w:firstLine="420"/>
        <w:rPr>
          <w:sz w:val="21"/>
          <w:szCs w:val="21"/>
        </w:rPr>
      </w:pPr>
      <w:r>
        <w:rPr>
          <w:rFonts w:hint="eastAsia"/>
          <w:sz w:val="21"/>
          <w:szCs w:val="21"/>
        </w:rPr>
        <w:t>（三）基金的银行账户的开设和管理</w:t>
      </w:r>
    </w:p>
    <w:p w14:paraId="5B568014">
      <w:pPr>
        <w:pStyle w:val="7"/>
        <w:spacing w:before="0" w:beforeAutospacing="0" w:after="0" w:afterAutospacing="0" w:line="360" w:lineRule="auto"/>
        <w:ind w:firstLine="420"/>
        <w:rPr>
          <w:sz w:val="21"/>
          <w:szCs w:val="21"/>
        </w:rPr>
      </w:pPr>
      <w:r>
        <w:rPr>
          <w:rFonts w:hint="eastAsia"/>
          <w:sz w:val="21"/>
          <w:szCs w:val="21"/>
        </w:rPr>
        <w:t>1、基金托管人应负责本基金的银行账户的开设和管理。</w:t>
      </w:r>
    </w:p>
    <w:p w14:paraId="1D8DECD2">
      <w:pPr>
        <w:pStyle w:val="7"/>
        <w:spacing w:before="0" w:beforeAutospacing="0" w:after="0" w:afterAutospacing="0" w:line="360" w:lineRule="auto"/>
        <w:ind w:firstLine="420"/>
        <w:rPr>
          <w:sz w:val="21"/>
          <w:szCs w:val="21"/>
        </w:rPr>
      </w:pPr>
      <w:r>
        <w:rPr>
          <w:rFonts w:hint="eastAsia"/>
          <w:sz w:val="21"/>
          <w:szCs w:val="21"/>
        </w:rPr>
        <w:t>2、基金托管人以本基金的名义在具有基金托管资格的商业银行开设本基金的银行账户。本基金的银行预留印鉴为“中信证券股份有限公司托管业务结算专用章”和基金托管人有权人名章。本基金的一切货币收支活动，包括但不限于投资、支付赎回金额、支付基金收益、收取申购款，均需通过本基金的银行账户进行。</w:t>
      </w:r>
    </w:p>
    <w:p w14:paraId="4ED4F1C2">
      <w:pPr>
        <w:pStyle w:val="7"/>
        <w:spacing w:before="0" w:beforeAutospacing="0" w:after="0" w:afterAutospacing="0" w:line="360" w:lineRule="auto"/>
        <w:ind w:firstLine="420"/>
        <w:rPr>
          <w:sz w:val="21"/>
          <w:szCs w:val="21"/>
        </w:rPr>
      </w:pPr>
      <w:r>
        <w:rPr>
          <w:rFonts w:hint="eastAsia"/>
          <w:sz w:val="21"/>
          <w:szCs w:val="21"/>
        </w:rPr>
        <w:t>3、本基金银行账户的开立和使用，限于满足开展本基金业务的需要。基金托管人和基金管理人不得假借本基金的名义开立其他任何银行账户；亦不得使用本基金的银行账户进行本基金业务以外的活动。</w:t>
      </w:r>
    </w:p>
    <w:p w14:paraId="3EC6AD84">
      <w:pPr>
        <w:pStyle w:val="7"/>
        <w:spacing w:before="0" w:beforeAutospacing="0" w:after="0" w:afterAutospacing="0" w:line="360" w:lineRule="auto"/>
        <w:ind w:firstLine="420"/>
        <w:rPr>
          <w:sz w:val="21"/>
          <w:szCs w:val="21"/>
        </w:rPr>
      </w:pPr>
      <w:r>
        <w:rPr>
          <w:rFonts w:hint="eastAsia"/>
          <w:sz w:val="21"/>
          <w:szCs w:val="21"/>
        </w:rPr>
        <w:t>4、基金银行账户的管理应符合《人民币银行结算账户管理办法》、《现金管理暂行条例》、《支付结算办法》以及其他相关规定。</w:t>
      </w:r>
    </w:p>
    <w:p w14:paraId="54117D9F">
      <w:pPr>
        <w:pStyle w:val="7"/>
        <w:spacing w:before="0" w:beforeAutospacing="0" w:after="0" w:afterAutospacing="0" w:line="360" w:lineRule="auto"/>
        <w:ind w:firstLine="420"/>
        <w:rPr>
          <w:sz w:val="21"/>
          <w:szCs w:val="21"/>
        </w:rPr>
      </w:pPr>
      <w:r>
        <w:rPr>
          <w:rFonts w:hint="eastAsia"/>
          <w:sz w:val="21"/>
          <w:szCs w:val="21"/>
        </w:rPr>
        <w:t>（四）基金证券账户和证券资金账户的开设和管理</w:t>
      </w:r>
    </w:p>
    <w:p w14:paraId="71009347">
      <w:pPr>
        <w:pStyle w:val="7"/>
        <w:spacing w:before="0" w:beforeAutospacing="0" w:after="0" w:afterAutospacing="0" w:line="360" w:lineRule="auto"/>
        <w:ind w:firstLine="420"/>
        <w:rPr>
          <w:sz w:val="21"/>
          <w:szCs w:val="21"/>
        </w:rPr>
      </w:pPr>
      <w:r>
        <w:rPr>
          <w:rFonts w:hint="eastAsia"/>
          <w:sz w:val="21"/>
          <w:szCs w:val="21"/>
        </w:rPr>
        <w:t>1、基金托管人应当代表本基金，以基金托管人和本基金联名的方式在中国证券登记结算有限责任公司开设证券账户。基金证券账户的开立由基金托管人负责，账户资产的管理和运用由基金管理人负责。</w:t>
      </w:r>
    </w:p>
    <w:p w14:paraId="53D17C72">
      <w:pPr>
        <w:pStyle w:val="7"/>
        <w:spacing w:before="0" w:beforeAutospacing="0" w:after="0" w:afterAutospacing="0" w:line="360" w:lineRule="auto"/>
        <w:ind w:firstLine="420"/>
        <w:rPr>
          <w:sz w:val="21"/>
          <w:szCs w:val="21"/>
        </w:rPr>
      </w:pPr>
      <w:r>
        <w:rPr>
          <w:rFonts w:hint="eastAsia"/>
          <w:sz w:val="21"/>
          <w:szCs w:val="21"/>
        </w:rPr>
        <w:t>2、基金管理人以基金名义在基金管理人选择的证券经营机构开立证券资金账户。证券经营机构根据相关法律法规、规范性文件为本基金开立相关资金账户并按照该证券经营机构开户的流程和要求与基金管理人签订相关协议。交易所证券交易资金采用第三方存管模式，即用于证券交易结算的资金全额存放在基金管理人为基金开设的证券资金账户中，场内的证券交易资金清算由基金管理人所选择的证券公司负责。基金托管人不负责办理场内的证券交易资金清算，也不负责保管证券资金账户内存放的资金。</w:t>
      </w:r>
    </w:p>
    <w:p w14:paraId="61D1ABF5">
      <w:pPr>
        <w:pStyle w:val="7"/>
        <w:spacing w:before="0" w:beforeAutospacing="0" w:after="0" w:afterAutospacing="0" w:line="360" w:lineRule="auto"/>
        <w:ind w:firstLine="420"/>
        <w:rPr>
          <w:sz w:val="21"/>
          <w:szCs w:val="21"/>
        </w:rPr>
      </w:pPr>
      <w:r>
        <w:rPr>
          <w:rFonts w:hint="eastAsia"/>
          <w:sz w:val="21"/>
          <w:szCs w:val="21"/>
        </w:rPr>
        <w:t>3、基金证券账户与证券资金账户的开立和使用，限于满足开展本基金业务的需要。基金托管人和基金管理人不得出借和未经对方同意擅自转让基金的任何证券账户或证券资金账户；亦不得使用基金的任何账户进行本基金业务以外的活动。本基金通过证券经纪机构进行的交易由证券经纪机构作为结算参与人代理本基金进行结算。</w:t>
      </w:r>
    </w:p>
    <w:p w14:paraId="5F586C3E">
      <w:pPr>
        <w:pStyle w:val="7"/>
        <w:spacing w:before="0" w:beforeAutospacing="0" w:after="0" w:afterAutospacing="0" w:line="360" w:lineRule="auto"/>
        <w:ind w:firstLine="420"/>
        <w:rPr>
          <w:sz w:val="21"/>
          <w:szCs w:val="21"/>
        </w:rPr>
      </w:pPr>
      <w:r>
        <w:rPr>
          <w:rFonts w:hint="eastAsia"/>
          <w:sz w:val="21"/>
          <w:szCs w:val="21"/>
        </w:rPr>
        <w:t>（五）债券托管账户的开设和管理</w:t>
      </w:r>
    </w:p>
    <w:p w14:paraId="38E44ECE">
      <w:pPr>
        <w:pStyle w:val="7"/>
        <w:spacing w:before="0" w:beforeAutospacing="0" w:after="0" w:afterAutospacing="0" w:line="360" w:lineRule="auto"/>
        <w:ind w:firstLine="420"/>
        <w:rPr>
          <w:sz w:val="21"/>
          <w:szCs w:val="21"/>
        </w:rPr>
      </w:pPr>
      <w:r>
        <w:rPr>
          <w:rFonts w:hint="eastAsia"/>
          <w:sz w:val="21"/>
          <w:szCs w:val="21"/>
        </w:rPr>
        <w:t>《基金合同》生效后，基金管理人负责以基金的名义申请并取得进入全国银行间同业拆借市场的交易资格，并代表基金进行交易；基金托管人根据中国人民银行、银行间市场登记结算机构的有关规定，以基金的名义在中央国债登记结算有限责任公司、银行间市场清算所股份有限公司开设银行间债券市场债券托管账户和资金结算专户，并代表基金进行银行间债券市场债券和资金的清算。基金管理人和基金托管人应共同负责完成银行间债券市场准入备案。</w:t>
      </w:r>
    </w:p>
    <w:p w14:paraId="24F6EFB2">
      <w:pPr>
        <w:pStyle w:val="7"/>
        <w:spacing w:before="0" w:beforeAutospacing="0" w:after="0" w:afterAutospacing="0" w:line="360" w:lineRule="auto"/>
        <w:ind w:firstLine="420"/>
        <w:rPr>
          <w:sz w:val="21"/>
          <w:szCs w:val="21"/>
        </w:rPr>
      </w:pPr>
      <w:r>
        <w:rPr>
          <w:rFonts w:hint="eastAsia"/>
          <w:sz w:val="21"/>
          <w:szCs w:val="21"/>
        </w:rPr>
        <w:t>（六）期货账户的开设和管理</w:t>
      </w:r>
    </w:p>
    <w:p w14:paraId="781B9FF5">
      <w:pPr>
        <w:pStyle w:val="7"/>
        <w:spacing w:before="0" w:beforeAutospacing="0" w:after="0" w:afterAutospacing="0" w:line="360" w:lineRule="auto"/>
        <w:ind w:firstLine="420"/>
        <w:rPr>
          <w:sz w:val="21"/>
          <w:szCs w:val="21"/>
        </w:rPr>
      </w:pPr>
      <w:r>
        <w:rPr>
          <w:rFonts w:hint="eastAsia"/>
          <w:sz w:val="21"/>
          <w:szCs w:val="21"/>
        </w:rPr>
        <w:t>基金管理人根据投资需要按照规定开立期货保证金账户及期货交易编码等。完成上述账户开立后，基金管理人应以书面形式将期货公司提供的期货保证金账户的初始资金密码和市场监控中心的登录用户名及密码告知基金托管人。资金密码和市场监控中心登录密码重置由基金管理人进行，重置后务必及时通知托管人。</w:t>
      </w:r>
    </w:p>
    <w:p w14:paraId="586F47E6">
      <w:pPr>
        <w:pStyle w:val="7"/>
        <w:spacing w:before="0" w:beforeAutospacing="0" w:after="0" w:afterAutospacing="0" w:line="360" w:lineRule="auto"/>
        <w:ind w:firstLine="420"/>
        <w:rPr>
          <w:sz w:val="21"/>
          <w:szCs w:val="21"/>
        </w:rPr>
      </w:pPr>
      <w:r>
        <w:rPr>
          <w:rFonts w:hint="eastAsia"/>
          <w:sz w:val="21"/>
          <w:szCs w:val="21"/>
        </w:rPr>
        <w:t>基金托管人和基金管理人应当在开户过程中相互配合，并提供所需资料。基金管理人保证所提供的账户开户材料的真实性和有效性，且在相关资料变更后及时将变更的资料提供给基金托管人。</w:t>
      </w:r>
    </w:p>
    <w:p w14:paraId="22E60942">
      <w:pPr>
        <w:pStyle w:val="7"/>
        <w:spacing w:before="0" w:beforeAutospacing="0" w:after="0" w:afterAutospacing="0" w:line="360" w:lineRule="auto"/>
        <w:ind w:firstLine="420"/>
        <w:rPr>
          <w:sz w:val="21"/>
          <w:szCs w:val="21"/>
        </w:rPr>
      </w:pPr>
      <w:r>
        <w:rPr>
          <w:rFonts w:hint="eastAsia"/>
          <w:sz w:val="21"/>
          <w:szCs w:val="21"/>
        </w:rPr>
        <w:t>（七）其他账户的开立和管理</w:t>
      </w:r>
    </w:p>
    <w:p w14:paraId="35FC7CEE">
      <w:pPr>
        <w:pStyle w:val="7"/>
        <w:spacing w:before="0" w:beforeAutospacing="0" w:after="0" w:afterAutospacing="0" w:line="360" w:lineRule="auto"/>
        <w:ind w:firstLine="420"/>
        <w:rPr>
          <w:sz w:val="21"/>
          <w:szCs w:val="21"/>
        </w:rPr>
      </w:pPr>
      <w:r>
        <w:rPr>
          <w:rFonts w:hint="eastAsia"/>
          <w:sz w:val="21"/>
          <w:szCs w:val="21"/>
        </w:rPr>
        <w:t>1、因业务发展需要而开立的其他账户，可以根据法律法规和《基金合同》的规定，由基金管理人协助基金托管人按照有关法律法规和本协议的约定协商后开立。新账户按有关规定使用并管理。</w:t>
      </w:r>
    </w:p>
    <w:p w14:paraId="7EF9D1DF">
      <w:pPr>
        <w:pStyle w:val="7"/>
        <w:spacing w:before="0" w:beforeAutospacing="0" w:after="0" w:afterAutospacing="0" w:line="360" w:lineRule="auto"/>
        <w:ind w:firstLine="420"/>
        <w:rPr>
          <w:sz w:val="21"/>
          <w:szCs w:val="21"/>
        </w:rPr>
      </w:pPr>
      <w:r>
        <w:rPr>
          <w:rFonts w:hint="eastAsia"/>
          <w:sz w:val="21"/>
          <w:szCs w:val="21"/>
        </w:rPr>
        <w:t>2、法律法规等有关规定对相关账户的开立和管理另有规定的，从其规定办理。</w:t>
      </w:r>
    </w:p>
    <w:p w14:paraId="5C2BF56F">
      <w:pPr>
        <w:pStyle w:val="7"/>
        <w:spacing w:before="0" w:beforeAutospacing="0" w:after="0" w:afterAutospacing="0" w:line="360" w:lineRule="auto"/>
        <w:ind w:firstLine="420"/>
        <w:rPr>
          <w:sz w:val="21"/>
          <w:szCs w:val="21"/>
        </w:rPr>
      </w:pPr>
      <w:r>
        <w:rPr>
          <w:rFonts w:hint="eastAsia"/>
          <w:sz w:val="21"/>
          <w:szCs w:val="21"/>
        </w:rPr>
        <w:t>（八）基金投资银行存款账户的开立和管理</w:t>
      </w:r>
    </w:p>
    <w:p w14:paraId="7FC30D1A">
      <w:pPr>
        <w:pStyle w:val="7"/>
        <w:spacing w:before="0" w:beforeAutospacing="0" w:after="0" w:afterAutospacing="0" w:line="360" w:lineRule="auto"/>
        <w:ind w:firstLine="420"/>
        <w:rPr>
          <w:sz w:val="21"/>
          <w:szCs w:val="21"/>
        </w:rPr>
      </w:pPr>
      <w:r>
        <w:rPr>
          <w:rFonts w:hint="eastAsia"/>
          <w:sz w:val="21"/>
          <w:szCs w:val="21"/>
        </w:rPr>
        <w:t>基金投资银行定期存款应由基金管理人与存款银行总行或其授权分行签订总体合作协议，并将资金存放于存款银行总行或其授权分行指定的分支机构。</w:t>
      </w:r>
    </w:p>
    <w:p w14:paraId="09F2A421">
      <w:pPr>
        <w:pStyle w:val="7"/>
        <w:spacing w:before="0" w:beforeAutospacing="0" w:after="0" w:afterAutospacing="0" w:line="360" w:lineRule="auto"/>
        <w:ind w:firstLine="420"/>
        <w:rPr>
          <w:sz w:val="21"/>
          <w:szCs w:val="21"/>
        </w:rPr>
      </w:pPr>
      <w:r>
        <w:rPr>
          <w:rFonts w:hint="eastAsia"/>
          <w:sz w:val="21"/>
          <w:szCs w:val="21"/>
        </w:rPr>
        <w:t>存款账户必须以基金名义开立，账户名称为基金名称，存款账户开户文件上加盖预留印鉴及基金管理人公章。预留印鉴为“中信证券股份有限公司托管业务结算专用章”和基金托管人有权人名章。存款证实书原件由托管人负责保管。</w:t>
      </w:r>
    </w:p>
    <w:p w14:paraId="29947438">
      <w:pPr>
        <w:pStyle w:val="7"/>
        <w:spacing w:before="0" w:beforeAutospacing="0" w:after="0" w:afterAutospacing="0" w:line="360" w:lineRule="auto"/>
        <w:ind w:firstLine="420"/>
        <w:rPr>
          <w:sz w:val="21"/>
          <w:szCs w:val="21"/>
        </w:rPr>
      </w:pPr>
      <w:r>
        <w:rPr>
          <w:rFonts w:hint="eastAsia"/>
          <w:sz w:val="21"/>
          <w:szCs w:val="21"/>
        </w:rPr>
        <w:t>本基金投资银行存款时，基金管理人应当与存款银行签订具体存款协议，明确存款的类型、期限、利率、金额、账号、对账方式、支取方式、账户管理等细则。存款协议须约定将托管人为本产品开立的托管银行账户指定为唯一回款账户，任何情况下，存款银行都不得将存款本息划往任何其他账户。</w:t>
      </w:r>
    </w:p>
    <w:p w14:paraId="65EBB601">
      <w:pPr>
        <w:pStyle w:val="7"/>
        <w:spacing w:before="0" w:beforeAutospacing="0" w:after="0" w:afterAutospacing="0" w:line="360" w:lineRule="auto"/>
        <w:ind w:firstLine="420"/>
        <w:rPr>
          <w:sz w:val="21"/>
          <w:szCs w:val="21"/>
        </w:rPr>
      </w:pPr>
      <w:r>
        <w:rPr>
          <w:rFonts w:hint="eastAsia"/>
          <w:sz w:val="21"/>
          <w:szCs w:val="21"/>
        </w:rPr>
        <w:t>为防范特殊情况下的流动性风险，定期存款协议中应当约定提前支取条款。</w:t>
      </w:r>
    </w:p>
    <w:p w14:paraId="632EA94D">
      <w:pPr>
        <w:pStyle w:val="7"/>
        <w:spacing w:before="0" w:beforeAutospacing="0" w:after="0" w:afterAutospacing="0" w:line="360" w:lineRule="auto"/>
        <w:ind w:firstLine="420"/>
        <w:rPr>
          <w:sz w:val="21"/>
          <w:szCs w:val="21"/>
        </w:rPr>
      </w:pPr>
      <w:r>
        <w:rPr>
          <w:rFonts w:hint="eastAsia"/>
          <w:sz w:val="21"/>
          <w:szCs w:val="21"/>
        </w:rPr>
        <w:t>基金所投资定期存款存续期间，基金管理人、基金托管人应当与存款银行建立定期对账机制，确保基金银行存款业务账目及核对的真实、准确。</w:t>
      </w:r>
    </w:p>
    <w:p w14:paraId="1CB9856B">
      <w:pPr>
        <w:pStyle w:val="7"/>
        <w:spacing w:before="0" w:beforeAutospacing="0" w:after="0" w:afterAutospacing="0" w:line="360" w:lineRule="auto"/>
        <w:ind w:firstLine="420"/>
        <w:rPr>
          <w:sz w:val="21"/>
          <w:szCs w:val="21"/>
        </w:rPr>
      </w:pPr>
      <w:r>
        <w:rPr>
          <w:rFonts w:hint="eastAsia"/>
          <w:sz w:val="21"/>
          <w:szCs w:val="21"/>
        </w:rPr>
        <w:t>（九）基金财产投资的有关有价凭证的保管</w:t>
      </w:r>
    </w:p>
    <w:p w14:paraId="7681F8F9">
      <w:pPr>
        <w:pStyle w:val="7"/>
        <w:spacing w:before="0" w:beforeAutospacing="0" w:after="0" w:afterAutospacing="0" w:line="360" w:lineRule="auto"/>
        <w:ind w:firstLine="420"/>
        <w:rPr>
          <w:sz w:val="21"/>
          <w:szCs w:val="21"/>
        </w:rPr>
      </w:pPr>
      <w:r>
        <w:rPr>
          <w:rFonts w:hint="eastAsia"/>
          <w:sz w:val="21"/>
          <w:szCs w:val="21"/>
        </w:rPr>
        <w:t>实物证券、银行定期存款存单等有价凭证由基金托管人存放于其档案库或保险柜，但要与非本基金的其他有价凭证分开保管。保管凭证由基金托管人持有，基金托管人承担保管职责。基金托管人对由基金托管人以外机构实际有效控制的证券不承担保管责任。</w:t>
      </w:r>
    </w:p>
    <w:p w14:paraId="06D9B873">
      <w:pPr>
        <w:pStyle w:val="7"/>
        <w:spacing w:before="0" w:beforeAutospacing="0" w:after="0" w:afterAutospacing="0" w:line="360" w:lineRule="auto"/>
        <w:ind w:firstLine="420"/>
        <w:rPr>
          <w:sz w:val="21"/>
          <w:szCs w:val="21"/>
        </w:rPr>
      </w:pPr>
      <w:r>
        <w:rPr>
          <w:rFonts w:hint="eastAsia"/>
          <w:sz w:val="21"/>
          <w:szCs w:val="21"/>
        </w:rPr>
        <w:t>（十）与基金财产有关的重大合同及有关凭证的保管</w:t>
      </w:r>
    </w:p>
    <w:p w14:paraId="4504946A">
      <w:pPr>
        <w:pStyle w:val="7"/>
        <w:spacing w:before="0" w:beforeAutospacing="0" w:after="0" w:afterAutospacing="0" w:line="360" w:lineRule="auto"/>
        <w:ind w:firstLine="420"/>
        <w:rPr>
          <w:sz w:val="21"/>
          <w:szCs w:val="21"/>
        </w:rPr>
      </w:pPr>
      <w:r>
        <w:rPr>
          <w:rFonts w:hint="eastAsia"/>
          <w:sz w:val="21"/>
          <w:szCs w:val="21"/>
        </w:rPr>
        <w:t>基金托管人按照法律法规保管由基金管理人代表基金签署的与基金有关的重大合同及有关凭证。基金管理人代表基金签署有关重大合同后应在收到合同正本后30日内将一份正本的原件提交给基金托管人。除本协议另有规定外，基金管理人在代表基金签署与基金有关的重大合同时应保证基金一方持有两份以上的正本，以便基金管理人和基金托管人至少各持有一份正本的原件。重大合同的保管期限不少于法律法规的规定。</w:t>
      </w:r>
    </w:p>
    <w:p w14:paraId="25961F4B">
      <w:pPr>
        <w:pStyle w:val="7"/>
        <w:spacing w:before="0" w:beforeAutospacing="0" w:after="0" w:afterAutospacing="0" w:line="360" w:lineRule="auto"/>
        <w:ind w:firstLine="420"/>
        <w:rPr>
          <w:sz w:val="21"/>
          <w:szCs w:val="21"/>
        </w:rPr>
      </w:pPr>
      <w:r>
        <w:rPr>
          <w:rStyle w:val="11"/>
          <w:rFonts w:hint="eastAsia"/>
          <w:sz w:val="21"/>
          <w:szCs w:val="21"/>
        </w:rPr>
        <w:t>五、基金资产净值计算与复核</w:t>
      </w:r>
    </w:p>
    <w:p w14:paraId="30258DC7">
      <w:pPr>
        <w:pStyle w:val="7"/>
        <w:spacing w:before="0" w:beforeAutospacing="0" w:after="0" w:afterAutospacing="0" w:line="360" w:lineRule="auto"/>
        <w:ind w:firstLine="420"/>
        <w:rPr>
          <w:sz w:val="21"/>
          <w:szCs w:val="21"/>
        </w:rPr>
      </w:pPr>
      <w:r>
        <w:rPr>
          <w:rFonts w:hint="eastAsia"/>
          <w:sz w:val="21"/>
          <w:szCs w:val="21"/>
        </w:rPr>
        <w:t>（一）基金资产净值的计算和复核</w:t>
      </w:r>
    </w:p>
    <w:p w14:paraId="7622E4A1">
      <w:pPr>
        <w:pStyle w:val="7"/>
        <w:spacing w:before="0" w:beforeAutospacing="0" w:after="0" w:afterAutospacing="0" w:line="360" w:lineRule="auto"/>
        <w:ind w:firstLine="420"/>
        <w:rPr>
          <w:sz w:val="21"/>
          <w:szCs w:val="21"/>
        </w:rPr>
      </w:pPr>
      <w:r>
        <w:rPr>
          <w:rFonts w:hint="eastAsia"/>
          <w:sz w:val="21"/>
          <w:szCs w:val="21"/>
        </w:rPr>
        <w:t>1、基金资产净值</w:t>
      </w:r>
    </w:p>
    <w:p w14:paraId="58A37049">
      <w:pPr>
        <w:pStyle w:val="7"/>
        <w:spacing w:before="0" w:beforeAutospacing="0" w:after="0" w:afterAutospacing="0" w:line="360" w:lineRule="auto"/>
        <w:ind w:firstLine="420"/>
        <w:rPr>
          <w:sz w:val="21"/>
          <w:szCs w:val="21"/>
        </w:rPr>
      </w:pPr>
      <w:r>
        <w:rPr>
          <w:rFonts w:hint="eastAsia"/>
          <w:sz w:val="21"/>
          <w:szCs w:val="21"/>
        </w:rPr>
        <w:t>基金资产净值是指基金资产总值减去负债后的价值。</w:t>
      </w:r>
    </w:p>
    <w:p w14:paraId="01CB0474">
      <w:pPr>
        <w:pStyle w:val="7"/>
        <w:spacing w:before="0" w:beforeAutospacing="0" w:after="0" w:afterAutospacing="0" w:line="360" w:lineRule="auto"/>
        <w:ind w:firstLine="420"/>
        <w:rPr>
          <w:sz w:val="21"/>
          <w:szCs w:val="21"/>
        </w:rPr>
      </w:pPr>
      <w:r>
        <w:rPr>
          <w:rFonts w:hint="eastAsia"/>
          <w:sz w:val="21"/>
          <w:szCs w:val="21"/>
        </w:rPr>
        <w:t>基金份额净值按照每个工作日闭市后，基金资产净值除以当日基金份额的余额数量计算，精确到0.0001元，小数点后第五位四舍五入，由此产生的误差计入基金财产。基金管理人可以设立大额赎回情形下的净值精度应急调整机制。国家另有规定的，从其规定。</w:t>
      </w:r>
    </w:p>
    <w:p w14:paraId="5ABA0D55">
      <w:pPr>
        <w:pStyle w:val="7"/>
        <w:spacing w:before="0" w:beforeAutospacing="0" w:after="0" w:afterAutospacing="0" w:line="360" w:lineRule="auto"/>
        <w:ind w:firstLine="420"/>
        <w:rPr>
          <w:sz w:val="21"/>
          <w:szCs w:val="21"/>
        </w:rPr>
      </w:pPr>
      <w:r>
        <w:rPr>
          <w:rFonts w:hint="eastAsia"/>
          <w:sz w:val="21"/>
          <w:szCs w:val="21"/>
        </w:rPr>
        <w:t>2、复核程序</w:t>
      </w:r>
    </w:p>
    <w:p w14:paraId="3318BD61">
      <w:pPr>
        <w:pStyle w:val="7"/>
        <w:spacing w:before="0" w:beforeAutospacing="0" w:after="0" w:afterAutospacing="0" w:line="360" w:lineRule="auto"/>
        <w:ind w:firstLine="420"/>
        <w:rPr>
          <w:sz w:val="21"/>
          <w:szCs w:val="21"/>
        </w:rPr>
      </w:pPr>
      <w:r>
        <w:rPr>
          <w:rFonts w:hint="eastAsia"/>
          <w:sz w:val="21"/>
          <w:szCs w:val="21"/>
        </w:rPr>
        <w:t>基金管理人应每个工作日对基金资产估值，但基金管理人根据法律法规或《基金合同》的规定暂停估值时除外。估值原则应符合《基金合同》、《证券投资基金会计核算业务指引》及其他法律、法规的规定。基金资产净值和基金份额净值由基金管理人负责计算，基金托管人复核。基金管理人应于每个工作日对基金资产估值后，将基金资产净值、基金份额净值以双方认可的方式发送给基金托管人。基金托管人对净值计算结果复核后以双方认可的方式发送给基金管理人，由基金管理人按规定对基金净值予以公布。</w:t>
      </w:r>
    </w:p>
    <w:p w14:paraId="10DA14E0">
      <w:pPr>
        <w:pStyle w:val="7"/>
        <w:spacing w:before="0" w:beforeAutospacing="0" w:after="0" w:afterAutospacing="0" w:line="360" w:lineRule="auto"/>
        <w:ind w:firstLine="420"/>
        <w:rPr>
          <w:sz w:val="21"/>
          <w:szCs w:val="21"/>
        </w:rPr>
      </w:pPr>
      <w:r>
        <w:rPr>
          <w:rFonts w:hint="eastAsia"/>
          <w:sz w:val="21"/>
          <w:szCs w:val="21"/>
        </w:rPr>
        <w:t>根据《基金法》，基金管理人计算并公告基金净值信息，基金托管人复核、审查基金管理人计算的基金净值信息。因此，本基金的会计责任方是基金管理人，就与本基金有关的会计问题，如经相关各方在平等基础上充分讨论后，仍无法达成一致的意见，按照基金管理人对基金净值信息的计算结果对外予以公布。法律法规以及监管部门有强制规定的，从其规定。如有新增事项，按最新规定估值。</w:t>
      </w:r>
    </w:p>
    <w:p w14:paraId="04E010F0">
      <w:pPr>
        <w:pStyle w:val="7"/>
        <w:spacing w:before="0" w:beforeAutospacing="0" w:after="0" w:afterAutospacing="0" w:line="360" w:lineRule="auto"/>
        <w:ind w:firstLine="420"/>
        <w:rPr>
          <w:sz w:val="21"/>
          <w:szCs w:val="21"/>
        </w:rPr>
      </w:pPr>
      <w:r>
        <w:rPr>
          <w:rFonts w:hint="eastAsia"/>
          <w:sz w:val="21"/>
          <w:szCs w:val="21"/>
        </w:rPr>
        <w:t>（二）基金资产估值方法</w:t>
      </w:r>
    </w:p>
    <w:p w14:paraId="432BBAF0">
      <w:pPr>
        <w:pStyle w:val="7"/>
        <w:spacing w:before="0" w:beforeAutospacing="0" w:after="0" w:afterAutospacing="0" w:line="360" w:lineRule="auto"/>
        <w:ind w:firstLine="420"/>
        <w:rPr>
          <w:sz w:val="21"/>
          <w:szCs w:val="21"/>
        </w:rPr>
      </w:pPr>
      <w:r>
        <w:rPr>
          <w:rFonts w:hint="eastAsia"/>
          <w:sz w:val="21"/>
          <w:szCs w:val="21"/>
        </w:rPr>
        <w:t>1、估值对象</w:t>
      </w:r>
    </w:p>
    <w:p w14:paraId="17AA8B6D">
      <w:pPr>
        <w:pStyle w:val="7"/>
        <w:spacing w:before="0" w:beforeAutospacing="0" w:after="0" w:afterAutospacing="0" w:line="360" w:lineRule="auto"/>
        <w:ind w:firstLine="420"/>
        <w:rPr>
          <w:sz w:val="21"/>
          <w:szCs w:val="21"/>
        </w:rPr>
      </w:pPr>
      <w:r>
        <w:rPr>
          <w:rFonts w:hint="eastAsia"/>
          <w:sz w:val="21"/>
          <w:szCs w:val="21"/>
        </w:rPr>
        <w:t>基金所拥有的股票（含存托凭证）、债券、股指期货合约、国债期货合约、股票期权合约和银行存款本息、应收款项、资产支持证券、其它投资等资产及负债。</w:t>
      </w:r>
    </w:p>
    <w:p w14:paraId="6D0840BC">
      <w:pPr>
        <w:pStyle w:val="7"/>
        <w:spacing w:before="0" w:beforeAutospacing="0" w:after="0" w:afterAutospacing="0" w:line="360" w:lineRule="auto"/>
        <w:ind w:firstLine="420"/>
        <w:rPr>
          <w:sz w:val="21"/>
          <w:szCs w:val="21"/>
        </w:rPr>
      </w:pPr>
      <w:r>
        <w:rPr>
          <w:rFonts w:hint="eastAsia"/>
          <w:sz w:val="21"/>
          <w:szCs w:val="21"/>
        </w:rPr>
        <w:t>2、估值方法</w:t>
      </w:r>
    </w:p>
    <w:p w14:paraId="5129D02F">
      <w:pPr>
        <w:pStyle w:val="7"/>
        <w:spacing w:before="0" w:beforeAutospacing="0" w:after="0" w:afterAutospacing="0" w:line="360" w:lineRule="auto"/>
        <w:ind w:firstLine="420"/>
        <w:rPr>
          <w:sz w:val="21"/>
          <w:szCs w:val="21"/>
        </w:rPr>
      </w:pPr>
      <w:r>
        <w:rPr>
          <w:rFonts w:hint="eastAsia"/>
          <w:sz w:val="21"/>
          <w:szCs w:val="21"/>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6F55B8E">
      <w:pPr>
        <w:pStyle w:val="7"/>
        <w:spacing w:before="0" w:beforeAutospacing="0" w:after="0" w:afterAutospacing="0" w:line="360" w:lineRule="auto"/>
        <w:ind w:firstLine="420"/>
        <w:rPr>
          <w:sz w:val="21"/>
          <w:szCs w:val="21"/>
        </w:rPr>
      </w:pPr>
      <w:r>
        <w:rPr>
          <w:rFonts w:hint="eastAsia"/>
          <w:sz w:val="21"/>
          <w:szCs w:val="21"/>
        </w:rPr>
        <w:t>（2）对于已上市或已挂牌转让的不含权固定收益品种，选取估值日第三方估值基准服务机构提供的相应品种当日的估值全价进行估值；</w:t>
      </w:r>
    </w:p>
    <w:p w14:paraId="6DA302CF">
      <w:pPr>
        <w:pStyle w:val="7"/>
        <w:spacing w:before="0" w:beforeAutospacing="0" w:after="0" w:afterAutospacing="0" w:line="360" w:lineRule="auto"/>
        <w:ind w:firstLine="420"/>
        <w:rPr>
          <w:sz w:val="21"/>
          <w:szCs w:val="21"/>
        </w:rPr>
      </w:pPr>
      <w:r>
        <w:rPr>
          <w:rFonts w:hint="eastAsia"/>
          <w:sz w:val="21"/>
          <w:szCs w:val="21"/>
        </w:rPr>
        <w:t>（3）对于已上市或已挂牌转让的含权固定收益品种，选取估值日第三方估值基准服务机构提供的相应品种当日的唯一估值全价或推荐估值全价进行估值；</w:t>
      </w:r>
    </w:p>
    <w:p w14:paraId="4585CFF7">
      <w:pPr>
        <w:pStyle w:val="7"/>
        <w:spacing w:before="0" w:beforeAutospacing="0" w:after="0" w:afterAutospacing="0" w:line="360" w:lineRule="auto"/>
        <w:ind w:firstLine="420"/>
        <w:rPr>
          <w:sz w:val="21"/>
          <w:szCs w:val="21"/>
        </w:rPr>
      </w:pPr>
      <w:r>
        <w:rPr>
          <w:rFonts w:hint="eastAsia"/>
          <w:sz w:val="21"/>
          <w:szCs w:val="21"/>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6C02F457">
      <w:pPr>
        <w:pStyle w:val="7"/>
        <w:spacing w:before="0" w:beforeAutospacing="0" w:after="0" w:afterAutospacing="0" w:line="360" w:lineRule="auto"/>
        <w:ind w:firstLine="420"/>
        <w:rPr>
          <w:sz w:val="21"/>
          <w:szCs w:val="21"/>
        </w:rPr>
      </w:pPr>
      <w:r>
        <w:rPr>
          <w:rFonts w:hint="eastAsia"/>
          <w:sz w:val="21"/>
          <w:szCs w:val="21"/>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2F95C1E">
      <w:pPr>
        <w:pStyle w:val="7"/>
        <w:spacing w:before="0" w:beforeAutospacing="0" w:after="0" w:afterAutospacing="0" w:line="360" w:lineRule="auto"/>
        <w:ind w:firstLine="420"/>
        <w:rPr>
          <w:sz w:val="21"/>
          <w:szCs w:val="21"/>
        </w:rPr>
      </w:pPr>
      <w:r>
        <w:rPr>
          <w:rFonts w:hint="eastAsia"/>
          <w:sz w:val="21"/>
          <w:szCs w:val="21"/>
        </w:rPr>
        <w:t>（5）对于未上市或未挂牌转让且不存在活跃市场的固定收益品种，应采用在当前情况下适用并且有足够可利用数据和其他信息支持的估值技术确定其公允价值。</w:t>
      </w:r>
    </w:p>
    <w:p w14:paraId="68E4CBB0">
      <w:pPr>
        <w:pStyle w:val="7"/>
        <w:spacing w:before="0" w:beforeAutospacing="0" w:after="0" w:afterAutospacing="0" w:line="360" w:lineRule="auto"/>
        <w:ind w:firstLine="420"/>
        <w:rPr>
          <w:sz w:val="21"/>
          <w:szCs w:val="21"/>
        </w:rPr>
      </w:pPr>
      <w:r>
        <w:rPr>
          <w:rFonts w:hint="eastAsia"/>
          <w:sz w:val="21"/>
          <w:szCs w:val="21"/>
        </w:rPr>
        <w:t>（6）处于未上市期间的有价证券应区分如下情况处理：</w:t>
      </w:r>
    </w:p>
    <w:p w14:paraId="60517FEA">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63E4073F">
      <w:pPr>
        <w:pStyle w:val="7"/>
        <w:spacing w:before="0" w:beforeAutospacing="0" w:after="0" w:afterAutospacing="0" w:line="360" w:lineRule="auto"/>
        <w:ind w:firstLine="420"/>
        <w:rPr>
          <w:sz w:val="21"/>
          <w:szCs w:val="21"/>
        </w:rPr>
      </w:pPr>
      <w:r>
        <w:rPr>
          <w:rFonts w:hint="eastAsia"/>
          <w:sz w:val="21"/>
          <w:szCs w:val="21"/>
        </w:rPr>
        <w:t>2）首次公开发行未上市的股票，采用估值技术确定公允价值，在估值技术难以可靠计量公允价值的情况下，按成本估值；</w:t>
      </w:r>
    </w:p>
    <w:p w14:paraId="797BADB9">
      <w:pPr>
        <w:pStyle w:val="7"/>
        <w:spacing w:before="0" w:beforeAutospacing="0" w:after="0" w:afterAutospacing="0" w:line="360" w:lineRule="auto"/>
        <w:ind w:firstLine="420"/>
        <w:rPr>
          <w:sz w:val="21"/>
          <w:szCs w:val="21"/>
        </w:rPr>
      </w:pPr>
      <w:r>
        <w:rPr>
          <w:rFonts w:hint="eastAsia"/>
          <w:sz w:val="21"/>
          <w:szCs w:val="21"/>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F1ED9BE">
      <w:pPr>
        <w:pStyle w:val="7"/>
        <w:spacing w:before="0" w:beforeAutospacing="0" w:after="0" w:afterAutospacing="0" w:line="360" w:lineRule="auto"/>
        <w:ind w:firstLine="420"/>
        <w:rPr>
          <w:sz w:val="21"/>
          <w:szCs w:val="21"/>
        </w:rPr>
      </w:pPr>
      <w:r>
        <w:rPr>
          <w:rFonts w:hint="eastAsia"/>
          <w:sz w:val="21"/>
          <w:szCs w:val="21"/>
        </w:rPr>
        <w:t>（7）本基金投资存托凭证的估值核算，依照境内上市交易的股票执行。</w:t>
      </w:r>
    </w:p>
    <w:p w14:paraId="7E93DBB4">
      <w:pPr>
        <w:pStyle w:val="7"/>
        <w:spacing w:before="0" w:beforeAutospacing="0" w:after="0" w:afterAutospacing="0" w:line="360" w:lineRule="auto"/>
        <w:ind w:firstLine="420"/>
        <w:rPr>
          <w:sz w:val="21"/>
          <w:szCs w:val="21"/>
        </w:rPr>
      </w:pPr>
      <w:r>
        <w:rPr>
          <w:rFonts w:hint="eastAsia"/>
          <w:sz w:val="21"/>
          <w:szCs w:val="21"/>
        </w:rPr>
        <w:t>（8）同一证券同时在两个或两个以上市场交易的，按证券所处的市场分别估值。</w:t>
      </w:r>
    </w:p>
    <w:p w14:paraId="66157D18">
      <w:pPr>
        <w:pStyle w:val="7"/>
        <w:spacing w:before="0" w:beforeAutospacing="0" w:after="0" w:afterAutospacing="0" w:line="360" w:lineRule="auto"/>
        <w:ind w:firstLine="420"/>
        <w:rPr>
          <w:sz w:val="21"/>
          <w:szCs w:val="21"/>
        </w:rPr>
      </w:pPr>
      <w:r>
        <w:rPr>
          <w:rFonts w:hint="eastAsia"/>
          <w:sz w:val="21"/>
          <w:szCs w:val="21"/>
        </w:rPr>
        <w:t>（9）本基金投资股指期货、国债期货合约，一般以估值当日结算价确定公允价值，估值当日无结算价的，且最近交易日后未发生影响公允价值计量的重大事件的，采用最近交易日结算价估值。</w:t>
      </w:r>
    </w:p>
    <w:p w14:paraId="7B4F3CA7">
      <w:pPr>
        <w:pStyle w:val="7"/>
        <w:spacing w:before="0" w:beforeAutospacing="0" w:after="0" w:afterAutospacing="0" w:line="360" w:lineRule="auto"/>
        <w:ind w:firstLine="420"/>
        <w:rPr>
          <w:sz w:val="21"/>
          <w:szCs w:val="21"/>
        </w:rPr>
      </w:pPr>
      <w:r>
        <w:rPr>
          <w:rFonts w:hint="eastAsia"/>
          <w:sz w:val="21"/>
          <w:szCs w:val="21"/>
        </w:rPr>
        <w:t>（10）本基金投资股票期权，根据相关法律法规以及监管部门的规定估值。</w:t>
      </w:r>
    </w:p>
    <w:p w14:paraId="509229D4">
      <w:pPr>
        <w:pStyle w:val="7"/>
        <w:spacing w:before="0" w:beforeAutospacing="0" w:after="0" w:afterAutospacing="0" w:line="360" w:lineRule="auto"/>
        <w:ind w:firstLine="420"/>
        <w:rPr>
          <w:sz w:val="21"/>
          <w:szCs w:val="21"/>
        </w:rPr>
      </w:pPr>
      <w:r>
        <w:rPr>
          <w:rFonts w:hint="eastAsia"/>
          <w:sz w:val="21"/>
          <w:szCs w:val="21"/>
        </w:rPr>
        <w:t>（11）本基金参与融资及转融通证券出借业务的，应参照法律法规及行业协会的相关规定进行估值。</w:t>
      </w:r>
    </w:p>
    <w:p w14:paraId="48CCFA80">
      <w:pPr>
        <w:pStyle w:val="7"/>
        <w:spacing w:before="0" w:beforeAutospacing="0" w:after="0" w:afterAutospacing="0" w:line="360" w:lineRule="auto"/>
        <w:ind w:firstLine="420"/>
        <w:rPr>
          <w:sz w:val="21"/>
          <w:szCs w:val="21"/>
        </w:rPr>
      </w:pPr>
      <w:r>
        <w:rPr>
          <w:rFonts w:hint="eastAsia"/>
          <w:sz w:val="21"/>
          <w:szCs w:val="21"/>
        </w:rPr>
        <w:t>（12）汇率</w:t>
      </w:r>
    </w:p>
    <w:p w14:paraId="1FC45C4F">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202A0FA2">
      <w:pPr>
        <w:pStyle w:val="7"/>
        <w:spacing w:before="0" w:beforeAutospacing="0" w:after="0" w:afterAutospacing="0" w:line="360" w:lineRule="auto"/>
        <w:ind w:firstLine="420"/>
        <w:rPr>
          <w:sz w:val="21"/>
          <w:szCs w:val="21"/>
        </w:rPr>
      </w:pPr>
      <w:r>
        <w:rPr>
          <w:rFonts w:hint="eastAsia"/>
          <w:sz w:val="21"/>
          <w:szCs w:val="21"/>
        </w:rPr>
        <w:t>（13）如有确凿证据表明按上述方法进行估值不能客观反映其公允价值的，基金管理人可根据具体情况与基金托管人商定后，按最能反映公允价值的方法估值。</w:t>
      </w:r>
    </w:p>
    <w:p w14:paraId="45968905">
      <w:pPr>
        <w:pStyle w:val="7"/>
        <w:spacing w:before="0" w:beforeAutospacing="0" w:after="0" w:afterAutospacing="0" w:line="360" w:lineRule="auto"/>
        <w:ind w:firstLine="420"/>
        <w:rPr>
          <w:sz w:val="21"/>
          <w:szCs w:val="21"/>
        </w:rPr>
      </w:pPr>
      <w:r>
        <w:rPr>
          <w:rFonts w:hint="eastAsia"/>
          <w:sz w:val="21"/>
          <w:szCs w:val="21"/>
        </w:rPr>
        <w:t>（14）相关法律法规以及监管部门有强制规定的，从其规定。如有新增事项，按国家最新规定估值。</w:t>
      </w:r>
    </w:p>
    <w:p w14:paraId="596F8E9D">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36B5D749">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46006C55">
      <w:pPr>
        <w:pStyle w:val="7"/>
        <w:spacing w:before="0" w:beforeAutospacing="0" w:after="0" w:afterAutospacing="0" w:line="360" w:lineRule="auto"/>
        <w:ind w:firstLine="420"/>
        <w:rPr>
          <w:sz w:val="21"/>
          <w:szCs w:val="21"/>
        </w:rPr>
      </w:pPr>
      <w:r>
        <w:rPr>
          <w:rFonts w:hint="eastAsia"/>
          <w:sz w:val="21"/>
          <w:szCs w:val="21"/>
        </w:rPr>
        <w:t>（三）基金份额净值错误的处理方式</w:t>
      </w:r>
    </w:p>
    <w:p w14:paraId="50299517">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基金管理人和基金托管人将采取必要、适当、合理的措施确保基金资产估值的准确性、及时性。当基金份额净值小数点后4位以内（含第4位）发生估值错误时，视为基金份额净值错误。</w:t>
      </w:r>
    </w:p>
    <w:p w14:paraId="37E8E936">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14:paraId="4CBFE1A3">
      <w:pPr>
        <w:pStyle w:val="7"/>
        <w:spacing w:before="0" w:beforeAutospacing="0" w:after="0" w:afterAutospacing="0" w:line="360" w:lineRule="auto"/>
        <w:ind w:firstLine="420"/>
        <w:rPr>
          <w:sz w:val="21"/>
          <w:szCs w:val="21"/>
        </w:rPr>
      </w:pPr>
      <w:r>
        <w:rPr>
          <w:rFonts w:hint="eastAsia"/>
          <w:sz w:val="21"/>
          <w:szCs w:val="21"/>
        </w:rPr>
        <w:t>1、估值错误类型</w:t>
      </w:r>
    </w:p>
    <w:p w14:paraId="175F9D5B">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5BB8C04">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14:paraId="2E9E4018">
      <w:pPr>
        <w:pStyle w:val="7"/>
        <w:spacing w:before="0" w:beforeAutospacing="0" w:after="0" w:afterAutospacing="0" w:line="360" w:lineRule="auto"/>
        <w:ind w:firstLine="420"/>
        <w:rPr>
          <w:sz w:val="21"/>
          <w:szCs w:val="21"/>
        </w:rPr>
      </w:pPr>
      <w:r>
        <w:rPr>
          <w:rFonts w:hint="eastAsia"/>
          <w:sz w:val="21"/>
          <w:szCs w:val="21"/>
        </w:rPr>
        <w:t>2、估值错误处理原则</w:t>
      </w:r>
    </w:p>
    <w:p w14:paraId="0095914E">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893F16D">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14:paraId="216CB053">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19B8D85E">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14:paraId="184631B3">
      <w:pPr>
        <w:pStyle w:val="7"/>
        <w:spacing w:before="0" w:beforeAutospacing="0" w:after="0" w:afterAutospacing="0" w:line="360" w:lineRule="auto"/>
        <w:ind w:firstLine="420"/>
        <w:rPr>
          <w:sz w:val="21"/>
          <w:szCs w:val="21"/>
        </w:rPr>
      </w:pPr>
      <w:r>
        <w:rPr>
          <w:rFonts w:hint="eastAsia"/>
          <w:sz w:val="21"/>
          <w:szCs w:val="21"/>
        </w:rPr>
        <w:t>3、估值错误处理程序</w:t>
      </w:r>
    </w:p>
    <w:p w14:paraId="3A08C237">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14:paraId="3A99B6DC">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14:paraId="2FB9C6EA">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14:paraId="18685E1B">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14:paraId="37BA6C57">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14:paraId="405290FA">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14:paraId="6127B343">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14:paraId="0334A1C0">
      <w:pPr>
        <w:pStyle w:val="7"/>
        <w:spacing w:before="0" w:beforeAutospacing="0" w:after="0" w:afterAutospacing="0" w:line="360" w:lineRule="auto"/>
        <w:ind w:firstLine="420"/>
        <w:rPr>
          <w:sz w:val="21"/>
          <w:szCs w:val="21"/>
        </w:rPr>
      </w:pPr>
      <w:r>
        <w:rPr>
          <w:rFonts w:hint="eastAsia"/>
          <w:sz w:val="21"/>
          <w:szCs w:val="21"/>
        </w:rPr>
        <w:t>（2）错误偏差达到基金份额净值的0.25%时，基金管理人应当通报基金托管人并报中国证监会备案；错误偏差达到基金份额净值的0.5%时，基金管理人应当公告，通知基金托管人，并报中国证监会备案。</w:t>
      </w:r>
    </w:p>
    <w:p w14:paraId="53A2599B">
      <w:pPr>
        <w:pStyle w:val="7"/>
        <w:spacing w:before="0" w:beforeAutospacing="0" w:after="0" w:afterAutospacing="0" w:line="360" w:lineRule="auto"/>
        <w:ind w:firstLine="420"/>
        <w:rPr>
          <w:sz w:val="21"/>
          <w:szCs w:val="21"/>
        </w:rPr>
      </w:pPr>
      <w:r>
        <w:rPr>
          <w:rFonts w:hint="eastAsia"/>
          <w:sz w:val="21"/>
          <w:szCs w:val="21"/>
        </w:rPr>
        <w:t>（3）前述内容如法律法规或监管机关另有规定的，从其规定处理。如果行业另有通行做法，基金管理人和基金托管人应本着平等和保护基金份额持有人利益的原则进行协商。</w:t>
      </w:r>
    </w:p>
    <w:p w14:paraId="4EE345A8">
      <w:pPr>
        <w:pStyle w:val="7"/>
        <w:spacing w:before="0" w:beforeAutospacing="0" w:after="0" w:afterAutospacing="0" w:line="360" w:lineRule="auto"/>
        <w:ind w:firstLine="420"/>
        <w:rPr>
          <w:sz w:val="21"/>
          <w:szCs w:val="21"/>
        </w:rPr>
      </w:pPr>
      <w:r>
        <w:rPr>
          <w:rFonts w:hint="eastAsia"/>
          <w:sz w:val="21"/>
          <w:szCs w:val="21"/>
        </w:rPr>
        <w:t>（4）由于本基金的基金会计责任方由基金管理人担任，与本基金有关的会计问题，如经双方在平等基础上充分讨论后，尚不能达成一致的，基金管理人向基金托管人出具加盖公章的书面说明后，按基金管理人的建议执行，由此给基金份额持有人和基金财产造成的损失，由基金管理人负责赔付。</w:t>
      </w:r>
    </w:p>
    <w:p w14:paraId="251850BF">
      <w:pPr>
        <w:pStyle w:val="7"/>
        <w:spacing w:before="0" w:beforeAutospacing="0" w:after="0" w:afterAutospacing="0" w:line="360" w:lineRule="auto"/>
        <w:ind w:firstLine="420"/>
        <w:rPr>
          <w:sz w:val="21"/>
          <w:szCs w:val="21"/>
        </w:rPr>
      </w:pPr>
      <w:r>
        <w:rPr>
          <w:rFonts w:hint="eastAsia"/>
          <w:sz w:val="21"/>
          <w:szCs w:val="21"/>
        </w:rPr>
        <w:t>（5）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14:paraId="633E9061">
      <w:pPr>
        <w:pStyle w:val="7"/>
        <w:spacing w:before="0" w:beforeAutospacing="0" w:after="0" w:afterAutospacing="0" w:line="360" w:lineRule="auto"/>
        <w:ind w:firstLine="420"/>
        <w:rPr>
          <w:sz w:val="21"/>
          <w:szCs w:val="21"/>
        </w:rPr>
      </w:pPr>
      <w:r>
        <w:rPr>
          <w:rFonts w:hint="eastAsia"/>
          <w:sz w:val="21"/>
          <w:szCs w:val="21"/>
        </w:rPr>
        <w:t>（6）如基金管理人和基金托管人对基金资产净值和基金份额净值的计算结果，虽然多次重新计算和核对仍不能达成一致时，为避免不能按时披露净值的情形，以基金管理人的计算结果对外披露，由此给基金份额持有人和基金造成的损失，基金托管人予以免责。</w:t>
      </w:r>
    </w:p>
    <w:p w14:paraId="2DA65488">
      <w:pPr>
        <w:pStyle w:val="7"/>
        <w:spacing w:before="0" w:beforeAutospacing="0" w:after="0" w:afterAutospacing="0" w:line="360" w:lineRule="auto"/>
        <w:ind w:firstLine="420"/>
        <w:rPr>
          <w:sz w:val="21"/>
          <w:szCs w:val="21"/>
        </w:rPr>
      </w:pPr>
      <w:r>
        <w:rPr>
          <w:rFonts w:hint="eastAsia"/>
          <w:sz w:val="21"/>
          <w:szCs w:val="21"/>
        </w:rPr>
        <w:t>（7）由于一方当事人提供的信息错误，另一方当事人在采取了必要合理的措施后仍不能发现该错误，进而导致净值计算错误造成基金份额持有人的损失，以及由此造成以后交易日净值计算顺延错误而引起的基金份额持有人的损失，由提供错误信息的当事人一方负责赔偿。</w:t>
      </w:r>
    </w:p>
    <w:p w14:paraId="6EDDBC7A">
      <w:pPr>
        <w:pStyle w:val="7"/>
        <w:spacing w:before="0" w:beforeAutospacing="0" w:after="0" w:afterAutospacing="0" w:line="360" w:lineRule="auto"/>
        <w:ind w:firstLine="420"/>
        <w:rPr>
          <w:sz w:val="21"/>
          <w:szCs w:val="21"/>
        </w:rPr>
      </w:pPr>
      <w:r>
        <w:rPr>
          <w:rFonts w:hint="eastAsia"/>
          <w:sz w:val="21"/>
          <w:szCs w:val="21"/>
        </w:rPr>
        <w:t>5、特殊情况的处理</w:t>
      </w:r>
    </w:p>
    <w:p w14:paraId="23236850">
      <w:pPr>
        <w:pStyle w:val="7"/>
        <w:spacing w:before="0" w:beforeAutospacing="0" w:after="0" w:afterAutospacing="0" w:line="360" w:lineRule="auto"/>
        <w:ind w:firstLine="420"/>
        <w:rPr>
          <w:sz w:val="21"/>
          <w:szCs w:val="21"/>
        </w:rPr>
      </w:pPr>
      <w:r>
        <w:rPr>
          <w:rFonts w:hint="eastAsia"/>
          <w:sz w:val="21"/>
          <w:szCs w:val="21"/>
        </w:rPr>
        <w:t>（1）基金管理人或基金托管人按本协议约定的估值方法的第（13）项进行估值时，所造成的误差不作为基金资产估值错误处理。</w:t>
      </w:r>
    </w:p>
    <w:p w14:paraId="577492DB">
      <w:pPr>
        <w:pStyle w:val="7"/>
        <w:spacing w:before="0" w:beforeAutospacing="0" w:after="0" w:afterAutospacing="0" w:line="360" w:lineRule="auto"/>
        <w:ind w:firstLine="420"/>
        <w:rPr>
          <w:sz w:val="21"/>
          <w:szCs w:val="21"/>
        </w:rPr>
      </w:pPr>
      <w:r>
        <w:rPr>
          <w:rFonts w:hint="eastAsia"/>
          <w:sz w:val="21"/>
          <w:szCs w:val="21"/>
        </w:rPr>
        <w:t>（2）由于不可抗力原因，或证券/期货交易所、指数编制机构、登记结算公司或证券经营机构等第三方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41D7CB1F">
      <w:pPr>
        <w:pStyle w:val="7"/>
        <w:spacing w:before="0" w:beforeAutospacing="0" w:after="0" w:afterAutospacing="0" w:line="360" w:lineRule="auto"/>
        <w:ind w:firstLine="420"/>
        <w:rPr>
          <w:sz w:val="21"/>
          <w:szCs w:val="21"/>
        </w:rPr>
      </w:pPr>
      <w:r>
        <w:rPr>
          <w:rFonts w:hint="eastAsia"/>
          <w:sz w:val="21"/>
          <w:szCs w:val="21"/>
        </w:rPr>
        <w:t>（四）暂停估值与公告基金份额净值的情形</w:t>
      </w:r>
    </w:p>
    <w:p w14:paraId="2D09DA30">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1FB6818E">
      <w:pPr>
        <w:pStyle w:val="7"/>
        <w:spacing w:before="0" w:beforeAutospacing="0" w:after="0" w:afterAutospacing="0" w:line="360" w:lineRule="auto"/>
        <w:ind w:firstLine="420"/>
        <w:rPr>
          <w:sz w:val="21"/>
          <w:szCs w:val="21"/>
        </w:rPr>
      </w:pPr>
      <w:r>
        <w:rPr>
          <w:rFonts w:hint="eastAsia"/>
          <w:sz w:val="21"/>
          <w:szCs w:val="21"/>
        </w:rPr>
        <w:t>2、因不可抗力或者其他情形致使基金管理人、基金托管人无法准确评估基金资产价值时；</w:t>
      </w:r>
    </w:p>
    <w:p w14:paraId="6D00FF86">
      <w:pPr>
        <w:pStyle w:val="7"/>
        <w:spacing w:before="0" w:beforeAutospacing="0" w:after="0" w:afterAutospacing="0" w:line="360" w:lineRule="auto"/>
        <w:ind w:firstLine="420"/>
        <w:rPr>
          <w:sz w:val="21"/>
          <w:szCs w:val="21"/>
        </w:rPr>
      </w:pPr>
      <w:r>
        <w:rPr>
          <w:rFonts w:hint="eastAsia"/>
          <w:sz w:val="21"/>
          <w:szCs w:val="21"/>
        </w:rPr>
        <w:t>3、当前一估值日基金资产净值50%以上的资产出现无可参考的活跃市场价格且采用估值技术仍导致公允价值存在重大不确定性时，经与基金托管人协商确认后，基金管理人应当暂停估值；</w:t>
      </w:r>
    </w:p>
    <w:p w14:paraId="444440E8">
      <w:pPr>
        <w:pStyle w:val="7"/>
        <w:spacing w:before="0" w:beforeAutospacing="0" w:after="0" w:afterAutospacing="0" w:line="360" w:lineRule="auto"/>
        <w:ind w:firstLine="420"/>
        <w:rPr>
          <w:sz w:val="21"/>
          <w:szCs w:val="21"/>
        </w:rPr>
      </w:pPr>
      <w:r>
        <w:rPr>
          <w:rFonts w:hint="eastAsia"/>
          <w:sz w:val="21"/>
          <w:szCs w:val="21"/>
        </w:rPr>
        <w:t>4、法律法规、中国证监会和基金合同认定的其它情形。</w:t>
      </w:r>
    </w:p>
    <w:p w14:paraId="72E5223E">
      <w:pPr>
        <w:pStyle w:val="7"/>
        <w:spacing w:before="0" w:beforeAutospacing="0" w:after="0" w:afterAutospacing="0" w:line="360" w:lineRule="auto"/>
        <w:ind w:firstLine="420"/>
        <w:rPr>
          <w:sz w:val="21"/>
          <w:szCs w:val="21"/>
        </w:rPr>
      </w:pPr>
      <w:r>
        <w:rPr>
          <w:rFonts w:hint="eastAsia"/>
          <w:sz w:val="21"/>
          <w:szCs w:val="21"/>
        </w:rPr>
        <w:t>（五）基金会计制度</w:t>
      </w:r>
    </w:p>
    <w:p w14:paraId="3B70CB91">
      <w:pPr>
        <w:pStyle w:val="7"/>
        <w:spacing w:before="0" w:beforeAutospacing="0" w:after="0" w:afterAutospacing="0" w:line="360" w:lineRule="auto"/>
        <w:ind w:firstLine="420"/>
        <w:rPr>
          <w:sz w:val="21"/>
          <w:szCs w:val="21"/>
        </w:rPr>
      </w:pPr>
      <w:r>
        <w:rPr>
          <w:rFonts w:hint="eastAsia"/>
          <w:sz w:val="21"/>
          <w:szCs w:val="21"/>
        </w:rPr>
        <w:t>按国家有关部门规定的会计制度执行。</w:t>
      </w:r>
    </w:p>
    <w:p w14:paraId="2A19DD1D">
      <w:pPr>
        <w:pStyle w:val="7"/>
        <w:spacing w:before="0" w:beforeAutospacing="0" w:after="0" w:afterAutospacing="0" w:line="360" w:lineRule="auto"/>
        <w:ind w:firstLine="420"/>
        <w:rPr>
          <w:sz w:val="21"/>
          <w:szCs w:val="21"/>
        </w:rPr>
      </w:pPr>
      <w:r>
        <w:rPr>
          <w:rFonts w:hint="eastAsia"/>
          <w:sz w:val="21"/>
          <w:szCs w:val="21"/>
        </w:rPr>
        <w:t>（六）基金账册的建立</w:t>
      </w:r>
    </w:p>
    <w:p w14:paraId="7BFBCA29">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登记和保管基金的全套账册，对双方各自的账册定期进行核对，互相监督，以保证基金财产的安全。若双方对会计处理方法存在分歧，应以基金管理人的处理方法为准。</w:t>
      </w:r>
    </w:p>
    <w:p w14:paraId="6BB7C90B">
      <w:pPr>
        <w:pStyle w:val="7"/>
        <w:spacing w:before="0" w:beforeAutospacing="0" w:after="0" w:afterAutospacing="0" w:line="360" w:lineRule="auto"/>
        <w:ind w:firstLine="420"/>
        <w:rPr>
          <w:sz w:val="21"/>
          <w:szCs w:val="21"/>
        </w:rPr>
      </w:pPr>
      <w:r>
        <w:rPr>
          <w:rFonts w:hint="eastAsia"/>
          <w:sz w:val="21"/>
          <w:szCs w:val="21"/>
        </w:rPr>
        <w:t>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w:t>
      </w:r>
    </w:p>
    <w:p w14:paraId="2ED07F0E">
      <w:pPr>
        <w:pStyle w:val="7"/>
        <w:spacing w:before="0" w:beforeAutospacing="0" w:after="0" w:afterAutospacing="0" w:line="360" w:lineRule="auto"/>
        <w:ind w:firstLine="420"/>
        <w:rPr>
          <w:sz w:val="21"/>
          <w:szCs w:val="21"/>
        </w:rPr>
      </w:pPr>
      <w:r>
        <w:rPr>
          <w:rFonts w:hint="eastAsia"/>
          <w:sz w:val="21"/>
          <w:szCs w:val="21"/>
        </w:rPr>
        <w:t>（七）基金财务报表和定期报告的编制和复核</w:t>
      </w:r>
    </w:p>
    <w:p w14:paraId="55301940">
      <w:pPr>
        <w:pStyle w:val="7"/>
        <w:spacing w:before="0" w:beforeAutospacing="0" w:after="0" w:afterAutospacing="0" w:line="360" w:lineRule="auto"/>
        <w:ind w:firstLine="420"/>
        <w:rPr>
          <w:sz w:val="21"/>
          <w:szCs w:val="21"/>
        </w:rPr>
      </w:pPr>
      <w:r>
        <w:rPr>
          <w:rFonts w:hint="eastAsia"/>
          <w:sz w:val="21"/>
          <w:szCs w:val="21"/>
        </w:rPr>
        <w:t>1、财务报表的编制</w:t>
      </w:r>
    </w:p>
    <w:p w14:paraId="45F9C4D8">
      <w:pPr>
        <w:pStyle w:val="7"/>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基金招募说明书、基金产品资料概要其他信息发生变更的，基金管理人至少每年更新一次。基金终止运作的，基金管理人不再更新基金招募说明书和基金产品资料概要。季度报告应在季度结束之日起15个工作日内予以公告；中期报告在会计年度半年终了后两个月内予以公告；年度报告在会计年度终了后三个月内予以公告。《基金合同》生效不足2个月的，基金管理人可以不编制当期季度报告、中期报告或者年度报告。</w:t>
      </w:r>
    </w:p>
    <w:p w14:paraId="32FA6608">
      <w:pPr>
        <w:pStyle w:val="7"/>
        <w:spacing w:before="0" w:beforeAutospacing="0" w:after="0" w:afterAutospacing="0" w:line="360" w:lineRule="auto"/>
        <w:ind w:firstLine="420"/>
        <w:rPr>
          <w:sz w:val="21"/>
          <w:szCs w:val="21"/>
        </w:rPr>
      </w:pPr>
      <w:r>
        <w:rPr>
          <w:rFonts w:hint="eastAsia"/>
          <w:sz w:val="21"/>
          <w:szCs w:val="21"/>
        </w:rPr>
        <w:t>2、报表复核</w:t>
      </w:r>
    </w:p>
    <w:p w14:paraId="79B7103B">
      <w:pPr>
        <w:pStyle w:val="7"/>
        <w:spacing w:before="0" w:beforeAutospacing="0" w:after="0" w:afterAutospacing="0" w:line="360" w:lineRule="auto"/>
        <w:ind w:firstLine="420"/>
        <w:rPr>
          <w:sz w:val="21"/>
          <w:szCs w:val="21"/>
        </w:rPr>
      </w:pPr>
      <w:r>
        <w:rPr>
          <w:rFonts w:hint="eastAsia"/>
          <w:sz w:val="21"/>
          <w:szCs w:val="21"/>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个工作日内完成复核，并将复核结果书面通知基金管理人。基金管理人在年度报告完成当日，将有关报告提供基金托管人复核，基金托管人应在收到后45个工作日内完成复核，并将复核结果书面通知基金管理人。基金管理人和基金托管人之间的上述文件往来均以传真的方式或双方商定的其他方式进行。</w:t>
      </w:r>
    </w:p>
    <w:p w14:paraId="61BD731C">
      <w:pPr>
        <w:pStyle w:val="7"/>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业务印鉴或者出具加盖业务印鉴的复核意见书或进行电子确认，双方各自留存一份。如果基金管理人与基金托管人不能于应当发布公告之日之前就相关报表达成一致，基金管理人有权按照其编制的报表对外发布公告，基金托管人有权就相关情况报中国证监会备案。</w:t>
      </w:r>
    </w:p>
    <w:p w14:paraId="6244558A">
      <w:pPr>
        <w:pStyle w:val="7"/>
        <w:spacing w:before="0" w:beforeAutospacing="0" w:after="0" w:afterAutospacing="0" w:line="360" w:lineRule="auto"/>
        <w:ind w:firstLine="420"/>
        <w:rPr>
          <w:sz w:val="21"/>
          <w:szCs w:val="21"/>
        </w:rPr>
      </w:pPr>
      <w:r>
        <w:rPr>
          <w:rFonts w:hint="eastAsia"/>
          <w:sz w:val="21"/>
          <w:szCs w:val="21"/>
        </w:rPr>
        <w:t>基金托管人在对财务会计报告、季度报告、中期报告或年度报告复核完毕后，需盖章确认或出具相应的复核确认书或进行电子确认，以备有权机构对相关文件审核时提示。</w:t>
      </w:r>
    </w:p>
    <w:p w14:paraId="202FCE8A">
      <w:pPr>
        <w:pStyle w:val="7"/>
        <w:spacing w:before="0" w:beforeAutospacing="0" w:after="0" w:afterAutospacing="0" w:line="360" w:lineRule="auto"/>
        <w:ind w:firstLine="420"/>
        <w:rPr>
          <w:sz w:val="21"/>
          <w:szCs w:val="21"/>
        </w:rPr>
      </w:pPr>
      <w:r>
        <w:rPr>
          <w:rFonts w:hint="eastAsia"/>
          <w:sz w:val="21"/>
          <w:szCs w:val="21"/>
        </w:rPr>
        <w:t>（八）基金管理人应每季度向基金托管人提供基金业绩比较基准的基础数据和编制结果。</w:t>
      </w:r>
    </w:p>
    <w:p w14:paraId="6FA048AD">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0A13CD3C">
      <w:pPr>
        <w:pStyle w:val="7"/>
        <w:spacing w:before="0" w:beforeAutospacing="0" w:after="0" w:afterAutospacing="0" w:line="360" w:lineRule="auto"/>
        <w:ind w:firstLine="420"/>
        <w:rPr>
          <w:sz w:val="21"/>
          <w:szCs w:val="21"/>
        </w:rPr>
      </w:pPr>
      <w:r>
        <w:rPr>
          <w:rFonts w:hint="eastAsia"/>
          <w:sz w:val="21"/>
          <w:szCs w:val="21"/>
        </w:rPr>
        <w:t>（一）基金份额持有人名册的保管</w:t>
      </w:r>
    </w:p>
    <w:p w14:paraId="18176074">
      <w:pPr>
        <w:pStyle w:val="7"/>
        <w:spacing w:before="0" w:beforeAutospacing="0" w:after="0" w:afterAutospacing="0" w:line="360" w:lineRule="auto"/>
        <w:ind w:firstLine="420"/>
        <w:rPr>
          <w:sz w:val="21"/>
          <w:szCs w:val="21"/>
        </w:rPr>
      </w:pPr>
      <w:r>
        <w:rPr>
          <w:rFonts w:hint="eastAsia"/>
          <w:sz w:val="21"/>
          <w:szCs w:val="21"/>
        </w:rPr>
        <w:t>基金份额持有人名册至少应包括基金份额持有人的名称和持有的基金份额。基金份额持有人名册由基金的基金登记机构根据基金管理人的指令编制和保管，基金管理人和基金托管人应按照目前相关规则分别保管基金份额持有人名册。保管方式可以采用电子或文档的形式。保管期限不得少于法定最低期限。</w:t>
      </w:r>
    </w:p>
    <w:p w14:paraId="166602E9">
      <w:pPr>
        <w:pStyle w:val="7"/>
        <w:spacing w:before="0" w:beforeAutospacing="0" w:after="0" w:afterAutospacing="0" w:line="360" w:lineRule="auto"/>
        <w:ind w:firstLine="420"/>
        <w:rPr>
          <w:sz w:val="21"/>
          <w:szCs w:val="21"/>
        </w:rPr>
      </w:pPr>
      <w:r>
        <w:rPr>
          <w:rFonts w:hint="eastAsia"/>
          <w:sz w:val="21"/>
          <w:szCs w:val="21"/>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14:paraId="4ABAFCA6">
      <w:pPr>
        <w:pStyle w:val="7"/>
        <w:spacing w:before="0" w:beforeAutospacing="0" w:after="0" w:afterAutospacing="0" w:line="360" w:lineRule="auto"/>
        <w:ind w:firstLine="420"/>
        <w:rPr>
          <w:sz w:val="21"/>
          <w:szCs w:val="21"/>
        </w:rPr>
      </w:pPr>
      <w:r>
        <w:rPr>
          <w:rFonts w:hint="eastAsia"/>
          <w:sz w:val="21"/>
          <w:szCs w:val="21"/>
        </w:rPr>
        <w:t>若基金管理人或基金托管人由于自身原因无法妥善保管基金份额持有人名册，应按有关法规规定各自承担相应的责任。</w:t>
      </w:r>
    </w:p>
    <w:p w14:paraId="1D76D843">
      <w:pPr>
        <w:pStyle w:val="7"/>
        <w:spacing w:before="0" w:beforeAutospacing="0" w:after="0" w:afterAutospacing="0" w:line="360" w:lineRule="auto"/>
        <w:ind w:firstLine="420"/>
        <w:rPr>
          <w:sz w:val="21"/>
          <w:szCs w:val="21"/>
        </w:rPr>
      </w:pPr>
      <w:r>
        <w:rPr>
          <w:rFonts w:hint="eastAsia"/>
          <w:sz w:val="21"/>
          <w:szCs w:val="21"/>
        </w:rPr>
        <w:t>（二）基金份额持有人名册的提交</w:t>
      </w:r>
    </w:p>
    <w:p w14:paraId="19AA3A30">
      <w:pPr>
        <w:pStyle w:val="7"/>
        <w:spacing w:before="0" w:beforeAutospacing="0" w:after="0" w:afterAutospacing="0" w:line="360" w:lineRule="auto"/>
        <w:ind w:firstLine="420"/>
        <w:rPr>
          <w:sz w:val="21"/>
          <w:szCs w:val="21"/>
        </w:rPr>
      </w:pPr>
      <w:r>
        <w:rPr>
          <w:rFonts w:hint="eastAsia"/>
          <w:sz w:val="21"/>
          <w:szCs w:val="21"/>
        </w:rPr>
        <w:t>基金管理人应当及时向基金托管人提交下列日期的基金份额持有人名册：《基金合同》生效日、《基金合同》终止日、基金份额持有人大会权益登记日、每年6月30日、每年12月31日的基金份额持有人名册。基金份额持有人名册的内容必须包括基金份额持有人的名称和持有的基金份额。其中每年12月31日的基金份额持有人名册应于下月前十个工作日内提交；《基金合同》生效日、《基金合同》终止日等涉及到基金重要事项日期的基金份额持有人名册应于发生日后十个工作日内提交。</w:t>
      </w:r>
    </w:p>
    <w:p w14:paraId="41304BC4">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5E1D5303">
      <w:pPr>
        <w:pStyle w:val="7"/>
        <w:spacing w:before="0" w:beforeAutospacing="0" w:after="0" w:afterAutospacing="0" w:line="360" w:lineRule="auto"/>
        <w:ind w:firstLine="420"/>
        <w:rPr>
          <w:sz w:val="21"/>
          <w:szCs w:val="21"/>
        </w:rPr>
      </w:pPr>
      <w:r>
        <w:rPr>
          <w:rFonts w:hint="eastAsia"/>
          <w:sz w:val="21"/>
          <w:szCs w:val="21"/>
        </w:rPr>
        <w:t>（一）本协议适用中华人民共和国法律（为本协议之目的，不包括香港特别行政区、澳门特别行政区和台湾地区法律）并从其解释。</w:t>
      </w:r>
    </w:p>
    <w:p w14:paraId="7DD40C3B">
      <w:pPr>
        <w:pStyle w:val="7"/>
        <w:spacing w:before="0" w:beforeAutospacing="0" w:after="0" w:afterAutospacing="0" w:line="360" w:lineRule="auto"/>
        <w:ind w:firstLine="420"/>
        <w:rPr>
          <w:sz w:val="21"/>
          <w:szCs w:val="21"/>
        </w:rPr>
      </w:pPr>
      <w:r>
        <w:rPr>
          <w:rFonts w:hint="eastAsia"/>
          <w:sz w:val="21"/>
          <w:szCs w:val="21"/>
        </w:rPr>
        <w:t>（二）基金管理人与基金托管人之间因本协议产生的或与本协议有关的争议可通过友好协商解决。如经友好协商未能解决的，应将争议提交中国国际经济贸易仲裁委员会，按照其届时有效的仲裁规则进行仲裁，仲裁地点为北京市。仲裁裁决是终局性的并对双方当事人具有约束力。除非仲裁裁决另有规定，仲裁费用由败诉方承担。</w:t>
      </w:r>
    </w:p>
    <w:p w14:paraId="67D51235">
      <w:pPr>
        <w:pStyle w:val="7"/>
        <w:spacing w:before="0" w:beforeAutospacing="0" w:after="0" w:afterAutospacing="0" w:line="360" w:lineRule="auto"/>
        <w:ind w:firstLine="420"/>
        <w:rPr>
          <w:sz w:val="21"/>
          <w:szCs w:val="21"/>
        </w:rPr>
      </w:pPr>
      <w:r>
        <w:rPr>
          <w:rFonts w:hint="eastAsia"/>
          <w:sz w:val="21"/>
          <w:szCs w:val="21"/>
        </w:rPr>
        <w:t>（三）争议处理期间，双方当事人应恪守基金管理人和基金托管人职责，各自继续忠实、勤勉、尽责地履行《基金合同》和《托管协议》规定的义务，维护基金份额持有人的合法权益。</w:t>
      </w:r>
    </w:p>
    <w:p w14:paraId="611CB9F3">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379A8E3E">
      <w:pPr>
        <w:pStyle w:val="7"/>
        <w:spacing w:before="0" w:beforeAutospacing="0" w:after="0" w:afterAutospacing="0" w:line="360" w:lineRule="auto"/>
        <w:ind w:firstLine="420"/>
        <w:rPr>
          <w:sz w:val="21"/>
          <w:szCs w:val="21"/>
        </w:rPr>
      </w:pPr>
      <w:r>
        <w:rPr>
          <w:rFonts w:hint="eastAsia"/>
          <w:sz w:val="21"/>
          <w:szCs w:val="21"/>
        </w:rPr>
        <w:t>（一）托管协议的变更与终止</w:t>
      </w:r>
    </w:p>
    <w:p w14:paraId="30AC7181">
      <w:pPr>
        <w:pStyle w:val="7"/>
        <w:spacing w:before="0" w:beforeAutospacing="0" w:after="0" w:afterAutospacing="0" w:line="360" w:lineRule="auto"/>
        <w:ind w:firstLine="420"/>
        <w:rPr>
          <w:sz w:val="21"/>
          <w:szCs w:val="21"/>
        </w:rPr>
      </w:pPr>
      <w:r>
        <w:rPr>
          <w:rFonts w:hint="eastAsia"/>
          <w:sz w:val="21"/>
          <w:szCs w:val="21"/>
        </w:rPr>
        <w:t>1、托管协议的变更程序</w:t>
      </w:r>
    </w:p>
    <w:p w14:paraId="762CC243">
      <w:pPr>
        <w:pStyle w:val="7"/>
        <w:spacing w:before="0" w:beforeAutospacing="0" w:after="0" w:afterAutospacing="0" w:line="360" w:lineRule="auto"/>
        <w:ind w:firstLine="420"/>
        <w:rPr>
          <w:sz w:val="21"/>
          <w:szCs w:val="21"/>
        </w:rPr>
      </w:pPr>
      <w:r>
        <w:rPr>
          <w:rFonts w:hint="eastAsia"/>
          <w:sz w:val="21"/>
          <w:szCs w:val="21"/>
        </w:rPr>
        <w:t>本协议双方当事人经协商一致并履行适当程序，可以对协议的内容进行变更。变更后的托管协议，其内容不得与《基金合同》的规定有任何冲突。</w:t>
      </w:r>
    </w:p>
    <w:p w14:paraId="57877E36">
      <w:pPr>
        <w:pStyle w:val="7"/>
        <w:spacing w:before="0" w:beforeAutospacing="0" w:after="0" w:afterAutospacing="0" w:line="360" w:lineRule="auto"/>
        <w:ind w:firstLine="420"/>
        <w:rPr>
          <w:sz w:val="21"/>
          <w:szCs w:val="21"/>
        </w:rPr>
      </w:pPr>
      <w:r>
        <w:rPr>
          <w:rFonts w:hint="eastAsia"/>
          <w:sz w:val="21"/>
          <w:szCs w:val="21"/>
        </w:rPr>
        <w:t>2、基金托管协议终止的情形</w:t>
      </w:r>
    </w:p>
    <w:p w14:paraId="5AA0E75E">
      <w:pPr>
        <w:pStyle w:val="7"/>
        <w:spacing w:before="0" w:beforeAutospacing="0" w:after="0" w:afterAutospacing="0" w:line="360" w:lineRule="auto"/>
        <w:ind w:firstLine="420"/>
        <w:rPr>
          <w:sz w:val="21"/>
          <w:szCs w:val="21"/>
        </w:rPr>
      </w:pPr>
      <w:r>
        <w:rPr>
          <w:rFonts w:hint="eastAsia"/>
          <w:sz w:val="21"/>
          <w:szCs w:val="21"/>
        </w:rPr>
        <w:t>发生以下情况，本托管协议终止：</w:t>
      </w:r>
    </w:p>
    <w:p w14:paraId="5DFDCEAA">
      <w:pPr>
        <w:pStyle w:val="7"/>
        <w:spacing w:before="0" w:beforeAutospacing="0" w:after="0" w:afterAutospacing="0" w:line="360" w:lineRule="auto"/>
        <w:ind w:firstLine="420"/>
        <w:rPr>
          <w:sz w:val="21"/>
          <w:szCs w:val="21"/>
        </w:rPr>
      </w:pPr>
      <w:r>
        <w:rPr>
          <w:rFonts w:hint="eastAsia"/>
          <w:sz w:val="21"/>
          <w:szCs w:val="21"/>
        </w:rPr>
        <w:t>（1）《基金合同》终止；</w:t>
      </w:r>
    </w:p>
    <w:p w14:paraId="211010E5">
      <w:pPr>
        <w:pStyle w:val="7"/>
        <w:spacing w:before="0" w:beforeAutospacing="0" w:after="0" w:afterAutospacing="0" w:line="360" w:lineRule="auto"/>
        <w:ind w:firstLine="420"/>
        <w:rPr>
          <w:sz w:val="21"/>
          <w:szCs w:val="21"/>
        </w:rPr>
      </w:pPr>
      <w:r>
        <w:rPr>
          <w:rFonts w:hint="eastAsia"/>
          <w:sz w:val="21"/>
          <w:szCs w:val="21"/>
        </w:rPr>
        <w:t>（2）基金托管人解散、依法被撤销、破产或有其他基金托管人接管基金资产；</w:t>
      </w:r>
    </w:p>
    <w:p w14:paraId="0A386433">
      <w:pPr>
        <w:pStyle w:val="7"/>
        <w:spacing w:before="0" w:beforeAutospacing="0" w:after="0" w:afterAutospacing="0" w:line="360" w:lineRule="auto"/>
        <w:ind w:firstLine="420"/>
        <w:rPr>
          <w:sz w:val="21"/>
          <w:szCs w:val="21"/>
        </w:rPr>
      </w:pPr>
      <w:r>
        <w:rPr>
          <w:rFonts w:hint="eastAsia"/>
          <w:sz w:val="21"/>
          <w:szCs w:val="21"/>
        </w:rPr>
        <w:t>（3）基金管理人解散、依法被撤销、破产或有其他基金管理人接管基金管理权；</w:t>
      </w:r>
    </w:p>
    <w:p w14:paraId="019B68AB">
      <w:pPr>
        <w:pStyle w:val="7"/>
        <w:spacing w:before="0" w:beforeAutospacing="0" w:after="0" w:afterAutospacing="0" w:line="360" w:lineRule="auto"/>
        <w:ind w:firstLine="420"/>
        <w:rPr>
          <w:sz w:val="21"/>
          <w:szCs w:val="21"/>
        </w:rPr>
      </w:pPr>
      <w:r>
        <w:rPr>
          <w:rFonts w:hint="eastAsia"/>
          <w:sz w:val="21"/>
          <w:szCs w:val="21"/>
        </w:rPr>
        <w:t>（4）发生法律法规、中国证监会或《基金合同》规定的终止事项。</w:t>
      </w:r>
    </w:p>
    <w:p w14:paraId="70C671F6">
      <w:pPr>
        <w:pStyle w:val="7"/>
        <w:spacing w:before="0" w:beforeAutospacing="0" w:after="0" w:afterAutospacing="0" w:line="360" w:lineRule="auto"/>
        <w:ind w:firstLine="420"/>
        <w:rPr>
          <w:sz w:val="21"/>
          <w:szCs w:val="21"/>
        </w:rPr>
      </w:pPr>
      <w:r>
        <w:rPr>
          <w:rFonts w:hint="eastAsia"/>
          <w:sz w:val="21"/>
          <w:szCs w:val="21"/>
        </w:rPr>
        <w:t>（二）基金财产的清算</w:t>
      </w:r>
    </w:p>
    <w:p w14:paraId="15A6482B">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578037C0">
      <w:pPr>
        <w:pStyle w:val="7"/>
        <w:spacing w:before="0" w:beforeAutospacing="0" w:after="0" w:afterAutospacing="0" w:line="360" w:lineRule="auto"/>
        <w:ind w:firstLine="420"/>
        <w:rPr>
          <w:sz w:val="21"/>
          <w:szCs w:val="21"/>
        </w:rPr>
      </w:pPr>
      <w:r>
        <w:rPr>
          <w:rFonts w:hint="eastAsia"/>
          <w:sz w:val="21"/>
          <w:szCs w:val="21"/>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B35EA6C">
      <w:pPr>
        <w:pStyle w:val="7"/>
        <w:spacing w:before="0" w:beforeAutospacing="0" w:after="0" w:afterAutospacing="0" w:line="360" w:lineRule="auto"/>
        <w:ind w:firstLine="420"/>
        <w:rPr>
          <w:sz w:val="21"/>
          <w:szCs w:val="21"/>
        </w:rPr>
      </w:pPr>
      <w:r>
        <w:rPr>
          <w:rFonts w:hint="eastAsia"/>
          <w:sz w:val="21"/>
          <w:szCs w:val="21"/>
        </w:rPr>
        <w:t>3、基金财产清算小组职责：基金财产清算小组负责基金财产的保管、清理、估价、变现和分配。基金财产清算小组可以依法进行必要的民事活动。</w:t>
      </w:r>
    </w:p>
    <w:p w14:paraId="0AB40F56">
      <w:pPr>
        <w:pStyle w:val="7"/>
        <w:spacing w:before="0" w:beforeAutospacing="0" w:after="0" w:afterAutospacing="0" w:line="360" w:lineRule="auto"/>
        <w:ind w:firstLine="420"/>
        <w:rPr>
          <w:sz w:val="21"/>
          <w:szCs w:val="21"/>
        </w:rPr>
      </w:pPr>
      <w:r>
        <w:rPr>
          <w:rFonts w:hint="eastAsia"/>
          <w:sz w:val="21"/>
          <w:szCs w:val="21"/>
        </w:rPr>
        <w:t>4、基金财产清算程序：</w:t>
      </w:r>
    </w:p>
    <w:p w14:paraId="1AC208B5">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3B179469">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1C8D8376">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195FB6F5">
      <w:pPr>
        <w:pStyle w:val="7"/>
        <w:spacing w:before="0" w:beforeAutospacing="0" w:after="0" w:afterAutospacing="0" w:line="360" w:lineRule="auto"/>
        <w:ind w:firstLine="420"/>
        <w:rPr>
          <w:sz w:val="21"/>
          <w:szCs w:val="21"/>
        </w:rPr>
      </w:pPr>
      <w:r>
        <w:rPr>
          <w:rFonts w:hint="eastAsia"/>
          <w:sz w:val="21"/>
          <w:szCs w:val="21"/>
        </w:rPr>
        <w:t>（4）制作清算报告；</w:t>
      </w:r>
    </w:p>
    <w:p w14:paraId="103A0858">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17715130">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7A06CCC6">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7A66D5F3">
      <w:pPr>
        <w:pStyle w:val="7"/>
        <w:spacing w:before="0" w:beforeAutospacing="0" w:after="0" w:afterAutospacing="0" w:line="360" w:lineRule="auto"/>
        <w:ind w:firstLine="420"/>
        <w:rPr>
          <w:sz w:val="21"/>
          <w:szCs w:val="21"/>
        </w:rPr>
      </w:pPr>
      <w:r>
        <w:rPr>
          <w:rFonts w:hint="eastAsia"/>
          <w:sz w:val="21"/>
          <w:szCs w:val="21"/>
        </w:rPr>
        <w:t>5、基金财产清算的期限为6个月，但因本基金所持证券的流动性受到限制而不能及时变现的，清算期限相应顺延。</w:t>
      </w:r>
    </w:p>
    <w:p w14:paraId="532D918B">
      <w:pPr>
        <w:pStyle w:val="7"/>
        <w:spacing w:before="0" w:beforeAutospacing="0" w:after="0" w:afterAutospacing="0" w:line="360" w:lineRule="auto"/>
        <w:ind w:firstLine="420"/>
        <w:rPr>
          <w:sz w:val="21"/>
          <w:szCs w:val="21"/>
        </w:rPr>
      </w:pPr>
      <w:r>
        <w:rPr>
          <w:rFonts w:hint="eastAsia"/>
          <w:sz w:val="21"/>
          <w:szCs w:val="21"/>
        </w:rPr>
        <w:t>6、清算费用</w:t>
      </w:r>
    </w:p>
    <w:p w14:paraId="759BB64D">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清算费用是指基金财产清算小组在进行基金财产清算过程中发生的所有合理费用，清算费用由基金财产清算小组优先从基金剩余财产中支付。</w:t>
      </w:r>
    </w:p>
    <w:p w14:paraId="4A4038F8">
      <w:pPr>
        <w:pStyle w:val="7"/>
        <w:spacing w:before="0" w:beforeAutospacing="0" w:after="0" w:afterAutospacing="0" w:line="360" w:lineRule="auto"/>
        <w:ind w:firstLine="420"/>
        <w:rPr>
          <w:sz w:val="21"/>
          <w:szCs w:val="21"/>
        </w:rPr>
      </w:pPr>
      <w:r>
        <w:rPr>
          <w:rFonts w:hint="eastAsia"/>
          <w:sz w:val="21"/>
          <w:szCs w:val="21"/>
        </w:rPr>
        <w:t>7、基金财产按下列顺序清偿：</w:t>
      </w:r>
    </w:p>
    <w:p w14:paraId="14837208">
      <w:pPr>
        <w:pStyle w:val="7"/>
        <w:spacing w:before="0" w:beforeAutospacing="0" w:after="0" w:afterAutospacing="0" w:line="360" w:lineRule="auto"/>
        <w:ind w:firstLine="420"/>
        <w:rPr>
          <w:sz w:val="21"/>
          <w:szCs w:val="21"/>
        </w:rPr>
      </w:pPr>
      <w:r>
        <w:rPr>
          <w:rFonts w:hint="eastAsia"/>
          <w:sz w:val="21"/>
          <w:szCs w:val="21"/>
        </w:rPr>
        <w:t>（1）支付清算费用；</w:t>
      </w:r>
    </w:p>
    <w:p w14:paraId="17534B39">
      <w:pPr>
        <w:pStyle w:val="7"/>
        <w:spacing w:before="0" w:beforeAutospacing="0" w:after="0" w:afterAutospacing="0" w:line="360" w:lineRule="auto"/>
        <w:ind w:firstLine="420"/>
        <w:rPr>
          <w:sz w:val="21"/>
          <w:szCs w:val="21"/>
        </w:rPr>
      </w:pPr>
      <w:r>
        <w:rPr>
          <w:rFonts w:hint="eastAsia"/>
          <w:sz w:val="21"/>
          <w:szCs w:val="21"/>
        </w:rPr>
        <w:t>（2）交纳所欠税款；</w:t>
      </w:r>
    </w:p>
    <w:p w14:paraId="1C64D681">
      <w:pPr>
        <w:pStyle w:val="7"/>
        <w:spacing w:before="0" w:beforeAutospacing="0" w:after="0" w:afterAutospacing="0" w:line="360" w:lineRule="auto"/>
        <w:ind w:firstLine="420"/>
        <w:rPr>
          <w:sz w:val="21"/>
          <w:szCs w:val="21"/>
        </w:rPr>
      </w:pPr>
      <w:r>
        <w:rPr>
          <w:rFonts w:hint="eastAsia"/>
          <w:sz w:val="21"/>
          <w:szCs w:val="21"/>
        </w:rPr>
        <w:t>（3）清偿基金债务；</w:t>
      </w:r>
    </w:p>
    <w:p w14:paraId="21AA6936">
      <w:pPr>
        <w:pStyle w:val="7"/>
        <w:spacing w:before="0" w:beforeAutospacing="0" w:after="0" w:afterAutospacing="0" w:line="360" w:lineRule="auto"/>
        <w:ind w:firstLine="420"/>
        <w:rPr>
          <w:sz w:val="21"/>
          <w:szCs w:val="21"/>
        </w:rPr>
      </w:pPr>
      <w:r>
        <w:rPr>
          <w:rFonts w:hint="eastAsia"/>
          <w:sz w:val="21"/>
          <w:szCs w:val="21"/>
        </w:rPr>
        <w:t>（4）按基金份额持有人持有的基金份额比例进行分配。</w:t>
      </w:r>
    </w:p>
    <w:p w14:paraId="282411BC">
      <w:pPr>
        <w:pStyle w:val="7"/>
        <w:spacing w:before="0" w:beforeAutospacing="0" w:after="0" w:afterAutospacing="0" w:line="360" w:lineRule="auto"/>
        <w:ind w:firstLine="420"/>
        <w:rPr>
          <w:sz w:val="21"/>
          <w:szCs w:val="21"/>
        </w:rPr>
      </w:pPr>
      <w:r>
        <w:rPr>
          <w:rFonts w:hint="eastAsia"/>
          <w:sz w:val="21"/>
          <w:szCs w:val="21"/>
        </w:rPr>
        <w:t>基金财产未按前款（1）－（3）项规定清偿前，不分配给基金份额持有人。</w:t>
      </w:r>
    </w:p>
    <w:p w14:paraId="5743A0AF">
      <w:pPr>
        <w:pStyle w:val="7"/>
        <w:spacing w:before="0" w:beforeAutospacing="0" w:after="0" w:afterAutospacing="0" w:line="360" w:lineRule="auto"/>
        <w:ind w:firstLine="420"/>
        <w:rPr>
          <w:sz w:val="21"/>
          <w:szCs w:val="21"/>
        </w:rPr>
      </w:pPr>
      <w:r>
        <w:rPr>
          <w:rFonts w:hint="eastAsia"/>
          <w:sz w:val="21"/>
          <w:szCs w:val="21"/>
        </w:rPr>
        <w:t>8、基金财产清算的公告</w:t>
      </w:r>
    </w:p>
    <w:p w14:paraId="0F0DDE88">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1DC9DF6">
      <w:pPr>
        <w:pStyle w:val="7"/>
        <w:spacing w:before="0" w:beforeAutospacing="0" w:after="0" w:afterAutospacing="0" w:line="360" w:lineRule="auto"/>
        <w:ind w:firstLine="420"/>
        <w:rPr>
          <w:sz w:val="21"/>
          <w:szCs w:val="21"/>
        </w:rPr>
      </w:pPr>
      <w:r>
        <w:rPr>
          <w:rFonts w:hint="eastAsia"/>
          <w:sz w:val="21"/>
          <w:szCs w:val="21"/>
        </w:rPr>
        <w:t>9、基金财产清算账册及文件的保存</w:t>
      </w:r>
    </w:p>
    <w:p w14:paraId="15740541">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基金财产清算账册及有关文件由基金托管人保存20年以上，法律法规另有规定的从其</w:t>
      </w:r>
      <w:bookmarkStart w:id="181" w:name="chapter_level1_25_72_section_1_end"/>
      <w:bookmarkEnd w:id="181"/>
      <w:r>
        <w:rPr>
          <w:rFonts w:hint="eastAsia"/>
          <w:sz w:val="21"/>
          <w:szCs w:val="21"/>
        </w:rPr>
        <w:t>规定。</w:t>
      </w:r>
    </w:p>
    <w:p w14:paraId="5E52F996">
      <w:pPr>
        <w:widowControl/>
        <w:jc w:val="left"/>
        <w:rPr>
          <w:rFonts w:ascii="宋体" w:hAnsi="宋体" w:eastAsia="宋体"/>
        </w:rPr>
      </w:pPr>
      <w:r>
        <w:rPr>
          <w:rFonts w:ascii="宋体" w:hAnsi="宋体" w:eastAsia="宋体"/>
        </w:rPr>
        <w:br w:type="page"/>
      </w:r>
    </w:p>
    <w:p w14:paraId="41DCC417">
      <w:pPr>
        <w:pStyle w:val="2"/>
        <w:jc w:val="center"/>
        <w:rPr>
          <w:rFonts w:ascii="宋体" w:hAnsi="宋体" w:eastAsia="宋体"/>
          <w:sz w:val="30"/>
        </w:rPr>
      </w:pPr>
      <w:bookmarkStart w:id="182" w:name="chapter_level1_26_75"/>
      <w:bookmarkStart w:id="183" w:name="_Toc207950945"/>
      <w:r>
        <w:rPr>
          <w:rFonts w:hint="eastAsia" w:ascii="宋体" w:hAnsi="宋体" w:eastAsia="宋体"/>
          <w:sz w:val="30"/>
        </w:rPr>
        <w:t>第二十二部分  对基金份额持有人的服务</w:t>
      </w:r>
      <w:bookmarkEnd w:id="182"/>
      <w:bookmarkEnd w:id="183"/>
    </w:p>
    <w:p w14:paraId="133FCBC3">
      <w:pPr>
        <w:pStyle w:val="7"/>
        <w:spacing w:before="0" w:beforeAutospacing="0" w:after="0" w:afterAutospacing="0" w:line="360" w:lineRule="auto"/>
        <w:ind w:firstLine="420"/>
        <w:rPr>
          <w:sz w:val="21"/>
          <w:szCs w:val="21"/>
        </w:rPr>
      </w:pPr>
      <w:bookmarkStart w:id="184" w:name="chapter_level1_26_75_section_1"/>
      <w:bookmarkEnd w:id="184"/>
      <w:r>
        <w:rPr>
          <w:rFonts w:hint="eastAsia"/>
          <w:sz w:val="21"/>
          <w:szCs w:val="21"/>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3D7F044D">
      <w:pPr>
        <w:pStyle w:val="7"/>
        <w:spacing w:before="0" w:beforeAutospacing="0" w:after="0" w:afterAutospacing="0" w:line="360" w:lineRule="auto"/>
        <w:ind w:firstLine="420"/>
        <w:rPr>
          <w:sz w:val="21"/>
          <w:szCs w:val="21"/>
        </w:rPr>
      </w:pPr>
      <w:r>
        <w:rPr>
          <w:rFonts w:hint="eastAsia"/>
          <w:sz w:val="21"/>
          <w:szCs w:val="21"/>
        </w:rPr>
        <w:t>基金管理人提供的服务内容如下：</w:t>
      </w:r>
    </w:p>
    <w:p w14:paraId="483F3685">
      <w:pPr>
        <w:pStyle w:val="7"/>
        <w:spacing w:before="0" w:beforeAutospacing="0" w:after="0" w:afterAutospacing="0" w:line="360" w:lineRule="auto"/>
        <w:ind w:firstLine="420"/>
        <w:rPr>
          <w:sz w:val="21"/>
          <w:szCs w:val="21"/>
        </w:rPr>
      </w:pPr>
      <w:r>
        <w:rPr>
          <w:rStyle w:val="11"/>
          <w:rFonts w:hint="eastAsia"/>
          <w:sz w:val="21"/>
          <w:szCs w:val="21"/>
        </w:rPr>
        <w:t>一、客户服务电话</w:t>
      </w:r>
    </w:p>
    <w:p w14:paraId="3447BABA">
      <w:pPr>
        <w:pStyle w:val="7"/>
        <w:spacing w:before="0" w:beforeAutospacing="0" w:after="0" w:afterAutospacing="0" w:line="360" w:lineRule="auto"/>
        <w:ind w:firstLine="420"/>
        <w:rPr>
          <w:sz w:val="21"/>
          <w:szCs w:val="21"/>
        </w:rPr>
      </w:pPr>
      <w:r>
        <w:rPr>
          <w:rFonts w:hint="eastAsia"/>
          <w:sz w:val="21"/>
          <w:szCs w:val="21"/>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1DE720D4">
      <w:pPr>
        <w:pStyle w:val="7"/>
        <w:spacing w:before="0" w:beforeAutospacing="0" w:after="0" w:afterAutospacing="0" w:line="360" w:lineRule="auto"/>
        <w:ind w:firstLine="420"/>
        <w:rPr>
          <w:sz w:val="21"/>
          <w:szCs w:val="21"/>
        </w:rPr>
      </w:pPr>
      <w:r>
        <w:rPr>
          <w:rFonts w:hint="eastAsia"/>
          <w:sz w:val="21"/>
          <w:szCs w:val="21"/>
        </w:rPr>
        <w:t>博时一线通：95105568（免长途话费）</w:t>
      </w:r>
    </w:p>
    <w:p w14:paraId="3CAA077F">
      <w:pPr>
        <w:pStyle w:val="7"/>
        <w:spacing w:before="0" w:beforeAutospacing="0" w:after="0" w:afterAutospacing="0" w:line="360" w:lineRule="auto"/>
        <w:ind w:firstLine="420"/>
        <w:rPr>
          <w:sz w:val="21"/>
          <w:szCs w:val="21"/>
        </w:rPr>
      </w:pPr>
      <w:r>
        <w:rPr>
          <w:rStyle w:val="11"/>
          <w:rFonts w:hint="eastAsia"/>
          <w:sz w:val="21"/>
          <w:szCs w:val="21"/>
        </w:rPr>
        <w:t>二、网上客户服务中心</w:t>
      </w:r>
    </w:p>
    <w:p w14:paraId="4FE41329">
      <w:pPr>
        <w:pStyle w:val="7"/>
        <w:spacing w:before="0" w:beforeAutospacing="0" w:after="0" w:afterAutospacing="0" w:line="360" w:lineRule="auto"/>
        <w:ind w:firstLine="420"/>
        <w:rPr>
          <w:sz w:val="21"/>
          <w:szCs w:val="21"/>
        </w:rPr>
      </w:pPr>
      <w:r>
        <w:rPr>
          <w:rFonts w:hint="eastAsia"/>
          <w:sz w:val="21"/>
          <w:szCs w:val="21"/>
        </w:rPr>
        <w:t>网上客户服务为投资人提供查询服务、资讯服务以及在线咨询的平台。登陆网站后，投资人可以查询基金相关信息，享受资讯服务；投资人还可以使用“在线客服”功能进行在线咨询以及查询热点问题及其解答，并提交投诉与建议。</w:t>
      </w:r>
    </w:p>
    <w:p w14:paraId="45DB45DB">
      <w:pPr>
        <w:pStyle w:val="7"/>
        <w:spacing w:before="0" w:beforeAutospacing="0" w:after="0" w:afterAutospacing="0" w:line="360" w:lineRule="auto"/>
        <w:ind w:firstLine="420"/>
        <w:rPr>
          <w:sz w:val="21"/>
          <w:szCs w:val="21"/>
        </w:rPr>
      </w:pPr>
      <w:r>
        <w:rPr>
          <w:rFonts w:hint="eastAsia"/>
          <w:sz w:val="21"/>
          <w:szCs w:val="21"/>
        </w:rPr>
        <w:t>基金管理人网址： www.bosera.com</w:t>
      </w:r>
    </w:p>
    <w:p w14:paraId="23E99470">
      <w:pPr>
        <w:pStyle w:val="7"/>
        <w:spacing w:before="0" w:beforeAutospacing="0" w:after="0" w:afterAutospacing="0" w:line="360" w:lineRule="auto"/>
        <w:ind w:firstLine="420"/>
        <w:rPr>
          <w:sz w:val="21"/>
          <w:szCs w:val="21"/>
        </w:rPr>
      </w:pPr>
      <w:r>
        <w:rPr>
          <w:rFonts w:hint="eastAsia"/>
          <w:sz w:val="21"/>
          <w:szCs w:val="21"/>
        </w:rPr>
        <w:t>电子邮箱：service@bosera.com</w:t>
      </w:r>
    </w:p>
    <w:p w14:paraId="2318BA24">
      <w:pPr>
        <w:pStyle w:val="7"/>
        <w:spacing w:before="0" w:beforeAutospacing="0" w:after="0" w:afterAutospacing="0" w:line="360" w:lineRule="auto"/>
        <w:ind w:firstLine="420"/>
        <w:rPr>
          <w:sz w:val="21"/>
          <w:szCs w:val="21"/>
        </w:rPr>
      </w:pPr>
      <w:r>
        <w:rPr>
          <w:rStyle w:val="11"/>
          <w:rFonts w:hint="eastAsia"/>
          <w:sz w:val="21"/>
          <w:szCs w:val="21"/>
        </w:rPr>
        <w:t>三、客户投诉处理</w:t>
      </w:r>
    </w:p>
    <w:p w14:paraId="181AD6DD">
      <w:pPr>
        <w:pStyle w:val="7"/>
        <w:spacing w:before="0" w:beforeAutospacing="0" w:after="0" w:afterAutospacing="0" w:line="360" w:lineRule="auto"/>
        <w:ind w:firstLine="420"/>
        <w:rPr>
          <w:sz w:val="21"/>
          <w:szCs w:val="21"/>
        </w:rPr>
      </w:pPr>
      <w:r>
        <w:rPr>
          <w:rFonts w:hint="eastAsia"/>
          <w:sz w:val="21"/>
          <w:szCs w:val="21"/>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p>
    <w:p w14:paraId="6B70776C">
      <w:pPr>
        <w:pStyle w:val="7"/>
        <w:spacing w:before="0" w:beforeAutospacing="0" w:after="0" w:afterAutospacing="0" w:line="360" w:lineRule="auto"/>
        <w:ind w:firstLine="420"/>
        <w:rPr>
          <w:sz w:val="21"/>
          <w:szCs w:val="21"/>
        </w:rPr>
      </w:pPr>
      <w:r>
        <w:rPr>
          <w:rStyle w:val="11"/>
          <w:rFonts w:hint="eastAsia"/>
          <w:sz w:val="21"/>
          <w:szCs w:val="21"/>
        </w:rPr>
        <w:t>如本招募说明书存在任何您/贵机构无法理解的内容，请通过上述方式联系基金管理人。</w:t>
      </w:r>
      <w:bookmarkStart w:id="185" w:name="chapter_level1_26_75_section_1_end"/>
      <w:bookmarkEnd w:id="185"/>
      <w:r>
        <w:rPr>
          <w:rStyle w:val="11"/>
          <w:rFonts w:hint="eastAsia"/>
          <w:sz w:val="21"/>
          <w:szCs w:val="21"/>
        </w:rPr>
        <w:t>请确保投资前，您/贵机构已经全面理解了本招募说明书。</w:t>
      </w:r>
    </w:p>
    <w:p w14:paraId="7E53322E">
      <w:pPr>
        <w:widowControl/>
        <w:jc w:val="left"/>
        <w:rPr>
          <w:rFonts w:ascii="宋体" w:hAnsi="宋体" w:eastAsia="宋体"/>
        </w:rPr>
      </w:pPr>
      <w:r>
        <w:rPr>
          <w:rFonts w:ascii="宋体" w:hAnsi="宋体" w:eastAsia="宋体"/>
        </w:rPr>
        <w:br w:type="page"/>
      </w:r>
    </w:p>
    <w:p w14:paraId="60CA25B8">
      <w:pPr>
        <w:pStyle w:val="2"/>
        <w:jc w:val="center"/>
        <w:rPr>
          <w:rFonts w:ascii="宋体" w:hAnsi="宋体" w:eastAsia="宋体"/>
          <w:sz w:val="30"/>
        </w:rPr>
      </w:pPr>
      <w:bookmarkStart w:id="186" w:name="_Toc207950946"/>
      <w:bookmarkStart w:id="187" w:name="chapter_level1_27_3499"/>
      <w:r>
        <w:rPr>
          <w:rFonts w:hint="eastAsia" w:ascii="宋体" w:hAnsi="宋体" w:eastAsia="宋体"/>
          <w:sz w:val="30"/>
        </w:rPr>
        <w:t>第二十三部分 其他应披露的事项</w:t>
      </w:r>
      <w:bookmarkEnd w:id="186"/>
      <w:bookmarkEnd w:id="187"/>
    </w:p>
    <w:p w14:paraId="027067A7">
      <w:pPr>
        <w:pStyle w:val="7"/>
        <w:spacing w:before="0" w:beforeAutospacing="0" w:after="0" w:afterAutospacing="0" w:line="360" w:lineRule="auto"/>
        <w:ind w:firstLine="420"/>
        <w:rPr>
          <w:sz w:val="21"/>
          <w:szCs w:val="21"/>
        </w:rPr>
      </w:pPr>
      <w:bookmarkStart w:id="188" w:name="field_0_bsrevealinfo_1_start"/>
      <w:bookmarkEnd w:id="188"/>
      <w:bookmarkStart w:id="189" w:name="chapter_level1_27_3499_section_1"/>
      <w:bookmarkEnd w:id="189"/>
      <w:r>
        <w:rPr>
          <w:rFonts w:hint="eastAsia"/>
          <w:sz w:val="21"/>
          <w:szCs w:val="21"/>
        </w:rPr>
        <w:t>（一）、2025年8月29日，我公司公告了《博时中证半导体产业交易型开放式指数证券投资基金2025年中期报告》；</w:t>
      </w:r>
    </w:p>
    <w:p w14:paraId="17C7AF84">
      <w:pPr>
        <w:pStyle w:val="7"/>
        <w:spacing w:before="0" w:beforeAutospacing="0" w:after="0" w:afterAutospacing="0" w:line="360" w:lineRule="auto"/>
        <w:ind w:firstLine="420"/>
        <w:rPr>
          <w:sz w:val="21"/>
          <w:szCs w:val="21"/>
        </w:rPr>
      </w:pPr>
      <w:r>
        <w:rPr>
          <w:rFonts w:hint="eastAsia"/>
          <w:sz w:val="21"/>
          <w:szCs w:val="21"/>
        </w:rPr>
        <w:t>（二）、2025年7月21日，我公司公告了《博时中证半导体产业交易型开放式指数证券投资基金2025年第2季度报告》；</w:t>
      </w:r>
    </w:p>
    <w:p w14:paraId="05B2B814">
      <w:pPr>
        <w:pStyle w:val="7"/>
        <w:spacing w:before="0" w:beforeAutospacing="0" w:after="0" w:afterAutospacing="0" w:line="360" w:lineRule="auto"/>
        <w:ind w:firstLine="420"/>
        <w:rPr>
          <w:sz w:val="21"/>
          <w:szCs w:val="21"/>
        </w:rPr>
      </w:pPr>
      <w:r>
        <w:rPr>
          <w:rFonts w:hint="eastAsia"/>
          <w:sz w:val="21"/>
          <w:szCs w:val="21"/>
        </w:rPr>
        <w:t>（三）、2025年6月26日，我公司公告了《博时中证半导体产业交易型开放式指数证券投资基金基金产品资料概要更新》；</w:t>
      </w:r>
    </w:p>
    <w:p w14:paraId="5EC4F012">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71C77C42">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605CDB20">
      <w:pPr>
        <w:pStyle w:val="7"/>
        <w:spacing w:before="0" w:beforeAutospacing="0" w:after="0" w:afterAutospacing="0" w:line="360" w:lineRule="auto"/>
        <w:ind w:firstLine="420"/>
        <w:rPr>
          <w:sz w:val="21"/>
          <w:szCs w:val="21"/>
        </w:rPr>
      </w:pPr>
      <w:r>
        <w:rPr>
          <w:rFonts w:hint="eastAsia"/>
          <w:sz w:val="21"/>
          <w:szCs w:val="21"/>
        </w:rPr>
        <w:t>（六）、2025年4月25日，我公司公告了《关于博时基金管理有限公司旗下部分基金新增万和证券股份有限公司为申购、赎回代办券商的公告》；</w:t>
      </w:r>
    </w:p>
    <w:p w14:paraId="7E407950">
      <w:pPr>
        <w:pStyle w:val="7"/>
        <w:spacing w:before="0" w:beforeAutospacing="0" w:after="0" w:afterAutospacing="0" w:line="360" w:lineRule="auto"/>
        <w:ind w:firstLine="420"/>
        <w:rPr>
          <w:sz w:val="21"/>
          <w:szCs w:val="21"/>
        </w:rPr>
      </w:pPr>
      <w:r>
        <w:rPr>
          <w:rFonts w:hint="eastAsia"/>
          <w:sz w:val="21"/>
          <w:szCs w:val="21"/>
        </w:rPr>
        <w:t>（七）、2025年4月22日，我公司公告了《博时中证半导体产业交易型开放式指数证券投资基金2025年第1季度报告》；</w:t>
      </w:r>
    </w:p>
    <w:p w14:paraId="1BCEAE14">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535346FD">
      <w:pPr>
        <w:pStyle w:val="7"/>
        <w:spacing w:before="0" w:beforeAutospacing="0" w:after="0" w:afterAutospacing="0" w:line="360" w:lineRule="auto"/>
        <w:ind w:firstLine="420"/>
        <w:rPr>
          <w:sz w:val="21"/>
          <w:szCs w:val="21"/>
        </w:rPr>
      </w:pPr>
      <w:r>
        <w:rPr>
          <w:rFonts w:hint="eastAsia"/>
          <w:sz w:val="21"/>
          <w:szCs w:val="21"/>
        </w:rPr>
        <w:t>（九）、2025年4月1日，我公司公告了《关于博时基金管理有限公司旗下部分基金新增东莞证券为申购、赎回代办券商的公告》；</w:t>
      </w:r>
    </w:p>
    <w:p w14:paraId="1066EBC1">
      <w:pPr>
        <w:pStyle w:val="7"/>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（十）、2025年3月31日，我公司公告了《博时基金管理有限公司旗下公募基金通过证券公司证券交易及佣金支付情况（2024年度）》、《博时中证半导体产业交易型开放式指数证券投资基金2024年年度报告》；</w:t>
      </w:r>
    </w:p>
    <w:p w14:paraId="0B98FC61">
      <w:pPr>
        <w:pStyle w:val="7"/>
        <w:spacing w:before="0" w:beforeAutospacing="0" w:after="0" w:afterAutospacing="0" w:line="360" w:lineRule="auto"/>
        <w:ind w:firstLine="420"/>
        <w:rPr>
          <w:sz w:val="21"/>
          <w:szCs w:val="21"/>
        </w:rPr>
      </w:pPr>
      <w:r>
        <w:rPr>
          <w:rFonts w:hint="eastAsia"/>
          <w:sz w:val="21"/>
          <w:szCs w:val="21"/>
        </w:rPr>
        <w:t>（十一）、2025年3月25日，我公司公告了《关于博时基金管理有限公司旗下部分基金新增江海证券为申购、赎回代办券商的公告》、《博时基金管理有限公司关于旗下基金持有的长期停牌股票调整估值方法的公告-20250325》；</w:t>
      </w:r>
    </w:p>
    <w:p w14:paraId="02B95C21">
      <w:pPr>
        <w:pStyle w:val="7"/>
        <w:spacing w:before="0" w:beforeAutospacing="0" w:after="0" w:afterAutospacing="0" w:line="360" w:lineRule="auto"/>
        <w:ind w:firstLine="420"/>
        <w:rPr>
          <w:sz w:val="21"/>
          <w:szCs w:val="21"/>
        </w:rPr>
      </w:pPr>
      <w:r>
        <w:rPr>
          <w:rFonts w:hint="eastAsia"/>
          <w:sz w:val="21"/>
          <w:szCs w:val="21"/>
        </w:rPr>
        <w:t>（十二）、2025年3月5日，我公司公告了《关于博时基金管理有限公司旗下部分基金新增东方财富证券为申购、赎回代办券商的公告》；</w:t>
      </w:r>
    </w:p>
    <w:p w14:paraId="3336333D">
      <w:pPr>
        <w:pStyle w:val="7"/>
        <w:spacing w:before="0" w:beforeAutospacing="0" w:after="0" w:afterAutospacing="0" w:line="360" w:lineRule="auto"/>
        <w:ind w:firstLine="420"/>
        <w:rPr>
          <w:sz w:val="21"/>
          <w:szCs w:val="21"/>
        </w:rPr>
      </w:pPr>
      <w:r>
        <w:rPr>
          <w:rFonts w:hint="eastAsia"/>
          <w:sz w:val="21"/>
          <w:szCs w:val="21"/>
        </w:rPr>
        <w:t>（十三）、2025年3月3日，我公司公告了《博时中证半导体产业交易型开放式指数证券投资基金基金产品资料概要更新》；</w:t>
      </w:r>
    </w:p>
    <w:p w14:paraId="3D6D461C">
      <w:pPr>
        <w:pStyle w:val="7"/>
        <w:spacing w:before="0" w:beforeAutospacing="0" w:after="0" w:afterAutospacing="0" w:line="360" w:lineRule="auto"/>
        <w:ind w:firstLine="420"/>
        <w:rPr>
          <w:sz w:val="21"/>
          <w:szCs w:val="21"/>
        </w:rPr>
      </w:pPr>
      <w:r>
        <w:rPr>
          <w:rFonts w:hint="eastAsia"/>
          <w:sz w:val="21"/>
          <w:szCs w:val="21"/>
        </w:rPr>
        <w:t>（十四）、2025年1月22日，我公司公告了《博时中证半导体产业交易型开放式指数证券投资基金2024年第4季度报告》；</w:t>
      </w:r>
    </w:p>
    <w:p w14:paraId="6A9479DC">
      <w:pPr>
        <w:pStyle w:val="7"/>
        <w:spacing w:before="0" w:beforeAutospacing="0" w:after="0" w:afterAutospacing="0" w:line="360" w:lineRule="auto"/>
        <w:ind w:firstLine="420"/>
        <w:rPr>
          <w:sz w:val="21"/>
          <w:szCs w:val="21"/>
        </w:rPr>
      </w:pPr>
      <w:r>
        <w:rPr>
          <w:rFonts w:hint="eastAsia"/>
          <w:sz w:val="21"/>
          <w:szCs w:val="21"/>
        </w:rPr>
        <w:t>（十五）、2025年1月2日，我公司公告了《关于博时基金管理有限公司旗下部分基金新增联储证券为申购、赎回代办券商的公告》；</w:t>
      </w:r>
    </w:p>
    <w:p w14:paraId="0DF9283E">
      <w:pPr>
        <w:pStyle w:val="7"/>
        <w:spacing w:before="0" w:beforeAutospacing="0" w:after="0" w:afterAutospacing="0" w:line="360" w:lineRule="auto"/>
        <w:ind w:firstLine="420"/>
        <w:rPr>
          <w:sz w:val="21"/>
          <w:szCs w:val="21"/>
        </w:rPr>
      </w:pPr>
      <w:r>
        <w:rPr>
          <w:rFonts w:hint="eastAsia"/>
          <w:sz w:val="21"/>
          <w:szCs w:val="21"/>
        </w:rPr>
        <w:t>（十六）、2024年12月27日，我公司公告了《博时基金管理有限公司关于旗下193只基金改聘会计师事务所的公告》；</w:t>
      </w:r>
    </w:p>
    <w:p w14:paraId="4B224C23">
      <w:pPr>
        <w:pStyle w:val="7"/>
        <w:spacing w:before="0" w:beforeAutospacing="0" w:after="0" w:afterAutospacing="0" w:line="360" w:lineRule="auto"/>
        <w:ind w:firstLine="420"/>
        <w:rPr>
          <w:sz w:val="21"/>
          <w:szCs w:val="21"/>
        </w:rPr>
      </w:pPr>
      <w:r>
        <w:rPr>
          <w:rFonts w:hint="eastAsia"/>
          <w:sz w:val="21"/>
          <w:szCs w:val="21"/>
        </w:rPr>
        <w:t>（十七）、2024年12月24日，我公司公告了《博时基金管理有限公司关于调整旗下部分证券投资基金主流动性服务商的公告》；</w:t>
      </w:r>
    </w:p>
    <w:p w14:paraId="4DAEB965">
      <w:pPr>
        <w:pStyle w:val="7"/>
        <w:spacing w:before="0" w:beforeAutospacing="0" w:after="0" w:afterAutospacing="0" w:line="360" w:lineRule="auto"/>
        <w:ind w:firstLine="420"/>
        <w:rPr>
          <w:sz w:val="21"/>
          <w:szCs w:val="21"/>
        </w:rPr>
      </w:pPr>
      <w:r>
        <w:rPr>
          <w:rFonts w:hint="eastAsia"/>
          <w:sz w:val="21"/>
          <w:szCs w:val="21"/>
        </w:rPr>
        <w:t>（十八）、2024年12月7日，我公司公告了《博时基金管理有限公司关于高级管理人员变更的公告》；</w:t>
      </w:r>
    </w:p>
    <w:p w14:paraId="676F221E">
      <w:pPr>
        <w:pStyle w:val="7"/>
        <w:spacing w:before="0" w:beforeAutospacing="0" w:after="0" w:afterAutospacing="0" w:line="360" w:lineRule="auto"/>
        <w:ind w:firstLine="420"/>
        <w:rPr>
          <w:sz w:val="21"/>
          <w:szCs w:val="21"/>
        </w:rPr>
      </w:pPr>
      <w:r>
        <w:rPr>
          <w:rFonts w:hint="eastAsia"/>
          <w:sz w:val="21"/>
          <w:szCs w:val="21"/>
        </w:rPr>
        <w:t>（十九）、2024年11月18日，我公司公告了《博时基金管理有限公司关于终止乾道基金销售有限公司办理旗下基金销售业务的公告》；</w:t>
      </w:r>
    </w:p>
    <w:p w14:paraId="4E9E3459">
      <w:pPr>
        <w:pStyle w:val="7"/>
        <w:spacing w:before="0" w:beforeAutospacing="0" w:after="0" w:afterAutospacing="0" w:line="360" w:lineRule="auto"/>
        <w:ind w:firstLine="420"/>
        <w:rPr>
          <w:sz w:val="21"/>
          <w:szCs w:val="21"/>
        </w:rPr>
      </w:pPr>
      <w:r>
        <w:rPr>
          <w:rFonts w:hint="eastAsia"/>
          <w:sz w:val="21"/>
          <w:szCs w:val="21"/>
        </w:rPr>
        <w:t>（二十）、2024年11月6日，我公司公告了《博时基金管理有限公司关于旗下基金持有的长期停牌股票调整估值方法的公告-20241106》；</w:t>
      </w:r>
    </w:p>
    <w:p w14:paraId="0BF85F3E">
      <w:pPr>
        <w:pStyle w:val="7"/>
        <w:spacing w:before="0" w:beforeAutospacing="0" w:after="0" w:afterAutospacing="0" w:line="360" w:lineRule="auto"/>
        <w:ind w:firstLine="420"/>
        <w:rPr>
          <w:sz w:val="21"/>
          <w:szCs w:val="21"/>
        </w:rPr>
      </w:pPr>
      <w:r>
        <w:rPr>
          <w:rFonts w:hint="eastAsia"/>
          <w:sz w:val="21"/>
          <w:szCs w:val="21"/>
        </w:rPr>
        <w:t>（二十一）、2024年10月25日，我公司公告了《博时中证半导体产业交易型开放式指数证券投资基金2024年第3季度报告》；</w:t>
      </w:r>
    </w:p>
    <w:p w14:paraId="46F24A07">
      <w:pPr>
        <w:pStyle w:val="7"/>
        <w:spacing w:before="0" w:beforeAutospacing="0" w:after="0" w:afterAutospacing="0" w:line="360" w:lineRule="auto"/>
        <w:ind w:firstLine="420"/>
        <w:rPr>
          <w:sz w:val="21"/>
          <w:szCs w:val="21"/>
        </w:rPr>
      </w:pPr>
      <w:r>
        <w:rPr>
          <w:rFonts w:hint="eastAsia"/>
          <w:sz w:val="21"/>
          <w:szCs w:val="21"/>
        </w:rPr>
        <w:t>（二十二）、2024年10月9日，我公司公告了《博时基金管理有限公司关于指定博时中证半导体产业交易型开放式指数证券投资基金主流动性服务商的公告》；</w:t>
      </w:r>
    </w:p>
    <w:p w14:paraId="465C9F16">
      <w:pPr>
        <w:pStyle w:val="7"/>
        <w:spacing w:before="0" w:beforeAutospacing="0" w:after="0" w:afterAutospacing="0" w:line="360" w:lineRule="auto"/>
        <w:ind w:firstLine="420"/>
        <w:rPr>
          <w:sz w:val="21"/>
          <w:szCs w:val="21"/>
        </w:rPr>
      </w:pPr>
      <w:r>
        <w:rPr>
          <w:rFonts w:hint="eastAsia"/>
          <w:sz w:val="21"/>
          <w:szCs w:val="21"/>
        </w:rPr>
        <w:t>（二十三）、2024年9月30日，我公司公告了《博时中证半导体产业交易型开放式指数证券投资基金更新招募说明书》；</w:t>
      </w:r>
    </w:p>
    <w:p w14:paraId="105C4B04">
      <w:pPr>
        <w:pStyle w:val="7"/>
        <w:spacing w:before="0" w:beforeAutospacing="0" w:after="0" w:afterAutospacing="0" w:line="360" w:lineRule="auto"/>
        <w:ind w:firstLine="420"/>
        <w:rPr>
          <w:sz w:val="21"/>
          <w:szCs w:val="21"/>
        </w:rPr>
      </w:pPr>
      <w:r>
        <w:rPr>
          <w:rFonts w:hint="eastAsia"/>
          <w:sz w:val="21"/>
          <w:szCs w:val="21"/>
        </w:rPr>
        <w:t>（二十四）、2024年9月25日，我公司公告了《博时基金管理有限公司关于旗下基金持有的长期停牌股票调整估值方法的公告-20240925》；</w:t>
      </w:r>
    </w:p>
    <w:p w14:paraId="6586FC12">
      <w:pPr>
        <w:pStyle w:val="7"/>
        <w:spacing w:before="0" w:beforeAutospacing="0" w:after="0" w:afterAutospacing="0" w:line="360" w:lineRule="auto"/>
        <w:ind w:firstLine="420"/>
        <w:rPr>
          <w:sz w:val="21"/>
          <w:szCs w:val="21"/>
        </w:rPr>
      </w:pPr>
      <w:r>
        <w:rPr>
          <w:rFonts w:hint="eastAsia"/>
          <w:sz w:val="21"/>
          <w:szCs w:val="21"/>
        </w:rPr>
        <w:t>（二十五）、2024年9月21日，我公司公告了《博时基金管理有限公司关于董事会成员变更的公告》；</w:t>
      </w:r>
    </w:p>
    <w:p w14:paraId="3EB778C7">
      <w:pPr>
        <w:pStyle w:val="7"/>
        <w:spacing w:before="0" w:beforeAutospacing="0" w:after="0" w:afterAutospacing="0" w:line="360" w:lineRule="auto"/>
        <w:ind w:firstLine="420"/>
        <w:rPr>
          <w:sz w:val="21"/>
          <w:szCs w:val="21"/>
        </w:rPr>
      </w:pPr>
      <w:r>
        <w:rPr>
          <w:rFonts w:hint="eastAsia"/>
          <w:sz w:val="21"/>
          <w:szCs w:val="21"/>
        </w:rPr>
        <w:t>（二十六）、2024年9月13日，我公司公告了《博时基金管理有限公司关于博时中证半导体产业交易型开放式指数证券投资基金可能触发基金合同终止情形的提示性公告》；</w:t>
      </w:r>
    </w:p>
    <w:p w14:paraId="46EA57AF">
      <w:pPr>
        <w:pStyle w:val="7"/>
        <w:spacing w:before="0" w:beforeAutospacing="0" w:after="0" w:afterAutospacing="0" w:line="360" w:lineRule="auto"/>
        <w:ind w:firstLine="420"/>
        <w:rPr>
          <w:sz w:val="21"/>
          <w:szCs w:val="21"/>
        </w:rPr>
      </w:pPr>
      <w:r>
        <w:rPr>
          <w:rFonts w:hint="eastAsia"/>
          <w:sz w:val="21"/>
          <w:szCs w:val="21"/>
        </w:rPr>
        <w:t>（二十七）、2024年9月6日，我公司公告了《博时基金管理有限公司关于博时中证半导体产业交易型开放式指数证券投资基金可能触发基金合同终止情形的提示性公告》。</w:t>
      </w:r>
      <w:bookmarkStart w:id="190" w:name="field_0_bsrevealinfo_1_end"/>
      <w:bookmarkEnd w:id="190"/>
      <w:r>
        <w:rPr>
          <w:rFonts w:hint="eastAsia"/>
          <w:sz w:val="21"/>
          <w:szCs w:val="21"/>
        </w:rPr>
        <w:t xml:space="preserve"> </w:t>
      </w:r>
    </w:p>
    <w:p w14:paraId="0837832A">
      <w:pPr>
        <w:widowControl/>
        <w:jc w:val="left"/>
        <w:rPr>
          <w:rFonts w:ascii="宋体" w:hAnsi="宋体" w:eastAsia="宋体"/>
        </w:rPr>
      </w:pPr>
      <w:bookmarkStart w:id="191" w:name="chapter_level1_27_3499_section_1_end"/>
      <w:bookmarkEnd w:id="191"/>
      <w:r>
        <w:rPr>
          <w:rFonts w:ascii="宋体" w:hAnsi="宋体" w:eastAsia="宋体"/>
        </w:rPr>
        <w:br w:type="page"/>
      </w:r>
    </w:p>
    <w:p w14:paraId="7366DB63">
      <w:pPr>
        <w:pStyle w:val="2"/>
        <w:jc w:val="center"/>
        <w:rPr>
          <w:rFonts w:ascii="宋体" w:hAnsi="宋体" w:eastAsia="宋体"/>
          <w:sz w:val="30"/>
        </w:rPr>
      </w:pPr>
      <w:bookmarkStart w:id="192" w:name="chapter_level1_28_77"/>
      <w:bookmarkStart w:id="193" w:name="_Toc207950947"/>
      <w:r>
        <w:rPr>
          <w:rFonts w:hint="eastAsia" w:ascii="宋体" w:hAnsi="宋体" w:eastAsia="宋体"/>
          <w:sz w:val="30"/>
        </w:rPr>
        <w:t>第二十四部分  招募说明书的存放及查阅方式</w:t>
      </w:r>
      <w:bookmarkEnd w:id="192"/>
      <w:bookmarkEnd w:id="193"/>
    </w:p>
    <w:p w14:paraId="7F176B4C">
      <w:pPr>
        <w:pStyle w:val="7"/>
        <w:spacing w:before="0" w:beforeAutospacing="0" w:after="0" w:afterAutospacing="0" w:line="360" w:lineRule="auto"/>
        <w:ind w:firstLine="420"/>
        <w:rPr>
          <w:sz w:val="21"/>
          <w:szCs w:val="21"/>
        </w:rPr>
      </w:pPr>
      <w:bookmarkStart w:id="194" w:name="chapter_level1_28_77_section_1"/>
      <w:bookmarkEnd w:id="194"/>
      <w:r>
        <w:rPr>
          <w:rFonts w:hint="eastAsia"/>
          <w:sz w:val="21"/>
          <w:szCs w:val="21"/>
        </w:rPr>
        <w:t>招募说明书公布后，应当分别置备于基金管理人、基金托管人的住所和基金上市交易的证券交易所，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2472038C">
      <w:pPr>
        <w:pStyle w:val="7"/>
        <w:spacing w:before="0" w:beforeAutospacing="0" w:after="0" w:afterAutospacing="0" w:line="360" w:lineRule="auto"/>
        <w:ind w:firstLine="420"/>
        <w:rPr>
          <w:sz w:val="21"/>
          <w:szCs w:val="21"/>
        </w:rPr>
      </w:pPr>
      <w:bookmarkStart w:id="195" w:name="chapter_level1_28_77_section_1_end"/>
      <w:bookmarkEnd w:id="195"/>
      <w:r>
        <w:rPr>
          <w:rFonts w:hint="eastAsia"/>
          <w:sz w:val="21"/>
          <w:szCs w:val="21"/>
        </w:rPr>
        <w:t>投资人还可以直接登录基金管理人的网站（www.bosera.com）查阅和下载招募说明书。</w:t>
      </w:r>
    </w:p>
    <w:p w14:paraId="7B639294">
      <w:pPr>
        <w:widowControl/>
        <w:jc w:val="left"/>
        <w:rPr>
          <w:rFonts w:ascii="宋体" w:hAnsi="宋体" w:eastAsia="宋体"/>
        </w:rPr>
      </w:pPr>
      <w:r>
        <w:rPr>
          <w:rFonts w:ascii="宋体" w:hAnsi="宋体" w:eastAsia="宋体"/>
        </w:rPr>
        <w:br w:type="page"/>
      </w:r>
    </w:p>
    <w:p w14:paraId="18D8E18B">
      <w:pPr>
        <w:pStyle w:val="2"/>
        <w:jc w:val="center"/>
        <w:rPr>
          <w:rFonts w:ascii="宋体" w:hAnsi="宋体" w:eastAsia="宋体"/>
          <w:sz w:val="30"/>
        </w:rPr>
      </w:pPr>
      <w:bookmarkStart w:id="196" w:name="chapter_level1_29_332"/>
      <w:bookmarkStart w:id="197" w:name="_Toc207950948"/>
      <w:r>
        <w:rPr>
          <w:rFonts w:hint="eastAsia" w:ascii="宋体" w:hAnsi="宋体" w:eastAsia="宋体"/>
          <w:sz w:val="30"/>
        </w:rPr>
        <w:t>第二十五部分  备查文件</w:t>
      </w:r>
      <w:bookmarkEnd w:id="196"/>
      <w:bookmarkEnd w:id="197"/>
    </w:p>
    <w:p w14:paraId="2F6D53DA">
      <w:pPr>
        <w:pStyle w:val="7"/>
        <w:spacing w:before="0" w:beforeAutospacing="0" w:after="0" w:afterAutospacing="0" w:line="360" w:lineRule="auto"/>
        <w:ind w:firstLine="420"/>
        <w:rPr>
          <w:sz w:val="21"/>
          <w:szCs w:val="21"/>
        </w:rPr>
      </w:pPr>
      <w:bookmarkStart w:id="198" w:name="chapter_level1_29_332_section_1"/>
      <w:bookmarkEnd w:id="198"/>
      <w:r>
        <w:rPr>
          <w:rFonts w:hint="eastAsia"/>
          <w:sz w:val="21"/>
          <w:szCs w:val="21"/>
        </w:rPr>
        <w:t>以下备查文件存放在基金管理人的办公场所，在办公时间可供免费查阅。</w:t>
      </w:r>
    </w:p>
    <w:p w14:paraId="0A572598">
      <w:pPr>
        <w:pStyle w:val="7"/>
        <w:spacing w:before="0" w:beforeAutospacing="0" w:after="0" w:afterAutospacing="0" w:line="360" w:lineRule="auto"/>
        <w:ind w:firstLine="420"/>
        <w:rPr>
          <w:sz w:val="21"/>
          <w:szCs w:val="21"/>
        </w:rPr>
      </w:pPr>
      <w:r>
        <w:rPr>
          <w:rFonts w:hint="eastAsia"/>
          <w:sz w:val="21"/>
          <w:szCs w:val="21"/>
        </w:rPr>
        <w:t>（一）中国证监会准予</w:t>
      </w:r>
      <w:bookmarkStart w:id="199" w:name="field_0_productfullname_16"/>
      <w:r>
        <w:rPr>
          <w:rFonts w:hint="eastAsia"/>
          <w:sz w:val="21"/>
          <w:szCs w:val="21"/>
        </w:rPr>
        <w:t>博时中证半导体产业交易型开放式指数证券投资基金</w:t>
      </w:r>
      <w:bookmarkEnd w:id="199"/>
      <w:r>
        <w:rPr>
          <w:rFonts w:hint="eastAsia"/>
          <w:sz w:val="21"/>
          <w:szCs w:val="21"/>
        </w:rPr>
        <w:t>注册的文件</w:t>
      </w:r>
    </w:p>
    <w:p w14:paraId="072DC41F">
      <w:pPr>
        <w:pStyle w:val="7"/>
        <w:spacing w:before="0" w:beforeAutospacing="0" w:after="0" w:afterAutospacing="0" w:line="360" w:lineRule="auto"/>
        <w:ind w:firstLine="420"/>
        <w:rPr>
          <w:sz w:val="21"/>
          <w:szCs w:val="21"/>
        </w:rPr>
      </w:pPr>
      <w:r>
        <w:rPr>
          <w:rFonts w:hint="eastAsia"/>
          <w:sz w:val="21"/>
          <w:szCs w:val="21"/>
        </w:rPr>
        <w:t>（二）《</w:t>
      </w:r>
      <w:bookmarkStart w:id="200" w:name="field_0_productfullname_17"/>
      <w:r>
        <w:rPr>
          <w:rFonts w:hint="eastAsia"/>
          <w:sz w:val="21"/>
          <w:szCs w:val="21"/>
        </w:rPr>
        <w:t>博时中证半导体产业交易型开放式指数证券投资基金</w:t>
      </w:r>
      <w:bookmarkEnd w:id="200"/>
      <w:r>
        <w:rPr>
          <w:rFonts w:hint="eastAsia"/>
          <w:sz w:val="21"/>
          <w:szCs w:val="21"/>
        </w:rPr>
        <w:t>基金合同》</w:t>
      </w:r>
    </w:p>
    <w:p w14:paraId="58D0B10A">
      <w:pPr>
        <w:pStyle w:val="7"/>
        <w:spacing w:before="0" w:beforeAutospacing="0" w:after="0" w:afterAutospacing="0" w:line="360" w:lineRule="auto"/>
        <w:ind w:firstLine="420"/>
        <w:rPr>
          <w:sz w:val="21"/>
          <w:szCs w:val="21"/>
        </w:rPr>
      </w:pPr>
      <w:r>
        <w:rPr>
          <w:rFonts w:hint="eastAsia"/>
          <w:sz w:val="21"/>
          <w:szCs w:val="21"/>
        </w:rPr>
        <w:t>（三）《</w:t>
      </w:r>
      <w:bookmarkStart w:id="201" w:name="field_0_productfullname_18"/>
      <w:r>
        <w:rPr>
          <w:rFonts w:hint="eastAsia"/>
          <w:sz w:val="21"/>
          <w:szCs w:val="21"/>
        </w:rPr>
        <w:t>博时中证半导体产业交易型开放式指数证券投资基金</w:t>
      </w:r>
      <w:bookmarkEnd w:id="201"/>
      <w:r>
        <w:rPr>
          <w:rFonts w:hint="eastAsia"/>
          <w:sz w:val="21"/>
          <w:szCs w:val="21"/>
        </w:rPr>
        <w:t>托管协议》</w:t>
      </w:r>
    </w:p>
    <w:p w14:paraId="7BDF68CE">
      <w:pPr>
        <w:pStyle w:val="7"/>
        <w:spacing w:before="0" w:beforeAutospacing="0" w:after="0" w:afterAutospacing="0" w:line="360" w:lineRule="auto"/>
        <w:ind w:firstLine="420"/>
        <w:rPr>
          <w:sz w:val="21"/>
          <w:szCs w:val="21"/>
        </w:rPr>
      </w:pPr>
      <w:r>
        <w:rPr>
          <w:rFonts w:hint="eastAsia"/>
          <w:sz w:val="21"/>
          <w:szCs w:val="21"/>
        </w:rPr>
        <w:t>（四）基金管理人业务资格批件、营业执照</w:t>
      </w:r>
    </w:p>
    <w:p w14:paraId="0A0C1615">
      <w:pPr>
        <w:pStyle w:val="7"/>
        <w:spacing w:before="0" w:beforeAutospacing="0" w:after="0" w:afterAutospacing="0" w:line="360" w:lineRule="auto"/>
        <w:ind w:firstLine="420"/>
        <w:rPr>
          <w:sz w:val="21"/>
          <w:szCs w:val="21"/>
        </w:rPr>
      </w:pPr>
      <w:r>
        <w:rPr>
          <w:rFonts w:hint="eastAsia"/>
          <w:sz w:val="21"/>
          <w:szCs w:val="21"/>
        </w:rPr>
        <w:t>（五）基金托管人业务资格批件、营业执照</w:t>
      </w:r>
    </w:p>
    <w:p w14:paraId="47BA2333">
      <w:pPr>
        <w:pStyle w:val="7"/>
        <w:spacing w:before="0" w:beforeAutospacing="0" w:after="0" w:afterAutospacing="0" w:line="360" w:lineRule="auto"/>
        <w:ind w:firstLine="420"/>
        <w:rPr>
          <w:sz w:val="21"/>
          <w:szCs w:val="21"/>
        </w:rPr>
      </w:pPr>
      <w:r>
        <w:rPr>
          <w:rFonts w:hint="eastAsia"/>
          <w:sz w:val="21"/>
          <w:szCs w:val="21"/>
        </w:rPr>
        <w:t>（六）法律意见书</w:t>
      </w:r>
    </w:p>
    <w:p w14:paraId="5D6E4AE1">
      <w:pPr>
        <w:pStyle w:val="7"/>
        <w:spacing w:before="0" w:beforeAutospacing="0" w:after="0" w:afterAutospacing="0" w:line="360" w:lineRule="auto"/>
        <w:ind w:firstLine="420"/>
        <w:rPr>
          <w:sz w:val="21"/>
          <w:szCs w:val="21"/>
        </w:rPr>
      </w:pPr>
      <w:r>
        <w:rPr>
          <w:rFonts w:hint="eastAsia"/>
          <w:sz w:val="21"/>
          <w:szCs w:val="21"/>
        </w:rPr>
        <w:t>（七）中国证监会要求的其他文件</w:t>
      </w:r>
    </w:p>
    <w:p w14:paraId="16255E54">
      <w:pPr>
        <w:pStyle w:val="7"/>
        <w:spacing w:before="0" w:beforeAutospacing="0" w:after="0" w:afterAutospacing="0" w:line="360" w:lineRule="auto"/>
        <w:ind w:firstLine="420"/>
        <w:rPr>
          <w:sz w:val="21"/>
          <w:szCs w:val="21"/>
        </w:rPr>
      </w:pPr>
      <w:bookmarkStart w:id="202" w:name="chapter_level1_29_332_section_1_end"/>
      <w:bookmarkEnd w:id="202"/>
      <w:r>
        <w:rPr>
          <w:rFonts w:hint="eastAsia"/>
          <w:sz w:val="21"/>
          <w:szCs w:val="21"/>
        </w:rPr>
        <w:t>查阅方式：投资者可在营业时间免费查阅，也可按工本费购买复印件。</w:t>
      </w:r>
    </w:p>
    <w:p w14:paraId="6B006829">
      <w:pPr>
        <w:pStyle w:val="7"/>
        <w:spacing w:before="0" w:beforeAutospacing="0" w:after="0" w:afterAutospacing="0" w:line="360" w:lineRule="auto"/>
        <w:ind w:firstLine="420"/>
        <w:rPr>
          <w:sz w:val="21"/>
          <w:szCs w:val="21"/>
        </w:rPr>
      </w:pPr>
      <w:bookmarkStart w:id="203" w:name="chapter_level1_29_332_section_2"/>
      <w:bookmarkEnd w:id="203"/>
    </w:p>
    <w:p w14:paraId="632B3CDE">
      <w:pPr>
        <w:pStyle w:val="7"/>
        <w:spacing w:before="0" w:beforeAutospacing="0" w:after="0" w:afterAutospacing="0" w:line="360" w:lineRule="auto"/>
        <w:ind w:firstLine="420"/>
        <w:rPr>
          <w:sz w:val="21"/>
          <w:szCs w:val="21"/>
        </w:rPr>
      </w:pPr>
    </w:p>
    <w:p w14:paraId="2FEBB898">
      <w:pPr>
        <w:pStyle w:val="7"/>
        <w:spacing w:before="0" w:beforeAutospacing="0" w:after="0" w:afterAutospacing="0" w:line="360" w:lineRule="auto"/>
        <w:ind w:firstLine="420"/>
        <w:rPr>
          <w:sz w:val="21"/>
          <w:szCs w:val="21"/>
        </w:rPr>
      </w:pPr>
    </w:p>
    <w:p w14:paraId="4A36EF32">
      <w:pPr>
        <w:pStyle w:val="7"/>
        <w:spacing w:before="0" w:beforeAutospacing="0" w:after="0" w:afterAutospacing="0" w:line="360" w:lineRule="auto"/>
        <w:ind w:firstLine="420"/>
        <w:rPr>
          <w:sz w:val="21"/>
          <w:szCs w:val="21"/>
        </w:rPr>
      </w:pPr>
    </w:p>
    <w:p w14:paraId="3E37E943">
      <w:pPr>
        <w:pStyle w:val="7"/>
        <w:spacing w:before="0" w:beforeAutospacing="0" w:after="0" w:afterAutospacing="0" w:line="360" w:lineRule="auto"/>
        <w:ind w:firstLine="420"/>
        <w:jc w:val="right"/>
        <w:rPr>
          <w:sz w:val="21"/>
          <w:szCs w:val="21"/>
        </w:rPr>
      </w:pPr>
      <w:bookmarkStart w:id="204" w:name="field_0_managerorgfullname_1"/>
      <w:r>
        <w:rPr>
          <w:rFonts w:hint="eastAsia"/>
          <w:sz w:val="21"/>
          <w:szCs w:val="21"/>
        </w:rPr>
        <w:t>博时基金管理有限公司</w:t>
      </w:r>
      <w:bookmarkEnd w:id="204"/>
      <w:r>
        <w:rPr>
          <w:rFonts w:hint="eastAsia"/>
          <w:sz w:val="21"/>
          <w:szCs w:val="21"/>
        </w:rPr>
        <w:t xml:space="preserve"> </w:t>
      </w:r>
    </w:p>
    <w:p w14:paraId="44C8F1D3">
      <w:pPr>
        <w:pStyle w:val="7"/>
        <w:spacing w:before="0" w:beforeAutospacing="0" w:after="0" w:afterAutospacing="0" w:line="360" w:lineRule="auto"/>
        <w:ind w:firstLine="420"/>
        <w:jc w:val="right"/>
        <w:rPr>
          <w:sz w:val="21"/>
          <w:szCs w:val="21"/>
        </w:rPr>
      </w:pPr>
      <w:bookmarkStart w:id="205" w:name="chapter_level1_29_332_section_2_end"/>
      <w:bookmarkEnd w:id="205"/>
      <w:bookmarkStart w:id="206"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13</w:t>
      </w:r>
      <w:r>
        <w:rPr>
          <w:sz w:val="21"/>
          <w:szCs w:val="21"/>
        </w:rPr>
        <w:t>日</w:t>
      </w:r>
      <w:bookmarkEnd w:id="206"/>
      <w:r>
        <w:rPr>
          <w:rFonts w:hint="eastAsia"/>
          <w:sz w:val="21"/>
          <w:szCs w:val="21"/>
        </w:rPr>
        <w:t xml:space="preserve"> </w:t>
      </w:r>
    </w:p>
    <w:p w14:paraId="1F4603AF">
      <w:pPr>
        <w:rPr>
          <w:rFonts w:ascii="宋体" w:hAnsi="宋体" w:eastAsia="宋体"/>
        </w:rPr>
      </w:pPr>
      <w:bookmarkStart w:id="207" w:name="end"/>
      <w:bookmarkEnd w:id="207"/>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2D0DA">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151</w:t>
    </w:r>
    <w:r>
      <w:fldChar w:fldCharType="end"/>
    </w:r>
    <w:r>
      <w:rPr>
        <w:rFonts w:hint="eastAsia"/>
      </w:rPr>
      <w:t>页 共</w:t>
    </w:r>
    <w:r>
      <w:fldChar w:fldCharType="begin"/>
    </w:r>
    <w:r>
      <w:instrText xml:space="preserve"> NumPages \* MERGEFORMAT </w:instrText>
    </w:r>
    <w:r>
      <w:fldChar w:fldCharType="separate"/>
    </w:r>
    <w:r>
      <w:t>151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537C3">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C2ECB46">
    <w:pPr>
      <w:pStyle w:val="5"/>
      <w:jc w:val="right"/>
    </w:pPr>
    <w:r>
      <w:rPr>
        <w:rFonts w:hint="eastAsia"/>
      </w:rPr>
      <w:t>博时中证半导体产业交易型开放式指数证券投资基金更新招募说明书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529"/>
    <w:rsid w:val="00166529"/>
    <w:rsid w:val="009E72D1"/>
    <w:rsid w:val="00BF31F0"/>
    <w:rsid w:val="06B21631"/>
    <w:rsid w:val="06DE549F"/>
    <w:rsid w:val="0953358D"/>
    <w:rsid w:val="156E7B07"/>
    <w:rsid w:val="25C413B8"/>
    <w:rsid w:val="51DA67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149</Pages>
  <Words>17651</Words>
  <Characters>100611</Characters>
  <Lines>838</Lines>
  <Paragraphs>236</Paragraphs>
  <TotalTime>7</TotalTime>
  <ScaleCrop>false</ScaleCrop>
  <LinksUpToDate>false</LinksUpToDate>
  <CharactersWithSpaces>118026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2025-09-04T23:48:00Z</dcterms:created>
  <dc:creator>BSKMadminDev</dc:creator>
  <cp:lastModifiedBy>zhouhy</cp:lastModifiedBy>
  <dcterms:modified xsi:type="dcterms:W3CDTF">2026-07-10T11:31:57Z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1ACEB3A63648460EAFB35064B8B18938</vt:lpwstr>
  </property>
</Properties>
</file>