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4DF71D">
      <w:pPr>
        <w:snapToGrid w:val="0"/>
        <w:spacing w:line="360" w:lineRule="auto"/>
        <w:jc w:val="center"/>
        <w:rPr>
          <w:b/>
          <w:sz w:val="48"/>
          <w:szCs w:val="48"/>
          <w:highlight w:val="none"/>
        </w:rPr>
      </w:pPr>
    </w:p>
    <w:p w14:paraId="23446DB2">
      <w:pPr>
        <w:snapToGrid w:val="0"/>
        <w:spacing w:line="360" w:lineRule="auto"/>
        <w:jc w:val="center"/>
        <w:rPr>
          <w:b/>
          <w:sz w:val="48"/>
          <w:szCs w:val="48"/>
          <w:highlight w:val="none"/>
        </w:rPr>
      </w:pPr>
    </w:p>
    <w:p w14:paraId="003C66CC">
      <w:pPr>
        <w:snapToGrid w:val="0"/>
        <w:spacing w:line="360" w:lineRule="auto"/>
        <w:jc w:val="center"/>
        <w:rPr>
          <w:b/>
          <w:color w:val="000000"/>
          <w:kern w:val="0"/>
          <w:sz w:val="48"/>
          <w:szCs w:val="48"/>
          <w:highlight w:val="none"/>
        </w:rPr>
      </w:pPr>
      <w:r>
        <w:rPr>
          <w:b/>
          <w:sz w:val="48"/>
          <w:szCs w:val="48"/>
          <w:lang w:eastAsia="zh-CN"/>
        </w:rPr>
        <w:t>博时中证细分化工产业主题交易型开放式指数证券投资基金上市交易公告书</w:t>
      </w:r>
    </w:p>
    <w:p w14:paraId="209116E6">
      <w:pPr>
        <w:snapToGrid w:val="0"/>
        <w:spacing w:line="360" w:lineRule="auto"/>
        <w:jc w:val="center"/>
        <w:rPr>
          <w:b/>
          <w:color w:val="000000"/>
          <w:kern w:val="0"/>
          <w:sz w:val="48"/>
          <w:szCs w:val="48"/>
          <w:highlight w:val="none"/>
        </w:rPr>
      </w:pPr>
    </w:p>
    <w:p w14:paraId="6C72E0E3">
      <w:pPr>
        <w:snapToGrid w:val="0"/>
        <w:spacing w:line="360" w:lineRule="auto"/>
        <w:jc w:val="center"/>
        <w:rPr>
          <w:b/>
          <w:sz w:val="48"/>
          <w:szCs w:val="48"/>
          <w:highlight w:val="none"/>
        </w:rPr>
      </w:pPr>
    </w:p>
    <w:p w14:paraId="4F35346C">
      <w:pPr>
        <w:snapToGrid w:val="0"/>
        <w:spacing w:line="360" w:lineRule="auto"/>
        <w:jc w:val="center"/>
        <w:rPr>
          <w:b/>
          <w:sz w:val="48"/>
          <w:szCs w:val="48"/>
          <w:highlight w:val="none"/>
        </w:rPr>
      </w:pPr>
    </w:p>
    <w:p w14:paraId="148E3BE0">
      <w:pPr>
        <w:rPr>
          <w:b/>
          <w:sz w:val="48"/>
          <w:szCs w:val="48"/>
          <w:highlight w:val="none"/>
        </w:rPr>
      </w:pPr>
    </w:p>
    <w:p w14:paraId="23A33AAA">
      <w:pPr>
        <w:jc w:val="center"/>
        <w:rPr>
          <w:b/>
          <w:color w:val="000000"/>
          <w:kern w:val="0"/>
          <w:sz w:val="30"/>
          <w:szCs w:val="30"/>
          <w:highlight w:val="none"/>
        </w:rPr>
      </w:pPr>
      <w:r>
        <w:rPr>
          <w:b/>
          <w:color w:val="000000"/>
          <w:kern w:val="0"/>
          <w:sz w:val="30"/>
          <w:szCs w:val="30"/>
        </w:rPr>
        <w:t>基金管理人：博时基金管理有限公司</w:t>
      </w:r>
    </w:p>
    <w:p w14:paraId="4E927F81">
      <w:pPr>
        <w:jc w:val="center"/>
        <w:rPr>
          <w:rFonts w:eastAsia="宋体"/>
          <w:b/>
          <w:color w:val="000000"/>
          <w:kern w:val="0"/>
          <w:sz w:val="30"/>
          <w:szCs w:val="30"/>
          <w:highlight w:val="none"/>
          <w:lang w:eastAsia="zh-CN"/>
        </w:rPr>
      </w:pPr>
      <w:r>
        <w:rPr>
          <w:b/>
          <w:color w:val="000000"/>
          <w:kern w:val="0"/>
          <w:sz w:val="30"/>
          <w:szCs w:val="30"/>
        </w:rPr>
        <w:t>基金托管人：北京银行股份有限公司</w:t>
      </w:r>
    </w:p>
    <w:p w14:paraId="68B508D8">
      <w:pPr>
        <w:jc w:val="center"/>
        <w:rPr>
          <w:b/>
          <w:color w:val="000000"/>
          <w:kern w:val="0"/>
          <w:sz w:val="30"/>
          <w:szCs w:val="30"/>
          <w:highlight w:val="none"/>
        </w:rPr>
      </w:pPr>
      <w:r>
        <w:rPr>
          <w:b/>
          <w:color w:val="000000"/>
          <w:kern w:val="0"/>
          <w:sz w:val="30"/>
          <w:szCs w:val="30"/>
        </w:rPr>
        <w:t>登记机构：中国证券登记结算有限责任公司</w:t>
      </w:r>
    </w:p>
    <w:p w14:paraId="0B9DACE5">
      <w:pPr>
        <w:jc w:val="center"/>
        <w:rPr>
          <w:b/>
          <w:color w:val="000000"/>
          <w:kern w:val="0"/>
          <w:sz w:val="30"/>
          <w:szCs w:val="30"/>
          <w:highlight w:val="none"/>
        </w:rPr>
      </w:pPr>
      <w:r>
        <w:rPr>
          <w:b/>
          <w:color w:val="000000"/>
          <w:kern w:val="0"/>
          <w:sz w:val="30"/>
          <w:szCs w:val="30"/>
        </w:rPr>
        <w:t>上市地点：深圳证券交易所</w:t>
      </w:r>
    </w:p>
    <w:p w14:paraId="542A493B">
      <w:pPr>
        <w:jc w:val="center"/>
        <w:rPr>
          <w:rFonts w:hint="eastAsia" w:eastAsia="宋体"/>
          <w:b/>
          <w:color w:val="000000"/>
          <w:kern w:val="0"/>
          <w:sz w:val="30"/>
          <w:szCs w:val="30"/>
          <w:highlight w:val="none"/>
          <w:lang w:eastAsia="zh-CN"/>
        </w:rPr>
      </w:pPr>
      <w:r>
        <w:rPr>
          <w:b/>
          <w:color w:val="000000"/>
          <w:kern w:val="0"/>
          <w:sz w:val="30"/>
          <w:szCs w:val="30"/>
        </w:rPr>
        <w:t>上市时间：</w:t>
      </w:r>
      <w:r>
        <w:rPr>
          <w:rFonts w:hint="eastAsia"/>
          <w:b/>
          <w:color w:val="000000"/>
          <w:kern w:val="0"/>
          <w:sz w:val="30"/>
          <w:szCs w:val="30"/>
          <w:lang w:eastAsia="zh-CN"/>
        </w:rPr>
        <w:t>2026年8月7日</w:t>
      </w:r>
    </w:p>
    <w:p w14:paraId="25EC679A">
      <w:pPr>
        <w:jc w:val="center"/>
        <w:rPr>
          <w:rFonts w:hint="eastAsia" w:eastAsia="宋体"/>
          <w:b/>
          <w:color w:val="000000"/>
          <w:kern w:val="0"/>
          <w:sz w:val="30"/>
          <w:szCs w:val="30"/>
          <w:highlight w:val="none"/>
          <w:lang w:eastAsia="zh-CN"/>
        </w:rPr>
      </w:pPr>
      <w:r>
        <w:rPr>
          <w:b/>
          <w:color w:val="000000"/>
          <w:kern w:val="0"/>
          <w:sz w:val="30"/>
          <w:szCs w:val="30"/>
        </w:rPr>
        <w:t>公告日期：</w:t>
      </w:r>
      <w:r>
        <w:rPr>
          <w:rFonts w:hint="eastAsia"/>
          <w:b/>
          <w:color w:val="000000"/>
          <w:kern w:val="0"/>
          <w:sz w:val="30"/>
          <w:szCs w:val="30"/>
          <w:lang w:eastAsia="zh-CN"/>
        </w:rPr>
        <w:t>2026年8月4日</w:t>
      </w:r>
    </w:p>
    <w:p w14:paraId="5123F7CD">
      <w:pPr>
        <w:widowControl/>
        <w:snapToGrid w:val="0"/>
        <w:spacing w:line="360" w:lineRule="auto"/>
        <w:jc w:val="center"/>
        <w:rPr>
          <w:rFonts w:eastAsia="宋体"/>
          <w:b/>
          <w:color w:val="000000"/>
          <w:kern w:val="0"/>
          <w:sz w:val="32"/>
          <w:szCs w:val="32"/>
          <w:highlight w:val="none"/>
          <w:lang w:val="zh-CN" w:eastAsia="zh-CN"/>
        </w:rPr>
      </w:pPr>
    </w:p>
    <w:p w14:paraId="25A20C68">
      <w:pPr>
        <w:widowControl/>
        <w:snapToGrid w:val="0"/>
        <w:spacing w:line="360" w:lineRule="auto"/>
        <w:jc w:val="center"/>
        <w:rPr>
          <w:sz w:val="32"/>
          <w:szCs w:val="32"/>
          <w:highlight w:val="none"/>
          <w:lang w:val="zh-CN"/>
        </w:rPr>
      </w:pPr>
    </w:p>
    <w:p w14:paraId="2321C9FE">
      <w:pPr>
        <w:widowControl/>
        <w:snapToGrid w:val="0"/>
        <w:spacing w:line="360" w:lineRule="auto"/>
        <w:jc w:val="center"/>
        <w:rPr>
          <w:sz w:val="32"/>
          <w:szCs w:val="32"/>
          <w:highlight w:val="none"/>
          <w:lang w:val="zh-CN"/>
        </w:rPr>
      </w:pPr>
    </w:p>
    <w:p w14:paraId="58FC3A7D">
      <w:pPr>
        <w:widowControl/>
        <w:snapToGrid w:val="0"/>
        <w:spacing w:line="360" w:lineRule="auto"/>
        <w:jc w:val="center"/>
        <w:rPr>
          <w:sz w:val="32"/>
          <w:szCs w:val="32"/>
          <w:highlight w:val="none"/>
          <w:lang w:val="zh-CN"/>
        </w:rPr>
        <w:sectPr>
          <w:pgSz w:w="11906" w:h="16838"/>
          <w:pgMar w:top="1440" w:right="1800" w:bottom="1440" w:left="1800" w:header="0" w:footer="0" w:gutter="0"/>
          <w:pgNumType w:fmt="decimal"/>
          <w:cols w:space="720" w:num="1"/>
          <w:formProt w:val="0"/>
          <w:docGrid w:type="lines" w:linePitch="312" w:charSpace="0"/>
        </w:sectPr>
      </w:pPr>
    </w:p>
    <w:p w14:paraId="1F453072">
      <w:pPr>
        <w:widowControl/>
        <w:snapToGrid w:val="0"/>
        <w:spacing w:line="360" w:lineRule="auto"/>
        <w:jc w:val="center"/>
        <w:rPr>
          <w:sz w:val="44"/>
          <w:szCs w:val="44"/>
          <w:highlight w:val="none"/>
          <w:lang w:val="zh-CN"/>
        </w:rPr>
      </w:pPr>
      <w:r>
        <w:rPr>
          <w:sz w:val="44"/>
          <w:szCs w:val="44"/>
          <w:lang w:val="zh-CN"/>
        </w:rPr>
        <w:t>目</w:t>
      </w:r>
      <w:r>
        <w:rPr>
          <w:rFonts w:eastAsia="Times New Roman"/>
          <w:sz w:val="44"/>
          <w:szCs w:val="44"/>
          <w:lang w:val="zh-CN"/>
        </w:rPr>
        <w:t xml:space="preserve">  </w:t>
      </w:r>
      <w:r>
        <w:rPr>
          <w:sz w:val="44"/>
          <w:szCs w:val="44"/>
          <w:lang w:val="zh-CN"/>
        </w:rPr>
        <w:t>录</w:t>
      </w:r>
    </w:p>
    <w:sdt>
      <w:sdtPr>
        <w:id w:val="147469588"/>
        <w:docPartObj>
          <w:docPartGallery w:val="Table of Contents"/>
          <w:docPartUnique/>
        </w:docPartObj>
      </w:sdtPr>
      <w:sdtContent>
        <w:p w14:paraId="32A65FCD">
          <w:pPr>
            <w:pStyle w:val="21"/>
            <w:rPr>
              <w:rFonts w:ascii="Times New Roman" w:hAnsi="Times New Roman" w:eastAsia="宋体" w:cs="Times New Roman"/>
              <w:b/>
              <w:bCs/>
              <w:caps/>
              <w:color w:val="auto"/>
              <w:kern w:val="2"/>
              <w:sz w:val="24"/>
              <w:szCs w:val="24"/>
              <w:lang w:val="en-US" w:eastAsia="en-US" w:bidi="ar-SA"/>
            </w:rPr>
          </w:pPr>
          <w:r>
            <w:fldChar w:fldCharType="begin"/>
          </w:r>
          <w:r>
            <w:rPr>
              <w:rStyle w:val="64"/>
              <w:rFonts w:ascii="Times New Roman" w:hAnsi="Times New Roman" w:cs="Times New Roman"/>
              <w:sz w:val="24"/>
              <w:szCs w:val="24"/>
              <w:lang w:val="en-US" w:eastAsia="en-US"/>
            </w:rPr>
            <w:instrText xml:space="preserve"> TOC \o "1-3" \h \z \u </w:instrText>
          </w:r>
          <w:r>
            <w:rPr>
              <w:rStyle w:val="64"/>
              <w:rFonts w:ascii="Times New Roman" w:hAnsi="Times New Roman" w:cs="Times New Roman"/>
              <w:sz w:val="24"/>
              <w:szCs w:val="24"/>
              <w:lang w:val="en-US" w:eastAsia="en-US"/>
            </w:rPr>
            <w:fldChar w:fldCharType="separate"/>
          </w:r>
        </w:p>
        <w:p w14:paraId="7DD6A835">
          <w:pPr>
            <w:pStyle w:val="21"/>
            <w:tabs>
              <w:tab w:val="right" w:leader="dot" w:pos="8306"/>
              <w:tab w:val="clear" w:pos="8296"/>
            </w:tabs>
          </w:pPr>
          <w:r>
            <w:rPr>
              <w:rFonts w:ascii="Times New Roman" w:hAnsi="Times New Roman" w:cs="Times New Roman"/>
              <w:szCs w:val="24"/>
              <w:lang w:val="en-US" w:eastAsia="en-US"/>
            </w:rPr>
            <w:fldChar w:fldCharType="begin"/>
          </w:r>
          <w:r>
            <w:rPr>
              <w:rFonts w:ascii="Times New Roman" w:hAnsi="Times New Roman" w:cs="Times New Roman"/>
              <w:szCs w:val="24"/>
              <w:lang w:val="en-US" w:eastAsia="en-US"/>
            </w:rPr>
            <w:instrText xml:space="preserve"> HYPERLINK \l _Toc10342 </w:instrText>
          </w:r>
          <w:r>
            <w:rPr>
              <w:rFonts w:ascii="Times New Roman" w:hAnsi="Times New Roman" w:cs="Times New Roman"/>
              <w:szCs w:val="24"/>
              <w:lang w:val="en-US" w:eastAsia="en-US"/>
            </w:rPr>
            <w:fldChar w:fldCharType="separate"/>
          </w:r>
          <w:r>
            <w:rPr>
              <w:rFonts w:ascii="Times New Roman" w:hAnsi="Times New Roman" w:cs="Times New Roman"/>
            </w:rPr>
            <w:t>一、重要声明与提示</w:t>
          </w:r>
          <w:r>
            <w:tab/>
          </w:r>
          <w:r>
            <w:fldChar w:fldCharType="begin"/>
          </w:r>
          <w:r>
            <w:instrText xml:space="preserve"> PAGEREF _Toc10342 \h </w:instrText>
          </w:r>
          <w:r>
            <w:fldChar w:fldCharType="separate"/>
          </w:r>
          <w:r>
            <w:t>1</w:t>
          </w:r>
          <w:r>
            <w:fldChar w:fldCharType="end"/>
          </w:r>
          <w:r>
            <w:rPr>
              <w:rFonts w:ascii="Times New Roman" w:hAnsi="Times New Roman" w:cs="Times New Roman"/>
              <w:szCs w:val="24"/>
              <w:lang w:val="en-US" w:eastAsia="en-US"/>
            </w:rPr>
            <w:fldChar w:fldCharType="end"/>
          </w:r>
        </w:p>
        <w:p w14:paraId="20B6A065">
          <w:pPr>
            <w:pStyle w:val="21"/>
            <w:tabs>
              <w:tab w:val="right" w:leader="dot" w:pos="8306"/>
              <w:tab w:val="clear" w:pos="8296"/>
            </w:tabs>
          </w:pPr>
          <w:r>
            <w:rPr>
              <w:rFonts w:ascii="Times New Roman" w:hAnsi="Times New Roman" w:cs="Times New Roman"/>
              <w:szCs w:val="24"/>
              <w:lang w:val="en-US" w:eastAsia="en-US"/>
            </w:rPr>
            <w:fldChar w:fldCharType="begin"/>
          </w:r>
          <w:r>
            <w:rPr>
              <w:rFonts w:ascii="Times New Roman" w:hAnsi="Times New Roman" w:cs="Times New Roman"/>
              <w:szCs w:val="24"/>
              <w:lang w:val="en-US" w:eastAsia="en-US"/>
            </w:rPr>
            <w:instrText xml:space="preserve"> HYPERLINK \l _Toc25110 </w:instrText>
          </w:r>
          <w:r>
            <w:rPr>
              <w:rFonts w:ascii="Times New Roman" w:hAnsi="Times New Roman" w:cs="Times New Roman"/>
              <w:szCs w:val="24"/>
              <w:lang w:val="en-US" w:eastAsia="en-US"/>
            </w:rPr>
            <w:fldChar w:fldCharType="separate"/>
          </w:r>
          <w:r>
            <w:rPr>
              <w:rFonts w:ascii="Times New Roman" w:hAnsi="Times New Roman" w:cs="Times New Roman"/>
            </w:rPr>
            <w:t>二、基金概览</w:t>
          </w:r>
          <w:r>
            <w:tab/>
          </w:r>
          <w:r>
            <w:fldChar w:fldCharType="begin"/>
          </w:r>
          <w:r>
            <w:instrText xml:space="preserve"> PAGEREF _Toc25110 \h </w:instrText>
          </w:r>
          <w:r>
            <w:fldChar w:fldCharType="separate"/>
          </w:r>
          <w:r>
            <w:t>1</w:t>
          </w:r>
          <w:r>
            <w:fldChar w:fldCharType="end"/>
          </w:r>
          <w:r>
            <w:rPr>
              <w:rFonts w:ascii="Times New Roman" w:hAnsi="Times New Roman" w:cs="Times New Roman"/>
              <w:szCs w:val="24"/>
              <w:lang w:val="en-US" w:eastAsia="en-US"/>
            </w:rPr>
            <w:fldChar w:fldCharType="end"/>
          </w:r>
        </w:p>
        <w:p w14:paraId="5A922293">
          <w:pPr>
            <w:pStyle w:val="21"/>
            <w:tabs>
              <w:tab w:val="right" w:leader="dot" w:pos="8306"/>
              <w:tab w:val="clear" w:pos="8296"/>
            </w:tabs>
          </w:pPr>
          <w:r>
            <w:rPr>
              <w:rFonts w:ascii="Times New Roman" w:hAnsi="Times New Roman" w:cs="Times New Roman"/>
              <w:szCs w:val="24"/>
              <w:lang w:val="en-US" w:eastAsia="en-US"/>
            </w:rPr>
            <w:fldChar w:fldCharType="begin"/>
          </w:r>
          <w:r>
            <w:rPr>
              <w:rFonts w:ascii="Times New Roman" w:hAnsi="Times New Roman" w:cs="Times New Roman"/>
              <w:szCs w:val="24"/>
              <w:lang w:val="en-US" w:eastAsia="en-US"/>
            </w:rPr>
            <w:instrText xml:space="preserve"> HYPERLINK \l _Toc19714 </w:instrText>
          </w:r>
          <w:r>
            <w:rPr>
              <w:rFonts w:ascii="Times New Roman" w:hAnsi="Times New Roman" w:cs="Times New Roman"/>
              <w:szCs w:val="24"/>
              <w:lang w:val="en-US" w:eastAsia="en-US"/>
            </w:rPr>
            <w:fldChar w:fldCharType="separate"/>
          </w:r>
          <w:r>
            <w:rPr>
              <w:rFonts w:ascii="Times New Roman" w:hAnsi="Times New Roman" w:cs="Times New Roman"/>
            </w:rPr>
            <w:t>三、基金的募集与上市交易</w:t>
          </w:r>
          <w:r>
            <w:tab/>
          </w:r>
          <w:r>
            <w:fldChar w:fldCharType="begin"/>
          </w:r>
          <w:r>
            <w:instrText xml:space="preserve"> PAGEREF _Toc19714 \h </w:instrText>
          </w:r>
          <w:r>
            <w:fldChar w:fldCharType="separate"/>
          </w:r>
          <w:r>
            <w:t>2</w:t>
          </w:r>
          <w:r>
            <w:fldChar w:fldCharType="end"/>
          </w:r>
          <w:r>
            <w:rPr>
              <w:rFonts w:ascii="Times New Roman" w:hAnsi="Times New Roman" w:cs="Times New Roman"/>
              <w:szCs w:val="24"/>
              <w:lang w:val="en-US" w:eastAsia="en-US"/>
            </w:rPr>
            <w:fldChar w:fldCharType="end"/>
          </w:r>
        </w:p>
        <w:p w14:paraId="643BEF87">
          <w:pPr>
            <w:pStyle w:val="21"/>
            <w:tabs>
              <w:tab w:val="right" w:leader="dot" w:pos="8306"/>
              <w:tab w:val="clear" w:pos="8296"/>
            </w:tabs>
          </w:pPr>
          <w:r>
            <w:rPr>
              <w:rFonts w:ascii="Times New Roman" w:hAnsi="Times New Roman" w:cs="Times New Roman"/>
              <w:szCs w:val="24"/>
              <w:lang w:val="en-US" w:eastAsia="en-US"/>
            </w:rPr>
            <w:fldChar w:fldCharType="begin"/>
          </w:r>
          <w:r>
            <w:rPr>
              <w:rFonts w:ascii="Times New Roman" w:hAnsi="Times New Roman" w:cs="Times New Roman"/>
              <w:szCs w:val="24"/>
              <w:lang w:val="en-US" w:eastAsia="en-US"/>
            </w:rPr>
            <w:instrText xml:space="preserve"> HYPERLINK \l _Toc22075 </w:instrText>
          </w:r>
          <w:r>
            <w:rPr>
              <w:rFonts w:ascii="Times New Roman" w:hAnsi="Times New Roman" w:cs="Times New Roman"/>
              <w:szCs w:val="24"/>
              <w:lang w:val="en-US" w:eastAsia="en-US"/>
            </w:rPr>
            <w:fldChar w:fldCharType="separate"/>
          </w:r>
          <w:r>
            <w:rPr>
              <w:rFonts w:ascii="Times New Roman" w:hAnsi="Times New Roman" w:cs="Times New Roman"/>
            </w:rPr>
            <w:t>四、持有人户数、持有人结构及前十名持有人</w:t>
          </w:r>
          <w:r>
            <w:tab/>
          </w:r>
          <w:r>
            <w:fldChar w:fldCharType="begin"/>
          </w:r>
          <w:r>
            <w:instrText xml:space="preserve"> PAGEREF _Toc22075 \h </w:instrText>
          </w:r>
          <w:r>
            <w:fldChar w:fldCharType="separate"/>
          </w:r>
          <w:r>
            <w:t>5</w:t>
          </w:r>
          <w:r>
            <w:fldChar w:fldCharType="end"/>
          </w:r>
          <w:r>
            <w:rPr>
              <w:rFonts w:ascii="Times New Roman" w:hAnsi="Times New Roman" w:cs="Times New Roman"/>
              <w:szCs w:val="24"/>
              <w:lang w:val="en-US" w:eastAsia="en-US"/>
            </w:rPr>
            <w:fldChar w:fldCharType="end"/>
          </w:r>
        </w:p>
        <w:p w14:paraId="73E7BC63">
          <w:pPr>
            <w:pStyle w:val="21"/>
            <w:tabs>
              <w:tab w:val="right" w:leader="dot" w:pos="8306"/>
              <w:tab w:val="clear" w:pos="8296"/>
            </w:tabs>
          </w:pPr>
          <w:r>
            <w:rPr>
              <w:rFonts w:ascii="Times New Roman" w:hAnsi="Times New Roman" w:cs="Times New Roman"/>
              <w:szCs w:val="24"/>
              <w:lang w:val="en-US" w:eastAsia="en-US"/>
            </w:rPr>
            <w:fldChar w:fldCharType="begin"/>
          </w:r>
          <w:r>
            <w:rPr>
              <w:rFonts w:ascii="Times New Roman" w:hAnsi="Times New Roman" w:cs="Times New Roman"/>
              <w:szCs w:val="24"/>
              <w:lang w:val="en-US" w:eastAsia="en-US"/>
            </w:rPr>
            <w:instrText xml:space="preserve"> HYPERLINK \l _Toc26313 </w:instrText>
          </w:r>
          <w:r>
            <w:rPr>
              <w:rFonts w:ascii="Times New Roman" w:hAnsi="Times New Roman" w:cs="Times New Roman"/>
              <w:szCs w:val="24"/>
              <w:lang w:val="en-US" w:eastAsia="en-US"/>
            </w:rPr>
            <w:fldChar w:fldCharType="separate"/>
          </w:r>
          <w:r>
            <w:rPr>
              <w:rFonts w:ascii="Times New Roman" w:hAnsi="Times New Roman" w:cs="Times New Roman"/>
            </w:rPr>
            <w:t>五、基金主要当事人简介</w:t>
          </w:r>
          <w:r>
            <w:tab/>
          </w:r>
          <w:r>
            <w:fldChar w:fldCharType="begin"/>
          </w:r>
          <w:r>
            <w:instrText xml:space="preserve"> PAGEREF _Toc26313 \h </w:instrText>
          </w:r>
          <w:r>
            <w:fldChar w:fldCharType="separate"/>
          </w:r>
          <w:r>
            <w:t>7</w:t>
          </w:r>
          <w:r>
            <w:fldChar w:fldCharType="end"/>
          </w:r>
          <w:r>
            <w:rPr>
              <w:rFonts w:ascii="Times New Roman" w:hAnsi="Times New Roman" w:cs="Times New Roman"/>
              <w:szCs w:val="24"/>
              <w:lang w:val="en-US" w:eastAsia="en-US"/>
            </w:rPr>
            <w:fldChar w:fldCharType="end"/>
          </w:r>
        </w:p>
        <w:p w14:paraId="7A878008">
          <w:pPr>
            <w:pStyle w:val="21"/>
            <w:tabs>
              <w:tab w:val="right" w:leader="dot" w:pos="8306"/>
              <w:tab w:val="clear" w:pos="8296"/>
            </w:tabs>
          </w:pPr>
          <w:r>
            <w:rPr>
              <w:rFonts w:ascii="Times New Roman" w:hAnsi="Times New Roman" w:cs="Times New Roman"/>
              <w:szCs w:val="24"/>
              <w:lang w:val="en-US" w:eastAsia="en-US"/>
            </w:rPr>
            <w:fldChar w:fldCharType="begin"/>
          </w:r>
          <w:r>
            <w:rPr>
              <w:rFonts w:ascii="Times New Roman" w:hAnsi="Times New Roman" w:cs="Times New Roman"/>
              <w:szCs w:val="24"/>
              <w:lang w:val="en-US" w:eastAsia="en-US"/>
            </w:rPr>
            <w:instrText xml:space="preserve"> HYPERLINK \l _Toc20962 </w:instrText>
          </w:r>
          <w:r>
            <w:rPr>
              <w:rFonts w:ascii="Times New Roman" w:hAnsi="Times New Roman" w:cs="Times New Roman"/>
              <w:szCs w:val="24"/>
              <w:lang w:val="en-US" w:eastAsia="en-US"/>
            </w:rPr>
            <w:fldChar w:fldCharType="separate"/>
          </w:r>
          <w:r>
            <w:rPr>
              <w:rFonts w:ascii="Times New Roman" w:hAnsi="Times New Roman" w:cs="Times New Roman"/>
            </w:rPr>
            <w:t>六、基金合同摘要</w:t>
          </w:r>
          <w:r>
            <w:tab/>
          </w:r>
          <w:r>
            <w:fldChar w:fldCharType="begin"/>
          </w:r>
          <w:r>
            <w:instrText xml:space="preserve"> PAGEREF _Toc20962 \h </w:instrText>
          </w:r>
          <w:r>
            <w:fldChar w:fldCharType="separate"/>
          </w:r>
          <w:r>
            <w:t>14</w:t>
          </w:r>
          <w:r>
            <w:fldChar w:fldCharType="end"/>
          </w:r>
          <w:r>
            <w:rPr>
              <w:rFonts w:ascii="Times New Roman" w:hAnsi="Times New Roman" w:cs="Times New Roman"/>
              <w:szCs w:val="24"/>
              <w:lang w:val="en-US" w:eastAsia="en-US"/>
            </w:rPr>
            <w:fldChar w:fldCharType="end"/>
          </w:r>
        </w:p>
        <w:p w14:paraId="09497C9C">
          <w:pPr>
            <w:pStyle w:val="21"/>
            <w:tabs>
              <w:tab w:val="right" w:leader="dot" w:pos="8306"/>
              <w:tab w:val="clear" w:pos="8296"/>
            </w:tabs>
          </w:pPr>
          <w:r>
            <w:rPr>
              <w:rFonts w:ascii="Times New Roman" w:hAnsi="Times New Roman" w:cs="Times New Roman"/>
              <w:szCs w:val="24"/>
              <w:lang w:val="en-US" w:eastAsia="en-US"/>
            </w:rPr>
            <w:fldChar w:fldCharType="begin"/>
          </w:r>
          <w:r>
            <w:rPr>
              <w:rFonts w:ascii="Times New Roman" w:hAnsi="Times New Roman" w:cs="Times New Roman"/>
              <w:szCs w:val="24"/>
              <w:lang w:val="en-US" w:eastAsia="en-US"/>
            </w:rPr>
            <w:instrText xml:space="preserve"> HYPERLINK \l _Toc5630 </w:instrText>
          </w:r>
          <w:r>
            <w:rPr>
              <w:rFonts w:ascii="Times New Roman" w:hAnsi="Times New Roman" w:cs="Times New Roman"/>
              <w:szCs w:val="24"/>
              <w:lang w:val="en-US" w:eastAsia="en-US"/>
            </w:rPr>
            <w:fldChar w:fldCharType="separate"/>
          </w:r>
          <w:r>
            <w:rPr>
              <w:rFonts w:ascii="Times New Roman" w:hAnsi="Times New Roman" w:cs="Times New Roman"/>
            </w:rPr>
            <w:t>七、基金财务状况</w:t>
          </w:r>
          <w:r>
            <w:tab/>
          </w:r>
          <w:r>
            <w:fldChar w:fldCharType="begin"/>
          </w:r>
          <w:r>
            <w:instrText xml:space="preserve"> PAGEREF _Toc5630 \h </w:instrText>
          </w:r>
          <w:r>
            <w:fldChar w:fldCharType="separate"/>
          </w:r>
          <w:r>
            <w:t>14</w:t>
          </w:r>
          <w:r>
            <w:fldChar w:fldCharType="end"/>
          </w:r>
          <w:r>
            <w:rPr>
              <w:rFonts w:ascii="Times New Roman" w:hAnsi="Times New Roman" w:cs="Times New Roman"/>
              <w:szCs w:val="24"/>
              <w:lang w:val="en-US" w:eastAsia="en-US"/>
            </w:rPr>
            <w:fldChar w:fldCharType="end"/>
          </w:r>
        </w:p>
        <w:p w14:paraId="57805925">
          <w:pPr>
            <w:pStyle w:val="21"/>
            <w:tabs>
              <w:tab w:val="right" w:leader="dot" w:pos="8306"/>
              <w:tab w:val="clear" w:pos="8296"/>
            </w:tabs>
          </w:pPr>
          <w:r>
            <w:rPr>
              <w:rFonts w:ascii="Times New Roman" w:hAnsi="Times New Roman" w:cs="Times New Roman"/>
              <w:szCs w:val="24"/>
              <w:lang w:val="en-US" w:eastAsia="en-US"/>
            </w:rPr>
            <w:fldChar w:fldCharType="begin"/>
          </w:r>
          <w:r>
            <w:rPr>
              <w:rFonts w:ascii="Times New Roman" w:hAnsi="Times New Roman" w:cs="Times New Roman"/>
              <w:szCs w:val="24"/>
              <w:lang w:val="en-US" w:eastAsia="en-US"/>
            </w:rPr>
            <w:instrText xml:space="preserve"> HYPERLINK \l _Toc26214 </w:instrText>
          </w:r>
          <w:r>
            <w:rPr>
              <w:rFonts w:ascii="Times New Roman" w:hAnsi="Times New Roman" w:cs="Times New Roman"/>
              <w:szCs w:val="24"/>
              <w:lang w:val="en-US" w:eastAsia="en-US"/>
            </w:rPr>
            <w:fldChar w:fldCharType="separate"/>
          </w:r>
          <w:r>
            <w:rPr>
              <w:rFonts w:ascii="Times New Roman" w:hAnsi="Times New Roman" w:cs="Times New Roman"/>
            </w:rPr>
            <w:t>八、基金投资组合</w:t>
          </w:r>
          <w:r>
            <w:tab/>
          </w:r>
          <w:r>
            <w:fldChar w:fldCharType="begin"/>
          </w:r>
          <w:r>
            <w:instrText xml:space="preserve"> PAGEREF _Toc26214 \h </w:instrText>
          </w:r>
          <w:r>
            <w:fldChar w:fldCharType="separate"/>
          </w:r>
          <w:r>
            <w:t>16</w:t>
          </w:r>
          <w:r>
            <w:fldChar w:fldCharType="end"/>
          </w:r>
          <w:r>
            <w:rPr>
              <w:rFonts w:ascii="Times New Roman" w:hAnsi="Times New Roman" w:cs="Times New Roman"/>
              <w:szCs w:val="24"/>
              <w:lang w:val="en-US" w:eastAsia="en-US"/>
            </w:rPr>
            <w:fldChar w:fldCharType="end"/>
          </w:r>
        </w:p>
        <w:p w14:paraId="3702CD77">
          <w:pPr>
            <w:pStyle w:val="21"/>
            <w:tabs>
              <w:tab w:val="right" w:leader="dot" w:pos="8306"/>
              <w:tab w:val="clear" w:pos="8296"/>
            </w:tabs>
          </w:pPr>
          <w:r>
            <w:rPr>
              <w:rFonts w:ascii="Times New Roman" w:hAnsi="Times New Roman" w:cs="Times New Roman"/>
              <w:szCs w:val="24"/>
              <w:lang w:val="en-US" w:eastAsia="en-US"/>
            </w:rPr>
            <w:fldChar w:fldCharType="begin"/>
          </w:r>
          <w:r>
            <w:rPr>
              <w:rFonts w:ascii="Times New Roman" w:hAnsi="Times New Roman" w:cs="Times New Roman"/>
              <w:szCs w:val="24"/>
              <w:lang w:val="en-US" w:eastAsia="en-US"/>
            </w:rPr>
            <w:instrText xml:space="preserve"> HYPERLINK \l _Toc22567 </w:instrText>
          </w:r>
          <w:r>
            <w:rPr>
              <w:rFonts w:ascii="Times New Roman" w:hAnsi="Times New Roman" w:cs="Times New Roman"/>
              <w:szCs w:val="24"/>
              <w:lang w:val="en-US" w:eastAsia="en-US"/>
            </w:rPr>
            <w:fldChar w:fldCharType="separate"/>
          </w:r>
          <w:r>
            <w:rPr>
              <w:rFonts w:ascii="Times New Roman" w:hAnsi="Times New Roman" w:cs="Times New Roman"/>
            </w:rPr>
            <w:t>九、重大事件揭示</w:t>
          </w:r>
          <w:r>
            <w:tab/>
          </w:r>
          <w:r>
            <w:fldChar w:fldCharType="begin"/>
          </w:r>
          <w:r>
            <w:instrText xml:space="preserve"> PAGEREF _Toc22567 \h </w:instrText>
          </w:r>
          <w:r>
            <w:fldChar w:fldCharType="separate"/>
          </w:r>
          <w:r>
            <w:t>19</w:t>
          </w:r>
          <w:r>
            <w:fldChar w:fldCharType="end"/>
          </w:r>
          <w:r>
            <w:rPr>
              <w:rFonts w:ascii="Times New Roman" w:hAnsi="Times New Roman" w:cs="Times New Roman"/>
              <w:szCs w:val="24"/>
              <w:lang w:val="en-US" w:eastAsia="en-US"/>
            </w:rPr>
            <w:fldChar w:fldCharType="end"/>
          </w:r>
        </w:p>
        <w:p w14:paraId="2F79526E">
          <w:pPr>
            <w:pStyle w:val="21"/>
            <w:tabs>
              <w:tab w:val="right" w:leader="dot" w:pos="8306"/>
              <w:tab w:val="clear" w:pos="8296"/>
            </w:tabs>
          </w:pPr>
          <w:r>
            <w:rPr>
              <w:rFonts w:ascii="Times New Roman" w:hAnsi="Times New Roman" w:cs="Times New Roman"/>
              <w:szCs w:val="24"/>
              <w:lang w:val="en-US" w:eastAsia="en-US"/>
            </w:rPr>
            <w:fldChar w:fldCharType="begin"/>
          </w:r>
          <w:r>
            <w:rPr>
              <w:rFonts w:ascii="Times New Roman" w:hAnsi="Times New Roman" w:cs="Times New Roman"/>
              <w:szCs w:val="24"/>
              <w:lang w:val="en-US" w:eastAsia="en-US"/>
            </w:rPr>
            <w:instrText xml:space="preserve"> HYPERLINK \l _Toc28261 </w:instrText>
          </w:r>
          <w:r>
            <w:rPr>
              <w:rFonts w:ascii="Times New Roman" w:hAnsi="Times New Roman" w:cs="Times New Roman"/>
              <w:szCs w:val="24"/>
              <w:lang w:val="en-US" w:eastAsia="en-US"/>
            </w:rPr>
            <w:fldChar w:fldCharType="separate"/>
          </w:r>
          <w:r>
            <w:rPr>
              <w:rFonts w:ascii="Times New Roman" w:hAnsi="Times New Roman" w:cs="Times New Roman"/>
            </w:rPr>
            <w:t>十、基金管理人承诺</w:t>
          </w:r>
          <w:r>
            <w:tab/>
          </w:r>
          <w:r>
            <w:fldChar w:fldCharType="begin"/>
          </w:r>
          <w:r>
            <w:instrText xml:space="preserve"> PAGEREF _Toc28261 \h </w:instrText>
          </w:r>
          <w:r>
            <w:fldChar w:fldCharType="separate"/>
          </w:r>
          <w:r>
            <w:t>19</w:t>
          </w:r>
          <w:r>
            <w:fldChar w:fldCharType="end"/>
          </w:r>
          <w:r>
            <w:rPr>
              <w:rFonts w:ascii="Times New Roman" w:hAnsi="Times New Roman" w:cs="Times New Roman"/>
              <w:szCs w:val="24"/>
              <w:lang w:val="en-US" w:eastAsia="en-US"/>
            </w:rPr>
            <w:fldChar w:fldCharType="end"/>
          </w:r>
        </w:p>
        <w:p w14:paraId="6E613C78">
          <w:pPr>
            <w:pStyle w:val="21"/>
            <w:tabs>
              <w:tab w:val="right" w:leader="dot" w:pos="8306"/>
              <w:tab w:val="clear" w:pos="8296"/>
            </w:tabs>
          </w:pPr>
          <w:r>
            <w:rPr>
              <w:rFonts w:ascii="Times New Roman" w:hAnsi="Times New Roman" w:cs="Times New Roman"/>
              <w:szCs w:val="24"/>
              <w:lang w:val="en-US" w:eastAsia="en-US"/>
            </w:rPr>
            <w:fldChar w:fldCharType="begin"/>
          </w:r>
          <w:r>
            <w:rPr>
              <w:rFonts w:ascii="Times New Roman" w:hAnsi="Times New Roman" w:cs="Times New Roman"/>
              <w:szCs w:val="24"/>
              <w:lang w:val="en-US" w:eastAsia="en-US"/>
            </w:rPr>
            <w:instrText xml:space="preserve"> HYPERLINK \l _Toc27610 </w:instrText>
          </w:r>
          <w:r>
            <w:rPr>
              <w:rFonts w:ascii="Times New Roman" w:hAnsi="Times New Roman" w:cs="Times New Roman"/>
              <w:szCs w:val="24"/>
              <w:lang w:val="en-US" w:eastAsia="en-US"/>
            </w:rPr>
            <w:fldChar w:fldCharType="separate"/>
          </w:r>
          <w:r>
            <w:rPr>
              <w:rFonts w:ascii="Times New Roman" w:hAnsi="Times New Roman" w:cs="Times New Roman"/>
            </w:rPr>
            <w:t>十一、基金托管人承诺</w:t>
          </w:r>
          <w:r>
            <w:tab/>
          </w:r>
          <w:r>
            <w:fldChar w:fldCharType="begin"/>
          </w:r>
          <w:r>
            <w:instrText xml:space="preserve"> PAGEREF _Toc27610 \h </w:instrText>
          </w:r>
          <w:r>
            <w:fldChar w:fldCharType="separate"/>
          </w:r>
          <w:r>
            <w:t>19</w:t>
          </w:r>
          <w:r>
            <w:fldChar w:fldCharType="end"/>
          </w:r>
          <w:r>
            <w:rPr>
              <w:rFonts w:ascii="Times New Roman" w:hAnsi="Times New Roman" w:cs="Times New Roman"/>
              <w:szCs w:val="24"/>
              <w:lang w:val="en-US" w:eastAsia="en-US"/>
            </w:rPr>
            <w:fldChar w:fldCharType="end"/>
          </w:r>
        </w:p>
        <w:p w14:paraId="41851135">
          <w:pPr>
            <w:pStyle w:val="21"/>
            <w:tabs>
              <w:tab w:val="right" w:leader="dot" w:pos="8306"/>
              <w:tab w:val="clear" w:pos="8296"/>
            </w:tabs>
          </w:pPr>
          <w:r>
            <w:rPr>
              <w:rFonts w:ascii="Times New Roman" w:hAnsi="Times New Roman" w:cs="Times New Roman"/>
              <w:szCs w:val="24"/>
              <w:lang w:val="en-US" w:eastAsia="en-US"/>
            </w:rPr>
            <w:fldChar w:fldCharType="begin"/>
          </w:r>
          <w:r>
            <w:rPr>
              <w:rFonts w:ascii="Times New Roman" w:hAnsi="Times New Roman" w:cs="Times New Roman"/>
              <w:szCs w:val="24"/>
              <w:lang w:val="en-US" w:eastAsia="en-US"/>
            </w:rPr>
            <w:instrText xml:space="preserve"> HYPERLINK \l _Toc27362 </w:instrText>
          </w:r>
          <w:r>
            <w:rPr>
              <w:rFonts w:ascii="Times New Roman" w:hAnsi="Times New Roman" w:cs="Times New Roman"/>
              <w:szCs w:val="24"/>
              <w:lang w:val="en-US" w:eastAsia="en-US"/>
            </w:rPr>
            <w:fldChar w:fldCharType="separate"/>
          </w:r>
          <w:r>
            <w:rPr>
              <w:rFonts w:ascii="Times New Roman" w:hAnsi="Times New Roman" w:cs="Times New Roman"/>
            </w:rPr>
            <w:t>十二、备查文件目录</w:t>
          </w:r>
          <w:r>
            <w:tab/>
          </w:r>
          <w:r>
            <w:fldChar w:fldCharType="begin"/>
          </w:r>
          <w:r>
            <w:instrText xml:space="preserve"> PAGEREF _Toc27362 \h </w:instrText>
          </w:r>
          <w:r>
            <w:fldChar w:fldCharType="separate"/>
          </w:r>
          <w:r>
            <w:t>20</w:t>
          </w:r>
          <w:r>
            <w:fldChar w:fldCharType="end"/>
          </w:r>
          <w:r>
            <w:rPr>
              <w:rFonts w:ascii="Times New Roman" w:hAnsi="Times New Roman" w:cs="Times New Roman"/>
              <w:szCs w:val="24"/>
              <w:lang w:val="en-US" w:eastAsia="en-US"/>
            </w:rPr>
            <w:fldChar w:fldCharType="end"/>
          </w:r>
        </w:p>
        <w:p w14:paraId="33F5F7A9">
          <w:pPr>
            <w:pStyle w:val="21"/>
            <w:tabs>
              <w:tab w:val="right" w:leader="dot" w:pos="8306"/>
              <w:tab w:val="clear" w:pos="8296"/>
            </w:tabs>
          </w:pPr>
          <w:r>
            <w:rPr>
              <w:rFonts w:ascii="Times New Roman" w:hAnsi="Times New Roman" w:cs="Times New Roman"/>
              <w:szCs w:val="24"/>
              <w:lang w:val="en-US" w:eastAsia="en-US"/>
            </w:rPr>
            <w:fldChar w:fldCharType="begin"/>
          </w:r>
          <w:r>
            <w:rPr>
              <w:rFonts w:ascii="Times New Roman" w:hAnsi="Times New Roman" w:cs="Times New Roman"/>
              <w:szCs w:val="24"/>
              <w:lang w:val="en-US" w:eastAsia="en-US"/>
            </w:rPr>
            <w:instrText xml:space="preserve"> HYPERLINK \l _Toc8128 </w:instrText>
          </w:r>
          <w:r>
            <w:rPr>
              <w:rFonts w:ascii="Times New Roman" w:hAnsi="Times New Roman" w:cs="Times New Roman"/>
              <w:szCs w:val="24"/>
              <w:lang w:val="en-US" w:eastAsia="en-US"/>
            </w:rPr>
            <w:fldChar w:fldCharType="separate"/>
          </w:r>
          <w:r>
            <w:rPr>
              <w:rFonts w:hint="eastAsia" w:ascii="宋体" w:hAnsi="宋体" w:eastAsia="宋体" w:cs="宋体"/>
            </w:rPr>
            <w:t>附件：基金合同摘要</w:t>
          </w:r>
          <w:r>
            <w:tab/>
          </w:r>
          <w:r>
            <w:fldChar w:fldCharType="begin"/>
          </w:r>
          <w:r>
            <w:instrText xml:space="preserve"> PAGEREF _Toc8128 \h </w:instrText>
          </w:r>
          <w:r>
            <w:fldChar w:fldCharType="separate"/>
          </w:r>
          <w:r>
            <w:t>21</w:t>
          </w:r>
          <w:r>
            <w:fldChar w:fldCharType="end"/>
          </w:r>
          <w:r>
            <w:rPr>
              <w:rFonts w:ascii="Times New Roman" w:hAnsi="Times New Roman" w:cs="Times New Roman"/>
              <w:szCs w:val="24"/>
              <w:lang w:val="en-US" w:eastAsia="en-US"/>
            </w:rPr>
            <w:fldChar w:fldCharType="end"/>
          </w:r>
        </w:p>
        <w:p w14:paraId="6B03E03E">
          <w:pPr>
            <w:pStyle w:val="21"/>
            <w:rPr>
              <w:rFonts w:ascii="Times New Roman" w:hAnsi="Times New Roman" w:cs="Times New Roman"/>
              <w:sz w:val="21"/>
              <w:szCs w:val="22"/>
              <w:highlight w:val="none"/>
              <w:lang w:val="en-US" w:eastAsia="en-US"/>
            </w:rPr>
          </w:pPr>
          <w:r>
            <w:rPr>
              <w:rStyle w:val="64"/>
              <w:rFonts w:ascii="Times New Roman" w:hAnsi="Times New Roman" w:cs="Times New Roman"/>
              <w:sz w:val="24"/>
              <w:szCs w:val="24"/>
              <w:lang w:val="en-US" w:eastAsia="en-US"/>
            </w:rPr>
            <w:fldChar w:fldCharType="end"/>
          </w:r>
        </w:p>
      </w:sdtContent>
    </w:sdt>
    <w:p w14:paraId="78AF164A">
      <w:pPr>
        <w:snapToGrid w:val="0"/>
        <w:spacing w:line="480" w:lineRule="auto"/>
        <w:rPr>
          <w:rFonts w:ascii="Times New Roman" w:hAnsi="Times New Roman" w:cs="Times New Roman"/>
          <w:sz w:val="24"/>
          <w:szCs w:val="21"/>
          <w:highlight w:val="none"/>
          <w:lang w:val="en-US" w:eastAsia="en-US"/>
        </w:rPr>
      </w:pPr>
    </w:p>
    <w:p w14:paraId="5F1D4CEA">
      <w:pPr>
        <w:pStyle w:val="78"/>
        <w:rPr>
          <w:rFonts w:ascii="Times New Roman" w:hAnsi="Times New Roman" w:cs="Times New Roman"/>
          <w:szCs w:val="21"/>
          <w:highlight w:val="none"/>
        </w:rPr>
        <w:sectPr>
          <w:pgSz w:w="11906" w:h="16838"/>
          <w:pgMar w:top="1440" w:right="1800" w:bottom="1440" w:left="1800" w:header="0" w:footer="0" w:gutter="0"/>
          <w:pgNumType w:fmt="decimal"/>
          <w:cols w:space="720" w:num="1"/>
          <w:formProt w:val="0"/>
          <w:docGrid w:type="lines" w:linePitch="312" w:charSpace="0"/>
        </w:sectPr>
      </w:pPr>
    </w:p>
    <w:p w14:paraId="1D7E74BC">
      <w:pPr>
        <w:pStyle w:val="2"/>
        <w:ind w:left="0" w:firstLine="0"/>
        <w:rPr>
          <w:rFonts w:ascii="Times New Roman" w:hAnsi="Times New Roman" w:cs="Times New Roman"/>
          <w:highlight w:val="none"/>
        </w:rPr>
      </w:pPr>
      <w:bookmarkStart w:id="0" w:name="_Toc10342"/>
      <w:r>
        <w:rPr>
          <w:rFonts w:ascii="Times New Roman" w:hAnsi="Times New Roman" w:cs="Times New Roman"/>
        </w:rPr>
        <w:t>一、重要声明与提示</w:t>
      </w:r>
      <w:bookmarkEnd w:id="0"/>
    </w:p>
    <w:p w14:paraId="40F6D9D6">
      <w:pPr>
        <w:widowControl/>
        <w:snapToGrid w:val="0"/>
        <w:spacing w:line="360" w:lineRule="auto"/>
        <w:ind w:right="0" w:firstLine="424"/>
        <w:rPr>
          <w:kern w:val="0"/>
          <w:sz w:val="24"/>
          <w:highlight w:val="none"/>
        </w:rPr>
      </w:pPr>
      <w:r>
        <w:rPr>
          <w:kern w:val="0"/>
          <w:sz w:val="24"/>
        </w:rPr>
        <w:t>《博时中证细分化工产业主题交易型开放式指数证券投资基金上市交易公告书》（以下简称“本公告”）依据《中华人民共和国证券投资基金法》（以下简称“《基金法》”）、《证券投资基金信息披露内容与格式准则第1号〈上市交易公告书的内容与格式〉》和《深圳证券交易所证券投资基金上市规则》的规定编制，博时中证细分化工产业主题交易型开放式指数证券投资基金（以下简称“本基金”）基金管理人博时基金管理有限公司（以下简称“本基金管理人”）的董事会及董事保证本报告所载资料不存在虚假记载、误导性陈述或者重大遗漏，并对其内容的真实性、准确性和完整性承担个别及连带责任。本基金托管人北京银行股份有限公司保证本公告书中基金财务会计资料等内容的真实性、准确性和完整性，承诺其中不存在虚假记载、误导性陈述或者重大遗漏。</w:t>
      </w:r>
      <w:bookmarkStart w:id="1" w:name="OLE_LINK11"/>
      <w:bookmarkEnd w:id="1"/>
      <w:bookmarkStart w:id="2" w:name="OLE_LINK10"/>
      <w:bookmarkEnd w:id="2"/>
    </w:p>
    <w:p w14:paraId="3682F17C">
      <w:pPr>
        <w:widowControl/>
        <w:snapToGrid w:val="0"/>
        <w:spacing w:before="0" w:after="240" w:line="360" w:lineRule="auto"/>
        <w:ind w:right="0" w:firstLine="424"/>
        <w:rPr>
          <w:kern w:val="0"/>
          <w:szCs w:val="21"/>
          <w:highlight w:val="none"/>
        </w:rPr>
      </w:pPr>
      <w:r>
        <w:rPr>
          <w:kern w:val="0"/>
          <w:sz w:val="24"/>
        </w:rPr>
        <w:t>中国证券监督管理委员会（以下简称“中国证监会”）和深圳证券交易所对本基金上市交易及有关事项的意见，均不表明对本基金的任何保证。凡本公告书未涉及的有关内容，请投资者详细查阅刊登于本基金管理人网站（https://www.bosera.com）上的《博时中证细分化工产业主题交易型开放式指数证券投资基金招募说明书》。</w:t>
      </w:r>
    </w:p>
    <w:p w14:paraId="3768DAFA">
      <w:pPr>
        <w:pStyle w:val="2"/>
        <w:ind w:left="0" w:firstLine="0"/>
        <w:rPr>
          <w:rFonts w:ascii="Times New Roman" w:hAnsi="Times New Roman" w:cs="Times New Roman"/>
          <w:highlight w:val="none"/>
        </w:rPr>
      </w:pPr>
      <w:bookmarkStart w:id="3" w:name="_Toc25110"/>
      <w:r>
        <w:rPr>
          <w:rFonts w:ascii="Times New Roman" w:hAnsi="Times New Roman" w:cs="Times New Roman"/>
        </w:rPr>
        <w:t>二、基金概览</w:t>
      </w:r>
      <w:bookmarkEnd w:id="3"/>
    </w:p>
    <w:p w14:paraId="602631EB">
      <w:pPr>
        <w:widowControl/>
        <w:snapToGrid w:val="0"/>
        <w:spacing w:line="360" w:lineRule="auto"/>
        <w:ind w:right="0" w:firstLine="424"/>
        <w:rPr>
          <w:rFonts w:eastAsia="宋体"/>
          <w:color w:val="000000"/>
          <w:kern w:val="0"/>
          <w:sz w:val="24"/>
          <w:highlight w:val="none"/>
          <w:lang w:eastAsia="zh-CN"/>
        </w:rPr>
      </w:pPr>
      <w:r>
        <w:rPr>
          <w:color w:val="000000"/>
          <w:kern w:val="0"/>
          <w:sz w:val="24"/>
        </w:rPr>
        <w:t>1、基金名称：博时中证细分化工产业主题交易型开放式指数证券投资基金</w:t>
      </w:r>
    </w:p>
    <w:p w14:paraId="006F8102">
      <w:pPr>
        <w:widowControl/>
        <w:snapToGrid w:val="0"/>
        <w:spacing w:line="360" w:lineRule="auto"/>
        <w:ind w:right="0" w:firstLine="424"/>
        <w:rPr>
          <w:color w:val="000000"/>
          <w:kern w:val="0"/>
          <w:sz w:val="24"/>
          <w:highlight w:val="none"/>
        </w:rPr>
      </w:pPr>
      <w:r>
        <w:rPr>
          <w:color w:val="000000"/>
          <w:kern w:val="0"/>
          <w:sz w:val="24"/>
        </w:rPr>
        <w:t>2、基金类型：股票型指数基金</w:t>
      </w:r>
    </w:p>
    <w:p w14:paraId="299B7C6B">
      <w:pPr>
        <w:widowControl/>
        <w:snapToGrid w:val="0"/>
        <w:spacing w:line="360" w:lineRule="auto"/>
        <w:ind w:right="0" w:firstLine="424"/>
        <w:rPr>
          <w:color w:val="000000"/>
          <w:kern w:val="0"/>
          <w:sz w:val="24"/>
          <w:highlight w:val="none"/>
        </w:rPr>
      </w:pPr>
      <w:r>
        <w:rPr>
          <w:color w:val="000000"/>
          <w:kern w:val="0"/>
          <w:sz w:val="24"/>
        </w:rPr>
        <w:t>3、运作方式：交易型开放式</w:t>
      </w:r>
    </w:p>
    <w:p w14:paraId="5CD35DD9">
      <w:pPr>
        <w:widowControl/>
        <w:snapToGrid w:val="0"/>
        <w:spacing w:line="360" w:lineRule="auto"/>
        <w:ind w:right="0" w:firstLine="424"/>
        <w:rPr>
          <w:color w:val="000000"/>
          <w:kern w:val="0"/>
          <w:sz w:val="24"/>
          <w:highlight w:val="none"/>
        </w:rPr>
      </w:pPr>
      <w:r>
        <w:rPr>
          <w:color w:val="000000"/>
          <w:kern w:val="0"/>
          <w:sz w:val="24"/>
        </w:rPr>
        <w:t>4、基金存续期限：不定期</w:t>
      </w:r>
    </w:p>
    <w:p w14:paraId="2F4D3800">
      <w:pPr>
        <w:widowControl/>
        <w:snapToGrid w:val="0"/>
        <w:spacing w:line="360" w:lineRule="auto"/>
        <w:ind w:right="0" w:firstLine="424"/>
        <w:rPr>
          <w:rFonts w:eastAsia="宋体"/>
          <w:color w:val="000000"/>
          <w:kern w:val="0"/>
          <w:sz w:val="24"/>
          <w:highlight w:val="none"/>
          <w:lang w:eastAsia="zh-CN"/>
        </w:rPr>
      </w:pPr>
      <w:r>
        <w:rPr>
          <w:color w:val="000000"/>
          <w:kern w:val="0"/>
          <w:sz w:val="24"/>
        </w:rPr>
        <w:t>5、基金简称：博时中证细分化工产业主题ETF </w:t>
      </w:r>
    </w:p>
    <w:p w14:paraId="3FBFA6B4">
      <w:pPr>
        <w:widowControl/>
        <w:snapToGrid w:val="0"/>
        <w:spacing w:line="360" w:lineRule="auto"/>
        <w:ind w:right="0" w:firstLine="424"/>
        <w:rPr>
          <w:rFonts w:eastAsia="宋体"/>
          <w:color w:val="000000"/>
          <w:kern w:val="0"/>
          <w:sz w:val="24"/>
          <w:highlight w:val="none"/>
          <w:lang w:val="en-US" w:eastAsia="zh-CN"/>
        </w:rPr>
      </w:pPr>
      <w:r>
        <w:rPr>
          <w:color w:val="000000"/>
          <w:kern w:val="0"/>
          <w:sz w:val="24"/>
        </w:rPr>
        <w:t>6、场内简称：化工ETF博时</w:t>
      </w:r>
    </w:p>
    <w:p w14:paraId="06BD103F">
      <w:pPr>
        <w:widowControl/>
        <w:snapToGrid w:val="0"/>
        <w:spacing w:line="360" w:lineRule="auto"/>
        <w:ind w:right="0" w:firstLine="424"/>
        <w:rPr>
          <w:rFonts w:eastAsia="宋体"/>
          <w:color w:val="000000"/>
          <w:kern w:val="0"/>
          <w:sz w:val="24"/>
          <w:highlight w:val="none"/>
          <w:lang w:eastAsia="zh-CN"/>
        </w:rPr>
      </w:pPr>
      <w:r>
        <w:rPr>
          <w:color w:val="000000"/>
          <w:kern w:val="0"/>
          <w:sz w:val="24"/>
        </w:rPr>
        <w:t>7、基金代码：158006 </w:t>
      </w:r>
    </w:p>
    <w:p w14:paraId="40B516DC">
      <w:pPr>
        <w:widowControl/>
        <w:snapToGrid w:val="0"/>
        <w:spacing w:line="360" w:lineRule="auto"/>
        <w:ind w:right="0" w:firstLine="424"/>
        <w:rPr>
          <w:color w:val="000000"/>
          <w:kern w:val="0"/>
          <w:sz w:val="24"/>
          <w:highlight w:val="none"/>
        </w:rPr>
      </w:pPr>
      <w:r>
        <w:rPr>
          <w:color w:val="000000"/>
          <w:kern w:val="0"/>
          <w:sz w:val="24"/>
        </w:rPr>
        <w:t>8、截至公告日前两个工作日的基金份额总额：截至</w:t>
      </w:r>
      <w:r>
        <w:rPr>
          <w:rFonts w:hint="eastAsia"/>
          <w:color w:val="000000"/>
          <w:kern w:val="0"/>
          <w:sz w:val="24"/>
          <w:lang w:eastAsia="zh-CN"/>
        </w:rPr>
        <w:t>2026年7月31日</w:t>
      </w:r>
      <w:r>
        <w:rPr>
          <w:color w:val="000000"/>
          <w:kern w:val="0"/>
          <w:sz w:val="24"/>
        </w:rPr>
        <w:t>，本基金的基金份额总额为</w:t>
      </w:r>
      <w:r>
        <w:rPr>
          <w:rFonts w:hint="eastAsia"/>
          <w:color w:val="000000"/>
          <w:kern w:val="0"/>
          <w:sz w:val="24"/>
        </w:rPr>
        <w:t>213,046,012.00</w:t>
      </w:r>
      <w:r>
        <w:rPr>
          <w:color w:val="000000"/>
          <w:kern w:val="0"/>
          <w:sz w:val="24"/>
        </w:rPr>
        <w:t>份。</w:t>
      </w:r>
    </w:p>
    <w:p w14:paraId="01C745B3">
      <w:pPr>
        <w:widowControl/>
        <w:snapToGrid w:val="0"/>
        <w:spacing w:line="360" w:lineRule="auto"/>
        <w:ind w:right="0" w:firstLine="424"/>
        <w:rPr>
          <w:color w:val="000000"/>
          <w:kern w:val="0"/>
          <w:sz w:val="24"/>
          <w:highlight w:val="none"/>
        </w:rPr>
      </w:pPr>
      <w:r>
        <w:rPr>
          <w:color w:val="000000"/>
          <w:kern w:val="0"/>
          <w:sz w:val="24"/>
        </w:rPr>
        <w:t>9、截至公告日前两个工作日的基金份额净值：截至</w:t>
      </w:r>
      <w:r>
        <w:rPr>
          <w:rFonts w:hint="eastAsia"/>
          <w:color w:val="000000"/>
          <w:kern w:val="0"/>
          <w:sz w:val="24"/>
          <w:lang w:eastAsia="zh-CN"/>
        </w:rPr>
        <w:t>2026年7月31日</w:t>
      </w:r>
      <w:r>
        <w:rPr>
          <w:color w:val="000000"/>
          <w:kern w:val="0"/>
          <w:sz w:val="24"/>
        </w:rPr>
        <w:t>，本基金的基金份额净值为</w:t>
      </w:r>
      <w:r>
        <w:rPr>
          <w:rFonts w:hint="eastAsia"/>
          <w:color w:val="000000"/>
          <w:kern w:val="0"/>
          <w:sz w:val="24"/>
          <w:lang w:eastAsia="zh-CN"/>
        </w:rPr>
        <w:t>0.9982</w:t>
      </w:r>
      <w:r>
        <w:rPr>
          <w:color w:val="000000"/>
          <w:kern w:val="0"/>
          <w:sz w:val="24"/>
        </w:rPr>
        <w:t>元。</w:t>
      </w:r>
    </w:p>
    <w:p w14:paraId="42398FEA">
      <w:pPr>
        <w:widowControl/>
        <w:snapToGrid w:val="0"/>
        <w:spacing w:line="360" w:lineRule="auto"/>
        <w:ind w:right="0" w:firstLine="424"/>
        <w:rPr>
          <w:color w:val="000000"/>
          <w:kern w:val="0"/>
          <w:sz w:val="24"/>
          <w:highlight w:val="none"/>
        </w:rPr>
      </w:pPr>
      <w:r>
        <w:rPr>
          <w:color w:val="000000"/>
          <w:kern w:val="0"/>
          <w:sz w:val="24"/>
        </w:rPr>
        <w:t>10、本次上市交易的基金份额总额：截至</w:t>
      </w:r>
      <w:r>
        <w:rPr>
          <w:rFonts w:hint="eastAsia"/>
          <w:color w:val="000000"/>
          <w:kern w:val="0"/>
          <w:sz w:val="24"/>
          <w:lang w:eastAsia="zh-CN"/>
        </w:rPr>
        <w:t>2026年7月31日</w:t>
      </w:r>
      <w:r>
        <w:rPr>
          <w:color w:val="000000"/>
          <w:kern w:val="0"/>
          <w:sz w:val="24"/>
        </w:rPr>
        <w:t>，本次上市交易的基金份额总额为</w:t>
      </w:r>
      <w:r>
        <w:rPr>
          <w:rFonts w:hint="eastAsia"/>
          <w:color w:val="000000"/>
          <w:kern w:val="0"/>
          <w:sz w:val="24"/>
        </w:rPr>
        <w:t>213,046,012.00</w:t>
      </w:r>
      <w:r>
        <w:rPr>
          <w:color w:val="000000"/>
          <w:kern w:val="0"/>
          <w:sz w:val="24"/>
        </w:rPr>
        <w:t>份。</w:t>
      </w:r>
    </w:p>
    <w:p w14:paraId="48147AE5">
      <w:pPr>
        <w:widowControl/>
        <w:snapToGrid w:val="0"/>
        <w:spacing w:line="360" w:lineRule="auto"/>
        <w:ind w:right="0" w:firstLine="424"/>
        <w:rPr>
          <w:color w:val="000000"/>
          <w:kern w:val="0"/>
          <w:sz w:val="24"/>
          <w:highlight w:val="none"/>
        </w:rPr>
      </w:pPr>
      <w:r>
        <w:rPr>
          <w:color w:val="000000"/>
          <w:kern w:val="0"/>
          <w:sz w:val="24"/>
        </w:rPr>
        <w:t>11、上市交易的证券交易所：深圳证券交易所</w:t>
      </w:r>
    </w:p>
    <w:p w14:paraId="3E2FBF01">
      <w:pPr>
        <w:widowControl/>
        <w:snapToGrid w:val="0"/>
        <w:spacing w:line="360" w:lineRule="auto"/>
        <w:ind w:right="0" w:firstLine="424"/>
        <w:rPr>
          <w:rFonts w:hint="eastAsia" w:eastAsia="宋体"/>
          <w:color w:val="000000"/>
          <w:kern w:val="0"/>
          <w:sz w:val="24"/>
          <w:highlight w:val="none"/>
          <w:lang w:eastAsia="zh-CN"/>
        </w:rPr>
      </w:pPr>
      <w:r>
        <w:rPr>
          <w:color w:val="000000"/>
          <w:kern w:val="0"/>
          <w:sz w:val="24"/>
        </w:rPr>
        <w:t>12、上市交易日期：</w:t>
      </w:r>
      <w:r>
        <w:rPr>
          <w:rFonts w:hint="eastAsia"/>
          <w:color w:val="000000"/>
          <w:kern w:val="0"/>
          <w:sz w:val="24"/>
          <w:lang w:eastAsia="zh-CN"/>
        </w:rPr>
        <w:t>2026年8月7日</w:t>
      </w:r>
    </w:p>
    <w:p w14:paraId="13E7B7CC">
      <w:pPr>
        <w:widowControl/>
        <w:snapToGrid w:val="0"/>
        <w:spacing w:line="360" w:lineRule="auto"/>
        <w:ind w:right="0" w:firstLine="424"/>
        <w:rPr>
          <w:color w:val="000000"/>
          <w:kern w:val="0"/>
          <w:sz w:val="24"/>
          <w:highlight w:val="none"/>
        </w:rPr>
      </w:pPr>
      <w:r>
        <w:rPr>
          <w:color w:val="000000"/>
          <w:kern w:val="0"/>
          <w:sz w:val="24"/>
        </w:rPr>
        <w:t>13、基金管理人：博时基金管理有限公司。</w:t>
      </w:r>
    </w:p>
    <w:p w14:paraId="0ED64961">
      <w:pPr>
        <w:widowControl/>
        <w:snapToGrid w:val="0"/>
        <w:spacing w:line="360" w:lineRule="auto"/>
        <w:ind w:right="0" w:firstLine="424"/>
        <w:rPr>
          <w:color w:val="000000"/>
          <w:kern w:val="0"/>
          <w:sz w:val="24"/>
          <w:highlight w:val="none"/>
        </w:rPr>
      </w:pPr>
      <w:r>
        <w:rPr>
          <w:color w:val="000000"/>
          <w:kern w:val="0"/>
          <w:sz w:val="24"/>
        </w:rPr>
        <w:t>14、基金托管人：北京银行股份有限公司。</w:t>
      </w:r>
    </w:p>
    <w:p w14:paraId="77BF7625">
      <w:pPr>
        <w:widowControl/>
        <w:snapToGrid w:val="0"/>
        <w:spacing w:line="360" w:lineRule="auto"/>
        <w:ind w:right="0" w:firstLine="424"/>
        <w:rPr>
          <w:color w:val="000000"/>
          <w:kern w:val="0"/>
          <w:sz w:val="24"/>
          <w:highlight w:val="none"/>
        </w:rPr>
      </w:pPr>
      <w:r>
        <w:rPr>
          <w:color w:val="000000"/>
          <w:kern w:val="0"/>
          <w:sz w:val="24"/>
        </w:rPr>
        <w:t>15、本次上市交易的基金份额注册登记机构：中国证券登记结算有限责任公司。</w:t>
      </w:r>
    </w:p>
    <w:p w14:paraId="21C13552">
      <w:pPr>
        <w:widowControl/>
        <w:snapToGrid w:val="0"/>
        <w:spacing w:line="360" w:lineRule="auto"/>
        <w:ind w:right="0" w:firstLine="424"/>
        <w:rPr>
          <w:color w:val="000000"/>
          <w:kern w:val="0"/>
          <w:sz w:val="24"/>
          <w:highlight w:val="none"/>
        </w:rPr>
      </w:pPr>
      <w:r>
        <w:rPr>
          <w:color w:val="000000"/>
          <w:kern w:val="0"/>
          <w:sz w:val="24"/>
        </w:rPr>
        <w:t>16、申购赎回代办券商：</w:t>
      </w:r>
    </w:p>
    <w:p w14:paraId="6F35765D">
      <w:pPr>
        <w:widowControl/>
        <w:snapToGrid w:val="0"/>
        <w:spacing w:line="360" w:lineRule="auto"/>
        <w:ind w:right="0" w:firstLine="424"/>
        <w:rPr>
          <w:rFonts w:ascii="宋体" w:hAnsi="宋体" w:eastAsia="宋体" w:cs="宋体"/>
          <w:color w:val="000000"/>
          <w:sz w:val="24"/>
          <w:szCs w:val="24"/>
          <w:highlight w:val="none"/>
          <w:lang w:eastAsia="zh-CN"/>
        </w:rPr>
      </w:pPr>
      <w:r>
        <w:rPr>
          <w:rFonts w:hint="eastAsia" w:ascii="宋体" w:hAnsi="宋体" w:cs="宋体"/>
          <w:color w:val="000000"/>
          <w:sz w:val="24"/>
          <w:szCs w:val="24"/>
          <w:lang w:eastAsia="zh-CN"/>
        </w:rPr>
        <w:t>长城证券股份有限公司、财达证券股份有限公司、德邦证券股份有限公司、东方财富证券股份有限公司、东方证券股份有限公司、东莞证券股份有限公司、东海证券股份有限公司、东吴证券股份有限公司、东兴证券股份有限公司、方正证券股份有限公司、广发证券股份有限公司、国海证券股份有限公司、国金证券股份有限公司、国盛证券股份有限公司、国泰海通证券股份有限公司、国投证券股份有限公司、国新证券股份有限公司、国信证券股份有限公司、华宝证券股份有限公司、华福证券股份有限公司、华泰证券股份有限公司、华西证券股份有限公司、华鑫证券有限责任公司、江海证券有限公司、联储证券股份有限公司、平安证券股份有限公司、瑞银证券有限责任公司、山西证券股份有限公司、申万宏源西部证券有限公司、申万宏源证券有限公司、世纪证券有限责任公司、万和证券股份有限公司、万联证券股份有限公司、西部证券股份有限公司、西南证券股份有限公司、湘财证券股份有限公司、兴业证券股份有限公司、粤开证券股份有限公司、招商证券股份有限公司、浙商证券股份有限公司、中国国际金融股份有限公司、中国银河证券股份有限公司、中国中金财富证券有限公司、中泰证券股份有限公司、中信建投证券股份有限公司、中信证券（山东）有限责任公司、中信证券股份有限公司、中信证券华南股份有限公司。</w:t>
      </w:r>
    </w:p>
    <w:p w14:paraId="72E473E0">
      <w:pPr>
        <w:pStyle w:val="2"/>
        <w:ind w:left="0" w:firstLine="0"/>
        <w:rPr>
          <w:rFonts w:ascii="Times New Roman" w:hAnsi="Times New Roman" w:cs="Times New Roman"/>
          <w:highlight w:val="none"/>
        </w:rPr>
      </w:pPr>
      <w:bookmarkStart w:id="4" w:name="_Toc19714"/>
      <w:r>
        <w:rPr>
          <w:rFonts w:ascii="Times New Roman" w:hAnsi="Times New Roman" w:cs="Times New Roman"/>
        </w:rPr>
        <w:t>三、基金的募集与上市交易</w:t>
      </w:r>
      <w:bookmarkEnd w:id="4"/>
      <w:bookmarkStart w:id="5" w:name="__RefHeading___Toc22900840"/>
      <w:bookmarkEnd w:id="5"/>
    </w:p>
    <w:p w14:paraId="1976739A">
      <w:pPr>
        <w:widowControl/>
        <w:snapToGrid w:val="0"/>
        <w:spacing w:line="360" w:lineRule="auto"/>
        <w:ind w:right="0" w:firstLine="424"/>
        <w:rPr>
          <w:color w:val="000000"/>
          <w:kern w:val="0"/>
          <w:sz w:val="24"/>
          <w:highlight w:val="none"/>
        </w:rPr>
      </w:pPr>
      <w:r>
        <w:rPr>
          <w:color w:val="000000"/>
          <w:kern w:val="0"/>
          <w:sz w:val="24"/>
        </w:rPr>
        <w:t>（一）本基金上市前基金募集情况</w:t>
      </w:r>
    </w:p>
    <w:p w14:paraId="7C019D8F">
      <w:pPr>
        <w:widowControl/>
        <w:snapToGrid w:val="0"/>
        <w:spacing w:line="360" w:lineRule="auto"/>
        <w:ind w:right="0" w:firstLine="424"/>
        <w:rPr>
          <w:color w:val="000000"/>
          <w:kern w:val="0"/>
          <w:sz w:val="24"/>
          <w:highlight w:val="none"/>
        </w:rPr>
      </w:pPr>
      <w:r>
        <w:rPr>
          <w:color w:val="000000"/>
          <w:kern w:val="0"/>
          <w:sz w:val="24"/>
        </w:rPr>
        <w:t>1、基金募集申请的核准机构和核准文号：中国证券监督管理委员会，证监许可[2026]1460号文。</w:t>
      </w:r>
    </w:p>
    <w:p w14:paraId="46D4F3A1">
      <w:pPr>
        <w:widowControl/>
        <w:snapToGrid w:val="0"/>
        <w:spacing w:line="360" w:lineRule="auto"/>
        <w:ind w:right="0" w:firstLine="424"/>
        <w:rPr>
          <w:color w:val="000000"/>
          <w:kern w:val="0"/>
          <w:sz w:val="24"/>
          <w:highlight w:val="none"/>
        </w:rPr>
      </w:pPr>
      <w:r>
        <w:rPr>
          <w:color w:val="000000"/>
          <w:kern w:val="0"/>
          <w:sz w:val="24"/>
        </w:rPr>
        <w:t>2、基金运作方式：交易型开放式。</w:t>
      </w:r>
    </w:p>
    <w:p w14:paraId="34375962">
      <w:pPr>
        <w:widowControl/>
        <w:snapToGrid w:val="0"/>
        <w:spacing w:line="360" w:lineRule="auto"/>
        <w:ind w:right="0" w:firstLine="424"/>
        <w:rPr>
          <w:color w:val="000000"/>
          <w:kern w:val="0"/>
          <w:sz w:val="24"/>
          <w:highlight w:val="none"/>
        </w:rPr>
      </w:pPr>
      <w:r>
        <w:rPr>
          <w:color w:val="000000"/>
          <w:kern w:val="0"/>
          <w:sz w:val="24"/>
        </w:rPr>
        <w:t>3、基金合同期限：不定期。</w:t>
      </w:r>
    </w:p>
    <w:p w14:paraId="6B019E46">
      <w:pPr>
        <w:widowControl/>
        <w:snapToGrid w:val="0"/>
        <w:spacing w:line="360" w:lineRule="auto"/>
        <w:ind w:right="0" w:firstLine="424"/>
        <w:rPr>
          <w:color w:val="000000"/>
          <w:kern w:val="0"/>
          <w:sz w:val="24"/>
          <w:highlight w:val="none"/>
        </w:rPr>
      </w:pPr>
      <w:r>
        <w:rPr>
          <w:color w:val="000000"/>
          <w:kern w:val="0"/>
          <w:sz w:val="24"/>
        </w:rPr>
        <w:t>4、发售日期：2026年7月13日至2026年7月24日。</w:t>
      </w:r>
    </w:p>
    <w:p w14:paraId="0203A19E">
      <w:pPr>
        <w:widowControl/>
        <w:snapToGrid w:val="0"/>
        <w:spacing w:line="360" w:lineRule="auto"/>
        <w:ind w:right="0" w:firstLine="424"/>
        <w:rPr>
          <w:color w:val="000000"/>
          <w:kern w:val="0"/>
          <w:sz w:val="24"/>
          <w:highlight w:val="none"/>
        </w:rPr>
      </w:pPr>
      <w:r>
        <w:rPr>
          <w:color w:val="000000"/>
          <w:kern w:val="0"/>
          <w:sz w:val="24"/>
        </w:rPr>
        <w:t>5、发售价格：每份基金份额初始面值为1.00元人民币。</w:t>
      </w:r>
    </w:p>
    <w:p w14:paraId="0987ACE1">
      <w:pPr>
        <w:widowControl/>
        <w:snapToGrid w:val="0"/>
        <w:spacing w:line="360" w:lineRule="auto"/>
        <w:ind w:right="0" w:firstLine="424"/>
        <w:rPr>
          <w:color w:val="000000"/>
          <w:kern w:val="0"/>
          <w:sz w:val="24"/>
          <w:highlight w:val="none"/>
        </w:rPr>
      </w:pPr>
      <w:r>
        <w:rPr>
          <w:color w:val="000000"/>
          <w:kern w:val="0"/>
          <w:sz w:val="24"/>
        </w:rPr>
        <w:t>6、发售方式：投资人可选择网上现金认购</w:t>
      </w:r>
      <w:r>
        <w:rPr>
          <w:color w:val="000000"/>
          <w:kern w:val="0"/>
          <w:sz w:val="24"/>
          <w:lang w:eastAsia="zh-CN"/>
        </w:rPr>
        <w:t>、</w:t>
      </w:r>
      <w:r>
        <w:rPr>
          <w:color w:val="000000"/>
          <w:kern w:val="0"/>
          <w:sz w:val="24"/>
        </w:rPr>
        <w:t>网下现金认购</w:t>
      </w:r>
      <w:r>
        <w:rPr>
          <w:color w:val="000000"/>
          <w:kern w:val="0"/>
          <w:sz w:val="24"/>
          <w:lang w:val="en-US" w:eastAsia="zh-CN"/>
        </w:rPr>
        <w:t>两</w:t>
      </w:r>
      <w:r>
        <w:rPr>
          <w:color w:val="000000"/>
          <w:kern w:val="0"/>
          <w:sz w:val="24"/>
        </w:rPr>
        <w:t>种方式。</w:t>
      </w:r>
    </w:p>
    <w:p w14:paraId="77DA0D1A">
      <w:pPr>
        <w:widowControl/>
        <w:snapToGrid w:val="0"/>
        <w:spacing w:line="360" w:lineRule="auto"/>
        <w:ind w:right="0" w:firstLine="424"/>
        <w:rPr>
          <w:color w:val="000000"/>
          <w:kern w:val="0"/>
          <w:sz w:val="24"/>
          <w:highlight w:val="none"/>
        </w:rPr>
      </w:pPr>
      <w:r>
        <w:rPr>
          <w:color w:val="000000"/>
          <w:kern w:val="0"/>
          <w:sz w:val="24"/>
        </w:rPr>
        <w:t>7、发售机构</w:t>
      </w:r>
    </w:p>
    <w:p w14:paraId="63D9BC3C">
      <w:pPr>
        <w:widowControl/>
        <w:snapToGrid w:val="0"/>
        <w:spacing w:line="360" w:lineRule="auto"/>
        <w:ind w:right="0" w:firstLine="424"/>
        <w:rPr>
          <w:color w:val="000000"/>
          <w:kern w:val="0"/>
          <w:sz w:val="24"/>
          <w:highlight w:val="none"/>
        </w:rPr>
      </w:pPr>
      <w:r>
        <w:rPr>
          <w:color w:val="000000"/>
          <w:kern w:val="0"/>
          <w:sz w:val="24"/>
        </w:rPr>
        <w:t>（1）网下现金发售的直销机构</w:t>
      </w:r>
    </w:p>
    <w:p w14:paraId="4E8591F3">
      <w:pPr>
        <w:widowControl/>
        <w:snapToGrid w:val="0"/>
        <w:spacing w:line="360" w:lineRule="auto"/>
        <w:ind w:right="0" w:firstLine="424"/>
        <w:rPr>
          <w:color w:val="000000"/>
          <w:kern w:val="0"/>
          <w:sz w:val="24"/>
          <w:highlight w:val="none"/>
        </w:rPr>
      </w:pPr>
      <w:r>
        <w:rPr>
          <w:color w:val="000000"/>
          <w:kern w:val="0"/>
          <w:sz w:val="24"/>
        </w:rPr>
        <w:t>名称：博时基金管理有限公司</w:t>
      </w:r>
    </w:p>
    <w:p w14:paraId="3FBB97DF">
      <w:pPr>
        <w:widowControl/>
        <w:snapToGrid w:val="0"/>
        <w:spacing w:line="360" w:lineRule="auto"/>
        <w:ind w:right="0" w:firstLine="424"/>
        <w:rPr>
          <w:color w:val="000000"/>
          <w:kern w:val="0"/>
          <w:sz w:val="24"/>
          <w:highlight w:val="none"/>
        </w:rPr>
      </w:pPr>
      <w:r>
        <w:rPr>
          <w:color w:val="000000"/>
          <w:kern w:val="0"/>
          <w:sz w:val="24"/>
        </w:rPr>
        <w:t>住所：深圳市福田区莲花街道福新社区益田路5999号基金大厦21层</w:t>
      </w:r>
    </w:p>
    <w:p w14:paraId="26E59ABA">
      <w:pPr>
        <w:widowControl/>
        <w:snapToGrid w:val="0"/>
        <w:spacing w:line="360" w:lineRule="auto"/>
        <w:ind w:right="0" w:firstLine="424"/>
        <w:rPr>
          <w:color w:val="000000"/>
          <w:kern w:val="0"/>
          <w:sz w:val="24"/>
          <w:highlight w:val="none"/>
        </w:rPr>
      </w:pPr>
      <w:r>
        <w:rPr>
          <w:color w:val="000000"/>
          <w:kern w:val="0"/>
          <w:sz w:val="24"/>
        </w:rPr>
        <w:t>办公地址：北京市东城区建国门内大街8号中粮广场C座609</w:t>
      </w:r>
    </w:p>
    <w:p w14:paraId="7425C7D5">
      <w:pPr>
        <w:widowControl/>
        <w:snapToGrid w:val="0"/>
        <w:spacing w:line="360" w:lineRule="auto"/>
        <w:ind w:right="0" w:firstLine="424"/>
        <w:rPr>
          <w:color w:val="000000"/>
          <w:kern w:val="0"/>
          <w:sz w:val="24"/>
          <w:highlight w:val="none"/>
        </w:rPr>
      </w:pPr>
      <w:r>
        <w:rPr>
          <w:color w:val="000000"/>
          <w:kern w:val="0"/>
          <w:sz w:val="24"/>
        </w:rPr>
        <w:t>电话：010-65187055</w:t>
      </w:r>
    </w:p>
    <w:p w14:paraId="0CB3FC98">
      <w:pPr>
        <w:widowControl/>
        <w:snapToGrid w:val="0"/>
        <w:spacing w:line="360" w:lineRule="auto"/>
        <w:ind w:right="0" w:firstLine="424"/>
        <w:rPr>
          <w:color w:val="000000"/>
          <w:kern w:val="0"/>
          <w:sz w:val="24"/>
          <w:highlight w:val="none"/>
        </w:rPr>
      </w:pPr>
      <w:r>
        <w:rPr>
          <w:color w:val="000000"/>
          <w:kern w:val="0"/>
          <w:sz w:val="24"/>
        </w:rPr>
        <w:t>传真：010-65187032</w:t>
      </w:r>
    </w:p>
    <w:p w14:paraId="0E4336AA">
      <w:pPr>
        <w:widowControl/>
        <w:snapToGrid w:val="0"/>
        <w:spacing w:line="360" w:lineRule="auto"/>
        <w:ind w:right="0" w:firstLine="424"/>
        <w:rPr>
          <w:color w:val="000000"/>
          <w:kern w:val="0"/>
          <w:sz w:val="24"/>
          <w:highlight w:val="none"/>
        </w:rPr>
      </w:pPr>
      <w:r>
        <w:rPr>
          <w:color w:val="000000"/>
          <w:kern w:val="0"/>
          <w:sz w:val="24"/>
        </w:rPr>
        <w:t>联系人：韩明亮</w:t>
      </w:r>
    </w:p>
    <w:p w14:paraId="0511B7ED">
      <w:pPr>
        <w:widowControl/>
        <w:snapToGrid w:val="0"/>
        <w:spacing w:line="360" w:lineRule="auto"/>
        <w:ind w:right="0" w:firstLine="424"/>
        <w:rPr>
          <w:color w:val="000000"/>
          <w:kern w:val="0"/>
          <w:sz w:val="24"/>
          <w:highlight w:val="none"/>
        </w:rPr>
      </w:pPr>
      <w:r>
        <w:rPr>
          <w:color w:val="000000"/>
          <w:kern w:val="0"/>
          <w:sz w:val="24"/>
        </w:rPr>
        <w:t>全国统一客服热线：95105568（免长途费）</w:t>
      </w:r>
    </w:p>
    <w:p w14:paraId="75863F41">
      <w:pPr>
        <w:widowControl/>
        <w:snapToGrid w:val="0"/>
        <w:spacing w:line="360" w:lineRule="auto"/>
        <w:ind w:right="0" w:firstLine="424"/>
        <w:rPr>
          <w:rFonts w:eastAsia="宋体"/>
          <w:color w:val="000000"/>
          <w:kern w:val="0"/>
          <w:sz w:val="24"/>
          <w:highlight w:val="none"/>
          <w:lang w:eastAsia="zh-CN"/>
        </w:rPr>
      </w:pPr>
      <w:r>
        <w:rPr>
          <w:color w:val="000000"/>
          <w:kern w:val="0"/>
          <w:sz w:val="24"/>
        </w:rPr>
        <w:t>公司网址：</w:t>
      </w:r>
      <w:r>
        <w:rPr>
          <w:color w:val="000000"/>
          <w:kern w:val="0"/>
          <w:sz w:val="24"/>
          <w:lang w:eastAsia="zh-CN"/>
        </w:rPr>
        <w:t>https://www.bosera.com</w:t>
      </w:r>
    </w:p>
    <w:p w14:paraId="5BF112D7">
      <w:pPr>
        <w:widowControl/>
        <w:snapToGrid w:val="0"/>
        <w:spacing w:line="360" w:lineRule="auto"/>
        <w:ind w:right="0" w:firstLine="424"/>
        <w:rPr>
          <w:color w:val="000000"/>
          <w:kern w:val="0"/>
          <w:sz w:val="24"/>
          <w:highlight w:val="none"/>
        </w:rPr>
      </w:pPr>
      <w:r>
        <w:rPr>
          <w:color w:val="000000"/>
          <w:kern w:val="0"/>
          <w:sz w:val="24"/>
        </w:rPr>
        <w:t>（2）网下现金发售代理机构</w:t>
      </w:r>
    </w:p>
    <w:p w14:paraId="1973EF2A">
      <w:pPr>
        <w:pStyle w:val="91"/>
        <w:numPr>
          <w:ilvl w:val="-1"/>
          <w:numId w:val="0"/>
        </w:numPr>
        <w:ind w:left="420" w:leftChars="0" w:firstLine="0" w:firstLineChars="0"/>
        <w:rPr>
          <w:rFonts w:hint="eastAsia" w:ascii="宋体" w:hAnsi="宋体" w:eastAsia="宋体" w:cs="宋体"/>
          <w:sz w:val="24"/>
          <w:szCs w:val="24"/>
        </w:rPr>
      </w:pPr>
      <w:r>
        <w:rPr>
          <w:rFonts w:hint="eastAsia" w:ascii="宋体" w:hAnsi="宋体" w:eastAsia="宋体" w:cs="宋体"/>
          <w:sz w:val="24"/>
          <w:szCs w:val="24"/>
        </w:rPr>
        <w:t>中信建投证券股份有限公司</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1"/>
        <w:gridCol w:w="5888"/>
      </w:tblGrid>
      <w:tr w14:paraId="12C3E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71" w:type="dxa"/>
            <w:shd w:val="clear" w:color="auto" w:fill="auto"/>
          </w:tcPr>
          <w:p w14:paraId="26D1DB3D">
            <w:pPr>
              <w:rPr>
                <w:rFonts w:hint="eastAsia" w:ascii="宋体" w:hAnsi="宋体" w:eastAsia="宋体" w:cs="宋体"/>
                <w:sz w:val="24"/>
                <w:szCs w:val="24"/>
              </w:rPr>
            </w:pPr>
            <w:r>
              <w:rPr>
                <w:rFonts w:hint="eastAsia" w:ascii="宋体" w:hAnsi="宋体" w:eastAsia="宋体" w:cs="宋体"/>
                <w:sz w:val="24"/>
                <w:szCs w:val="24"/>
              </w:rPr>
              <w:t>注册地址：</w:t>
            </w:r>
          </w:p>
        </w:tc>
        <w:tc>
          <w:tcPr>
            <w:tcW w:w="5888" w:type="dxa"/>
            <w:shd w:val="clear" w:color="auto" w:fill="auto"/>
          </w:tcPr>
          <w:p w14:paraId="5CF2BCBC">
            <w:pPr>
              <w:rPr>
                <w:rFonts w:hint="eastAsia" w:ascii="宋体" w:hAnsi="宋体" w:eastAsia="宋体" w:cs="宋体"/>
                <w:sz w:val="24"/>
                <w:szCs w:val="24"/>
              </w:rPr>
            </w:pPr>
            <w:r>
              <w:rPr>
                <w:rFonts w:hint="eastAsia" w:ascii="宋体" w:hAnsi="宋体" w:eastAsia="宋体" w:cs="宋体"/>
                <w:sz w:val="24"/>
                <w:szCs w:val="24"/>
              </w:rPr>
              <w:t>北京市朝阳区安立路66号4号楼</w:t>
            </w:r>
          </w:p>
        </w:tc>
      </w:tr>
      <w:tr w14:paraId="5013A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71" w:type="dxa"/>
            <w:shd w:val="clear" w:color="auto" w:fill="auto"/>
          </w:tcPr>
          <w:p w14:paraId="4C800879">
            <w:pPr>
              <w:rPr>
                <w:rFonts w:hint="eastAsia" w:ascii="宋体" w:hAnsi="宋体" w:eastAsia="宋体" w:cs="宋体"/>
                <w:sz w:val="24"/>
                <w:szCs w:val="24"/>
              </w:rPr>
            </w:pPr>
            <w:r>
              <w:rPr>
                <w:rFonts w:hint="eastAsia" w:ascii="宋体" w:hAnsi="宋体" w:eastAsia="宋体" w:cs="宋体"/>
                <w:sz w:val="24"/>
                <w:szCs w:val="24"/>
              </w:rPr>
              <w:t>办公地址：</w:t>
            </w:r>
          </w:p>
        </w:tc>
        <w:tc>
          <w:tcPr>
            <w:tcW w:w="5888" w:type="dxa"/>
            <w:shd w:val="clear" w:color="auto" w:fill="auto"/>
          </w:tcPr>
          <w:p w14:paraId="1D3E513C">
            <w:pPr>
              <w:rPr>
                <w:rFonts w:hint="eastAsia" w:ascii="宋体" w:hAnsi="宋体" w:eastAsia="宋体" w:cs="宋体"/>
                <w:sz w:val="24"/>
                <w:szCs w:val="24"/>
              </w:rPr>
            </w:pPr>
            <w:r>
              <w:rPr>
                <w:rFonts w:hint="eastAsia" w:ascii="宋体" w:hAnsi="宋体" w:eastAsia="宋体" w:cs="宋体"/>
                <w:sz w:val="24"/>
                <w:szCs w:val="24"/>
              </w:rPr>
              <w:t>北京市朝阳区光华路10号</w:t>
            </w:r>
          </w:p>
        </w:tc>
      </w:tr>
      <w:tr w14:paraId="1FAD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71" w:type="dxa"/>
            <w:shd w:val="clear" w:color="auto" w:fill="auto"/>
          </w:tcPr>
          <w:p w14:paraId="27F36B20">
            <w:pPr>
              <w:rPr>
                <w:rFonts w:hint="eastAsia" w:ascii="宋体" w:hAnsi="宋体" w:eastAsia="宋体" w:cs="宋体"/>
                <w:sz w:val="24"/>
                <w:szCs w:val="24"/>
              </w:rPr>
            </w:pPr>
            <w:r>
              <w:rPr>
                <w:rFonts w:hint="eastAsia" w:ascii="宋体" w:hAnsi="宋体" w:eastAsia="宋体" w:cs="宋体"/>
                <w:sz w:val="24"/>
                <w:szCs w:val="24"/>
              </w:rPr>
              <w:t>法定代表人：</w:t>
            </w:r>
          </w:p>
        </w:tc>
        <w:tc>
          <w:tcPr>
            <w:tcW w:w="5888" w:type="dxa"/>
            <w:shd w:val="clear" w:color="auto" w:fill="auto"/>
          </w:tcPr>
          <w:p w14:paraId="70AE73A4">
            <w:pPr>
              <w:rPr>
                <w:rFonts w:hint="eastAsia" w:ascii="宋体" w:hAnsi="宋体" w:eastAsia="宋体" w:cs="宋体"/>
                <w:sz w:val="24"/>
                <w:szCs w:val="24"/>
              </w:rPr>
            </w:pPr>
            <w:r>
              <w:rPr>
                <w:rFonts w:hint="eastAsia" w:ascii="宋体" w:hAnsi="宋体" w:eastAsia="宋体" w:cs="宋体"/>
                <w:sz w:val="24"/>
                <w:szCs w:val="24"/>
              </w:rPr>
              <w:t>刘成</w:t>
            </w:r>
          </w:p>
        </w:tc>
      </w:tr>
      <w:tr w14:paraId="0DC96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71" w:type="dxa"/>
            <w:shd w:val="clear" w:color="auto" w:fill="auto"/>
          </w:tcPr>
          <w:p w14:paraId="18319B66">
            <w:pPr>
              <w:rPr>
                <w:rFonts w:hint="eastAsia" w:ascii="宋体" w:hAnsi="宋体" w:eastAsia="宋体" w:cs="宋体"/>
                <w:sz w:val="24"/>
                <w:szCs w:val="24"/>
              </w:rPr>
            </w:pPr>
            <w:r>
              <w:rPr>
                <w:rFonts w:hint="eastAsia" w:ascii="宋体" w:hAnsi="宋体" w:eastAsia="宋体" w:cs="宋体"/>
                <w:sz w:val="24"/>
                <w:szCs w:val="24"/>
              </w:rPr>
              <w:t>联系人：</w:t>
            </w:r>
          </w:p>
        </w:tc>
        <w:tc>
          <w:tcPr>
            <w:tcW w:w="5888" w:type="dxa"/>
            <w:shd w:val="clear" w:color="auto" w:fill="auto"/>
          </w:tcPr>
          <w:p w14:paraId="31E7EF3C">
            <w:pPr>
              <w:rPr>
                <w:rFonts w:hint="eastAsia" w:ascii="宋体" w:hAnsi="宋体" w:eastAsia="宋体" w:cs="宋体"/>
                <w:sz w:val="24"/>
                <w:szCs w:val="24"/>
              </w:rPr>
            </w:pPr>
            <w:r>
              <w:rPr>
                <w:rFonts w:hint="eastAsia" w:ascii="宋体" w:hAnsi="宋体" w:eastAsia="宋体" w:cs="宋体"/>
                <w:sz w:val="24"/>
                <w:szCs w:val="24"/>
              </w:rPr>
              <w:t>陈海静</w:t>
            </w:r>
          </w:p>
        </w:tc>
      </w:tr>
      <w:tr w14:paraId="44222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71" w:type="dxa"/>
            <w:shd w:val="clear" w:color="auto" w:fill="auto"/>
          </w:tcPr>
          <w:p w14:paraId="342EE86F">
            <w:pPr>
              <w:rPr>
                <w:rFonts w:hint="eastAsia" w:ascii="宋体" w:hAnsi="宋体" w:eastAsia="宋体" w:cs="宋体"/>
                <w:sz w:val="24"/>
                <w:szCs w:val="24"/>
              </w:rPr>
            </w:pPr>
            <w:r>
              <w:rPr>
                <w:rFonts w:hint="eastAsia" w:ascii="宋体" w:hAnsi="宋体" w:eastAsia="宋体" w:cs="宋体"/>
                <w:sz w:val="24"/>
                <w:szCs w:val="24"/>
              </w:rPr>
              <w:t>电话：</w:t>
            </w:r>
          </w:p>
        </w:tc>
        <w:tc>
          <w:tcPr>
            <w:tcW w:w="5888" w:type="dxa"/>
            <w:shd w:val="clear" w:color="auto" w:fill="auto"/>
          </w:tcPr>
          <w:p w14:paraId="4ED4DBCE">
            <w:pPr>
              <w:rPr>
                <w:rFonts w:hint="eastAsia" w:ascii="宋体" w:hAnsi="宋体" w:eastAsia="宋体" w:cs="宋体"/>
                <w:sz w:val="24"/>
                <w:szCs w:val="24"/>
              </w:rPr>
            </w:pPr>
            <w:r>
              <w:rPr>
                <w:rFonts w:hint="eastAsia" w:ascii="宋体" w:hAnsi="宋体" w:eastAsia="宋体" w:cs="宋体"/>
                <w:sz w:val="24"/>
                <w:szCs w:val="24"/>
              </w:rPr>
              <w:t>010-65608231</w:t>
            </w:r>
          </w:p>
        </w:tc>
      </w:tr>
      <w:tr w14:paraId="1C956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71" w:type="dxa"/>
            <w:shd w:val="clear" w:color="auto" w:fill="auto"/>
          </w:tcPr>
          <w:p w14:paraId="71F4C8C1">
            <w:pPr>
              <w:rPr>
                <w:rFonts w:hint="eastAsia" w:ascii="宋体" w:hAnsi="宋体" w:eastAsia="宋体" w:cs="宋体"/>
                <w:sz w:val="24"/>
                <w:szCs w:val="24"/>
              </w:rPr>
            </w:pPr>
            <w:r>
              <w:rPr>
                <w:rFonts w:hint="eastAsia" w:ascii="宋体" w:hAnsi="宋体" w:eastAsia="宋体" w:cs="宋体"/>
                <w:sz w:val="24"/>
                <w:szCs w:val="24"/>
              </w:rPr>
              <w:t>传真：</w:t>
            </w:r>
          </w:p>
        </w:tc>
        <w:tc>
          <w:tcPr>
            <w:tcW w:w="5888" w:type="dxa"/>
            <w:shd w:val="clear" w:color="auto" w:fill="auto"/>
          </w:tcPr>
          <w:p w14:paraId="0811EFAF">
            <w:pPr>
              <w:rPr>
                <w:rFonts w:hint="eastAsia" w:ascii="宋体" w:hAnsi="宋体" w:eastAsia="宋体" w:cs="宋体"/>
                <w:sz w:val="24"/>
                <w:szCs w:val="24"/>
              </w:rPr>
            </w:pPr>
            <w:r>
              <w:rPr>
                <w:rFonts w:hint="eastAsia" w:ascii="宋体" w:hAnsi="宋体" w:eastAsia="宋体" w:cs="宋体"/>
                <w:sz w:val="24"/>
                <w:szCs w:val="24"/>
              </w:rPr>
              <w:t>010－65182261</w:t>
            </w:r>
          </w:p>
        </w:tc>
      </w:tr>
      <w:tr w14:paraId="6FF6B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71" w:type="dxa"/>
            <w:shd w:val="clear" w:color="auto" w:fill="auto"/>
          </w:tcPr>
          <w:p w14:paraId="568A190D">
            <w:pPr>
              <w:rPr>
                <w:rFonts w:hint="eastAsia" w:ascii="宋体" w:hAnsi="宋体" w:eastAsia="宋体" w:cs="宋体"/>
                <w:sz w:val="24"/>
                <w:szCs w:val="24"/>
              </w:rPr>
            </w:pPr>
            <w:r>
              <w:rPr>
                <w:rFonts w:hint="eastAsia" w:ascii="宋体" w:hAnsi="宋体" w:eastAsia="宋体" w:cs="宋体"/>
                <w:sz w:val="24"/>
                <w:szCs w:val="24"/>
              </w:rPr>
              <w:t>客户服务电话：</w:t>
            </w:r>
          </w:p>
        </w:tc>
        <w:tc>
          <w:tcPr>
            <w:tcW w:w="5888" w:type="dxa"/>
            <w:shd w:val="clear" w:color="auto" w:fill="auto"/>
          </w:tcPr>
          <w:p w14:paraId="6198F2AF">
            <w:pPr>
              <w:rPr>
                <w:rFonts w:hint="eastAsia" w:ascii="宋体" w:hAnsi="宋体" w:eastAsia="宋体" w:cs="宋体"/>
                <w:sz w:val="24"/>
                <w:szCs w:val="24"/>
              </w:rPr>
            </w:pPr>
            <w:r>
              <w:rPr>
                <w:rFonts w:hint="eastAsia" w:ascii="宋体" w:hAnsi="宋体" w:eastAsia="宋体" w:cs="宋体"/>
                <w:sz w:val="24"/>
                <w:szCs w:val="24"/>
              </w:rPr>
              <w:t>4008888108/95587</w:t>
            </w:r>
          </w:p>
        </w:tc>
      </w:tr>
      <w:tr w14:paraId="502BF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2171" w:type="dxa"/>
            <w:shd w:val="clear" w:color="auto" w:fill="auto"/>
          </w:tcPr>
          <w:p w14:paraId="1C405BFB">
            <w:pPr>
              <w:rPr>
                <w:rFonts w:hint="eastAsia" w:ascii="宋体" w:hAnsi="宋体" w:eastAsia="宋体" w:cs="宋体"/>
                <w:sz w:val="24"/>
                <w:szCs w:val="24"/>
              </w:rPr>
            </w:pPr>
            <w:r>
              <w:rPr>
                <w:rFonts w:hint="eastAsia" w:ascii="宋体" w:hAnsi="宋体" w:eastAsia="宋体" w:cs="宋体"/>
                <w:sz w:val="24"/>
                <w:szCs w:val="24"/>
              </w:rPr>
              <w:t>网址：</w:t>
            </w:r>
          </w:p>
        </w:tc>
        <w:tc>
          <w:tcPr>
            <w:tcW w:w="5888" w:type="dxa"/>
            <w:shd w:val="clear" w:color="auto" w:fill="auto"/>
          </w:tcPr>
          <w:p w14:paraId="10DCBE5A">
            <w:pPr>
              <w:rPr>
                <w:rFonts w:hint="eastAsia" w:ascii="宋体" w:hAnsi="宋体" w:eastAsia="宋体" w:cs="宋体"/>
                <w:sz w:val="24"/>
                <w:szCs w:val="24"/>
              </w:rPr>
            </w:pPr>
            <w:r>
              <w:rPr>
                <w:rFonts w:hint="eastAsia" w:ascii="宋体" w:hAnsi="宋体" w:eastAsia="宋体" w:cs="宋体"/>
                <w:sz w:val="24"/>
                <w:szCs w:val="24"/>
              </w:rPr>
              <w:t>http://www.csc108.com/</w:t>
            </w:r>
          </w:p>
        </w:tc>
      </w:tr>
    </w:tbl>
    <w:p w14:paraId="1BAE4DC7">
      <w:pPr>
        <w:pStyle w:val="27"/>
        <w:spacing w:before="0" w:beforeAutospacing="0" w:after="0" w:afterAutospacing="0" w:line="360" w:lineRule="auto"/>
        <w:ind w:firstLine="420"/>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本公司可以根据情况变化增加或者减少基金份额网下发售机构并在官网公示。基金份额发售机构可以根据情况增加或者减少其销售城市、网点。销售机构的具体业务办理状况以其各自规定为准。投资者可登录本基金管理人网站查询网下发售机构信息。</w:t>
      </w:r>
    </w:p>
    <w:p w14:paraId="6C99A42B">
      <w:pPr>
        <w:widowControl/>
        <w:snapToGrid w:val="0"/>
        <w:spacing w:line="360" w:lineRule="auto"/>
        <w:ind w:right="0" w:firstLine="424"/>
        <w:rPr>
          <w:color w:val="000000"/>
          <w:kern w:val="0"/>
          <w:sz w:val="24"/>
          <w:highlight w:val="none"/>
        </w:rPr>
      </w:pPr>
      <w:r>
        <w:rPr>
          <w:color w:val="000000"/>
          <w:kern w:val="0"/>
          <w:sz w:val="24"/>
        </w:rPr>
        <w:t>（</w:t>
      </w:r>
      <w:r>
        <w:rPr>
          <w:color w:val="000000"/>
          <w:kern w:val="0"/>
          <w:sz w:val="24"/>
          <w:lang w:val="en-US" w:eastAsia="zh-CN"/>
        </w:rPr>
        <w:t>3</w:t>
      </w:r>
      <w:r>
        <w:rPr>
          <w:color w:val="000000"/>
          <w:kern w:val="0"/>
          <w:sz w:val="24"/>
        </w:rPr>
        <w:t>）网上现金发售代理机构</w:t>
      </w:r>
    </w:p>
    <w:p w14:paraId="466A00E9">
      <w:pPr>
        <w:widowControl/>
        <w:snapToGrid w:val="0"/>
        <w:spacing w:line="360" w:lineRule="auto"/>
        <w:ind w:right="0" w:firstLine="424"/>
        <w:rPr>
          <w:color w:val="000000"/>
          <w:kern w:val="0"/>
          <w:sz w:val="24"/>
          <w:highlight w:val="none"/>
        </w:rPr>
      </w:pPr>
      <w:r>
        <w:rPr>
          <w:color w:val="000000"/>
          <w:kern w:val="0"/>
          <w:sz w:val="24"/>
        </w:rPr>
        <w:t>网上现金发售通过具有基金代销业务资格的深圳证券交易所会员单位办理，具体名单如下：</w:t>
      </w:r>
      <w:r>
        <w:rPr>
          <w:rFonts w:eastAsia="Times New Roman"/>
          <w:color w:val="000000"/>
          <w:kern w:val="0"/>
          <w:sz w:val="24"/>
        </w:rPr>
        <w:t xml:space="preserve"> </w:t>
      </w:r>
    </w:p>
    <w:p w14:paraId="6646F162">
      <w:pPr>
        <w:widowControl/>
        <w:snapToGrid w:val="0"/>
        <w:spacing w:line="360" w:lineRule="auto"/>
        <w:ind w:right="0" w:firstLine="424"/>
        <w:rPr>
          <w:color w:val="000000"/>
          <w:kern w:val="0"/>
          <w:sz w:val="24"/>
          <w:highlight w:val="none"/>
        </w:rPr>
      </w:pPr>
      <w:r>
        <w:rPr>
          <w:color w:val="000000"/>
          <w:kern w:val="0"/>
          <w:sz w:val="24"/>
        </w:rPr>
        <w:t>1）已经具有发行认购权限的深圳证券交易所会员单位：</w:t>
      </w:r>
      <w:r>
        <w:rPr>
          <w:rFonts w:eastAsia="Times New Roman"/>
          <w:color w:val="000000"/>
          <w:kern w:val="0"/>
          <w:sz w:val="24"/>
        </w:rPr>
        <w:t xml:space="preserve"> </w:t>
      </w:r>
    </w:p>
    <w:p w14:paraId="5B286A9A">
      <w:pPr>
        <w:widowControl/>
        <w:snapToGrid w:val="0"/>
        <w:spacing w:line="360" w:lineRule="auto"/>
        <w:ind w:right="0" w:firstLine="424"/>
        <w:rPr>
          <w:color w:val="000000"/>
          <w:kern w:val="0"/>
          <w:sz w:val="24"/>
        </w:rPr>
      </w:pPr>
      <w:r>
        <w:rPr>
          <w:rFonts w:hint="eastAsia"/>
          <w:color w:val="000000"/>
          <w:kern w:val="0"/>
          <w:sz w:val="24"/>
        </w:rPr>
        <w:t>爱建证券、渤海证券、财达证券、财通证券、财信证券、长城国瑞、长城证券、长江证券、诚通证券、川财证券、大通证券、大同证券、德邦证券、第一创业、东北证券、东方财富、东方证券、东海证券、东吴证券、东兴证券、东莞证券、方正证券、高华证券、光大证券、广发证券、国都证券、国海证券、国金证券、国开证券、国联民生、国融证券、国盛证券、国泰海通、国投证券、国新证券、国信证券、国元证券、红塔证券、华安证券、华宝证券、华创证券、华福证券、华金证券、华林证券、华龙证券、华泰证券、华西证券、华源证券、华鑫证券、江海证券、金融街证券、金元证券、开源证券、联储证券、麦高证券、民生证券、南京证券、平安证券、瑞银证券、山西证券、上海证券、申港证券、申万宏源、申万宏源西部、世纪证券、首创证券、太平洋证券、天风证券、天府证券、万和证券、万联证券、五矿证券、西部证券、西南证券、湘财证券、信达证券、兴业证券、银河证券、银泰证券、英大证券、粤开证券、招商证券、浙商证券、中航证券、中金财富、中金公司、中山证券、中泰证券、中天证券、中信建投、中信山东、中信证券、中信证券华南、中银证券、中邮证券、中原证券、甬兴证券（排名不分先后）</w:t>
      </w:r>
    </w:p>
    <w:p w14:paraId="0016D928">
      <w:pPr>
        <w:widowControl/>
        <w:snapToGrid w:val="0"/>
        <w:spacing w:line="360" w:lineRule="auto"/>
        <w:ind w:right="0" w:firstLine="424"/>
        <w:rPr>
          <w:color w:val="000000"/>
          <w:kern w:val="0"/>
          <w:sz w:val="24"/>
          <w:highlight w:val="none"/>
        </w:rPr>
      </w:pPr>
      <w:r>
        <w:rPr>
          <w:color w:val="000000"/>
          <w:kern w:val="0"/>
          <w:sz w:val="24"/>
        </w:rPr>
        <w:t>2）本基金募集期结束前获得基金销售资格同时具备深圳证券交易所会员单位资格的证券公司也可代理场内的基金份额发售。</w:t>
      </w:r>
      <w:r>
        <w:rPr>
          <w:rFonts w:eastAsia="Times New Roman"/>
          <w:color w:val="000000"/>
          <w:kern w:val="0"/>
          <w:sz w:val="24"/>
        </w:rPr>
        <w:t xml:space="preserve"> </w:t>
      </w:r>
    </w:p>
    <w:p w14:paraId="1EAB6CDC">
      <w:pPr>
        <w:widowControl/>
        <w:snapToGrid w:val="0"/>
        <w:spacing w:line="360" w:lineRule="auto"/>
        <w:ind w:right="0" w:firstLine="424"/>
        <w:rPr>
          <w:color w:val="000000"/>
          <w:kern w:val="0"/>
          <w:sz w:val="24"/>
          <w:highlight w:val="none"/>
        </w:rPr>
      </w:pPr>
      <w:r>
        <w:rPr>
          <w:color w:val="000000"/>
          <w:kern w:val="0"/>
          <w:sz w:val="24"/>
        </w:rPr>
        <w:t>3）尚未取得基金销售资格，但属于深圳证券交易所会员的其他机构，可在本基金上市交易后，代理投资者通过深圳证券交易所交易系统参与本基金的上市交易。</w:t>
      </w:r>
    </w:p>
    <w:p w14:paraId="5F0C18C1">
      <w:pPr>
        <w:widowControl/>
        <w:snapToGrid w:val="0"/>
        <w:spacing w:line="360" w:lineRule="auto"/>
        <w:ind w:right="0" w:firstLine="424"/>
        <w:rPr>
          <w:rFonts w:hint="eastAsia"/>
          <w:kern w:val="0"/>
          <w:sz w:val="24"/>
        </w:rPr>
      </w:pPr>
      <w:r>
        <w:rPr>
          <w:kern w:val="0"/>
          <w:sz w:val="24"/>
        </w:rPr>
        <w:t>8、募集资金总额及入账情况：本基金自2026年7月13日起向社会公开募集，截至2026年7月24日募集工作已顺利结束。经安永华明会计师事务所（特殊普通合伙）验资，</w:t>
      </w:r>
      <w:bookmarkStart w:id="6" w:name="field_0_raisebegindate_2"/>
      <w:bookmarkEnd w:id="6"/>
      <w:bookmarkStart w:id="7" w:name="field_0_raiseenddate_2"/>
      <w:bookmarkEnd w:id="7"/>
      <w:r>
        <w:rPr>
          <w:kern w:val="0"/>
          <w:sz w:val="24"/>
        </w:rPr>
        <w:t>此次</w:t>
      </w:r>
      <w:r>
        <w:rPr>
          <w:rFonts w:hint="eastAsia"/>
          <w:kern w:val="0"/>
          <w:sz w:val="24"/>
        </w:rPr>
        <w:t>募集的实收基金现金部分为人民币213,046,012.00元。其中，首次募集期间现金认购的有效认购资金扣除认购费用后的净认购金额为人民币213,034,000.00元；有效认购资金在首次募集期间产生的利息为人民币12,502.03元，其中人民币12,012.00折成12,012.00份基金份额，剩余人民币490.03元归入基金财产，该款项将于下一银行结息日次一工作日（2026年9月21日）划入基金托管户。</w:t>
      </w:r>
    </w:p>
    <w:p w14:paraId="76157964">
      <w:pPr>
        <w:widowControl/>
        <w:snapToGrid w:val="0"/>
        <w:spacing w:line="360" w:lineRule="auto"/>
        <w:ind w:right="0" w:firstLine="480"/>
        <w:rPr>
          <w:kern w:val="0"/>
          <w:sz w:val="24"/>
          <w:highlight w:val="none"/>
        </w:rPr>
      </w:pPr>
      <w:r>
        <w:rPr>
          <w:kern w:val="0"/>
          <w:sz w:val="24"/>
        </w:rPr>
        <w:t>9、基金备案情况：本基金于</w:t>
      </w:r>
      <w:r>
        <w:rPr>
          <w:rFonts w:hint="eastAsia"/>
          <w:kern w:val="0"/>
          <w:sz w:val="24"/>
          <w:lang w:eastAsia="zh-CN"/>
        </w:rPr>
        <w:t>2026年7月29日</w:t>
      </w:r>
      <w:r>
        <w:rPr>
          <w:kern w:val="0"/>
          <w:sz w:val="24"/>
        </w:rPr>
        <w:t>得到中国证监会书面确认，基金备案手续办理完毕。根据《中华人民共和国证券投资基金法》及其配套法规和《博时中证细分化工产业主题交易型开放式指数证券投资基金基金合同》的有关规定，本基金的募集情况已符合基金合同生效的条件，基金合同于</w:t>
      </w:r>
      <w:r>
        <w:rPr>
          <w:rFonts w:hint="eastAsia"/>
          <w:kern w:val="0"/>
          <w:sz w:val="24"/>
          <w:lang w:eastAsia="zh-CN"/>
        </w:rPr>
        <w:t>2026年7月29日</w:t>
      </w:r>
      <w:r>
        <w:rPr>
          <w:kern w:val="0"/>
          <w:sz w:val="24"/>
        </w:rPr>
        <w:t>正式生效。</w:t>
      </w:r>
    </w:p>
    <w:p w14:paraId="2A7254F3">
      <w:pPr>
        <w:widowControl/>
        <w:snapToGrid w:val="0"/>
        <w:spacing w:line="360" w:lineRule="auto"/>
        <w:ind w:right="0" w:firstLine="424"/>
        <w:rPr>
          <w:color w:val="000000"/>
          <w:kern w:val="0"/>
          <w:sz w:val="24"/>
          <w:highlight w:val="none"/>
        </w:rPr>
      </w:pPr>
      <w:r>
        <w:rPr>
          <w:color w:val="000000"/>
          <w:kern w:val="0"/>
          <w:sz w:val="24"/>
        </w:rPr>
        <w:t>10、基金合同生效日：</w:t>
      </w:r>
      <w:r>
        <w:rPr>
          <w:rFonts w:hint="eastAsia"/>
          <w:color w:val="000000"/>
          <w:kern w:val="0"/>
          <w:sz w:val="24"/>
          <w:lang w:eastAsia="zh-CN"/>
        </w:rPr>
        <w:t>2026年7月29日</w:t>
      </w:r>
      <w:r>
        <w:rPr>
          <w:color w:val="000000"/>
          <w:kern w:val="0"/>
          <w:sz w:val="24"/>
        </w:rPr>
        <w:t>。</w:t>
      </w:r>
    </w:p>
    <w:p w14:paraId="7D1B28B5">
      <w:pPr>
        <w:widowControl/>
        <w:snapToGrid w:val="0"/>
        <w:spacing w:line="360" w:lineRule="auto"/>
        <w:ind w:right="0" w:firstLine="424"/>
        <w:rPr>
          <w:color w:val="000000"/>
          <w:kern w:val="0"/>
          <w:sz w:val="24"/>
          <w:highlight w:val="none"/>
        </w:rPr>
      </w:pPr>
      <w:r>
        <w:rPr>
          <w:sz w:val="24"/>
        </w:rPr>
        <w:t>11、基金合同生效日份额总额：</w:t>
      </w:r>
      <w:r>
        <w:rPr>
          <w:rFonts w:hint="eastAsia"/>
          <w:sz w:val="24"/>
        </w:rPr>
        <w:t>213,046,012.00</w:t>
      </w:r>
      <w:r>
        <w:rPr>
          <w:sz w:val="24"/>
        </w:rPr>
        <w:t>份。</w:t>
      </w:r>
    </w:p>
    <w:p w14:paraId="49E99D82">
      <w:pPr>
        <w:widowControl/>
        <w:snapToGrid w:val="0"/>
        <w:spacing w:line="360" w:lineRule="auto"/>
        <w:ind w:right="0" w:firstLine="424"/>
        <w:jc w:val="left"/>
        <w:rPr>
          <w:color w:val="000000"/>
          <w:kern w:val="0"/>
          <w:sz w:val="24"/>
          <w:highlight w:val="none"/>
        </w:rPr>
      </w:pPr>
      <w:r>
        <w:rPr>
          <w:kern w:val="0"/>
          <w:sz w:val="24"/>
        </w:rPr>
        <w:t>（二）</w:t>
      </w:r>
      <w:r>
        <w:rPr>
          <w:color w:val="000000"/>
          <w:kern w:val="0"/>
          <w:sz w:val="24"/>
        </w:rPr>
        <w:t>基金上市交易</w:t>
      </w:r>
    </w:p>
    <w:p w14:paraId="6A97F1A1">
      <w:pPr>
        <w:snapToGrid w:val="0"/>
        <w:spacing w:line="360" w:lineRule="auto"/>
        <w:ind w:right="0" w:firstLine="424"/>
        <w:rPr>
          <w:color w:val="000000"/>
          <w:kern w:val="0"/>
          <w:sz w:val="24"/>
          <w:highlight w:val="none"/>
        </w:rPr>
      </w:pPr>
      <w:r>
        <w:rPr>
          <w:color w:val="000000"/>
          <w:kern w:val="0"/>
          <w:sz w:val="24"/>
        </w:rPr>
        <w:t>1、基金上市交易的核准机构和核准文号：深圳证券交易所</w:t>
      </w:r>
      <w:r>
        <w:rPr>
          <w:rFonts w:hint="eastAsia"/>
          <w:color w:val="000000"/>
          <w:kern w:val="0"/>
          <w:sz w:val="24"/>
        </w:rPr>
        <w:t>深证上〔2026〕1076号</w:t>
      </w:r>
    </w:p>
    <w:p w14:paraId="7EDAFF73">
      <w:pPr>
        <w:snapToGrid w:val="0"/>
        <w:spacing w:line="360" w:lineRule="auto"/>
        <w:ind w:right="0" w:firstLine="424"/>
        <w:rPr>
          <w:rFonts w:hint="eastAsia" w:eastAsia="宋体"/>
          <w:color w:val="000000"/>
          <w:kern w:val="0"/>
          <w:sz w:val="24"/>
          <w:highlight w:val="none"/>
          <w:lang w:eastAsia="zh-CN"/>
        </w:rPr>
      </w:pPr>
      <w:r>
        <w:rPr>
          <w:color w:val="000000"/>
          <w:kern w:val="0"/>
          <w:sz w:val="24"/>
        </w:rPr>
        <w:t>2、上市交易日期：</w:t>
      </w:r>
      <w:r>
        <w:rPr>
          <w:rFonts w:hint="eastAsia"/>
          <w:color w:val="000000"/>
          <w:kern w:val="0"/>
          <w:sz w:val="24"/>
          <w:lang w:eastAsia="zh-CN"/>
        </w:rPr>
        <w:t>2026年8月7日</w:t>
      </w:r>
    </w:p>
    <w:p w14:paraId="7EC25001">
      <w:pPr>
        <w:snapToGrid w:val="0"/>
        <w:spacing w:line="360" w:lineRule="auto"/>
        <w:ind w:right="0" w:firstLine="424"/>
        <w:rPr>
          <w:color w:val="000000"/>
          <w:kern w:val="0"/>
          <w:sz w:val="24"/>
          <w:highlight w:val="none"/>
        </w:rPr>
      </w:pPr>
      <w:r>
        <w:rPr>
          <w:color w:val="000000"/>
          <w:kern w:val="0"/>
          <w:sz w:val="24"/>
        </w:rPr>
        <w:t>3、上市交易的证券交易所：深圳证券交易所</w:t>
      </w:r>
    </w:p>
    <w:p w14:paraId="587A474C">
      <w:pPr>
        <w:snapToGrid w:val="0"/>
        <w:spacing w:line="360" w:lineRule="auto"/>
        <w:ind w:right="0" w:firstLine="424"/>
        <w:rPr>
          <w:rFonts w:eastAsia="宋体"/>
          <w:color w:val="000000"/>
          <w:kern w:val="0"/>
          <w:sz w:val="24"/>
          <w:highlight w:val="none"/>
          <w:lang w:val="en-US" w:eastAsia="zh-CN"/>
        </w:rPr>
      </w:pPr>
      <w:r>
        <w:rPr>
          <w:color w:val="000000"/>
          <w:kern w:val="0"/>
          <w:sz w:val="24"/>
        </w:rPr>
        <w:t>4、基金二级市场交易简称：化工ETF博时</w:t>
      </w:r>
    </w:p>
    <w:p w14:paraId="4378A05D">
      <w:pPr>
        <w:snapToGrid w:val="0"/>
        <w:spacing w:line="360" w:lineRule="auto"/>
        <w:ind w:right="0" w:firstLine="424"/>
        <w:rPr>
          <w:rFonts w:eastAsia="宋体"/>
          <w:color w:val="000000"/>
          <w:kern w:val="0"/>
          <w:sz w:val="24"/>
          <w:highlight w:val="none"/>
          <w:lang w:eastAsia="zh-CN"/>
        </w:rPr>
      </w:pPr>
      <w:r>
        <w:rPr>
          <w:color w:val="000000"/>
          <w:kern w:val="0"/>
          <w:sz w:val="24"/>
        </w:rPr>
        <w:t>5、基金二级市场交易代码：158006 </w:t>
      </w:r>
    </w:p>
    <w:p w14:paraId="6071C491">
      <w:pPr>
        <w:snapToGrid w:val="0"/>
        <w:spacing w:line="360" w:lineRule="auto"/>
        <w:ind w:right="0" w:firstLine="424"/>
        <w:rPr>
          <w:color w:val="000000"/>
          <w:kern w:val="0"/>
          <w:sz w:val="24"/>
          <w:highlight w:val="none"/>
        </w:rPr>
      </w:pPr>
      <w:r>
        <w:rPr>
          <w:color w:val="000000"/>
          <w:kern w:val="0"/>
          <w:sz w:val="24"/>
        </w:rPr>
        <w:t>投资者在深圳证券交易所各会员单位证券营业部均可参与基金二级市场交易。</w:t>
      </w:r>
    </w:p>
    <w:p w14:paraId="0059C5AC">
      <w:pPr>
        <w:snapToGrid w:val="0"/>
        <w:spacing w:line="360" w:lineRule="auto"/>
        <w:ind w:right="0" w:firstLine="424"/>
        <w:rPr>
          <w:color w:val="000000"/>
          <w:kern w:val="0"/>
          <w:sz w:val="24"/>
          <w:highlight w:val="none"/>
        </w:rPr>
      </w:pPr>
      <w:r>
        <w:rPr>
          <w:color w:val="000000"/>
          <w:kern w:val="0"/>
          <w:sz w:val="24"/>
        </w:rPr>
        <w:t>6、本次交易上市份额：</w:t>
      </w:r>
      <w:r>
        <w:rPr>
          <w:rFonts w:hint="eastAsia"/>
          <w:color w:val="000000"/>
          <w:kern w:val="0"/>
          <w:sz w:val="24"/>
        </w:rPr>
        <w:t>213,046,012.00</w:t>
      </w:r>
      <w:r>
        <w:rPr>
          <w:color w:val="000000"/>
          <w:kern w:val="0"/>
          <w:sz w:val="24"/>
        </w:rPr>
        <w:t>份（截至</w:t>
      </w:r>
      <w:r>
        <w:rPr>
          <w:rFonts w:hint="eastAsia"/>
          <w:color w:val="000000"/>
          <w:kern w:val="0"/>
          <w:sz w:val="24"/>
          <w:lang w:eastAsia="zh-CN"/>
        </w:rPr>
        <w:t>2026年7月31日</w:t>
      </w:r>
      <w:r>
        <w:rPr>
          <w:color w:val="000000"/>
          <w:kern w:val="0"/>
          <w:sz w:val="24"/>
        </w:rPr>
        <w:t>）</w:t>
      </w:r>
    </w:p>
    <w:p w14:paraId="415D9CFE">
      <w:pPr>
        <w:snapToGrid w:val="0"/>
        <w:spacing w:line="360" w:lineRule="auto"/>
        <w:ind w:right="0" w:firstLine="424"/>
        <w:rPr>
          <w:color w:val="000000"/>
          <w:kern w:val="0"/>
          <w:sz w:val="24"/>
          <w:highlight w:val="none"/>
        </w:rPr>
      </w:pPr>
      <w:r>
        <w:rPr>
          <w:color w:val="000000"/>
          <w:kern w:val="0"/>
          <w:sz w:val="24"/>
        </w:rPr>
        <w:t>7、未上市交易份额的流通规定：本基金上市交易后，所有的基金份额均可进行交易，不存在未上市交易的基金份额。</w:t>
      </w:r>
    </w:p>
    <w:p w14:paraId="45948504">
      <w:pPr>
        <w:snapToGrid w:val="0"/>
        <w:spacing w:line="360" w:lineRule="auto"/>
        <w:ind w:right="0" w:firstLine="424"/>
        <w:rPr>
          <w:color w:val="000000"/>
          <w:kern w:val="0"/>
          <w:sz w:val="24"/>
          <w:highlight w:val="none"/>
        </w:rPr>
      </w:pPr>
      <w:r>
        <w:rPr>
          <w:color w:val="000000"/>
          <w:kern w:val="0"/>
          <w:sz w:val="24"/>
        </w:rPr>
        <w:t>8、基金资产净值的披露：在本基金</w:t>
      </w:r>
      <w:r>
        <w:rPr>
          <w:color w:val="000000"/>
          <w:kern w:val="0"/>
          <w:sz w:val="24"/>
          <w:lang w:val="en-US" w:eastAsia="zh-CN"/>
        </w:rPr>
        <w:t>份额</w:t>
      </w:r>
      <w:r>
        <w:rPr>
          <w:color w:val="000000"/>
          <w:kern w:val="0"/>
          <w:sz w:val="24"/>
        </w:rPr>
        <w:t>上市交易</w:t>
      </w:r>
      <w:r>
        <w:rPr>
          <w:color w:val="000000"/>
          <w:kern w:val="0"/>
          <w:sz w:val="24"/>
          <w:lang w:val="en-US" w:eastAsia="zh-CN"/>
        </w:rPr>
        <w:t>或者</w:t>
      </w:r>
      <w:r>
        <w:rPr>
          <w:color w:val="000000"/>
          <w:kern w:val="0"/>
          <w:sz w:val="24"/>
        </w:rPr>
        <w:t>开始办理基金份额申购</w:t>
      </w:r>
      <w:r>
        <w:rPr>
          <w:color w:val="000000"/>
          <w:kern w:val="0"/>
          <w:sz w:val="24"/>
          <w:lang w:val="en-US" w:eastAsia="zh-CN"/>
        </w:rPr>
        <w:t>或者</w:t>
      </w:r>
      <w:r>
        <w:rPr>
          <w:color w:val="000000"/>
          <w:kern w:val="0"/>
          <w:sz w:val="24"/>
        </w:rPr>
        <w:t>赎回后，基金管理人应当在不晚于每个开放日的次日，通过规定网站、基金销售机构网站或者营业网点披露开放日的基金份额净值和基金份额累计净值，并在深圳证券交易所行情发布系统揭示基金份额净值</w:t>
      </w:r>
      <w:r>
        <w:rPr>
          <w:color w:val="000000"/>
          <w:kern w:val="0"/>
          <w:szCs w:val="21"/>
        </w:rPr>
        <w:t>。</w:t>
      </w:r>
    </w:p>
    <w:p w14:paraId="473FEB22">
      <w:pPr>
        <w:snapToGrid w:val="0"/>
        <w:spacing w:line="360" w:lineRule="auto"/>
        <w:ind w:right="0" w:firstLine="371"/>
        <w:rPr>
          <w:color w:val="000000"/>
          <w:kern w:val="0"/>
          <w:sz w:val="24"/>
          <w:szCs w:val="21"/>
          <w:highlight w:val="none"/>
        </w:rPr>
      </w:pPr>
    </w:p>
    <w:p w14:paraId="04524403">
      <w:pPr>
        <w:pStyle w:val="2"/>
        <w:ind w:left="0" w:firstLine="0"/>
        <w:rPr>
          <w:rFonts w:ascii="Times New Roman" w:hAnsi="Times New Roman" w:cs="Times New Roman"/>
          <w:highlight w:val="none"/>
        </w:rPr>
      </w:pPr>
      <w:bookmarkStart w:id="8" w:name="_Toc22075"/>
      <w:r>
        <w:rPr>
          <w:rFonts w:ascii="Times New Roman" w:hAnsi="Times New Roman" w:cs="Times New Roman"/>
        </w:rPr>
        <w:t>四、持有人户数、持有人结构及前十名持有人</w:t>
      </w:r>
      <w:bookmarkEnd w:id="8"/>
    </w:p>
    <w:p w14:paraId="01353327">
      <w:pPr>
        <w:widowControl/>
        <w:snapToGrid w:val="0"/>
        <w:spacing w:line="360" w:lineRule="auto"/>
        <w:ind w:right="0" w:firstLine="480"/>
        <w:rPr>
          <w:color w:val="000000"/>
          <w:kern w:val="0"/>
          <w:sz w:val="24"/>
          <w:highlight w:val="none"/>
        </w:rPr>
      </w:pPr>
      <w:r>
        <w:rPr>
          <w:color w:val="000000"/>
          <w:kern w:val="0"/>
          <w:sz w:val="24"/>
        </w:rPr>
        <w:t>（一）持有人户数</w:t>
      </w:r>
    </w:p>
    <w:p w14:paraId="5B66A5D3">
      <w:pPr>
        <w:widowControl/>
        <w:snapToGrid w:val="0"/>
        <w:spacing w:line="360" w:lineRule="auto"/>
        <w:ind w:right="0" w:firstLine="424"/>
        <w:rPr>
          <w:rFonts w:ascii="Times New Roman" w:hAnsi="Times New Roman" w:eastAsia="宋体" w:cs="Times New Roman"/>
          <w:color w:val="000000"/>
          <w:kern w:val="0"/>
          <w:sz w:val="24"/>
          <w:highlight w:val="none"/>
        </w:rPr>
      </w:pPr>
      <w:r>
        <w:rPr>
          <w:rFonts w:ascii="Times New Roman" w:hAnsi="Times New Roman" w:eastAsia="宋体" w:cs="Times New Roman"/>
          <w:color w:val="000000"/>
          <w:kern w:val="0"/>
          <w:sz w:val="24"/>
        </w:rPr>
        <w:t>截至公告日前两个工作日即</w:t>
      </w:r>
      <w:r>
        <w:rPr>
          <w:rFonts w:hint="eastAsia" w:cs="Times New Roman"/>
          <w:color w:val="000000"/>
          <w:kern w:val="0"/>
          <w:sz w:val="24"/>
          <w:lang w:eastAsia="zh-CN"/>
        </w:rPr>
        <w:t>2026年7月31日</w:t>
      </w:r>
      <w:r>
        <w:rPr>
          <w:rFonts w:ascii="Times New Roman" w:hAnsi="Times New Roman" w:eastAsia="宋体" w:cs="Times New Roman"/>
          <w:color w:val="000000"/>
          <w:kern w:val="0"/>
          <w:sz w:val="24"/>
        </w:rPr>
        <w:t>，本基金份额持有人户数为</w:t>
      </w:r>
      <w:r>
        <w:rPr>
          <w:rFonts w:hint="eastAsia"/>
          <w:color w:val="000000"/>
          <w:kern w:val="0"/>
          <w:sz w:val="24"/>
        </w:rPr>
        <w:t>1,338</w:t>
      </w:r>
      <w:r>
        <w:rPr>
          <w:rFonts w:ascii="Times New Roman" w:hAnsi="Times New Roman" w:eastAsia="宋体" w:cs="Times New Roman"/>
          <w:color w:val="000000"/>
          <w:kern w:val="0"/>
          <w:sz w:val="24"/>
        </w:rPr>
        <w:t>户，平均每户持有的基金份额为</w:t>
      </w:r>
      <w:r>
        <w:rPr>
          <w:rFonts w:hint="eastAsia"/>
          <w:color w:val="000000"/>
          <w:kern w:val="0"/>
          <w:sz w:val="24"/>
        </w:rPr>
        <w:t>159,227.21</w:t>
      </w:r>
      <w:r>
        <w:rPr>
          <w:rFonts w:ascii="Times New Roman" w:hAnsi="Times New Roman" w:eastAsia="宋体" w:cs="Times New Roman"/>
          <w:color w:val="000000"/>
          <w:kern w:val="0"/>
          <w:sz w:val="24"/>
        </w:rPr>
        <w:t>份。</w:t>
      </w:r>
    </w:p>
    <w:p w14:paraId="2CB13A66">
      <w:pPr>
        <w:widowControl/>
        <w:snapToGrid w:val="0"/>
        <w:spacing w:line="360" w:lineRule="auto"/>
        <w:ind w:right="0" w:firstLine="424"/>
        <w:rPr>
          <w:rFonts w:ascii="Times New Roman" w:hAnsi="Times New Roman" w:eastAsia="宋体" w:cs="Times New Roman"/>
          <w:color w:val="000000"/>
          <w:kern w:val="0"/>
          <w:sz w:val="24"/>
          <w:highlight w:val="none"/>
        </w:rPr>
      </w:pPr>
      <w:r>
        <w:rPr>
          <w:rFonts w:ascii="Times New Roman" w:hAnsi="Times New Roman" w:eastAsia="宋体" w:cs="Times New Roman"/>
          <w:color w:val="000000"/>
          <w:kern w:val="0"/>
          <w:sz w:val="24"/>
        </w:rPr>
        <w:t>（二）持有人结构</w:t>
      </w:r>
    </w:p>
    <w:p w14:paraId="3244C054">
      <w:pPr>
        <w:widowControl/>
        <w:snapToGrid w:val="0"/>
        <w:spacing w:line="360" w:lineRule="auto"/>
        <w:ind w:right="0" w:firstLine="424"/>
        <w:rPr>
          <w:rFonts w:ascii="Times New Roman" w:hAnsi="Times New Roman" w:eastAsia="宋体" w:cs="Times New Roman"/>
          <w:color w:val="000000"/>
          <w:kern w:val="0"/>
          <w:sz w:val="24"/>
          <w:highlight w:val="none"/>
        </w:rPr>
      </w:pPr>
      <w:r>
        <w:rPr>
          <w:rFonts w:ascii="Times New Roman" w:hAnsi="Times New Roman" w:eastAsia="宋体" w:cs="Times New Roman"/>
          <w:color w:val="000000"/>
          <w:kern w:val="0"/>
          <w:sz w:val="24"/>
        </w:rPr>
        <w:t>截至公告日前两个工作日即</w:t>
      </w:r>
      <w:r>
        <w:rPr>
          <w:rFonts w:hint="eastAsia" w:cs="Times New Roman"/>
          <w:color w:val="000000"/>
          <w:kern w:val="0"/>
          <w:sz w:val="24"/>
          <w:lang w:eastAsia="zh-CN"/>
        </w:rPr>
        <w:t>2026年7月31日</w:t>
      </w:r>
      <w:r>
        <w:rPr>
          <w:rFonts w:ascii="Times New Roman" w:hAnsi="Times New Roman" w:eastAsia="宋体" w:cs="Times New Roman"/>
          <w:color w:val="000000"/>
          <w:kern w:val="0"/>
          <w:sz w:val="24"/>
        </w:rPr>
        <w:t>，本基金份额持有人结构如下：</w:t>
      </w:r>
    </w:p>
    <w:p w14:paraId="32056B30">
      <w:pPr>
        <w:widowControl/>
        <w:snapToGrid w:val="0"/>
        <w:spacing w:line="360" w:lineRule="auto"/>
        <w:ind w:right="0" w:firstLine="424"/>
        <w:rPr>
          <w:rFonts w:ascii="Times New Roman" w:hAnsi="Times New Roman" w:eastAsia="宋体" w:cs="Times New Roman"/>
          <w:color w:val="000000"/>
          <w:kern w:val="0"/>
          <w:sz w:val="24"/>
          <w:highlight w:val="none"/>
        </w:rPr>
      </w:pPr>
      <w:r>
        <w:rPr>
          <w:rFonts w:ascii="Times New Roman" w:hAnsi="Times New Roman" w:eastAsia="宋体" w:cs="Times New Roman"/>
          <w:color w:val="000000"/>
          <w:kern w:val="0"/>
          <w:sz w:val="24"/>
        </w:rPr>
        <w:t>机构投资者持有的基金份额为</w:t>
      </w:r>
      <w:r>
        <w:rPr>
          <w:rFonts w:hint="eastAsia" w:eastAsia="Times New Roman"/>
          <w:color w:val="000000"/>
          <w:kern w:val="0"/>
          <w:sz w:val="24"/>
        </w:rPr>
        <w:t>131,434,332.00</w:t>
      </w:r>
      <w:r>
        <w:rPr>
          <w:rFonts w:ascii="Times New Roman" w:hAnsi="Times New Roman" w:eastAsia="宋体" w:cs="Times New Roman"/>
          <w:color w:val="000000"/>
          <w:kern w:val="0"/>
          <w:sz w:val="24"/>
        </w:rPr>
        <w:t>份，占基金总份额的</w:t>
      </w:r>
      <w:r>
        <w:rPr>
          <w:rFonts w:hint="eastAsia" w:eastAsia="Times New Roman"/>
          <w:color w:val="000000"/>
          <w:kern w:val="0"/>
          <w:sz w:val="24"/>
        </w:rPr>
        <w:t>61.69</w:t>
      </w:r>
      <w:r>
        <w:rPr>
          <w:rFonts w:ascii="Times New Roman" w:hAnsi="Times New Roman" w:eastAsia="宋体" w:cs="Times New Roman"/>
          <w:color w:val="000000"/>
          <w:kern w:val="0"/>
          <w:sz w:val="24"/>
          <w:szCs w:val="24"/>
          <w:lang w:val="en-US" w:eastAsia="zh-CN"/>
        </w:rPr>
        <w:t>%</w:t>
      </w:r>
      <w:r>
        <w:rPr>
          <w:rFonts w:ascii="Times New Roman" w:hAnsi="Times New Roman" w:eastAsia="宋体" w:cs="Times New Roman"/>
          <w:color w:val="000000"/>
          <w:kern w:val="0"/>
          <w:sz w:val="24"/>
        </w:rPr>
        <w:t>；个人投资者持有的基金份额为</w:t>
      </w:r>
      <w:r>
        <w:rPr>
          <w:rFonts w:hint="eastAsia" w:eastAsia="Times New Roman"/>
          <w:color w:val="000000"/>
          <w:kern w:val="0"/>
          <w:sz w:val="24"/>
        </w:rPr>
        <w:t>81,611,680.00</w:t>
      </w:r>
      <w:r>
        <w:rPr>
          <w:rFonts w:ascii="Times New Roman" w:hAnsi="Times New Roman" w:eastAsia="宋体" w:cs="Times New Roman"/>
          <w:color w:val="000000"/>
          <w:kern w:val="0"/>
          <w:sz w:val="24"/>
        </w:rPr>
        <w:t>份，占基金总份额的</w:t>
      </w:r>
      <w:r>
        <w:rPr>
          <w:rFonts w:hint="eastAsia" w:eastAsia="Times New Roman"/>
          <w:color w:val="000000"/>
          <w:kern w:val="0"/>
          <w:sz w:val="24"/>
        </w:rPr>
        <w:t>38.31</w:t>
      </w:r>
      <w:r>
        <w:rPr>
          <w:rFonts w:ascii="Times New Roman" w:hAnsi="Times New Roman" w:eastAsia="宋体" w:cs="Times New Roman"/>
          <w:color w:val="000000"/>
          <w:kern w:val="0"/>
          <w:sz w:val="24"/>
        </w:rPr>
        <w:t>%。</w:t>
      </w:r>
    </w:p>
    <w:p w14:paraId="1628FB1A">
      <w:pPr>
        <w:widowControl/>
        <w:snapToGrid w:val="0"/>
        <w:spacing w:line="360" w:lineRule="auto"/>
        <w:ind w:right="0" w:firstLine="424"/>
        <w:rPr>
          <w:rFonts w:ascii="Times New Roman" w:hAnsi="Times New Roman" w:eastAsia="宋体" w:cs="Times New Roman"/>
          <w:color w:val="000000"/>
          <w:kern w:val="0"/>
          <w:sz w:val="24"/>
          <w:highlight w:val="none"/>
        </w:rPr>
      </w:pPr>
      <w:r>
        <w:rPr>
          <w:rFonts w:ascii="Times New Roman" w:hAnsi="Times New Roman" w:eastAsia="宋体" w:cs="Times New Roman"/>
          <w:color w:val="000000"/>
          <w:kern w:val="0"/>
          <w:sz w:val="24"/>
        </w:rPr>
        <w:t>（三）前十名基金份额持有人</w:t>
      </w:r>
      <w:bookmarkStart w:id="25" w:name="_GoBack"/>
      <w:bookmarkEnd w:id="25"/>
      <w:r>
        <w:rPr>
          <w:rFonts w:ascii="Times New Roman" w:hAnsi="Times New Roman" w:eastAsia="宋体" w:cs="Times New Roman"/>
          <w:color w:val="000000"/>
          <w:kern w:val="0"/>
          <w:sz w:val="24"/>
        </w:rPr>
        <w:t>的情况：</w:t>
      </w:r>
    </w:p>
    <w:p w14:paraId="473A4557">
      <w:pPr>
        <w:widowControl/>
        <w:snapToGrid w:val="0"/>
        <w:spacing w:line="360" w:lineRule="auto"/>
        <w:ind w:right="0" w:firstLine="48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截至公告日前两个工作日即</w:t>
      </w:r>
      <w:r>
        <w:rPr>
          <w:rFonts w:hint="eastAsia" w:ascii="宋体" w:hAnsi="宋体" w:eastAsia="宋体" w:cs="宋体"/>
          <w:color w:val="000000"/>
          <w:kern w:val="0"/>
          <w:sz w:val="24"/>
          <w:lang w:eastAsia="zh-CN"/>
        </w:rPr>
        <w:t>2026年7月31日</w:t>
      </w:r>
      <w:r>
        <w:rPr>
          <w:rFonts w:hint="eastAsia" w:ascii="宋体" w:hAnsi="宋体" w:eastAsia="宋体" w:cs="宋体"/>
          <w:color w:val="000000"/>
          <w:kern w:val="0"/>
          <w:sz w:val="24"/>
        </w:rPr>
        <w:t>，前十名基金份额持有人的情况如下表。</w:t>
      </w:r>
    </w:p>
    <w:tbl>
      <w:tblPr>
        <w:tblStyle w:val="28"/>
        <w:tblW w:w="8398" w:type="dxa"/>
        <w:jc w:val="center"/>
        <w:tblLayout w:type="fixed"/>
        <w:tblCellMar>
          <w:top w:w="0" w:type="dxa"/>
          <w:left w:w="108" w:type="dxa"/>
          <w:bottom w:w="0" w:type="dxa"/>
          <w:right w:w="108" w:type="dxa"/>
        </w:tblCellMar>
      </w:tblPr>
      <w:tblGrid>
        <w:gridCol w:w="734"/>
        <w:gridCol w:w="3720"/>
        <w:gridCol w:w="1993"/>
        <w:gridCol w:w="1951"/>
      </w:tblGrid>
      <w:tr w14:paraId="12D9795F">
        <w:tblPrEx>
          <w:tblCellMar>
            <w:top w:w="0" w:type="dxa"/>
            <w:left w:w="108" w:type="dxa"/>
            <w:bottom w:w="0" w:type="dxa"/>
            <w:right w:w="108" w:type="dxa"/>
          </w:tblCellMar>
        </w:tblPrEx>
        <w:trPr>
          <w:trHeight w:val="346" w:hRule="atLeast"/>
          <w:jc w:val="center"/>
        </w:trPr>
        <w:tc>
          <w:tcPr>
            <w:tcW w:w="734" w:type="dxa"/>
            <w:tcBorders>
              <w:top w:val="single" w:color="000000" w:sz="4" w:space="0"/>
              <w:left w:val="single" w:color="000000" w:sz="4" w:space="0"/>
              <w:bottom w:val="single" w:color="000000" w:sz="4" w:space="0"/>
              <w:right w:val="single" w:color="000000" w:sz="4" w:space="0"/>
            </w:tcBorders>
            <w:vAlign w:val="center"/>
          </w:tcPr>
          <w:p w14:paraId="5FF390E5">
            <w:pPr>
              <w:widowControl/>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rPr>
              <w:t>序号</w:t>
            </w:r>
          </w:p>
        </w:tc>
        <w:tc>
          <w:tcPr>
            <w:tcW w:w="3720" w:type="dxa"/>
            <w:tcBorders>
              <w:top w:val="single" w:color="000000" w:sz="4" w:space="0"/>
              <w:left w:val="single" w:color="000000" w:sz="4" w:space="0"/>
              <w:bottom w:val="single" w:color="000000" w:sz="4" w:space="0"/>
              <w:right w:val="single" w:color="000000" w:sz="4" w:space="0"/>
            </w:tcBorders>
            <w:vAlign w:val="center"/>
          </w:tcPr>
          <w:p w14:paraId="79192745">
            <w:pPr>
              <w:widowControl/>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rPr>
              <w:t>持有人名称（全称）</w:t>
            </w:r>
          </w:p>
        </w:tc>
        <w:tc>
          <w:tcPr>
            <w:tcW w:w="1993" w:type="dxa"/>
            <w:tcBorders>
              <w:top w:val="single" w:color="000000" w:sz="4" w:space="0"/>
              <w:left w:val="single" w:color="000000" w:sz="4" w:space="0"/>
              <w:bottom w:val="single" w:color="000000" w:sz="4" w:space="0"/>
              <w:right w:val="single" w:color="000000" w:sz="4" w:space="0"/>
            </w:tcBorders>
            <w:vAlign w:val="center"/>
          </w:tcPr>
          <w:p w14:paraId="7A1D81D0">
            <w:pPr>
              <w:widowControl/>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rPr>
              <w:t>持有基金份额（份）</w:t>
            </w:r>
          </w:p>
        </w:tc>
        <w:tc>
          <w:tcPr>
            <w:tcW w:w="1951" w:type="dxa"/>
            <w:tcBorders>
              <w:top w:val="single" w:color="000000" w:sz="4" w:space="0"/>
              <w:left w:val="single" w:color="000000" w:sz="4" w:space="0"/>
              <w:bottom w:val="single" w:color="000000" w:sz="4" w:space="0"/>
              <w:right w:val="single" w:color="000000" w:sz="4" w:space="0"/>
            </w:tcBorders>
            <w:vAlign w:val="center"/>
          </w:tcPr>
          <w:p w14:paraId="53BB5BC5">
            <w:pPr>
              <w:widowControl/>
              <w:snapToGrid w:val="0"/>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rPr>
              <w:t>占场内总份额比例（%）</w:t>
            </w:r>
          </w:p>
        </w:tc>
      </w:tr>
      <w:tr w14:paraId="5D288ED2">
        <w:tblPrEx>
          <w:tblCellMar>
            <w:top w:w="0" w:type="dxa"/>
            <w:left w:w="108" w:type="dxa"/>
            <w:bottom w:w="0" w:type="dxa"/>
            <w:right w:w="108" w:type="dxa"/>
          </w:tblCellMar>
        </w:tblPrEx>
        <w:trPr>
          <w:trHeight w:val="532" w:hRule="atLeast"/>
          <w:jc w:val="center"/>
        </w:trPr>
        <w:tc>
          <w:tcPr>
            <w:tcW w:w="734" w:type="dxa"/>
            <w:tcBorders>
              <w:top w:val="single" w:color="000000" w:sz="4" w:space="0"/>
              <w:left w:val="single" w:color="000000" w:sz="4" w:space="0"/>
              <w:bottom w:val="single" w:color="000000" w:sz="4" w:space="0"/>
              <w:right w:val="single" w:color="000000" w:sz="4" w:space="0"/>
            </w:tcBorders>
            <w:vAlign w:val="center"/>
          </w:tcPr>
          <w:p w14:paraId="0E45C4DA">
            <w:pPr>
              <w:widowControl/>
              <w:snapToGrid w:val="0"/>
              <w:spacing w:line="36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1</w:t>
            </w:r>
          </w:p>
        </w:tc>
        <w:tc>
          <w:tcPr>
            <w:tcW w:w="3720" w:type="dxa"/>
            <w:tcBorders>
              <w:top w:val="single" w:color="000000" w:sz="4" w:space="0"/>
              <w:left w:val="single" w:color="000000" w:sz="4" w:space="0"/>
              <w:bottom w:val="single" w:color="000000" w:sz="4" w:space="0"/>
              <w:right w:val="single" w:color="000000" w:sz="4" w:space="0"/>
            </w:tcBorders>
            <w:vAlign w:val="center"/>
          </w:tcPr>
          <w:p w14:paraId="610345C3">
            <w:pPr>
              <w:widowControl/>
              <w:snapToGrid w:val="0"/>
              <w:spacing w:line="360" w:lineRule="auto"/>
              <w:jc w:val="center"/>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上海证券－国君资管3189FOF单一资产管理计划－上海证券护航FOF单一资产管理计划</w:t>
            </w:r>
          </w:p>
        </w:tc>
        <w:tc>
          <w:tcPr>
            <w:tcW w:w="1993" w:type="dxa"/>
            <w:tcBorders>
              <w:top w:val="single" w:color="000000" w:sz="4" w:space="0"/>
              <w:left w:val="single" w:color="000000" w:sz="4" w:space="0"/>
              <w:bottom w:val="single" w:color="000000" w:sz="4" w:space="0"/>
              <w:right w:val="single" w:color="000000" w:sz="4" w:space="0"/>
            </w:tcBorders>
            <w:vAlign w:val="center"/>
          </w:tcPr>
          <w:p w14:paraId="5EAEA4D9">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23000447.00</w:t>
            </w:r>
          </w:p>
        </w:tc>
        <w:tc>
          <w:tcPr>
            <w:tcW w:w="1951" w:type="dxa"/>
            <w:tcBorders>
              <w:top w:val="single" w:color="000000" w:sz="4" w:space="0"/>
              <w:left w:val="single" w:color="000000" w:sz="4" w:space="0"/>
              <w:bottom w:val="single" w:color="000000" w:sz="4" w:space="0"/>
              <w:right w:val="single" w:color="000000" w:sz="4" w:space="0"/>
            </w:tcBorders>
            <w:vAlign w:val="center"/>
          </w:tcPr>
          <w:p w14:paraId="3406A68F">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10.80</w:t>
            </w:r>
          </w:p>
        </w:tc>
      </w:tr>
      <w:tr w14:paraId="59D1E7B8">
        <w:tblPrEx>
          <w:tblCellMar>
            <w:top w:w="0" w:type="dxa"/>
            <w:left w:w="108" w:type="dxa"/>
            <w:bottom w:w="0" w:type="dxa"/>
            <w:right w:w="108" w:type="dxa"/>
          </w:tblCellMar>
        </w:tblPrEx>
        <w:trPr>
          <w:trHeight w:val="218" w:hRule="atLeast"/>
          <w:jc w:val="center"/>
        </w:trPr>
        <w:tc>
          <w:tcPr>
            <w:tcW w:w="734" w:type="dxa"/>
            <w:tcBorders>
              <w:top w:val="single" w:color="000000" w:sz="4" w:space="0"/>
              <w:left w:val="single" w:color="000000" w:sz="4" w:space="0"/>
              <w:bottom w:val="single" w:color="000000" w:sz="4" w:space="0"/>
              <w:right w:val="single" w:color="000000" w:sz="4" w:space="0"/>
            </w:tcBorders>
            <w:vAlign w:val="center"/>
          </w:tcPr>
          <w:p w14:paraId="714634A8">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w:t>
            </w:r>
          </w:p>
        </w:tc>
        <w:tc>
          <w:tcPr>
            <w:tcW w:w="3720" w:type="dxa"/>
            <w:tcBorders>
              <w:top w:val="single" w:color="000000" w:sz="4" w:space="0"/>
              <w:left w:val="single" w:color="000000" w:sz="4" w:space="0"/>
              <w:bottom w:val="single" w:color="000000" w:sz="4" w:space="0"/>
              <w:right w:val="single" w:color="000000" w:sz="4" w:space="0"/>
            </w:tcBorders>
            <w:vAlign w:val="center"/>
          </w:tcPr>
          <w:p w14:paraId="2C8C3729">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博时资本管理有限公司</w:t>
            </w:r>
          </w:p>
        </w:tc>
        <w:tc>
          <w:tcPr>
            <w:tcW w:w="1993" w:type="dxa"/>
            <w:tcBorders>
              <w:top w:val="single" w:color="000000" w:sz="4" w:space="0"/>
              <w:left w:val="single" w:color="000000" w:sz="4" w:space="0"/>
              <w:bottom w:val="single" w:color="000000" w:sz="4" w:space="0"/>
              <w:right w:val="single" w:color="000000" w:sz="4" w:space="0"/>
            </w:tcBorders>
            <w:vAlign w:val="center"/>
          </w:tcPr>
          <w:p w14:paraId="5C015142">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20002400.00</w:t>
            </w:r>
          </w:p>
        </w:tc>
        <w:tc>
          <w:tcPr>
            <w:tcW w:w="1951" w:type="dxa"/>
            <w:tcBorders>
              <w:top w:val="single" w:color="000000" w:sz="4" w:space="0"/>
              <w:left w:val="single" w:color="000000" w:sz="4" w:space="0"/>
              <w:bottom w:val="single" w:color="000000" w:sz="4" w:space="0"/>
              <w:right w:val="single" w:color="000000" w:sz="4" w:space="0"/>
            </w:tcBorders>
            <w:vAlign w:val="center"/>
          </w:tcPr>
          <w:p w14:paraId="256A0519">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9.39</w:t>
            </w:r>
          </w:p>
        </w:tc>
      </w:tr>
      <w:tr w14:paraId="61C28F67">
        <w:tblPrEx>
          <w:tblCellMar>
            <w:top w:w="0" w:type="dxa"/>
            <w:left w:w="108" w:type="dxa"/>
            <w:bottom w:w="0" w:type="dxa"/>
            <w:right w:w="108" w:type="dxa"/>
          </w:tblCellMar>
        </w:tblPrEx>
        <w:trPr>
          <w:trHeight w:val="428" w:hRule="atLeast"/>
          <w:jc w:val="center"/>
        </w:trPr>
        <w:tc>
          <w:tcPr>
            <w:tcW w:w="734" w:type="dxa"/>
            <w:tcBorders>
              <w:top w:val="single" w:color="000000" w:sz="4" w:space="0"/>
              <w:left w:val="single" w:color="000000" w:sz="4" w:space="0"/>
              <w:bottom w:val="single" w:color="000000" w:sz="4" w:space="0"/>
              <w:right w:val="single" w:color="000000" w:sz="4" w:space="0"/>
            </w:tcBorders>
            <w:vAlign w:val="center"/>
          </w:tcPr>
          <w:p w14:paraId="081A3519">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w:t>
            </w:r>
          </w:p>
        </w:tc>
        <w:tc>
          <w:tcPr>
            <w:tcW w:w="3720" w:type="dxa"/>
            <w:tcBorders>
              <w:top w:val="single" w:color="000000" w:sz="4" w:space="0"/>
              <w:left w:val="single" w:color="000000" w:sz="4" w:space="0"/>
              <w:bottom w:val="single" w:color="000000" w:sz="4" w:space="0"/>
              <w:right w:val="single" w:color="000000" w:sz="4" w:space="0"/>
            </w:tcBorders>
            <w:vAlign w:val="center"/>
          </w:tcPr>
          <w:p w14:paraId="482F194F">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华润深国投信托有限公司－华润信托·京华腾达2号集合资金信托计划</w:t>
            </w:r>
          </w:p>
        </w:tc>
        <w:tc>
          <w:tcPr>
            <w:tcW w:w="1993" w:type="dxa"/>
            <w:tcBorders>
              <w:top w:val="single" w:color="000000" w:sz="4" w:space="0"/>
              <w:left w:val="single" w:color="000000" w:sz="4" w:space="0"/>
              <w:bottom w:val="single" w:color="000000" w:sz="4" w:space="0"/>
              <w:right w:val="single" w:color="000000" w:sz="4" w:space="0"/>
            </w:tcBorders>
            <w:vAlign w:val="center"/>
          </w:tcPr>
          <w:p w14:paraId="6649F601">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20000972.00</w:t>
            </w:r>
          </w:p>
        </w:tc>
        <w:tc>
          <w:tcPr>
            <w:tcW w:w="1951" w:type="dxa"/>
            <w:tcBorders>
              <w:top w:val="single" w:color="000000" w:sz="4" w:space="0"/>
              <w:left w:val="single" w:color="000000" w:sz="4" w:space="0"/>
              <w:bottom w:val="single" w:color="000000" w:sz="4" w:space="0"/>
              <w:right w:val="single" w:color="000000" w:sz="4" w:space="0"/>
            </w:tcBorders>
            <w:vAlign w:val="center"/>
          </w:tcPr>
          <w:p w14:paraId="64531DE0">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9.39</w:t>
            </w:r>
          </w:p>
        </w:tc>
      </w:tr>
      <w:tr w14:paraId="15027618">
        <w:tblPrEx>
          <w:tblCellMar>
            <w:top w:w="0" w:type="dxa"/>
            <w:left w:w="108" w:type="dxa"/>
            <w:bottom w:w="0" w:type="dxa"/>
            <w:right w:w="108" w:type="dxa"/>
          </w:tblCellMar>
        </w:tblPrEx>
        <w:trPr>
          <w:trHeight w:val="323" w:hRule="atLeast"/>
          <w:jc w:val="center"/>
        </w:trPr>
        <w:tc>
          <w:tcPr>
            <w:tcW w:w="734" w:type="dxa"/>
            <w:tcBorders>
              <w:top w:val="single" w:color="000000" w:sz="4" w:space="0"/>
              <w:left w:val="single" w:color="000000" w:sz="4" w:space="0"/>
              <w:bottom w:val="single" w:color="000000" w:sz="4" w:space="0"/>
              <w:right w:val="single" w:color="000000" w:sz="4" w:space="0"/>
            </w:tcBorders>
            <w:vAlign w:val="center"/>
          </w:tcPr>
          <w:p w14:paraId="4D484A42">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4</w:t>
            </w:r>
          </w:p>
        </w:tc>
        <w:tc>
          <w:tcPr>
            <w:tcW w:w="3720" w:type="dxa"/>
            <w:tcBorders>
              <w:top w:val="single" w:color="000000" w:sz="4" w:space="0"/>
              <w:left w:val="single" w:color="000000" w:sz="4" w:space="0"/>
              <w:bottom w:val="single" w:color="000000" w:sz="4" w:space="0"/>
              <w:right w:val="single" w:color="000000" w:sz="4" w:space="0"/>
            </w:tcBorders>
            <w:vAlign w:val="center"/>
          </w:tcPr>
          <w:p w14:paraId="11C8CA0C">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招商局仁和人寿保险股份有限公司－传统产品3号</w:t>
            </w:r>
          </w:p>
        </w:tc>
        <w:tc>
          <w:tcPr>
            <w:tcW w:w="1993" w:type="dxa"/>
            <w:tcBorders>
              <w:top w:val="single" w:color="000000" w:sz="4" w:space="0"/>
              <w:left w:val="single" w:color="000000" w:sz="4" w:space="0"/>
              <w:bottom w:val="single" w:color="000000" w:sz="4" w:space="0"/>
              <w:right w:val="single" w:color="000000" w:sz="4" w:space="0"/>
            </w:tcBorders>
            <w:vAlign w:val="center"/>
          </w:tcPr>
          <w:p w14:paraId="7F5760F8">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10001000.00</w:t>
            </w:r>
          </w:p>
        </w:tc>
        <w:tc>
          <w:tcPr>
            <w:tcW w:w="1951" w:type="dxa"/>
            <w:tcBorders>
              <w:top w:val="single" w:color="000000" w:sz="4" w:space="0"/>
              <w:left w:val="single" w:color="000000" w:sz="4" w:space="0"/>
              <w:bottom w:val="single" w:color="000000" w:sz="4" w:space="0"/>
              <w:right w:val="single" w:color="000000" w:sz="4" w:space="0"/>
            </w:tcBorders>
            <w:vAlign w:val="center"/>
          </w:tcPr>
          <w:p w14:paraId="637605DE">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4.69</w:t>
            </w:r>
          </w:p>
        </w:tc>
      </w:tr>
      <w:tr w14:paraId="09A3CC20">
        <w:tblPrEx>
          <w:tblCellMar>
            <w:top w:w="0" w:type="dxa"/>
            <w:left w:w="108" w:type="dxa"/>
            <w:bottom w:w="0" w:type="dxa"/>
            <w:right w:w="108" w:type="dxa"/>
          </w:tblCellMar>
        </w:tblPrEx>
        <w:trPr>
          <w:trHeight w:val="218" w:hRule="atLeast"/>
          <w:jc w:val="center"/>
        </w:trPr>
        <w:tc>
          <w:tcPr>
            <w:tcW w:w="734" w:type="dxa"/>
            <w:tcBorders>
              <w:top w:val="single" w:color="000000" w:sz="4" w:space="0"/>
              <w:left w:val="single" w:color="000000" w:sz="4" w:space="0"/>
              <w:bottom w:val="single" w:color="000000" w:sz="4" w:space="0"/>
              <w:right w:val="single" w:color="000000" w:sz="4" w:space="0"/>
            </w:tcBorders>
            <w:vAlign w:val="center"/>
          </w:tcPr>
          <w:p w14:paraId="72EA0240">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5</w:t>
            </w:r>
          </w:p>
        </w:tc>
        <w:tc>
          <w:tcPr>
            <w:tcW w:w="3720" w:type="dxa"/>
            <w:tcBorders>
              <w:top w:val="single" w:color="000000" w:sz="4" w:space="0"/>
              <w:left w:val="single" w:color="000000" w:sz="4" w:space="0"/>
              <w:bottom w:val="single" w:color="000000" w:sz="4" w:space="0"/>
              <w:right w:val="single" w:color="000000" w:sz="4" w:space="0"/>
            </w:tcBorders>
            <w:vAlign w:val="center"/>
          </w:tcPr>
          <w:p w14:paraId="0AC7BAE7">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国信证券股份有限公司</w:t>
            </w:r>
          </w:p>
        </w:tc>
        <w:tc>
          <w:tcPr>
            <w:tcW w:w="1993" w:type="dxa"/>
            <w:tcBorders>
              <w:top w:val="single" w:color="000000" w:sz="4" w:space="0"/>
              <w:left w:val="single" w:color="000000" w:sz="4" w:space="0"/>
              <w:bottom w:val="single" w:color="000000" w:sz="4" w:space="0"/>
              <w:right w:val="single" w:color="000000" w:sz="4" w:space="0"/>
            </w:tcBorders>
            <w:vAlign w:val="center"/>
          </w:tcPr>
          <w:p w14:paraId="407DAB55">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7000136.00</w:t>
            </w:r>
          </w:p>
        </w:tc>
        <w:tc>
          <w:tcPr>
            <w:tcW w:w="1951" w:type="dxa"/>
            <w:tcBorders>
              <w:top w:val="single" w:color="000000" w:sz="4" w:space="0"/>
              <w:left w:val="single" w:color="000000" w:sz="4" w:space="0"/>
              <w:bottom w:val="single" w:color="000000" w:sz="4" w:space="0"/>
              <w:right w:val="single" w:color="000000" w:sz="4" w:space="0"/>
            </w:tcBorders>
            <w:vAlign w:val="center"/>
          </w:tcPr>
          <w:p w14:paraId="59D39758">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3.29</w:t>
            </w:r>
          </w:p>
        </w:tc>
      </w:tr>
      <w:tr w14:paraId="0FF4CCB6">
        <w:tblPrEx>
          <w:tblCellMar>
            <w:top w:w="0" w:type="dxa"/>
            <w:left w:w="108" w:type="dxa"/>
            <w:bottom w:w="0" w:type="dxa"/>
            <w:right w:w="108" w:type="dxa"/>
          </w:tblCellMar>
        </w:tblPrEx>
        <w:trPr>
          <w:trHeight w:val="218" w:hRule="atLeast"/>
          <w:jc w:val="center"/>
        </w:trPr>
        <w:tc>
          <w:tcPr>
            <w:tcW w:w="734" w:type="dxa"/>
            <w:tcBorders>
              <w:top w:val="single" w:color="000000" w:sz="4" w:space="0"/>
              <w:left w:val="single" w:color="000000" w:sz="4" w:space="0"/>
              <w:bottom w:val="single" w:color="000000" w:sz="4" w:space="0"/>
              <w:right w:val="single" w:color="000000" w:sz="4" w:space="0"/>
            </w:tcBorders>
            <w:vAlign w:val="center"/>
          </w:tcPr>
          <w:p w14:paraId="29D65E28">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6</w:t>
            </w:r>
          </w:p>
        </w:tc>
        <w:tc>
          <w:tcPr>
            <w:tcW w:w="3720" w:type="dxa"/>
            <w:tcBorders>
              <w:top w:val="single" w:color="000000" w:sz="4" w:space="0"/>
              <w:left w:val="single" w:color="000000" w:sz="4" w:space="0"/>
              <w:bottom w:val="single" w:color="000000" w:sz="4" w:space="0"/>
              <w:right w:val="single" w:color="000000" w:sz="4" w:space="0"/>
            </w:tcBorders>
            <w:vAlign w:val="center"/>
          </w:tcPr>
          <w:p w14:paraId="4D5332AF">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国泰海通证券股份有限公司</w:t>
            </w:r>
          </w:p>
        </w:tc>
        <w:tc>
          <w:tcPr>
            <w:tcW w:w="1993" w:type="dxa"/>
            <w:tcBorders>
              <w:top w:val="single" w:color="000000" w:sz="4" w:space="0"/>
              <w:left w:val="single" w:color="000000" w:sz="4" w:space="0"/>
              <w:bottom w:val="single" w:color="000000" w:sz="4" w:space="0"/>
              <w:right w:val="single" w:color="000000" w:sz="4" w:space="0"/>
            </w:tcBorders>
            <w:vAlign w:val="center"/>
          </w:tcPr>
          <w:p w14:paraId="6731AF5A">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7000136.00</w:t>
            </w:r>
          </w:p>
        </w:tc>
        <w:tc>
          <w:tcPr>
            <w:tcW w:w="1951" w:type="dxa"/>
            <w:tcBorders>
              <w:top w:val="single" w:color="000000" w:sz="4" w:space="0"/>
              <w:left w:val="single" w:color="000000" w:sz="4" w:space="0"/>
              <w:bottom w:val="single" w:color="000000" w:sz="4" w:space="0"/>
              <w:right w:val="single" w:color="000000" w:sz="4" w:space="0"/>
            </w:tcBorders>
            <w:vAlign w:val="center"/>
          </w:tcPr>
          <w:p w14:paraId="0C919599">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3.29</w:t>
            </w:r>
          </w:p>
        </w:tc>
      </w:tr>
      <w:tr w14:paraId="03ABFEED">
        <w:tblPrEx>
          <w:tblCellMar>
            <w:top w:w="0" w:type="dxa"/>
            <w:left w:w="108" w:type="dxa"/>
            <w:bottom w:w="0" w:type="dxa"/>
            <w:right w:w="108" w:type="dxa"/>
          </w:tblCellMar>
        </w:tblPrEx>
        <w:trPr>
          <w:trHeight w:val="218" w:hRule="atLeast"/>
          <w:jc w:val="center"/>
        </w:trPr>
        <w:tc>
          <w:tcPr>
            <w:tcW w:w="734" w:type="dxa"/>
            <w:tcBorders>
              <w:top w:val="single" w:color="000000" w:sz="4" w:space="0"/>
              <w:left w:val="single" w:color="000000" w:sz="4" w:space="0"/>
              <w:bottom w:val="single" w:color="000000" w:sz="4" w:space="0"/>
              <w:right w:val="single" w:color="000000" w:sz="4" w:space="0"/>
            </w:tcBorders>
            <w:vAlign w:val="center"/>
          </w:tcPr>
          <w:p w14:paraId="6898A632">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7</w:t>
            </w:r>
          </w:p>
        </w:tc>
        <w:tc>
          <w:tcPr>
            <w:tcW w:w="3720" w:type="dxa"/>
            <w:tcBorders>
              <w:top w:val="single" w:color="000000" w:sz="4" w:space="0"/>
              <w:left w:val="single" w:color="000000" w:sz="4" w:space="0"/>
              <w:bottom w:val="single" w:color="000000" w:sz="4" w:space="0"/>
              <w:right w:val="single" w:color="000000" w:sz="4" w:space="0"/>
            </w:tcBorders>
            <w:vAlign w:val="center"/>
          </w:tcPr>
          <w:p w14:paraId="324A4361">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招商证券股份有限公司</w:t>
            </w:r>
          </w:p>
        </w:tc>
        <w:tc>
          <w:tcPr>
            <w:tcW w:w="1993" w:type="dxa"/>
            <w:tcBorders>
              <w:top w:val="single" w:color="000000" w:sz="4" w:space="0"/>
              <w:left w:val="single" w:color="000000" w:sz="4" w:space="0"/>
              <w:bottom w:val="single" w:color="000000" w:sz="4" w:space="0"/>
              <w:right w:val="single" w:color="000000" w:sz="4" w:space="0"/>
            </w:tcBorders>
            <w:vAlign w:val="center"/>
          </w:tcPr>
          <w:p w14:paraId="428789CD">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7000136.00</w:t>
            </w:r>
          </w:p>
        </w:tc>
        <w:tc>
          <w:tcPr>
            <w:tcW w:w="1951" w:type="dxa"/>
            <w:tcBorders>
              <w:top w:val="single" w:color="000000" w:sz="4" w:space="0"/>
              <w:left w:val="single" w:color="000000" w:sz="4" w:space="0"/>
              <w:bottom w:val="single" w:color="000000" w:sz="4" w:space="0"/>
              <w:right w:val="single" w:color="000000" w:sz="4" w:space="0"/>
            </w:tcBorders>
            <w:vAlign w:val="center"/>
          </w:tcPr>
          <w:p w14:paraId="3939638C">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3.29</w:t>
            </w:r>
          </w:p>
        </w:tc>
      </w:tr>
      <w:tr w14:paraId="22DD8BA9">
        <w:tblPrEx>
          <w:tblCellMar>
            <w:top w:w="0" w:type="dxa"/>
            <w:left w:w="108" w:type="dxa"/>
            <w:bottom w:w="0" w:type="dxa"/>
            <w:right w:w="108" w:type="dxa"/>
          </w:tblCellMar>
        </w:tblPrEx>
        <w:trPr>
          <w:trHeight w:val="323" w:hRule="atLeast"/>
          <w:jc w:val="center"/>
        </w:trPr>
        <w:tc>
          <w:tcPr>
            <w:tcW w:w="734" w:type="dxa"/>
            <w:tcBorders>
              <w:top w:val="single" w:color="000000" w:sz="4" w:space="0"/>
              <w:left w:val="single" w:color="000000" w:sz="4" w:space="0"/>
              <w:bottom w:val="single" w:color="000000" w:sz="4" w:space="0"/>
              <w:right w:val="single" w:color="000000" w:sz="4" w:space="0"/>
            </w:tcBorders>
            <w:vAlign w:val="center"/>
          </w:tcPr>
          <w:p w14:paraId="087A7A29">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8</w:t>
            </w:r>
          </w:p>
        </w:tc>
        <w:tc>
          <w:tcPr>
            <w:tcW w:w="3720" w:type="dxa"/>
            <w:tcBorders>
              <w:top w:val="single" w:color="000000" w:sz="4" w:space="0"/>
              <w:left w:val="single" w:color="000000" w:sz="4" w:space="0"/>
              <w:bottom w:val="single" w:color="000000" w:sz="4" w:space="0"/>
              <w:right w:val="single" w:color="000000" w:sz="4" w:space="0"/>
            </w:tcBorders>
            <w:vAlign w:val="center"/>
          </w:tcPr>
          <w:p w14:paraId="7003BAE0">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上海绵烁资产管理有限公司－绵烁优享私募证券投资基金</w:t>
            </w:r>
          </w:p>
        </w:tc>
        <w:tc>
          <w:tcPr>
            <w:tcW w:w="1993" w:type="dxa"/>
            <w:tcBorders>
              <w:top w:val="single" w:color="000000" w:sz="4" w:space="0"/>
              <w:left w:val="single" w:color="000000" w:sz="4" w:space="0"/>
              <w:bottom w:val="single" w:color="000000" w:sz="4" w:space="0"/>
              <w:right w:val="single" w:color="000000" w:sz="4" w:space="0"/>
            </w:tcBorders>
            <w:vAlign w:val="center"/>
          </w:tcPr>
          <w:p w14:paraId="445BE1B2">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5000680.00</w:t>
            </w:r>
          </w:p>
        </w:tc>
        <w:tc>
          <w:tcPr>
            <w:tcW w:w="1951" w:type="dxa"/>
            <w:tcBorders>
              <w:top w:val="single" w:color="000000" w:sz="4" w:space="0"/>
              <w:left w:val="single" w:color="000000" w:sz="4" w:space="0"/>
              <w:bottom w:val="single" w:color="000000" w:sz="4" w:space="0"/>
              <w:right w:val="single" w:color="000000" w:sz="4" w:space="0"/>
            </w:tcBorders>
            <w:vAlign w:val="center"/>
          </w:tcPr>
          <w:p w14:paraId="41718A17">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2.35</w:t>
            </w:r>
          </w:p>
        </w:tc>
      </w:tr>
      <w:tr w14:paraId="60239BD6">
        <w:tblPrEx>
          <w:tblCellMar>
            <w:top w:w="0" w:type="dxa"/>
            <w:left w:w="108" w:type="dxa"/>
            <w:bottom w:w="0" w:type="dxa"/>
            <w:right w:w="108" w:type="dxa"/>
          </w:tblCellMar>
        </w:tblPrEx>
        <w:trPr>
          <w:trHeight w:val="428" w:hRule="atLeast"/>
          <w:jc w:val="center"/>
        </w:trPr>
        <w:tc>
          <w:tcPr>
            <w:tcW w:w="734" w:type="dxa"/>
            <w:tcBorders>
              <w:top w:val="single" w:color="000000" w:sz="4" w:space="0"/>
              <w:left w:val="single" w:color="000000" w:sz="4" w:space="0"/>
              <w:bottom w:val="single" w:color="000000" w:sz="4" w:space="0"/>
              <w:right w:val="single" w:color="000000" w:sz="4" w:space="0"/>
            </w:tcBorders>
            <w:vAlign w:val="center"/>
          </w:tcPr>
          <w:p w14:paraId="5F070BBC">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9</w:t>
            </w:r>
          </w:p>
        </w:tc>
        <w:tc>
          <w:tcPr>
            <w:tcW w:w="3720" w:type="dxa"/>
            <w:tcBorders>
              <w:top w:val="single" w:color="000000" w:sz="4" w:space="0"/>
              <w:left w:val="single" w:color="000000" w:sz="4" w:space="0"/>
              <w:bottom w:val="single" w:color="000000" w:sz="4" w:space="0"/>
              <w:right w:val="single" w:color="000000" w:sz="4" w:space="0"/>
            </w:tcBorders>
            <w:vAlign w:val="center"/>
          </w:tcPr>
          <w:p w14:paraId="3D883DB5">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铸锋资产管理（北京）有限公司－铸锋银锋1号私募证券投资基金</w:t>
            </w:r>
          </w:p>
        </w:tc>
        <w:tc>
          <w:tcPr>
            <w:tcW w:w="1993" w:type="dxa"/>
            <w:tcBorders>
              <w:top w:val="single" w:color="000000" w:sz="4" w:space="0"/>
              <w:left w:val="single" w:color="000000" w:sz="4" w:space="0"/>
              <w:bottom w:val="single" w:color="000000" w:sz="4" w:space="0"/>
              <w:right w:val="single" w:color="000000" w:sz="4" w:space="0"/>
            </w:tcBorders>
            <w:vAlign w:val="center"/>
          </w:tcPr>
          <w:p w14:paraId="0EA0F80F">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5000097.00</w:t>
            </w:r>
          </w:p>
        </w:tc>
        <w:tc>
          <w:tcPr>
            <w:tcW w:w="1951" w:type="dxa"/>
            <w:tcBorders>
              <w:top w:val="single" w:color="000000" w:sz="4" w:space="0"/>
              <w:left w:val="single" w:color="000000" w:sz="4" w:space="0"/>
              <w:bottom w:val="single" w:color="000000" w:sz="4" w:space="0"/>
              <w:right w:val="single" w:color="000000" w:sz="4" w:space="0"/>
            </w:tcBorders>
            <w:vAlign w:val="center"/>
          </w:tcPr>
          <w:p w14:paraId="2800900F">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2.35</w:t>
            </w:r>
          </w:p>
        </w:tc>
      </w:tr>
      <w:tr w14:paraId="0580EE2D">
        <w:tblPrEx>
          <w:tblCellMar>
            <w:top w:w="0" w:type="dxa"/>
            <w:left w:w="108" w:type="dxa"/>
            <w:bottom w:w="0" w:type="dxa"/>
            <w:right w:w="108" w:type="dxa"/>
          </w:tblCellMar>
        </w:tblPrEx>
        <w:trPr>
          <w:trHeight w:val="218" w:hRule="atLeast"/>
          <w:jc w:val="center"/>
        </w:trPr>
        <w:tc>
          <w:tcPr>
            <w:tcW w:w="734" w:type="dxa"/>
            <w:tcBorders>
              <w:top w:val="single" w:color="000000" w:sz="4" w:space="0"/>
              <w:left w:val="single" w:color="000000" w:sz="4" w:space="0"/>
              <w:bottom w:val="single" w:color="000000" w:sz="4" w:space="0"/>
              <w:right w:val="single" w:color="000000" w:sz="4" w:space="0"/>
            </w:tcBorders>
            <w:vAlign w:val="center"/>
          </w:tcPr>
          <w:p w14:paraId="71CD1124">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10</w:t>
            </w:r>
          </w:p>
        </w:tc>
        <w:tc>
          <w:tcPr>
            <w:tcW w:w="3720" w:type="dxa"/>
            <w:tcBorders>
              <w:top w:val="single" w:color="000000" w:sz="4" w:space="0"/>
              <w:left w:val="single" w:color="000000" w:sz="4" w:space="0"/>
              <w:bottom w:val="single" w:color="000000" w:sz="4" w:space="0"/>
              <w:right w:val="single" w:color="000000" w:sz="4" w:space="0"/>
            </w:tcBorders>
            <w:vAlign w:val="center"/>
          </w:tcPr>
          <w:p w14:paraId="6F2853EC">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盈安贸易（天津）有限公司</w:t>
            </w:r>
          </w:p>
        </w:tc>
        <w:tc>
          <w:tcPr>
            <w:tcW w:w="1993" w:type="dxa"/>
            <w:tcBorders>
              <w:top w:val="single" w:color="000000" w:sz="4" w:space="0"/>
              <w:left w:val="single" w:color="000000" w:sz="4" w:space="0"/>
              <w:bottom w:val="single" w:color="000000" w:sz="4" w:space="0"/>
              <w:right w:val="single" w:color="000000" w:sz="4" w:space="0"/>
            </w:tcBorders>
            <w:vAlign w:val="center"/>
          </w:tcPr>
          <w:p w14:paraId="2EF6B3CC">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3000174.00</w:t>
            </w:r>
          </w:p>
        </w:tc>
        <w:tc>
          <w:tcPr>
            <w:tcW w:w="1951" w:type="dxa"/>
            <w:tcBorders>
              <w:top w:val="single" w:color="000000" w:sz="4" w:space="0"/>
              <w:left w:val="single" w:color="000000" w:sz="4" w:space="0"/>
              <w:bottom w:val="single" w:color="000000" w:sz="4" w:space="0"/>
              <w:right w:val="single" w:color="000000" w:sz="4" w:space="0"/>
            </w:tcBorders>
            <w:vAlign w:val="center"/>
          </w:tcPr>
          <w:p w14:paraId="7C92B947">
            <w:pPr>
              <w:widowControl/>
              <w:snapToGrid w:val="0"/>
              <w:spacing w:line="360" w:lineRule="auto"/>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1.41</w:t>
            </w:r>
          </w:p>
        </w:tc>
      </w:tr>
    </w:tbl>
    <w:p w14:paraId="0F7D1C9E">
      <w:pPr>
        <w:widowControl/>
        <w:snapToGrid w:val="0"/>
        <w:spacing w:line="360" w:lineRule="auto"/>
        <w:ind w:right="0" w:firstLine="424"/>
        <w:rPr>
          <w:color w:val="000000"/>
          <w:kern w:val="0"/>
          <w:sz w:val="24"/>
          <w:highlight w:val="none"/>
        </w:rPr>
      </w:pPr>
    </w:p>
    <w:p w14:paraId="5AD156C5">
      <w:pPr>
        <w:pStyle w:val="2"/>
        <w:ind w:left="0" w:firstLine="0"/>
        <w:rPr>
          <w:rFonts w:ascii="Times New Roman" w:hAnsi="Times New Roman" w:cs="Times New Roman"/>
          <w:highlight w:val="none"/>
        </w:rPr>
      </w:pPr>
      <w:bookmarkStart w:id="9" w:name="_Toc26313"/>
      <w:r>
        <w:rPr>
          <w:rFonts w:ascii="Times New Roman" w:hAnsi="Times New Roman" w:cs="Times New Roman"/>
        </w:rPr>
        <w:t>五、基金主要当事人简介</w:t>
      </w:r>
      <w:bookmarkEnd w:id="9"/>
    </w:p>
    <w:p w14:paraId="363E57D0">
      <w:pPr>
        <w:widowControl/>
        <w:snapToGrid w:val="0"/>
        <w:spacing w:line="360" w:lineRule="auto"/>
        <w:ind w:right="0" w:firstLine="480"/>
        <w:rPr>
          <w:color w:val="000000"/>
          <w:kern w:val="0"/>
          <w:sz w:val="24"/>
          <w:highlight w:val="none"/>
        </w:rPr>
      </w:pPr>
      <w:r>
        <w:rPr>
          <w:color w:val="000000"/>
          <w:kern w:val="0"/>
          <w:sz w:val="24"/>
        </w:rPr>
        <w:t>（一）基金管理人</w:t>
      </w:r>
    </w:p>
    <w:p w14:paraId="6B6D8F48">
      <w:pPr>
        <w:widowControl/>
        <w:snapToGrid w:val="0"/>
        <w:spacing w:line="360" w:lineRule="auto"/>
        <w:ind w:right="0" w:firstLine="480"/>
        <w:rPr>
          <w:color w:val="000000"/>
          <w:kern w:val="0"/>
          <w:sz w:val="24"/>
          <w:highlight w:val="none"/>
          <w:lang w:val="en-US" w:eastAsia="zh-CN"/>
        </w:rPr>
      </w:pPr>
      <w:r>
        <w:rPr>
          <w:color w:val="000000"/>
          <w:kern w:val="0"/>
          <w:sz w:val="24"/>
          <w:lang w:val="en-US" w:eastAsia="zh-CN"/>
        </w:rPr>
        <w:t>1、基金管理人概况</w:t>
      </w:r>
    </w:p>
    <w:p w14:paraId="467BF65B">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名称：</w:t>
      </w:r>
      <w:r>
        <w:rPr>
          <w:rFonts w:hint="eastAsia"/>
          <w:color w:val="000000"/>
          <w:kern w:val="0"/>
          <w:sz w:val="24"/>
          <w:lang w:val="en-US" w:eastAsia="zh-CN"/>
        </w:rPr>
        <w:tab/>
      </w:r>
      <w:r>
        <w:rPr>
          <w:rFonts w:hint="eastAsia"/>
          <w:color w:val="000000"/>
          <w:kern w:val="0"/>
          <w:sz w:val="24"/>
          <w:lang w:val="en-US" w:eastAsia="zh-CN"/>
        </w:rPr>
        <w:t>博时基金管理有限公司</w:t>
      </w:r>
    </w:p>
    <w:p w14:paraId="222A7B9D">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住所：</w:t>
      </w:r>
      <w:r>
        <w:rPr>
          <w:rFonts w:hint="eastAsia"/>
          <w:color w:val="000000"/>
          <w:kern w:val="0"/>
          <w:sz w:val="24"/>
          <w:lang w:val="en-US" w:eastAsia="zh-CN"/>
        </w:rPr>
        <w:tab/>
      </w:r>
      <w:r>
        <w:rPr>
          <w:rFonts w:hint="eastAsia"/>
          <w:color w:val="000000"/>
          <w:kern w:val="0"/>
          <w:sz w:val="24"/>
          <w:lang w:val="en-US" w:eastAsia="zh-CN"/>
        </w:rPr>
        <w:t>深圳市福田区莲花街道福新社区益田路5999号基金大厦21层</w:t>
      </w:r>
    </w:p>
    <w:p w14:paraId="69D12DA2">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办公地址：</w:t>
      </w:r>
      <w:r>
        <w:rPr>
          <w:rFonts w:hint="eastAsia"/>
          <w:color w:val="000000"/>
          <w:kern w:val="0"/>
          <w:sz w:val="24"/>
          <w:lang w:val="en-US" w:eastAsia="zh-CN"/>
        </w:rPr>
        <w:tab/>
      </w:r>
      <w:r>
        <w:rPr>
          <w:rFonts w:hint="eastAsia"/>
          <w:color w:val="000000"/>
          <w:kern w:val="0"/>
          <w:sz w:val="24"/>
          <w:lang w:val="en-US" w:eastAsia="zh-CN"/>
        </w:rPr>
        <w:t>广东省深圳市福田区益田路5999号基金大厦21层</w:t>
      </w:r>
    </w:p>
    <w:p w14:paraId="181C65AA">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法定代表人：张东</w:t>
      </w:r>
    </w:p>
    <w:p w14:paraId="64BD971C">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成立时间：</w:t>
      </w:r>
      <w:r>
        <w:rPr>
          <w:rFonts w:hint="eastAsia"/>
          <w:color w:val="000000"/>
          <w:kern w:val="0"/>
          <w:sz w:val="24"/>
          <w:lang w:val="en-US" w:eastAsia="zh-CN"/>
        </w:rPr>
        <w:tab/>
      </w:r>
      <w:r>
        <w:rPr>
          <w:rFonts w:hint="eastAsia"/>
          <w:color w:val="000000"/>
          <w:kern w:val="0"/>
          <w:sz w:val="24"/>
          <w:lang w:val="en-US" w:eastAsia="zh-CN"/>
        </w:rPr>
        <w:t>1998年7月13日</w:t>
      </w:r>
    </w:p>
    <w:p w14:paraId="48949A45">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注册资本：</w:t>
      </w:r>
      <w:r>
        <w:rPr>
          <w:rFonts w:hint="eastAsia"/>
          <w:color w:val="000000"/>
          <w:kern w:val="0"/>
          <w:sz w:val="24"/>
          <w:lang w:val="en-US" w:eastAsia="zh-CN"/>
        </w:rPr>
        <w:tab/>
      </w:r>
      <w:r>
        <w:rPr>
          <w:rFonts w:hint="eastAsia"/>
          <w:color w:val="000000"/>
          <w:kern w:val="0"/>
          <w:sz w:val="24"/>
          <w:lang w:val="en-US" w:eastAsia="zh-CN"/>
        </w:rPr>
        <w:t>2.5亿元人民币</w:t>
      </w:r>
    </w:p>
    <w:p w14:paraId="3C7950CD">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存续期间：</w:t>
      </w:r>
      <w:r>
        <w:rPr>
          <w:rFonts w:hint="eastAsia"/>
          <w:color w:val="000000"/>
          <w:kern w:val="0"/>
          <w:sz w:val="24"/>
          <w:lang w:val="en-US" w:eastAsia="zh-CN"/>
        </w:rPr>
        <w:tab/>
      </w:r>
      <w:r>
        <w:rPr>
          <w:rFonts w:hint="eastAsia"/>
          <w:color w:val="000000"/>
          <w:kern w:val="0"/>
          <w:sz w:val="24"/>
          <w:lang w:val="en-US" w:eastAsia="zh-CN"/>
        </w:rPr>
        <w:t>持续经营</w:t>
      </w:r>
    </w:p>
    <w:p w14:paraId="4E0984BE">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联系人：    杜松岭</w:t>
      </w:r>
    </w:p>
    <w:p w14:paraId="7DF32770">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联系电话：  （0755）8316 9999</w:t>
      </w:r>
    </w:p>
    <w:p w14:paraId="49346BCF">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7470E50B">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公司设立了投资决策委员会。投资决策委员会负责指导基金资产的运作、确定基本的投资策略和投资组合的原则。</w:t>
      </w:r>
    </w:p>
    <w:p w14:paraId="4D6EE3D8">
      <w:pPr>
        <w:widowControl/>
        <w:snapToGrid w:val="0"/>
        <w:spacing w:line="360" w:lineRule="auto"/>
        <w:ind w:right="0" w:firstLine="480"/>
        <w:rPr>
          <w:color w:val="000000"/>
          <w:kern w:val="0"/>
          <w:sz w:val="24"/>
          <w:highlight w:val="none"/>
          <w:lang w:val="en-US" w:eastAsia="zh-CN"/>
        </w:rPr>
      </w:pPr>
      <w:r>
        <w:rPr>
          <w:rFonts w:hint="eastAsia"/>
          <w:color w:val="000000"/>
          <w:kern w:val="0"/>
          <w:sz w:val="24"/>
          <w:lang w:val="en-US" w:eastAsia="zh-CN"/>
        </w:rPr>
        <w:t>公司已经建立健全投资管理制度、风险控制制度、内部监察制度、财务管理制度、人事管理制度、信息披露制度和员工行为准则等公司管理制度体系。</w:t>
      </w:r>
    </w:p>
    <w:p w14:paraId="32113F01">
      <w:pPr>
        <w:widowControl/>
        <w:snapToGrid w:val="0"/>
        <w:spacing w:line="360" w:lineRule="auto"/>
        <w:ind w:right="0" w:firstLine="480"/>
        <w:rPr>
          <w:color w:val="000000"/>
          <w:kern w:val="0"/>
          <w:sz w:val="24"/>
          <w:highlight w:val="none"/>
          <w:lang w:val="en-US" w:eastAsia="zh-CN"/>
        </w:rPr>
      </w:pPr>
      <w:r>
        <w:rPr>
          <w:rFonts w:eastAsia="Times New Roman"/>
          <w:color w:val="000000"/>
          <w:kern w:val="0"/>
          <w:sz w:val="24"/>
          <w:lang w:val="en-US" w:eastAsia="zh-CN"/>
        </w:rPr>
        <w:t xml:space="preserve"> </w:t>
      </w:r>
      <w:r>
        <w:rPr>
          <w:color w:val="000000"/>
          <w:kern w:val="0"/>
          <w:sz w:val="24"/>
          <w:lang w:val="en-US" w:eastAsia="zh-CN"/>
        </w:rPr>
        <w:t>2、主要成员情况</w:t>
      </w:r>
    </w:p>
    <w:p w14:paraId="4F038167">
      <w:pPr>
        <w:widowControl/>
        <w:snapToGrid w:val="0"/>
        <w:spacing w:line="360" w:lineRule="auto"/>
        <w:ind w:right="0" w:firstLine="480"/>
        <w:rPr>
          <w:color w:val="000000"/>
          <w:kern w:val="0"/>
          <w:sz w:val="24"/>
          <w:highlight w:val="none"/>
          <w:lang w:val="en-US" w:eastAsia="zh-CN"/>
        </w:rPr>
      </w:pPr>
      <w:r>
        <w:rPr>
          <w:color w:val="000000"/>
          <w:kern w:val="0"/>
          <w:sz w:val="24"/>
          <w:lang w:val="en-US" w:eastAsia="zh-CN"/>
        </w:rPr>
        <w:t>（1）基金管理人董事会成员</w:t>
      </w:r>
    </w:p>
    <w:p w14:paraId="5799C97B">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1E473B31">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1DD50370">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65A17DBA">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256F9220">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7A174B7F">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2CFFCAC9">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1D227249">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6E2BE932">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4514EF97">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5F1C51DE">
      <w:pPr>
        <w:widowControl/>
        <w:snapToGrid w:val="0"/>
        <w:spacing w:line="360" w:lineRule="auto"/>
        <w:ind w:right="0" w:firstLine="480"/>
        <w:rPr>
          <w:color w:val="000000"/>
          <w:kern w:val="0"/>
          <w:sz w:val="24"/>
          <w:highlight w:val="none"/>
          <w:lang w:val="en-US" w:eastAsia="zh-CN"/>
        </w:rPr>
      </w:pPr>
      <w:r>
        <w:rPr>
          <w:rFonts w:hint="eastAsia"/>
          <w:color w:val="000000"/>
          <w:kern w:val="0"/>
          <w:sz w:val="24"/>
          <w:lang w:val="en-US" w:eastAsia="zh-CN"/>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4CC88E37">
      <w:pPr>
        <w:widowControl/>
        <w:snapToGrid w:val="0"/>
        <w:spacing w:line="360" w:lineRule="auto"/>
        <w:ind w:right="0" w:firstLine="480"/>
        <w:rPr>
          <w:color w:val="000000"/>
          <w:kern w:val="0"/>
          <w:sz w:val="24"/>
          <w:highlight w:val="none"/>
          <w:lang w:val="en-US" w:eastAsia="zh-CN"/>
        </w:rPr>
      </w:pPr>
      <w:r>
        <w:rPr>
          <w:color w:val="000000"/>
          <w:kern w:val="0"/>
          <w:sz w:val="24"/>
          <w:lang w:val="en-US" w:eastAsia="zh-CN"/>
        </w:rPr>
        <w:t>（2）高级管理人员</w:t>
      </w:r>
    </w:p>
    <w:p w14:paraId="03A4737A">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张东先生，简历同上。</w:t>
      </w:r>
    </w:p>
    <w:p w14:paraId="2B57781D">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陈宇先生，简历同上。</w:t>
      </w:r>
    </w:p>
    <w:p w14:paraId="54991781">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6282B1B2">
      <w:pPr>
        <w:widowControl/>
        <w:snapToGrid w:val="0"/>
        <w:spacing w:line="360" w:lineRule="auto"/>
        <w:ind w:right="0" w:firstLine="480"/>
        <w:rPr>
          <w:color w:val="000000"/>
          <w:kern w:val="0"/>
          <w:sz w:val="24"/>
          <w:highlight w:val="none"/>
          <w:lang w:val="en-US" w:eastAsia="zh-CN"/>
        </w:rPr>
      </w:pPr>
      <w:r>
        <w:rPr>
          <w:rFonts w:hint="eastAsia"/>
          <w:color w:val="000000"/>
          <w:kern w:val="0"/>
          <w:sz w:val="24"/>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p>
    <w:p w14:paraId="26779615">
      <w:pPr>
        <w:widowControl/>
        <w:snapToGrid w:val="0"/>
        <w:spacing w:line="360" w:lineRule="auto"/>
        <w:ind w:right="0" w:firstLine="480"/>
        <w:rPr>
          <w:color w:val="000000"/>
          <w:kern w:val="0"/>
          <w:sz w:val="24"/>
          <w:highlight w:val="none"/>
          <w:lang w:val="en-US" w:eastAsia="zh-CN"/>
        </w:rPr>
      </w:pPr>
      <w:r>
        <w:rPr>
          <w:color w:val="000000"/>
          <w:kern w:val="0"/>
          <w:sz w:val="24"/>
          <w:lang w:val="en-US" w:eastAsia="zh-CN"/>
        </w:rPr>
        <w:t>（3）本基金基金经理</w:t>
      </w:r>
      <w:r>
        <w:rPr>
          <w:rFonts w:eastAsia="Times New Roman"/>
          <w:color w:val="000000"/>
          <w:kern w:val="0"/>
          <w:sz w:val="24"/>
          <w:lang w:val="en-US" w:eastAsia="zh-CN"/>
        </w:rPr>
        <w:t xml:space="preserve"> </w:t>
      </w:r>
    </w:p>
    <w:p w14:paraId="4709AD9B">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王祥先生，硕士。2006年起先后在中粮期货、工商银行总行工作。2015年加入博时基金管理有限公司。历任基金经理助理、博时中证疫苗与生物技术交易型开放式指数证券投资基金(2022年11月8日-2024年9月20日)、博时中证农业主题指数型发起式证券投资基金(2022年12月13日-2026年1月22日)、博时中证光伏产业指数证券投资基金(2022年8月16日-2026年3月8日)的基金经理。现任博时黄金交易型开放式证券投资基金联接基金(2016年11月2日—至今)、上证自然资源交易型开放式指数证券投资基金(2016年11月2日—至今)、博时黄金交易型开放式证券投资基金(2016年11月2日—至今)、博时上证自然资源交易型开放式指数证券投资基金联接基金(2016年11月2日—至今)、博时中证有色金属矿业主题指数证券投资基金(2023年5月16日—至今)、博时标普石油天然气勘探及生产精选行业指数型发起式证券投资基金（QDII）(2023年9月5日—至今)、博时中证基建工程指数型发起式证券投资基金(2024年3月19日—至今)、博时国证粮食产业指数型发起式证券投资基金(2024年4月9日—至今)、博时中证油气资源交易型开放式指数证券投资基金(2024年4月19日—至今)、博时中证油气资源交易型开放式指数证券投资基金发起式联接基金(2024年9月19日—至今)、博时国证大盘价值交易型开放式指数证券投资基金(2025年4月3日—至今)、博时中证A50交易型开放式指数证券投资基金(2025年5月22日—至今)、博时国证大盘价值交易型开放式指数证券投资基金联接基金(2025年7月29日—至今)、博时中证工业有色金属主题交易型开放式指数证券投资基金(2026年2月13日—至今)、博时中证光伏产业交易型开放式指数证券投资基金联接基金(2026年3月9日—至今)、博时国证粮食产业交易型开放式指数证券投资基金(2026年5月20日—至今)的基金经理。</w:t>
      </w:r>
    </w:p>
    <w:p w14:paraId="5C19A06D">
      <w:pPr>
        <w:widowControl/>
        <w:snapToGrid w:val="0"/>
        <w:spacing w:line="360" w:lineRule="auto"/>
        <w:ind w:right="0" w:firstLine="480"/>
        <w:rPr>
          <w:color w:val="000000"/>
          <w:kern w:val="0"/>
          <w:sz w:val="24"/>
          <w:highlight w:val="none"/>
          <w:lang w:val="en-US" w:eastAsia="zh-CN"/>
        </w:rPr>
      </w:pPr>
      <w:r>
        <w:rPr>
          <w:color w:val="000000"/>
          <w:kern w:val="0"/>
          <w:sz w:val="24"/>
          <w:lang w:val="en-US" w:eastAsia="zh-CN"/>
        </w:rPr>
        <w:t>（4）投资决策委员会成员</w:t>
      </w:r>
      <w:r>
        <w:rPr>
          <w:rFonts w:eastAsia="Times New Roman"/>
          <w:color w:val="000000"/>
          <w:kern w:val="0"/>
          <w:sz w:val="24"/>
          <w:lang w:val="en-US" w:eastAsia="zh-CN"/>
        </w:rPr>
        <w:t xml:space="preserve"> </w:t>
      </w:r>
    </w:p>
    <w:p w14:paraId="3F4E3534">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公司首席资产配置官黄健斌先生。</w:t>
      </w:r>
    </w:p>
    <w:p w14:paraId="310F612D">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公司投资决策委员会专职委员兼年金投资部总经理于善辉先生。</w:t>
      </w:r>
    </w:p>
    <w:p w14:paraId="0E9DB146">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 xml:space="preserve">首席基金经理过钧先生。 </w:t>
      </w:r>
    </w:p>
    <w:p w14:paraId="1F64C556">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 xml:space="preserve">首席投资官兼权益投研一体化总监、境外投资部总经理曾鹏先生。 </w:t>
      </w:r>
    </w:p>
    <w:p w14:paraId="48012F1C">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 xml:space="preserve">董事总经理兼权益投资三部总经理、权益投资三部投资总监蔡滨先生。 </w:t>
      </w:r>
    </w:p>
    <w:p w14:paraId="6B1EF006">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 xml:space="preserve">行业研究部总经理魏立先生。 </w:t>
      </w:r>
    </w:p>
    <w:p w14:paraId="14518799">
      <w:pPr>
        <w:widowControl/>
        <w:snapToGrid w:val="0"/>
        <w:spacing w:line="360" w:lineRule="auto"/>
        <w:ind w:right="0" w:firstLine="480"/>
        <w:rPr>
          <w:rFonts w:hint="eastAsia"/>
          <w:color w:val="000000"/>
          <w:kern w:val="0"/>
          <w:sz w:val="24"/>
          <w:lang w:val="en-US" w:eastAsia="zh-CN"/>
        </w:rPr>
      </w:pPr>
      <w:r>
        <w:rPr>
          <w:rFonts w:hint="eastAsia"/>
          <w:color w:val="000000"/>
          <w:kern w:val="0"/>
          <w:sz w:val="24"/>
          <w:lang w:val="en-US" w:eastAsia="zh-CN"/>
        </w:rPr>
        <w:t xml:space="preserve">宏观策略部首席策略分析师陈显顺先生。 </w:t>
      </w:r>
    </w:p>
    <w:p w14:paraId="6B151DBF">
      <w:pPr>
        <w:widowControl/>
        <w:snapToGrid w:val="0"/>
        <w:spacing w:line="360" w:lineRule="auto"/>
        <w:ind w:right="0" w:firstLine="480"/>
        <w:rPr>
          <w:color w:val="000000"/>
          <w:kern w:val="0"/>
          <w:sz w:val="24"/>
          <w:highlight w:val="none"/>
          <w:lang w:val="en-US" w:eastAsia="zh-CN"/>
        </w:rPr>
      </w:pPr>
      <w:r>
        <w:rPr>
          <w:rFonts w:hint="eastAsia"/>
          <w:color w:val="000000"/>
          <w:kern w:val="0"/>
          <w:sz w:val="24"/>
          <w:lang w:val="en-US" w:eastAsia="zh-CN"/>
        </w:rPr>
        <w:t>指数与量化投资部总经理兼指数与量化投资部投资总监赵云阳先生。</w:t>
      </w:r>
      <w:r>
        <w:rPr>
          <w:rFonts w:eastAsia="Times New Roman"/>
          <w:color w:val="000000"/>
          <w:kern w:val="0"/>
          <w:sz w:val="24"/>
          <w:lang w:val="en-US" w:eastAsia="zh-CN"/>
        </w:rPr>
        <w:t xml:space="preserve">   </w:t>
      </w:r>
    </w:p>
    <w:p w14:paraId="4E40BAF6">
      <w:pPr>
        <w:widowControl/>
        <w:snapToGrid w:val="0"/>
        <w:spacing w:line="360" w:lineRule="auto"/>
        <w:ind w:right="0" w:firstLine="480"/>
        <w:rPr>
          <w:rFonts w:ascii="宋体" w:hAnsi="宋体" w:eastAsia="宋体" w:cs="宋体"/>
          <w:color w:val="000000"/>
          <w:kern w:val="0"/>
          <w:sz w:val="24"/>
          <w:highlight w:val="none"/>
        </w:rPr>
      </w:pPr>
      <w:r>
        <w:rPr>
          <w:color w:val="000000"/>
          <w:kern w:val="0"/>
          <w:sz w:val="24"/>
          <w:lang w:val="en-US" w:eastAsia="zh-CN"/>
        </w:rPr>
        <w:t>（5）上述人员之间均不存在近亲属关系。  </w:t>
      </w:r>
      <w:r>
        <w:rPr>
          <w:rFonts w:eastAsia="Times New Roman"/>
          <w:color w:val="000000"/>
          <w:kern w:val="0"/>
          <w:sz w:val="24"/>
          <w:lang w:val="en-US" w:eastAsia="zh-CN"/>
        </w:rPr>
        <w:t xml:space="preserve"> </w:t>
      </w:r>
    </w:p>
    <w:p w14:paraId="2CBB2619">
      <w:pPr>
        <w:widowControl/>
        <w:snapToGrid w:val="0"/>
        <w:spacing w:line="360" w:lineRule="auto"/>
        <w:ind w:right="0" w:firstLine="480"/>
        <w:rPr>
          <w:rFonts w:ascii="宋体" w:hAnsi="宋体" w:eastAsia="宋体" w:cs="宋体"/>
          <w:color w:val="000000"/>
          <w:kern w:val="0"/>
          <w:sz w:val="24"/>
          <w:highlight w:val="none"/>
        </w:rPr>
      </w:pPr>
      <w:r>
        <w:rPr>
          <w:rFonts w:ascii="宋体" w:hAnsi="宋体" w:cs="宋体"/>
          <w:color w:val="000000"/>
          <w:kern w:val="0"/>
          <w:sz w:val="24"/>
        </w:rPr>
        <w:t>（二）基金托管人情况</w:t>
      </w:r>
    </w:p>
    <w:p w14:paraId="35A99039">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1、基本情况</w:t>
      </w:r>
    </w:p>
    <w:p w14:paraId="088A752F">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名称：北京银行股份有限公司(简称：北京银行)</w:t>
      </w:r>
    </w:p>
    <w:p w14:paraId="562C8F5F">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注册地址：北京市西城区金融大街甲17号首层</w:t>
      </w:r>
    </w:p>
    <w:p w14:paraId="4962B01C">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办公地址：北京市西城区金融大街丙17号</w:t>
      </w:r>
    </w:p>
    <w:p w14:paraId="5087329E">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法定代表人：关文杰</w:t>
      </w:r>
    </w:p>
    <w:p w14:paraId="6563F910">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成立时间：1996年01月29日</w:t>
      </w:r>
    </w:p>
    <w:p w14:paraId="70003E08">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组织形式：股份有限公司（上市）</w:t>
      </w:r>
    </w:p>
    <w:p w14:paraId="2D405FF1">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注册资本：人民币2114298.4272万元</w:t>
      </w:r>
    </w:p>
    <w:p w14:paraId="63D7B627">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存续期间：持续经营</w:t>
      </w:r>
    </w:p>
    <w:p w14:paraId="51AB2188">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联系人：盖君</w:t>
      </w:r>
    </w:p>
    <w:p w14:paraId="62271716">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官方客服电话：95526</w:t>
      </w:r>
    </w:p>
    <w:p w14:paraId="090C766B">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基金托管资格批准文号：中国证监会证监许可[2008]776号</w:t>
      </w:r>
    </w:p>
    <w:p w14:paraId="664A39BF">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经营范围：吸收公众存款；发放短期、中期和长期贷款；办理国内结算；办理票据贴现；发行金融债券；代理发行、代理兑付、承销政府债券；买卖政府债券；从事同业拆借；提供担保；代理收付款项及代理保险业务；提供保管箱业务；办理地方财政信用周转使用资金的委托贷款业务；外汇存款；外汇贷款；外汇汇款；外币兑换；同业外汇拆借；国际结算；结汇、售汇；外汇票据的承兑和贴现；外汇担保；资信调查、咨询、见证业务；买卖和代理买卖股票以外的外币有价证券；自营和代客外汇买卖；证券结算业务；开放式证券投资基金代销业务；债券结算代理业务；短期融资券主承销业务；经中国银行业监督管理委员会批准的其它业务。</w:t>
      </w:r>
    </w:p>
    <w:p w14:paraId="45BC8391">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2、发展概况：</w:t>
      </w:r>
    </w:p>
    <w:p w14:paraId="1FFD819D">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北京银行成立于1996年，抢抓时代机遇，相继实现引资、上市、跨区域等发展突破，在北京、天津、上海、西安、深圳、杭州、长沙、南京、济南、南昌、石家庄、乌鲁木齐、青岛、宁波、苏州等十余个中心城市设立630余家分支机构。近年来，全力做好科技金融、绿色金融、普惠金融、养老金融、数字金融“五篇大文章”，着力建设儿童友好型银行、伴您一生的银行、专精特新第一行、成就人才梦想的银行、人工智能驱动的商业银行“五大特色银行”，致力于打造一家不一样、有特色、想得起、记得住、用得上、受尊敬的银行。</w:t>
      </w:r>
    </w:p>
    <w:p w14:paraId="5CD0805A">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截至2025年9月末，北京银行资产总额4.89万亿元，2025年前三季度实现归母净利润210.64亿元，成本收入比28.13%，不良贷款率1.29%，拨备覆盖率195.79%，资本充足率12.82%，保持了良好发展态势。品牌价值达1166.39亿元。一级资本排名全球千家大银行49位，连续12年跻身全球银行业百强。</w:t>
      </w:r>
    </w:p>
    <w:p w14:paraId="16B4CB84">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北京银行凭借优秀的经营业绩和优质的金融服务，赢得了社会各界的高度赞誉，先后荣获“全国文明单位”“亚洲十大最佳上市银行”“中国最佳城市商业零售银行”“最佳区域性银行”“最佳支持中小企业贡献奖”“中国上市公司百强企业”“中国社会责任优秀企业”“最具持续投资价值上市公司”“中国最受尊敬企业”“最受尊敬银行”“最值得百姓信赖的银行机构”“中国优秀企业公民”“最佳供应链金融银行”“年度最佳科创金融服务银行”“中国人民银行金融科技发展二等奖”等称号。</w:t>
      </w:r>
    </w:p>
    <w:p w14:paraId="1469FE72">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3、资产托管部主要人员情况</w:t>
      </w:r>
    </w:p>
    <w:p w14:paraId="616BBFAF">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贺凌女士，2003年加入北京银行，具有20余年银行从业经历。历任北京银行公司银行部总经理助理、北京银行公司银行部副总经理，2023年加入总行资产托管部，现任北京银行资产托管部总经理。</w:t>
      </w:r>
    </w:p>
    <w:p w14:paraId="491F98C4">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北京银行资产托管部充分发挥作为新兴托管银行的高起点优势，搭建了由高素质人才组成的专业团队，内设估值核算岗、资金清算岗、投资监督岗、系统管理岗、内控稽核岗等岗位，各岗位人员均分别具有相应的会计核算、资产估值、资金清算、投资监督、风险控制等方面的专业知识和丰富的业务经验。</w:t>
      </w:r>
    </w:p>
    <w:p w14:paraId="4EE57196">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4、基金托管业务经营情况</w:t>
      </w:r>
    </w:p>
    <w:p w14:paraId="576DFC8D">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北京银行资产托管部秉持“严谨、专业、高效”的经营理念，严格履行托管人的各项职责，切实维护基金持有人的合法权益，为基金提供高质量的托管服务。经过多年稳步发展，北京银行托管资产规模不断扩大，托管业务品种不断增加，已形成包括证券投资基金、基金专户理财、证券公司资产管理计划、信托计划、银行理财、保险资金、股权投资基金等产品在内的托管产品体系，北京银行专业高效的托管服务赢得了客户的广泛高度认同。</w:t>
      </w:r>
    </w:p>
    <w:p w14:paraId="2E20CD30">
      <w:pPr>
        <w:widowControl/>
        <w:snapToGrid w:val="0"/>
        <w:spacing w:line="360" w:lineRule="auto"/>
        <w:ind w:righ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截至2025年9月末，北京银行共托管证券投资基金106只，规模共计2277.38亿元。</w:t>
      </w:r>
    </w:p>
    <w:p w14:paraId="5182E733">
      <w:pPr>
        <w:widowControl/>
        <w:snapToGrid w:val="0"/>
        <w:spacing w:line="360" w:lineRule="auto"/>
        <w:ind w:right="0" w:firstLine="480"/>
        <w:rPr>
          <w:color w:val="000000"/>
          <w:kern w:val="0"/>
          <w:sz w:val="24"/>
          <w:highlight w:val="none"/>
        </w:rPr>
      </w:pPr>
      <w:r>
        <w:rPr>
          <w:color w:val="000000"/>
          <w:kern w:val="0"/>
          <w:sz w:val="24"/>
        </w:rPr>
        <w:t>（三）基金验资机构</w:t>
      </w:r>
    </w:p>
    <w:p w14:paraId="16113CC0">
      <w:pPr>
        <w:widowControl/>
        <w:snapToGrid w:val="0"/>
        <w:spacing w:line="360" w:lineRule="auto"/>
        <w:ind w:right="0" w:firstLine="480"/>
        <w:rPr>
          <w:rFonts w:hint="eastAsia" w:ascii="Times New Roman" w:hAnsi="Times New Roman" w:cs="Times New Roman"/>
          <w:color w:val="000000"/>
          <w:kern w:val="0"/>
          <w:sz w:val="24"/>
        </w:rPr>
      </w:pPr>
      <w:r>
        <w:rPr>
          <w:rFonts w:hint="eastAsia" w:ascii="Times New Roman" w:hAnsi="Times New Roman" w:cs="Times New Roman"/>
          <w:color w:val="000000"/>
          <w:kern w:val="0"/>
          <w:sz w:val="24"/>
        </w:rPr>
        <w:t>名称：安永华明会计师事务所（特殊普通合伙）</w:t>
      </w:r>
    </w:p>
    <w:p w14:paraId="4E7A905F">
      <w:pPr>
        <w:widowControl/>
        <w:snapToGrid w:val="0"/>
        <w:spacing w:line="360" w:lineRule="auto"/>
        <w:ind w:right="0" w:firstLine="480"/>
        <w:rPr>
          <w:rFonts w:hint="eastAsia" w:ascii="Times New Roman" w:hAnsi="Times New Roman" w:cs="Times New Roman"/>
          <w:color w:val="000000"/>
          <w:kern w:val="0"/>
          <w:sz w:val="24"/>
        </w:rPr>
      </w:pPr>
      <w:r>
        <w:rPr>
          <w:rFonts w:hint="eastAsia" w:ascii="Times New Roman" w:hAnsi="Times New Roman" w:cs="Times New Roman"/>
          <w:color w:val="000000"/>
          <w:kern w:val="0"/>
          <w:sz w:val="24"/>
        </w:rPr>
        <w:t>住所：北京市东城区东长安街1号东方广场安永大楼17层01-12室</w:t>
      </w:r>
    </w:p>
    <w:p w14:paraId="1A5CEA7D">
      <w:pPr>
        <w:widowControl/>
        <w:snapToGrid w:val="0"/>
        <w:spacing w:line="360" w:lineRule="auto"/>
        <w:ind w:right="0" w:firstLine="480"/>
        <w:rPr>
          <w:rFonts w:hint="eastAsia" w:ascii="Times New Roman" w:hAnsi="Times New Roman" w:cs="Times New Roman"/>
          <w:color w:val="000000"/>
          <w:kern w:val="0"/>
          <w:sz w:val="24"/>
        </w:rPr>
      </w:pPr>
      <w:r>
        <w:rPr>
          <w:rFonts w:hint="eastAsia" w:ascii="Times New Roman" w:hAnsi="Times New Roman" w:cs="Times New Roman"/>
          <w:color w:val="000000"/>
          <w:kern w:val="0"/>
          <w:sz w:val="24"/>
        </w:rPr>
        <w:t>办公地址：北京市东城区东长安街1号东方广场安永大楼17层01-12室</w:t>
      </w:r>
    </w:p>
    <w:p w14:paraId="3EF77E82">
      <w:pPr>
        <w:widowControl/>
        <w:snapToGrid w:val="0"/>
        <w:spacing w:line="360" w:lineRule="auto"/>
        <w:ind w:right="0" w:firstLine="480"/>
        <w:rPr>
          <w:rFonts w:hint="eastAsia" w:ascii="Times New Roman" w:hAnsi="Times New Roman" w:cs="Times New Roman"/>
          <w:color w:val="000000"/>
          <w:kern w:val="0"/>
          <w:sz w:val="24"/>
        </w:rPr>
      </w:pPr>
      <w:r>
        <w:rPr>
          <w:rFonts w:hint="eastAsia" w:ascii="Times New Roman" w:hAnsi="Times New Roman" w:cs="Times New Roman"/>
          <w:color w:val="000000"/>
          <w:kern w:val="0"/>
          <w:sz w:val="24"/>
        </w:rPr>
        <w:t>执行事务合伙人：毛鞍宁</w:t>
      </w:r>
    </w:p>
    <w:p w14:paraId="037AA17B">
      <w:pPr>
        <w:widowControl/>
        <w:snapToGrid w:val="0"/>
        <w:spacing w:line="360" w:lineRule="auto"/>
        <w:ind w:right="0" w:firstLine="480"/>
        <w:rPr>
          <w:rFonts w:hint="eastAsia" w:ascii="Times New Roman" w:hAnsi="Times New Roman" w:cs="Times New Roman"/>
          <w:color w:val="000000"/>
          <w:kern w:val="0"/>
          <w:sz w:val="24"/>
        </w:rPr>
      </w:pPr>
      <w:r>
        <w:rPr>
          <w:rFonts w:hint="eastAsia" w:ascii="Times New Roman" w:hAnsi="Times New Roman" w:cs="Times New Roman"/>
          <w:color w:val="000000"/>
          <w:kern w:val="0"/>
          <w:sz w:val="24"/>
        </w:rPr>
        <w:t>联系电话：（010）58153000</w:t>
      </w:r>
    </w:p>
    <w:p w14:paraId="1C05171C">
      <w:pPr>
        <w:widowControl/>
        <w:snapToGrid w:val="0"/>
        <w:spacing w:line="360" w:lineRule="auto"/>
        <w:ind w:right="0" w:firstLine="480"/>
        <w:rPr>
          <w:rFonts w:hint="eastAsia" w:ascii="Times New Roman" w:hAnsi="Times New Roman" w:cs="Times New Roman"/>
          <w:color w:val="000000"/>
          <w:kern w:val="0"/>
          <w:sz w:val="24"/>
        </w:rPr>
      </w:pPr>
      <w:r>
        <w:rPr>
          <w:rFonts w:hint="eastAsia" w:ascii="Times New Roman" w:hAnsi="Times New Roman" w:cs="Times New Roman"/>
          <w:color w:val="000000"/>
          <w:kern w:val="0"/>
          <w:sz w:val="24"/>
        </w:rPr>
        <w:t>传真电话：（010）85188298</w:t>
      </w:r>
    </w:p>
    <w:p w14:paraId="7F47C05E">
      <w:pPr>
        <w:widowControl/>
        <w:snapToGrid w:val="0"/>
        <w:spacing w:line="360" w:lineRule="auto"/>
        <w:ind w:right="0" w:firstLine="480"/>
        <w:rPr>
          <w:rFonts w:hint="eastAsia" w:ascii="Times New Roman" w:hAnsi="Times New Roman" w:cs="Times New Roman"/>
          <w:color w:val="000000"/>
          <w:kern w:val="0"/>
          <w:sz w:val="24"/>
        </w:rPr>
      </w:pPr>
      <w:r>
        <w:rPr>
          <w:rFonts w:hint="eastAsia" w:ascii="Times New Roman" w:hAnsi="Times New Roman" w:cs="Times New Roman"/>
          <w:color w:val="000000"/>
          <w:kern w:val="0"/>
          <w:sz w:val="24"/>
        </w:rPr>
        <w:t>经办注册会计师： 高鹤、楼坚、王海彦</w:t>
      </w:r>
    </w:p>
    <w:p w14:paraId="5B9D6D84">
      <w:pPr>
        <w:widowControl/>
        <w:snapToGrid w:val="0"/>
        <w:spacing w:line="360" w:lineRule="auto"/>
        <w:ind w:right="0" w:firstLine="480"/>
        <w:rPr>
          <w:rFonts w:ascii="Times New Roman" w:hAnsi="Times New Roman" w:eastAsia="宋体" w:cs="Times New Roman"/>
          <w:color w:val="000000"/>
          <w:kern w:val="0"/>
          <w:sz w:val="24"/>
          <w:highlight w:val="none"/>
        </w:rPr>
      </w:pPr>
      <w:r>
        <w:rPr>
          <w:rFonts w:hint="eastAsia" w:ascii="Times New Roman" w:hAnsi="Times New Roman" w:cs="Times New Roman"/>
          <w:color w:val="000000"/>
          <w:kern w:val="0"/>
          <w:sz w:val="24"/>
        </w:rPr>
        <w:t>联系人：王海彦</w:t>
      </w:r>
    </w:p>
    <w:p w14:paraId="4334E4EA">
      <w:pPr>
        <w:pStyle w:val="2"/>
        <w:ind w:left="0" w:firstLine="0"/>
        <w:rPr>
          <w:rFonts w:ascii="Times New Roman" w:hAnsi="Times New Roman" w:cs="Times New Roman"/>
          <w:highlight w:val="none"/>
        </w:rPr>
      </w:pPr>
      <w:bookmarkStart w:id="10" w:name="_Toc20962"/>
      <w:r>
        <w:rPr>
          <w:rFonts w:ascii="Times New Roman" w:hAnsi="Times New Roman" w:cs="Times New Roman"/>
        </w:rPr>
        <w:t>六、基金合同摘要</w:t>
      </w:r>
      <w:bookmarkEnd w:id="10"/>
    </w:p>
    <w:p w14:paraId="7E516D17">
      <w:pPr>
        <w:snapToGrid w:val="0"/>
        <w:spacing w:line="360" w:lineRule="auto"/>
        <w:ind w:right="0" w:firstLine="480"/>
        <w:rPr>
          <w:kern w:val="0"/>
          <w:sz w:val="24"/>
          <w:highlight w:val="none"/>
        </w:rPr>
      </w:pPr>
      <w:r>
        <w:rPr>
          <w:kern w:val="0"/>
          <w:sz w:val="24"/>
        </w:rPr>
        <w:t>基金合同的内容摘要见附件：基金合同摘要。</w:t>
      </w:r>
    </w:p>
    <w:p w14:paraId="2BC33694">
      <w:pPr>
        <w:widowControl/>
        <w:snapToGrid w:val="0"/>
        <w:spacing w:line="360" w:lineRule="auto"/>
        <w:rPr>
          <w:color w:val="000000"/>
          <w:kern w:val="0"/>
          <w:sz w:val="24"/>
          <w:szCs w:val="21"/>
          <w:highlight w:val="none"/>
        </w:rPr>
      </w:pPr>
    </w:p>
    <w:p w14:paraId="7C3D2F1F">
      <w:pPr>
        <w:pStyle w:val="2"/>
        <w:ind w:left="0" w:firstLine="0"/>
        <w:rPr>
          <w:rFonts w:ascii="Times New Roman" w:hAnsi="Times New Roman" w:cs="Times New Roman"/>
          <w:highlight w:val="none"/>
        </w:rPr>
      </w:pPr>
      <w:bookmarkStart w:id="11" w:name="_Toc5630"/>
      <w:r>
        <w:rPr>
          <w:rFonts w:ascii="Times New Roman" w:hAnsi="Times New Roman" w:cs="Times New Roman"/>
        </w:rPr>
        <w:t>七、基金财务状况</w:t>
      </w:r>
      <w:bookmarkEnd w:id="11"/>
    </w:p>
    <w:p w14:paraId="2AC265DB">
      <w:pPr>
        <w:snapToGrid w:val="0"/>
        <w:spacing w:line="360" w:lineRule="auto"/>
        <w:rPr>
          <w:kern w:val="0"/>
          <w:sz w:val="24"/>
          <w:highlight w:val="none"/>
        </w:rPr>
      </w:pPr>
      <w:r>
        <w:rPr>
          <w:kern w:val="0"/>
          <w:sz w:val="24"/>
        </w:rPr>
        <w:t>（一）基金募集期间费用</w:t>
      </w:r>
    </w:p>
    <w:p w14:paraId="10B679A5">
      <w:pPr>
        <w:snapToGrid w:val="0"/>
        <w:spacing w:line="360" w:lineRule="auto"/>
        <w:ind w:right="0" w:firstLine="424"/>
        <w:rPr>
          <w:kern w:val="0"/>
          <w:sz w:val="24"/>
          <w:highlight w:val="none"/>
        </w:rPr>
      </w:pPr>
      <w:r>
        <w:rPr>
          <w:kern w:val="0"/>
          <w:sz w:val="24"/>
        </w:rPr>
        <w:t>基金合同生效前所发生的信息披露费、律师费和会计师费以及其他费用不从基金财产中列支。</w:t>
      </w:r>
    </w:p>
    <w:p w14:paraId="6D80C33F">
      <w:pPr>
        <w:snapToGrid w:val="0"/>
        <w:spacing w:line="360" w:lineRule="auto"/>
        <w:rPr>
          <w:kern w:val="0"/>
          <w:sz w:val="24"/>
          <w:highlight w:val="none"/>
        </w:rPr>
      </w:pPr>
      <w:r>
        <w:rPr>
          <w:kern w:val="0"/>
          <w:sz w:val="24"/>
        </w:rPr>
        <w:t>（二）基金上市前重要财务事项</w:t>
      </w:r>
    </w:p>
    <w:p w14:paraId="7FB3A765">
      <w:pPr>
        <w:snapToGrid w:val="0"/>
        <w:spacing w:line="360" w:lineRule="auto"/>
        <w:ind w:right="0" w:firstLine="424"/>
        <w:rPr>
          <w:kern w:val="0"/>
          <w:sz w:val="24"/>
          <w:highlight w:val="none"/>
        </w:rPr>
      </w:pPr>
      <w:r>
        <w:rPr>
          <w:kern w:val="0"/>
          <w:sz w:val="24"/>
        </w:rPr>
        <w:t>本基金发售后至上市交易公告书公告前无重要财务事项发生。</w:t>
      </w:r>
    </w:p>
    <w:p w14:paraId="75ACAACD">
      <w:pPr>
        <w:snapToGrid w:val="0"/>
        <w:spacing w:line="360" w:lineRule="auto"/>
        <w:rPr>
          <w:kern w:val="0"/>
          <w:sz w:val="24"/>
          <w:highlight w:val="none"/>
        </w:rPr>
      </w:pPr>
      <w:r>
        <w:rPr>
          <w:kern w:val="0"/>
          <w:sz w:val="24"/>
        </w:rPr>
        <w:t>（三）基金资产负债表</w:t>
      </w:r>
    </w:p>
    <w:p w14:paraId="2DC44FB9">
      <w:pPr>
        <w:snapToGrid w:val="0"/>
        <w:spacing w:line="360" w:lineRule="auto"/>
        <w:ind w:right="0" w:firstLine="424"/>
        <w:rPr>
          <w:kern w:val="0"/>
          <w:sz w:val="24"/>
          <w:highlight w:val="none"/>
        </w:rPr>
      </w:pPr>
      <w:r>
        <w:rPr>
          <w:kern w:val="0"/>
          <w:sz w:val="24"/>
        </w:rPr>
        <w:t>截至公告前两个工作日即</w:t>
      </w:r>
      <w:r>
        <w:rPr>
          <w:rFonts w:hint="eastAsia"/>
          <w:kern w:val="0"/>
          <w:sz w:val="24"/>
          <w:lang w:eastAsia="zh-CN"/>
        </w:rPr>
        <w:t>2026年7月31日</w:t>
      </w:r>
      <w:r>
        <w:rPr>
          <w:kern w:val="0"/>
          <w:sz w:val="24"/>
        </w:rPr>
        <w:t>，本基金的资产负债表如下（未经审计）：</w:t>
      </w:r>
    </w:p>
    <w:p w14:paraId="4D1AFFD1">
      <w:pPr>
        <w:snapToGrid w:val="0"/>
        <w:spacing w:line="360" w:lineRule="auto"/>
        <w:ind w:right="0" w:firstLine="371"/>
        <w:jc w:val="right"/>
        <w:rPr>
          <w:kern w:val="0"/>
          <w:szCs w:val="21"/>
          <w:highlight w:val="none"/>
        </w:rPr>
      </w:pPr>
      <w:r>
        <w:rPr>
          <w:kern w:val="0"/>
          <w:szCs w:val="21"/>
        </w:rPr>
        <w:t>单位：人民币元</w:t>
      </w:r>
    </w:p>
    <w:tbl>
      <w:tblPr>
        <w:tblStyle w:val="28"/>
        <w:tblW w:w="5000" w:type="pct"/>
        <w:tblInd w:w="0" w:type="dxa"/>
        <w:tblLayout w:type="fixed"/>
        <w:tblCellMar>
          <w:top w:w="0" w:type="dxa"/>
          <w:left w:w="108" w:type="dxa"/>
          <w:bottom w:w="0" w:type="dxa"/>
          <w:right w:w="108" w:type="dxa"/>
        </w:tblCellMar>
      </w:tblPr>
      <w:tblGrid>
        <w:gridCol w:w="3957"/>
        <w:gridCol w:w="4565"/>
      </w:tblGrid>
      <w:tr w14:paraId="7F2AEE86">
        <w:tblPrEx>
          <w:tblCellMar>
            <w:top w:w="0" w:type="dxa"/>
            <w:left w:w="108" w:type="dxa"/>
            <w:bottom w:w="0" w:type="dxa"/>
            <w:right w:w="108" w:type="dxa"/>
          </w:tblCellMar>
        </w:tblPrEx>
        <w:trPr>
          <w:trHeight w:val="300" w:hRule="atLeast"/>
        </w:trPr>
        <w:tc>
          <w:tcPr>
            <w:tcW w:w="3857" w:type="dxa"/>
            <w:vMerge w:val="restart"/>
            <w:tcBorders>
              <w:top w:val="single" w:color="000000" w:sz="8" w:space="0"/>
              <w:left w:val="single" w:color="000000" w:sz="8" w:space="0"/>
              <w:bottom w:val="single" w:color="000000" w:sz="8" w:space="0"/>
              <w:right w:val="single" w:color="000000" w:sz="8" w:space="0"/>
            </w:tcBorders>
            <w:vAlign w:val="center"/>
          </w:tcPr>
          <w:p w14:paraId="08EF64FB">
            <w:pPr>
              <w:widowControl/>
              <w:snapToGrid w:val="0"/>
              <w:spacing w:line="360" w:lineRule="auto"/>
              <w:ind w:right="0" w:firstLine="373"/>
              <w:jc w:val="center"/>
              <w:rPr>
                <w:b/>
                <w:color w:val="000000"/>
                <w:kern w:val="0"/>
                <w:szCs w:val="21"/>
                <w:highlight w:val="none"/>
              </w:rPr>
            </w:pPr>
            <w:r>
              <w:rPr>
                <w:b/>
                <w:color w:val="000000"/>
                <w:kern w:val="0"/>
                <w:szCs w:val="21"/>
              </w:rPr>
              <w:t>资</w:t>
            </w:r>
            <w:r>
              <w:rPr>
                <w:rFonts w:eastAsia="Times New Roman"/>
                <w:b/>
                <w:color w:val="000000"/>
                <w:kern w:val="0"/>
                <w:szCs w:val="21"/>
              </w:rPr>
              <w:t xml:space="preserve"> </w:t>
            </w:r>
            <w:r>
              <w:rPr>
                <w:b/>
                <w:color w:val="000000"/>
                <w:kern w:val="0"/>
                <w:szCs w:val="21"/>
              </w:rPr>
              <w:t>产</w:t>
            </w:r>
          </w:p>
        </w:tc>
        <w:tc>
          <w:tcPr>
            <w:tcW w:w="4449" w:type="dxa"/>
            <w:tcBorders>
              <w:top w:val="single" w:color="000000" w:sz="8" w:space="0"/>
              <w:bottom w:val="single" w:color="000000" w:sz="8" w:space="0"/>
              <w:right w:val="single" w:color="000000" w:sz="8" w:space="0"/>
            </w:tcBorders>
            <w:vAlign w:val="center"/>
          </w:tcPr>
          <w:p w14:paraId="70328978">
            <w:pPr>
              <w:widowControl/>
              <w:snapToGrid w:val="0"/>
              <w:spacing w:line="360" w:lineRule="auto"/>
              <w:ind w:right="0" w:firstLine="373"/>
              <w:jc w:val="center"/>
              <w:rPr>
                <w:b/>
                <w:color w:val="000000"/>
                <w:kern w:val="0"/>
                <w:szCs w:val="21"/>
                <w:highlight w:val="none"/>
              </w:rPr>
            </w:pPr>
            <w:r>
              <w:rPr>
                <w:b/>
                <w:color w:val="000000"/>
                <w:kern w:val="0"/>
                <w:szCs w:val="21"/>
              </w:rPr>
              <w:t>本报告期末</w:t>
            </w:r>
          </w:p>
        </w:tc>
      </w:tr>
      <w:tr w14:paraId="58FBBDA4">
        <w:tblPrEx>
          <w:tblCellMar>
            <w:top w:w="0" w:type="dxa"/>
            <w:left w:w="108" w:type="dxa"/>
            <w:bottom w:w="0" w:type="dxa"/>
            <w:right w:w="108" w:type="dxa"/>
          </w:tblCellMar>
        </w:tblPrEx>
        <w:trPr>
          <w:trHeight w:val="300" w:hRule="atLeast"/>
        </w:trPr>
        <w:tc>
          <w:tcPr>
            <w:tcW w:w="3857" w:type="dxa"/>
            <w:vMerge w:val="continue"/>
            <w:tcBorders>
              <w:top w:val="single" w:color="000000" w:sz="8" w:space="0"/>
              <w:left w:val="single" w:color="000000" w:sz="8" w:space="0"/>
              <w:bottom w:val="single" w:color="000000" w:sz="8" w:space="0"/>
              <w:right w:val="single" w:color="000000" w:sz="8" w:space="0"/>
            </w:tcBorders>
            <w:vAlign w:val="center"/>
          </w:tcPr>
          <w:p w14:paraId="59F8C1F1">
            <w:pPr>
              <w:widowControl/>
              <w:snapToGrid w:val="0"/>
              <w:spacing w:line="360" w:lineRule="auto"/>
              <w:ind w:right="0" w:firstLine="373"/>
              <w:jc w:val="center"/>
              <w:rPr>
                <w:b/>
                <w:color w:val="000000"/>
                <w:kern w:val="0"/>
                <w:szCs w:val="21"/>
                <w:highlight w:val="none"/>
              </w:rPr>
            </w:pPr>
          </w:p>
        </w:tc>
        <w:tc>
          <w:tcPr>
            <w:tcW w:w="4449" w:type="dxa"/>
            <w:tcBorders>
              <w:bottom w:val="single" w:color="000000" w:sz="8" w:space="0"/>
              <w:right w:val="single" w:color="000000" w:sz="8" w:space="0"/>
            </w:tcBorders>
            <w:vAlign w:val="center"/>
          </w:tcPr>
          <w:p w14:paraId="4F992212">
            <w:pPr>
              <w:widowControl/>
              <w:snapToGrid w:val="0"/>
              <w:spacing w:line="360" w:lineRule="auto"/>
              <w:ind w:right="0" w:firstLine="373"/>
              <w:jc w:val="center"/>
              <w:rPr>
                <w:rFonts w:eastAsia="宋体"/>
                <w:b/>
                <w:color w:val="000000"/>
                <w:kern w:val="0"/>
                <w:szCs w:val="21"/>
                <w:highlight w:val="none"/>
                <w:lang w:eastAsia="zh-CN"/>
              </w:rPr>
            </w:pPr>
            <w:r>
              <w:rPr>
                <w:rFonts w:hint="eastAsia"/>
                <w:b/>
                <w:color w:val="000000"/>
                <w:kern w:val="0"/>
                <w:szCs w:val="21"/>
                <w:lang w:eastAsia="zh-CN"/>
              </w:rPr>
              <w:t>2026年7月31日</w:t>
            </w:r>
          </w:p>
        </w:tc>
      </w:tr>
      <w:tr w14:paraId="2CE0A5F6">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7A92AF54">
            <w:pPr>
              <w:widowControl/>
              <w:snapToGrid w:val="0"/>
              <w:spacing w:line="360" w:lineRule="auto"/>
              <w:ind w:right="0" w:firstLine="373"/>
              <w:jc w:val="left"/>
              <w:rPr>
                <w:b/>
                <w:color w:val="000000"/>
                <w:kern w:val="0"/>
                <w:szCs w:val="21"/>
                <w:highlight w:val="none"/>
              </w:rPr>
            </w:pPr>
            <w:r>
              <w:rPr>
                <w:b/>
                <w:color w:val="000000"/>
                <w:kern w:val="0"/>
                <w:szCs w:val="21"/>
              </w:rPr>
              <w:t>资</w:t>
            </w:r>
            <w:r>
              <w:rPr>
                <w:rFonts w:eastAsia="Times New Roman"/>
                <w:b/>
                <w:color w:val="000000"/>
                <w:kern w:val="0"/>
                <w:szCs w:val="21"/>
              </w:rPr>
              <w:t xml:space="preserve"> </w:t>
            </w:r>
            <w:r>
              <w:rPr>
                <w:b/>
                <w:color w:val="000000"/>
                <w:kern w:val="0"/>
                <w:szCs w:val="21"/>
              </w:rPr>
              <w:t>产：</w:t>
            </w:r>
          </w:p>
        </w:tc>
        <w:tc>
          <w:tcPr>
            <w:tcW w:w="4449" w:type="dxa"/>
            <w:tcBorders>
              <w:bottom w:val="single" w:color="000000" w:sz="8" w:space="0"/>
              <w:right w:val="single" w:color="000000" w:sz="8" w:space="0"/>
            </w:tcBorders>
            <w:vAlign w:val="center"/>
          </w:tcPr>
          <w:p w14:paraId="164B1574">
            <w:pPr>
              <w:widowControl/>
              <w:snapToGrid w:val="0"/>
              <w:spacing w:line="360" w:lineRule="auto"/>
              <w:ind w:right="0" w:firstLine="371"/>
              <w:jc w:val="right"/>
              <w:rPr>
                <w:b/>
                <w:color w:val="000000"/>
                <w:kern w:val="0"/>
                <w:szCs w:val="21"/>
                <w:highlight w:val="none"/>
              </w:rPr>
            </w:pPr>
          </w:p>
        </w:tc>
      </w:tr>
      <w:tr w14:paraId="432EE15C">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0ED3ADB7">
            <w:pPr>
              <w:widowControl/>
              <w:snapToGrid w:val="0"/>
              <w:spacing w:line="360" w:lineRule="auto"/>
              <w:ind w:right="0" w:firstLine="371"/>
              <w:jc w:val="left"/>
              <w:rPr>
                <w:color w:val="000000"/>
                <w:kern w:val="0"/>
                <w:szCs w:val="21"/>
                <w:highlight w:val="none"/>
              </w:rPr>
            </w:pPr>
            <w:r>
              <w:rPr>
                <w:color w:val="000000"/>
                <w:kern w:val="0"/>
                <w:szCs w:val="21"/>
              </w:rPr>
              <w:t>银行存款</w:t>
            </w:r>
          </w:p>
        </w:tc>
        <w:tc>
          <w:tcPr>
            <w:tcW w:w="4449" w:type="dxa"/>
            <w:tcBorders>
              <w:bottom w:val="single" w:color="000000" w:sz="8" w:space="0"/>
              <w:right w:val="single" w:color="000000" w:sz="8" w:space="0"/>
            </w:tcBorders>
            <w:vAlign w:val="center"/>
          </w:tcPr>
          <w:p w14:paraId="36DB144F">
            <w:pPr>
              <w:keepNext w:val="0"/>
              <w:keepLines w:val="0"/>
              <w:widowControl/>
              <w:suppressLineNumbers w:val="0"/>
              <w:snapToGrid w:val="0"/>
              <w:jc w:val="right"/>
              <w:textAlignment w:val="center"/>
              <w:rPr>
                <w:color w:val="000000"/>
                <w:kern w:val="0"/>
                <w:szCs w:val="21"/>
                <w:highlight w:val="none"/>
              </w:rPr>
            </w:pPr>
            <w:r>
              <w:rPr>
                <w:rFonts w:hint="eastAsia"/>
                <w:color w:val="000000"/>
                <w:kern w:val="0"/>
                <w:szCs w:val="21"/>
                <w:highlight w:val="none"/>
              </w:rPr>
              <w:t>13,036,324.60</w:t>
            </w:r>
          </w:p>
        </w:tc>
      </w:tr>
      <w:tr w14:paraId="1F3859CC">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3E9429E6">
            <w:pPr>
              <w:widowControl/>
              <w:snapToGrid w:val="0"/>
              <w:spacing w:line="360" w:lineRule="auto"/>
              <w:ind w:right="0" w:firstLine="371"/>
              <w:jc w:val="left"/>
              <w:rPr>
                <w:color w:val="000000"/>
                <w:kern w:val="0"/>
                <w:szCs w:val="21"/>
                <w:highlight w:val="none"/>
              </w:rPr>
            </w:pPr>
            <w:r>
              <w:rPr>
                <w:color w:val="000000"/>
                <w:kern w:val="0"/>
                <w:szCs w:val="21"/>
              </w:rPr>
              <w:t>结算备付金</w:t>
            </w:r>
          </w:p>
        </w:tc>
        <w:tc>
          <w:tcPr>
            <w:tcW w:w="4449" w:type="dxa"/>
            <w:tcBorders>
              <w:bottom w:val="single" w:color="000000" w:sz="8" w:space="0"/>
              <w:right w:val="single" w:color="000000" w:sz="8" w:space="0"/>
            </w:tcBorders>
            <w:vAlign w:val="center"/>
          </w:tcPr>
          <w:p w14:paraId="3BEE1349">
            <w:pPr>
              <w:keepNext w:val="0"/>
              <w:keepLines w:val="0"/>
              <w:widowControl/>
              <w:suppressLineNumbers w:val="0"/>
              <w:snapToGrid w:val="0"/>
              <w:jc w:val="right"/>
              <w:textAlignment w:val="center"/>
              <w:rPr>
                <w:color w:val="000000"/>
                <w:kern w:val="0"/>
                <w:szCs w:val="21"/>
                <w:highlight w:val="none"/>
              </w:rPr>
            </w:pPr>
            <w:r>
              <w:rPr>
                <w:rFonts w:hint="eastAsia"/>
                <w:color w:val="000000"/>
                <w:kern w:val="0"/>
                <w:szCs w:val="21"/>
                <w:highlight w:val="none"/>
              </w:rPr>
              <w:t>135,891,952.29</w:t>
            </w:r>
          </w:p>
        </w:tc>
      </w:tr>
      <w:tr w14:paraId="2C075D73">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729D6DC2">
            <w:pPr>
              <w:widowControl/>
              <w:snapToGrid w:val="0"/>
              <w:spacing w:line="360" w:lineRule="auto"/>
              <w:ind w:right="0" w:firstLine="371"/>
              <w:jc w:val="left"/>
              <w:rPr>
                <w:color w:val="000000"/>
                <w:kern w:val="0"/>
                <w:szCs w:val="21"/>
                <w:highlight w:val="none"/>
              </w:rPr>
            </w:pPr>
            <w:r>
              <w:rPr>
                <w:color w:val="000000"/>
                <w:kern w:val="0"/>
                <w:szCs w:val="21"/>
              </w:rPr>
              <w:t>存出保证金</w:t>
            </w:r>
          </w:p>
        </w:tc>
        <w:tc>
          <w:tcPr>
            <w:tcW w:w="4449" w:type="dxa"/>
            <w:tcBorders>
              <w:bottom w:val="single" w:color="000000" w:sz="8" w:space="0"/>
              <w:right w:val="single" w:color="000000" w:sz="8" w:space="0"/>
            </w:tcBorders>
            <w:vAlign w:val="center"/>
          </w:tcPr>
          <w:p w14:paraId="127F5D8F">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6A6B1A6F">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11A98B04">
            <w:pPr>
              <w:widowControl/>
              <w:snapToGrid w:val="0"/>
              <w:spacing w:line="360" w:lineRule="auto"/>
              <w:ind w:right="0" w:firstLine="371"/>
              <w:jc w:val="left"/>
              <w:rPr>
                <w:color w:val="000000"/>
                <w:kern w:val="0"/>
                <w:szCs w:val="21"/>
                <w:highlight w:val="none"/>
              </w:rPr>
            </w:pPr>
            <w:r>
              <w:rPr>
                <w:color w:val="000000"/>
                <w:kern w:val="0"/>
                <w:szCs w:val="21"/>
              </w:rPr>
              <w:t>交易性金融资产</w:t>
            </w:r>
          </w:p>
        </w:tc>
        <w:tc>
          <w:tcPr>
            <w:tcW w:w="4449" w:type="dxa"/>
            <w:tcBorders>
              <w:bottom w:val="single" w:color="000000" w:sz="8" w:space="0"/>
              <w:right w:val="single" w:color="000000" w:sz="8" w:space="0"/>
            </w:tcBorders>
            <w:vAlign w:val="center"/>
          </w:tcPr>
          <w:p w14:paraId="76F46606">
            <w:pPr>
              <w:keepNext w:val="0"/>
              <w:keepLines w:val="0"/>
              <w:widowControl/>
              <w:suppressLineNumbers w:val="0"/>
              <w:snapToGrid w:val="0"/>
              <w:jc w:val="right"/>
              <w:textAlignment w:val="center"/>
              <w:rPr>
                <w:color w:val="000000"/>
                <w:kern w:val="0"/>
                <w:szCs w:val="21"/>
                <w:highlight w:val="none"/>
              </w:rPr>
            </w:pPr>
            <w:r>
              <w:rPr>
                <w:rFonts w:hint="eastAsia"/>
              </w:rPr>
              <w:t>63,746,839.92</w:t>
            </w:r>
          </w:p>
        </w:tc>
      </w:tr>
      <w:tr w14:paraId="05974A53">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2B663016">
            <w:pPr>
              <w:widowControl/>
              <w:snapToGrid w:val="0"/>
              <w:spacing w:line="360" w:lineRule="auto"/>
              <w:ind w:right="0" w:firstLine="371"/>
              <w:jc w:val="left"/>
              <w:rPr>
                <w:color w:val="000000"/>
                <w:kern w:val="0"/>
                <w:szCs w:val="21"/>
                <w:highlight w:val="none"/>
              </w:rPr>
            </w:pPr>
            <w:r>
              <w:rPr>
                <w:color w:val="000000"/>
                <w:kern w:val="0"/>
                <w:szCs w:val="21"/>
              </w:rPr>
              <w:t>其中：股票投资</w:t>
            </w:r>
          </w:p>
        </w:tc>
        <w:tc>
          <w:tcPr>
            <w:tcW w:w="4449" w:type="dxa"/>
            <w:tcBorders>
              <w:bottom w:val="single" w:color="000000" w:sz="8" w:space="0"/>
              <w:right w:val="single" w:color="000000" w:sz="8" w:space="0"/>
            </w:tcBorders>
            <w:vAlign w:val="center"/>
          </w:tcPr>
          <w:p w14:paraId="1978C025">
            <w:pPr>
              <w:keepNext w:val="0"/>
              <w:keepLines w:val="0"/>
              <w:widowControl/>
              <w:suppressLineNumbers w:val="0"/>
              <w:snapToGrid w:val="0"/>
              <w:jc w:val="right"/>
              <w:textAlignment w:val="center"/>
              <w:rPr>
                <w:color w:val="000000"/>
                <w:kern w:val="0"/>
                <w:szCs w:val="21"/>
                <w:highlight w:val="none"/>
              </w:rPr>
            </w:pPr>
            <w:r>
              <w:rPr>
                <w:rFonts w:hint="eastAsia"/>
              </w:rPr>
              <w:t>63,746,839.92</w:t>
            </w:r>
          </w:p>
        </w:tc>
      </w:tr>
      <w:tr w14:paraId="77ED6BD1">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3591870A">
            <w:pPr>
              <w:widowControl/>
              <w:snapToGrid w:val="0"/>
              <w:spacing w:line="360" w:lineRule="auto"/>
              <w:ind w:right="0" w:firstLine="371"/>
              <w:jc w:val="left"/>
              <w:rPr>
                <w:color w:val="000000"/>
                <w:kern w:val="0"/>
                <w:szCs w:val="21"/>
                <w:highlight w:val="none"/>
              </w:rPr>
            </w:pPr>
            <w:r>
              <w:rPr>
                <w:color w:val="000000"/>
                <w:kern w:val="0"/>
                <w:szCs w:val="21"/>
              </w:rPr>
              <w:t>债券投资</w:t>
            </w:r>
          </w:p>
        </w:tc>
        <w:tc>
          <w:tcPr>
            <w:tcW w:w="4449" w:type="dxa"/>
            <w:tcBorders>
              <w:bottom w:val="single" w:color="000000" w:sz="8" w:space="0"/>
              <w:right w:val="single" w:color="000000" w:sz="8" w:space="0"/>
            </w:tcBorders>
            <w:vAlign w:val="center"/>
          </w:tcPr>
          <w:p w14:paraId="38CC3CA3">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3BAFEF76">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39E8078C">
            <w:pPr>
              <w:widowControl/>
              <w:snapToGrid w:val="0"/>
              <w:spacing w:line="360" w:lineRule="auto"/>
              <w:ind w:right="0" w:firstLine="371"/>
              <w:jc w:val="left"/>
              <w:rPr>
                <w:color w:val="000000"/>
                <w:kern w:val="0"/>
                <w:szCs w:val="21"/>
                <w:highlight w:val="none"/>
              </w:rPr>
            </w:pPr>
            <w:r>
              <w:rPr>
                <w:color w:val="000000"/>
                <w:kern w:val="0"/>
                <w:szCs w:val="21"/>
              </w:rPr>
              <w:t>资产支持证券投资</w:t>
            </w:r>
          </w:p>
        </w:tc>
        <w:tc>
          <w:tcPr>
            <w:tcW w:w="4449" w:type="dxa"/>
            <w:tcBorders>
              <w:bottom w:val="single" w:color="000000" w:sz="8" w:space="0"/>
              <w:right w:val="single" w:color="000000" w:sz="8" w:space="0"/>
            </w:tcBorders>
            <w:vAlign w:val="center"/>
          </w:tcPr>
          <w:p w14:paraId="55096BBC">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0BD083E0">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02F1CA80">
            <w:pPr>
              <w:widowControl/>
              <w:snapToGrid w:val="0"/>
              <w:spacing w:line="360" w:lineRule="auto"/>
              <w:ind w:right="0" w:firstLine="371"/>
              <w:jc w:val="left"/>
              <w:rPr>
                <w:color w:val="000000"/>
                <w:kern w:val="0"/>
                <w:szCs w:val="21"/>
                <w:highlight w:val="none"/>
              </w:rPr>
            </w:pPr>
            <w:r>
              <w:rPr>
                <w:color w:val="000000"/>
                <w:kern w:val="0"/>
                <w:szCs w:val="21"/>
              </w:rPr>
              <w:t>衍生金融资产</w:t>
            </w:r>
          </w:p>
        </w:tc>
        <w:tc>
          <w:tcPr>
            <w:tcW w:w="4449" w:type="dxa"/>
            <w:tcBorders>
              <w:bottom w:val="single" w:color="000000" w:sz="8" w:space="0"/>
              <w:right w:val="single" w:color="000000" w:sz="8" w:space="0"/>
            </w:tcBorders>
            <w:vAlign w:val="center"/>
          </w:tcPr>
          <w:p w14:paraId="2D3F4C74">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6FDDDB17">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52F2A3FD">
            <w:pPr>
              <w:widowControl/>
              <w:snapToGrid w:val="0"/>
              <w:spacing w:line="360" w:lineRule="auto"/>
              <w:ind w:right="0" w:firstLine="371"/>
              <w:jc w:val="left"/>
              <w:rPr>
                <w:color w:val="000000"/>
                <w:kern w:val="0"/>
                <w:szCs w:val="21"/>
                <w:highlight w:val="none"/>
              </w:rPr>
            </w:pPr>
            <w:r>
              <w:rPr>
                <w:color w:val="000000"/>
                <w:kern w:val="0"/>
                <w:szCs w:val="21"/>
              </w:rPr>
              <w:t>买入返售金融资产</w:t>
            </w:r>
          </w:p>
        </w:tc>
        <w:tc>
          <w:tcPr>
            <w:tcW w:w="4449" w:type="dxa"/>
            <w:tcBorders>
              <w:bottom w:val="single" w:color="000000" w:sz="8" w:space="0"/>
              <w:right w:val="single" w:color="000000" w:sz="8" w:space="0"/>
            </w:tcBorders>
            <w:vAlign w:val="center"/>
          </w:tcPr>
          <w:p w14:paraId="23498562">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36279BF2">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7301B932">
            <w:pPr>
              <w:widowControl/>
              <w:snapToGrid w:val="0"/>
              <w:spacing w:line="360" w:lineRule="auto"/>
              <w:ind w:right="0" w:firstLine="371"/>
              <w:jc w:val="left"/>
              <w:rPr>
                <w:color w:val="000000"/>
                <w:kern w:val="0"/>
                <w:szCs w:val="21"/>
                <w:highlight w:val="none"/>
              </w:rPr>
            </w:pPr>
            <w:r>
              <w:rPr>
                <w:color w:val="000000"/>
                <w:kern w:val="0"/>
                <w:szCs w:val="21"/>
              </w:rPr>
              <w:t>应收证券清算款</w:t>
            </w:r>
          </w:p>
        </w:tc>
        <w:tc>
          <w:tcPr>
            <w:tcW w:w="4449" w:type="dxa"/>
            <w:tcBorders>
              <w:bottom w:val="single" w:color="000000" w:sz="8" w:space="0"/>
              <w:right w:val="single" w:color="000000" w:sz="8" w:space="0"/>
            </w:tcBorders>
            <w:vAlign w:val="center"/>
          </w:tcPr>
          <w:p w14:paraId="590A57C4">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1080318F">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0CF6EAAA">
            <w:pPr>
              <w:widowControl/>
              <w:snapToGrid w:val="0"/>
              <w:spacing w:line="360" w:lineRule="auto"/>
              <w:ind w:right="0" w:firstLine="371"/>
              <w:jc w:val="left"/>
              <w:rPr>
                <w:color w:val="000000"/>
                <w:kern w:val="0"/>
                <w:szCs w:val="21"/>
                <w:highlight w:val="none"/>
              </w:rPr>
            </w:pPr>
            <w:r>
              <w:rPr>
                <w:color w:val="000000"/>
                <w:kern w:val="0"/>
                <w:szCs w:val="21"/>
              </w:rPr>
              <w:t>应收股利</w:t>
            </w:r>
          </w:p>
        </w:tc>
        <w:tc>
          <w:tcPr>
            <w:tcW w:w="4449" w:type="dxa"/>
            <w:tcBorders>
              <w:bottom w:val="single" w:color="000000" w:sz="8" w:space="0"/>
              <w:right w:val="single" w:color="000000" w:sz="8" w:space="0"/>
            </w:tcBorders>
            <w:vAlign w:val="center"/>
          </w:tcPr>
          <w:p w14:paraId="6006CF65">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58AA79DF">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7EDC3577">
            <w:pPr>
              <w:widowControl/>
              <w:snapToGrid w:val="0"/>
              <w:spacing w:line="360" w:lineRule="auto"/>
              <w:ind w:right="0" w:firstLine="371"/>
              <w:jc w:val="left"/>
              <w:rPr>
                <w:color w:val="000000"/>
                <w:kern w:val="0"/>
                <w:szCs w:val="21"/>
                <w:highlight w:val="none"/>
              </w:rPr>
            </w:pPr>
            <w:r>
              <w:rPr>
                <w:color w:val="000000"/>
                <w:kern w:val="0"/>
                <w:szCs w:val="21"/>
              </w:rPr>
              <w:t>应收申购款</w:t>
            </w:r>
          </w:p>
        </w:tc>
        <w:tc>
          <w:tcPr>
            <w:tcW w:w="4449" w:type="dxa"/>
            <w:tcBorders>
              <w:bottom w:val="single" w:color="000000" w:sz="8" w:space="0"/>
              <w:right w:val="single" w:color="000000" w:sz="8" w:space="0"/>
            </w:tcBorders>
            <w:vAlign w:val="center"/>
          </w:tcPr>
          <w:p w14:paraId="7E6528A0">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7C066300">
        <w:tblPrEx>
          <w:tblCellMar>
            <w:top w:w="0" w:type="dxa"/>
            <w:left w:w="108" w:type="dxa"/>
            <w:bottom w:w="0" w:type="dxa"/>
            <w:right w:w="108" w:type="dxa"/>
          </w:tblCellMar>
        </w:tblPrEx>
        <w:trPr>
          <w:trHeight w:val="90" w:hRule="atLeast"/>
        </w:trPr>
        <w:tc>
          <w:tcPr>
            <w:tcW w:w="3857" w:type="dxa"/>
            <w:tcBorders>
              <w:left w:val="single" w:color="000000" w:sz="8" w:space="0"/>
              <w:bottom w:val="single" w:color="000000" w:sz="8" w:space="0"/>
              <w:right w:val="single" w:color="000000" w:sz="8" w:space="0"/>
            </w:tcBorders>
            <w:vAlign w:val="center"/>
          </w:tcPr>
          <w:p w14:paraId="701B8DFE">
            <w:pPr>
              <w:widowControl/>
              <w:snapToGrid w:val="0"/>
              <w:spacing w:line="360" w:lineRule="auto"/>
              <w:ind w:right="0" w:firstLine="371"/>
              <w:jc w:val="left"/>
              <w:rPr>
                <w:color w:val="000000"/>
                <w:kern w:val="0"/>
                <w:szCs w:val="21"/>
                <w:highlight w:val="none"/>
              </w:rPr>
            </w:pPr>
            <w:r>
              <w:rPr>
                <w:color w:val="000000"/>
                <w:kern w:val="0"/>
                <w:szCs w:val="21"/>
              </w:rPr>
              <w:t>其他资产</w:t>
            </w:r>
          </w:p>
        </w:tc>
        <w:tc>
          <w:tcPr>
            <w:tcW w:w="4449" w:type="dxa"/>
            <w:tcBorders>
              <w:bottom w:val="single" w:color="000000" w:sz="8" w:space="0"/>
              <w:right w:val="single" w:color="000000" w:sz="8" w:space="0"/>
            </w:tcBorders>
            <w:vAlign w:val="center"/>
          </w:tcPr>
          <w:p w14:paraId="5FE7E503">
            <w:pPr>
              <w:keepNext w:val="0"/>
              <w:keepLines w:val="0"/>
              <w:widowControl/>
              <w:suppressLineNumbers w:val="0"/>
              <w:snapToGrid w:val="0"/>
              <w:jc w:val="right"/>
              <w:textAlignment w:val="center"/>
              <w:rPr>
                <w:rFonts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color w:val="000000"/>
                <w:kern w:val="0"/>
                <w:sz w:val="22"/>
                <w:szCs w:val="22"/>
                <w:highlight w:val="none"/>
                <w:lang w:bidi="ar"/>
              </w:rPr>
              <w:t>-</w:t>
            </w:r>
          </w:p>
        </w:tc>
      </w:tr>
      <w:tr w14:paraId="65EC5E68">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54630A3A">
            <w:pPr>
              <w:widowControl/>
              <w:snapToGrid w:val="0"/>
              <w:spacing w:line="360" w:lineRule="auto"/>
              <w:ind w:right="0" w:firstLine="373"/>
              <w:jc w:val="left"/>
              <w:rPr>
                <w:b/>
                <w:color w:val="000000"/>
                <w:kern w:val="0"/>
                <w:szCs w:val="21"/>
                <w:highlight w:val="none"/>
              </w:rPr>
            </w:pPr>
            <w:r>
              <w:rPr>
                <w:b/>
                <w:color w:val="000000"/>
                <w:kern w:val="0"/>
                <w:szCs w:val="21"/>
              </w:rPr>
              <w:t>资产总计</w:t>
            </w:r>
          </w:p>
        </w:tc>
        <w:tc>
          <w:tcPr>
            <w:tcW w:w="4449" w:type="dxa"/>
            <w:tcBorders>
              <w:bottom w:val="single" w:color="000000" w:sz="8" w:space="0"/>
              <w:right w:val="single" w:color="000000" w:sz="8" w:space="0"/>
            </w:tcBorders>
            <w:vAlign w:val="center"/>
          </w:tcPr>
          <w:p w14:paraId="05E561AE">
            <w:pPr>
              <w:keepNext w:val="0"/>
              <w:keepLines w:val="0"/>
              <w:widowControl/>
              <w:suppressLineNumbers w:val="0"/>
              <w:snapToGrid w:val="0"/>
              <w:jc w:val="right"/>
              <w:textAlignment w:val="center"/>
              <w:rPr>
                <w:rFonts w:ascii="宋体" w:hAnsi="宋体" w:eastAsia="宋体" w:cs="宋体"/>
                <w:b/>
                <w:i w:val="0"/>
                <w:iCs w:val="0"/>
                <w:color w:val="000000"/>
                <w:kern w:val="2"/>
                <w:sz w:val="20"/>
                <w:szCs w:val="20"/>
                <w:highlight w:val="none"/>
                <w:u w:val="none"/>
                <w:lang w:val="en-US" w:eastAsia="zh-CN" w:bidi="ar-SA"/>
              </w:rPr>
            </w:pPr>
            <w:r>
              <w:rPr>
                <w:rFonts w:hint="eastAsia"/>
              </w:rPr>
              <w:t>212,675,116.81</w:t>
            </w:r>
          </w:p>
        </w:tc>
      </w:tr>
      <w:tr w14:paraId="7F04309F">
        <w:tblPrEx>
          <w:tblCellMar>
            <w:top w:w="0" w:type="dxa"/>
            <w:left w:w="108" w:type="dxa"/>
            <w:bottom w:w="0" w:type="dxa"/>
            <w:right w:w="108" w:type="dxa"/>
          </w:tblCellMar>
        </w:tblPrEx>
        <w:trPr>
          <w:trHeight w:val="300" w:hRule="atLeast"/>
        </w:trPr>
        <w:tc>
          <w:tcPr>
            <w:tcW w:w="3857" w:type="dxa"/>
            <w:vMerge w:val="restart"/>
            <w:tcBorders>
              <w:left w:val="single" w:color="000000" w:sz="8" w:space="0"/>
              <w:bottom w:val="single" w:color="000000" w:sz="8" w:space="0"/>
              <w:right w:val="single" w:color="000000" w:sz="8" w:space="0"/>
            </w:tcBorders>
            <w:vAlign w:val="center"/>
          </w:tcPr>
          <w:p w14:paraId="4D19181A">
            <w:pPr>
              <w:widowControl/>
              <w:snapToGrid w:val="0"/>
              <w:spacing w:line="360" w:lineRule="auto"/>
              <w:ind w:right="0" w:firstLine="373"/>
              <w:jc w:val="left"/>
              <w:rPr>
                <w:b/>
                <w:color w:val="000000"/>
                <w:kern w:val="0"/>
                <w:szCs w:val="21"/>
                <w:highlight w:val="none"/>
              </w:rPr>
            </w:pPr>
            <w:r>
              <w:rPr>
                <w:b/>
                <w:color w:val="000000"/>
                <w:kern w:val="0"/>
                <w:szCs w:val="21"/>
              </w:rPr>
              <w:t>负债和所有者权益</w:t>
            </w:r>
          </w:p>
        </w:tc>
        <w:tc>
          <w:tcPr>
            <w:tcW w:w="4449" w:type="dxa"/>
            <w:tcBorders>
              <w:bottom w:val="single" w:color="000000" w:sz="8" w:space="0"/>
              <w:right w:val="single" w:color="000000" w:sz="8" w:space="0"/>
            </w:tcBorders>
            <w:vAlign w:val="center"/>
          </w:tcPr>
          <w:p w14:paraId="42F90229">
            <w:pPr>
              <w:widowControl/>
              <w:snapToGrid w:val="0"/>
              <w:spacing w:line="360" w:lineRule="auto"/>
              <w:ind w:right="0" w:firstLine="373"/>
              <w:jc w:val="right"/>
              <w:rPr>
                <w:b/>
                <w:color w:val="000000"/>
                <w:kern w:val="0"/>
                <w:szCs w:val="21"/>
                <w:highlight w:val="none"/>
              </w:rPr>
            </w:pPr>
          </w:p>
        </w:tc>
      </w:tr>
      <w:tr w14:paraId="0FDBC623">
        <w:tblPrEx>
          <w:tblCellMar>
            <w:top w:w="0" w:type="dxa"/>
            <w:left w:w="108" w:type="dxa"/>
            <w:bottom w:w="0" w:type="dxa"/>
            <w:right w:w="108" w:type="dxa"/>
          </w:tblCellMar>
        </w:tblPrEx>
        <w:trPr>
          <w:trHeight w:val="300" w:hRule="atLeast"/>
        </w:trPr>
        <w:tc>
          <w:tcPr>
            <w:tcW w:w="3857" w:type="dxa"/>
            <w:vMerge w:val="continue"/>
            <w:tcBorders>
              <w:left w:val="single" w:color="000000" w:sz="8" w:space="0"/>
              <w:bottom w:val="single" w:color="000000" w:sz="8" w:space="0"/>
              <w:right w:val="single" w:color="000000" w:sz="8" w:space="0"/>
            </w:tcBorders>
            <w:vAlign w:val="center"/>
          </w:tcPr>
          <w:p w14:paraId="549B8F9E">
            <w:pPr>
              <w:widowControl/>
              <w:snapToGrid w:val="0"/>
              <w:spacing w:line="360" w:lineRule="auto"/>
              <w:ind w:right="0" w:firstLine="371"/>
              <w:jc w:val="left"/>
              <w:rPr>
                <w:b/>
                <w:color w:val="000000"/>
                <w:kern w:val="0"/>
                <w:szCs w:val="21"/>
                <w:highlight w:val="none"/>
              </w:rPr>
            </w:pPr>
          </w:p>
        </w:tc>
        <w:tc>
          <w:tcPr>
            <w:tcW w:w="4449" w:type="dxa"/>
            <w:tcBorders>
              <w:bottom w:val="single" w:color="000000" w:sz="8" w:space="0"/>
              <w:right w:val="single" w:color="000000" w:sz="8" w:space="0"/>
            </w:tcBorders>
            <w:vAlign w:val="center"/>
          </w:tcPr>
          <w:p w14:paraId="5DFFE021">
            <w:pPr>
              <w:widowControl/>
              <w:snapToGrid w:val="0"/>
              <w:spacing w:line="360" w:lineRule="auto"/>
              <w:ind w:right="0" w:firstLine="371"/>
              <w:jc w:val="right"/>
              <w:rPr>
                <w:color w:val="000000"/>
                <w:kern w:val="0"/>
                <w:szCs w:val="21"/>
                <w:highlight w:val="none"/>
              </w:rPr>
            </w:pPr>
          </w:p>
        </w:tc>
      </w:tr>
      <w:tr w14:paraId="1C3228F9">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70848F98">
            <w:pPr>
              <w:widowControl/>
              <w:snapToGrid w:val="0"/>
              <w:spacing w:line="360" w:lineRule="auto"/>
              <w:ind w:right="0" w:firstLine="373"/>
              <w:jc w:val="left"/>
              <w:rPr>
                <w:b/>
                <w:color w:val="000000"/>
                <w:kern w:val="0"/>
                <w:szCs w:val="21"/>
                <w:highlight w:val="none"/>
              </w:rPr>
            </w:pPr>
            <w:r>
              <w:rPr>
                <w:b/>
                <w:color w:val="000000"/>
                <w:kern w:val="0"/>
                <w:szCs w:val="21"/>
              </w:rPr>
              <w:t>负</w:t>
            </w:r>
            <w:r>
              <w:rPr>
                <w:rFonts w:eastAsia="Times New Roman"/>
                <w:b/>
                <w:color w:val="000000"/>
                <w:kern w:val="0"/>
                <w:szCs w:val="21"/>
              </w:rPr>
              <w:t xml:space="preserve"> </w:t>
            </w:r>
            <w:r>
              <w:rPr>
                <w:b/>
                <w:color w:val="000000"/>
                <w:kern w:val="0"/>
                <w:szCs w:val="21"/>
              </w:rPr>
              <w:t>债：</w:t>
            </w:r>
          </w:p>
        </w:tc>
        <w:tc>
          <w:tcPr>
            <w:tcW w:w="4449" w:type="dxa"/>
            <w:tcBorders>
              <w:bottom w:val="single" w:color="000000" w:sz="8" w:space="0"/>
              <w:right w:val="single" w:color="000000" w:sz="8" w:space="0"/>
            </w:tcBorders>
            <w:vAlign w:val="center"/>
          </w:tcPr>
          <w:p w14:paraId="39A7CE8C">
            <w:pPr>
              <w:widowControl/>
              <w:snapToGrid w:val="0"/>
              <w:spacing w:line="360" w:lineRule="auto"/>
              <w:ind w:right="0" w:firstLine="371"/>
              <w:jc w:val="right"/>
              <w:rPr>
                <w:b/>
                <w:color w:val="000000"/>
                <w:kern w:val="0"/>
                <w:szCs w:val="21"/>
                <w:highlight w:val="none"/>
              </w:rPr>
            </w:pPr>
          </w:p>
        </w:tc>
      </w:tr>
      <w:tr w14:paraId="137B91F5">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5FD303E2">
            <w:pPr>
              <w:widowControl/>
              <w:snapToGrid w:val="0"/>
              <w:spacing w:line="360" w:lineRule="auto"/>
              <w:ind w:right="0" w:firstLine="371"/>
              <w:jc w:val="left"/>
              <w:rPr>
                <w:color w:val="000000"/>
                <w:kern w:val="0"/>
                <w:szCs w:val="21"/>
                <w:highlight w:val="none"/>
              </w:rPr>
            </w:pPr>
            <w:r>
              <w:rPr>
                <w:color w:val="000000"/>
                <w:kern w:val="0"/>
                <w:szCs w:val="21"/>
              </w:rPr>
              <w:t>短期借款</w:t>
            </w:r>
          </w:p>
        </w:tc>
        <w:tc>
          <w:tcPr>
            <w:tcW w:w="4449" w:type="dxa"/>
            <w:tcBorders>
              <w:bottom w:val="single" w:color="000000" w:sz="8" w:space="0"/>
              <w:right w:val="single" w:color="000000" w:sz="8" w:space="0"/>
            </w:tcBorders>
            <w:vAlign w:val="center"/>
          </w:tcPr>
          <w:p w14:paraId="47F1A65D">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526378EF">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5FA3383F">
            <w:pPr>
              <w:widowControl/>
              <w:snapToGrid w:val="0"/>
              <w:spacing w:line="360" w:lineRule="auto"/>
              <w:ind w:right="0" w:firstLine="371"/>
              <w:jc w:val="left"/>
              <w:rPr>
                <w:color w:val="000000"/>
                <w:kern w:val="0"/>
                <w:szCs w:val="21"/>
                <w:highlight w:val="none"/>
              </w:rPr>
            </w:pPr>
            <w:r>
              <w:rPr>
                <w:color w:val="000000"/>
                <w:kern w:val="0"/>
                <w:szCs w:val="21"/>
              </w:rPr>
              <w:t>交易性金融负债</w:t>
            </w:r>
          </w:p>
        </w:tc>
        <w:tc>
          <w:tcPr>
            <w:tcW w:w="4449" w:type="dxa"/>
            <w:tcBorders>
              <w:bottom w:val="single" w:color="000000" w:sz="8" w:space="0"/>
              <w:right w:val="single" w:color="000000" w:sz="8" w:space="0"/>
            </w:tcBorders>
            <w:vAlign w:val="center"/>
          </w:tcPr>
          <w:p w14:paraId="4683C2EC">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3282BE38">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725DDC27">
            <w:pPr>
              <w:widowControl/>
              <w:snapToGrid w:val="0"/>
              <w:spacing w:line="360" w:lineRule="auto"/>
              <w:ind w:right="0" w:firstLine="371"/>
              <w:jc w:val="left"/>
              <w:rPr>
                <w:color w:val="000000"/>
                <w:kern w:val="0"/>
                <w:szCs w:val="21"/>
                <w:highlight w:val="none"/>
              </w:rPr>
            </w:pPr>
            <w:r>
              <w:rPr>
                <w:color w:val="000000"/>
                <w:kern w:val="0"/>
                <w:szCs w:val="21"/>
              </w:rPr>
              <w:t>衍生金融负债</w:t>
            </w:r>
          </w:p>
        </w:tc>
        <w:tc>
          <w:tcPr>
            <w:tcW w:w="4449" w:type="dxa"/>
            <w:tcBorders>
              <w:bottom w:val="single" w:color="000000" w:sz="8" w:space="0"/>
              <w:right w:val="single" w:color="000000" w:sz="8" w:space="0"/>
            </w:tcBorders>
            <w:vAlign w:val="center"/>
          </w:tcPr>
          <w:p w14:paraId="3445B826">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70A3385B">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1CEA25F0">
            <w:pPr>
              <w:widowControl/>
              <w:snapToGrid w:val="0"/>
              <w:spacing w:line="360" w:lineRule="auto"/>
              <w:ind w:right="0" w:firstLine="371"/>
              <w:jc w:val="left"/>
              <w:rPr>
                <w:color w:val="000000"/>
                <w:kern w:val="0"/>
                <w:szCs w:val="21"/>
                <w:highlight w:val="none"/>
              </w:rPr>
            </w:pPr>
            <w:r>
              <w:rPr>
                <w:color w:val="000000"/>
                <w:kern w:val="0"/>
                <w:szCs w:val="21"/>
              </w:rPr>
              <w:t>卖出回购金融资产款</w:t>
            </w:r>
          </w:p>
        </w:tc>
        <w:tc>
          <w:tcPr>
            <w:tcW w:w="4449" w:type="dxa"/>
            <w:tcBorders>
              <w:bottom w:val="single" w:color="000000" w:sz="8" w:space="0"/>
              <w:right w:val="single" w:color="000000" w:sz="8" w:space="0"/>
            </w:tcBorders>
            <w:vAlign w:val="center"/>
          </w:tcPr>
          <w:p w14:paraId="45A93C70">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21A8A7F2">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6FD51770">
            <w:pPr>
              <w:widowControl/>
              <w:snapToGrid w:val="0"/>
              <w:spacing w:line="360" w:lineRule="auto"/>
              <w:ind w:right="0" w:firstLine="371"/>
              <w:jc w:val="left"/>
              <w:rPr>
                <w:color w:val="000000"/>
                <w:kern w:val="0"/>
                <w:szCs w:val="21"/>
                <w:highlight w:val="none"/>
              </w:rPr>
            </w:pPr>
            <w:r>
              <w:rPr>
                <w:color w:val="000000"/>
                <w:kern w:val="0"/>
                <w:szCs w:val="21"/>
              </w:rPr>
              <w:t>应付证券清算款</w:t>
            </w:r>
          </w:p>
        </w:tc>
        <w:tc>
          <w:tcPr>
            <w:tcW w:w="4449" w:type="dxa"/>
            <w:tcBorders>
              <w:bottom w:val="single" w:color="000000" w:sz="8" w:space="0"/>
              <w:right w:val="single" w:color="000000" w:sz="8" w:space="0"/>
            </w:tcBorders>
            <w:vAlign w:val="center"/>
          </w:tcPr>
          <w:p w14:paraId="2F24A3E8">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0A5AD323">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7795DBC6">
            <w:pPr>
              <w:widowControl/>
              <w:snapToGrid w:val="0"/>
              <w:spacing w:line="360" w:lineRule="auto"/>
              <w:ind w:right="0" w:firstLine="371"/>
              <w:jc w:val="left"/>
              <w:rPr>
                <w:color w:val="000000"/>
                <w:kern w:val="0"/>
                <w:szCs w:val="21"/>
                <w:highlight w:val="none"/>
              </w:rPr>
            </w:pPr>
            <w:r>
              <w:rPr>
                <w:color w:val="000000"/>
                <w:kern w:val="0"/>
                <w:szCs w:val="21"/>
              </w:rPr>
              <w:t>应付赎回款</w:t>
            </w:r>
          </w:p>
        </w:tc>
        <w:tc>
          <w:tcPr>
            <w:tcW w:w="4449" w:type="dxa"/>
            <w:tcBorders>
              <w:bottom w:val="single" w:color="000000" w:sz="8" w:space="0"/>
              <w:right w:val="single" w:color="000000" w:sz="8" w:space="0"/>
            </w:tcBorders>
            <w:vAlign w:val="center"/>
          </w:tcPr>
          <w:p w14:paraId="3A9FF6D7">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0FFBC4E6">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3C441660">
            <w:pPr>
              <w:widowControl/>
              <w:snapToGrid w:val="0"/>
              <w:spacing w:line="360" w:lineRule="auto"/>
              <w:ind w:right="0" w:firstLine="371"/>
              <w:jc w:val="left"/>
              <w:rPr>
                <w:color w:val="000000"/>
                <w:kern w:val="0"/>
                <w:szCs w:val="21"/>
                <w:highlight w:val="none"/>
              </w:rPr>
            </w:pPr>
            <w:r>
              <w:rPr>
                <w:color w:val="000000"/>
                <w:kern w:val="0"/>
                <w:szCs w:val="21"/>
              </w:rPr>
              <w:t>应付管理人报酬</w:t>
            </w:r>
          </w:p>
        </w:tc>
        <w:tc>
          <w:tcPr>
            <w:tcW w:w="4449" w:type="dxa"/>
            <w:tcBorders>
              <w:bottom w:val="single" w:color="000000" w:sz="8" w:space="0"/>
              <w:right w:val="single" w:color="000000" w:sz="8" w:space="0"/>
            </w:tcBorders>
            <w:vAlign w:val="center"/>
          </w:tcPr>
          <w:p w14:paraId="20F176B7">
            <w:pPr>
              <w:keepNext w:val="0"/>
              <w:keepLines w:val="0"/>
              <w:widowControl/>
              <w:suppressLineNumbers w:val="0"/>
              <w:snapToGrid w:val="0"/>
              <w:jc w:val="right"/>
              <w:textAlignment w:val="center"/>
              <w:rPr>
                <w:color w:val="000000"/>
                <w:kern w:val="0"/>
                <w:szCs w:val="21"/>
                <w:highlight w:val="none"/>
              </w:rPr>
            </w:pPr>
            <w:r>
              <w:rPr>
                <w:rFonts w:hint="eastAsia"/>
              </w:rPr>
              <w:t>5,836.93</w:t>
            </w:r>
          </w:p>
        </w:tc>
      </w:tr>
      <w:tr w14:paraId="25F2321D">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0E3C2EC9">
            <w:pPr>
              <w:widowControl/>
              <w:snapToGrid w:val="0"/>
              <w:spacing w:line="360" w:lineRule="auto"/>
              <w:ind w:right="0" w:firstLine="371"/>
              <w:jc w:val="left"/>
              <w:rPr>
                <w:color w:val="000000"/>
                <w:kern w:val="0"/>
                <w:szCs w:val="21"/>
                <w:highlight w:val="none"/>
              </w:rPr>
            </w:pPr>
            <w:r>
              <w:rPr>
                <w:color w:val="000000"/>
                <w:kern w:val="0"/>
                <w:szCs w:val="21"/>
              </w:rPr>
              <w:t>应付托管费</w:t>
            </w:r>
          </w:p>
        </w:tc>
        <w:tc>
          <w:tcPr>
            <w:tcW w:w="4449" w:type="dxa"/>
            <w:tcBorders>
              <w:bottom w:val="single" w:color="000000" w:sz="8" w:space="0"/>
              <w:right w:val="single" w:color="000000" w:sz="8" w:space="0"/>
            </w:tcBorders>
            <w:vAlign w:val="center"/>
          </w:tcPr>
          <w:p w14:paraId="2DAF7C23">
            <w:pPr>
              <w:keepNext w:val="0"/>
              <w:keepLines w:val="0"/>
              <w:widowControl/>
              <w:suppressLineNumbers w:val="0"/>
              <w:snapToGrid w:val="0"/>
              <w:jc w:val="right"/>
              <w:textAlignment w:val="center"/>
              <w:rPr>
                <w:color w:val="000000"/>
                <w:kern w:val="0"/>
                <w:szCs w:val="21"/>
                <w:highlight w:val="none"/>
              </w:rPr>
            </w:pPr>
            <w:r>
              <w:rPr>
                <w:rFonts w:hint="eastAsia"/>
              </w:rPr>
              <w:t>1,167.38</w:t>
            </w:r>
          </w:p>
        </w:tc>
      </w:tr>
      <w:tr w14:paraId="2AAE601D">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31AC1E32">
            <w:pPr>
              <w:widowControl/>
              <w:snapToGrid w:val="0"/>
              <w:spacing w:line="360" w:lineRule="auto"/>
              <w:ind w:right="0" w:firstLine="371"/>
              <w:jc w:val="left"/>
              <w:rPr>
                <w:color w:val="000000"/>
                <w:kern w:val="0"/>
                <w:szCs w:val="21"/>
                <w:highlight w:val="none"/>
              </w:rPr>
            </w:pPr>
            <w:r>
              <w:rPr>
                <w:color w:val="000000"/>
                <w:kern w:val="0"/>
                <w:szCs w:val="21"/>
              </w:rPr>
              <w:t>应付销售服务费</w:t>
            </w:r>
          </w:p>
        </w:tc>
        <w:tc>
          <w:tcPr>
            <w:tcW w:w="4449" w:type="dxa"/>
            <w:tcBorders>
              <w:bottom w:val="single" w:color="000000" w:sz="8" w:space="0"/>
              <w:right w:val="single" w:color="000000" w:sz="8" w:space="0"/>
            </w:tcBorders>
            <w:vAlign w:val="center"/>
          </w:tcPr>
          <w:p w14:paraId="7917809F">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434D31DD">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251BDE09">
            <w:pPr>
              <w:widowControl/>
              <w:snapToGrid w:val="0"/>
              <w:spacing w:line="360" w:lineRule="auto"/>
              <w:ind w:right="0" w:firstLine="371"/>
              <w:jc w:val="left"/>
              <w:rPr>
                <w:color w:val="000000"/>
                <w:kern w:val="0"/>
                <w:szCs w:val="21"/>
                <w:highlight w:val="none"/>
              </w:rPr>
            </w:pPr>
            <w:r>
              <w:rPr>
                <w:color w:val="000000"/>
                <w:kern w:val="0"/>
                <w:szCs w:val="21"/>
              </w:rPr>
              <w:t>应交税费</w:t>
            </w:r>
          </w:p>
        </w:tc>
        <w:tc>
          <w:tcPr>
            <w:tcW w:w="4449" w:type="dxa"/>
            <w:tcBorders>
              <w:bottom w:val="single" w:color="000000" w:sz="8" w:space="0"/>
              <w:right w:val="single" w:color="000000" w:sz="8" w:space="0"/>
            </w:tcBorders>
            <w:vAlign w:val="center"/>
          </w:tcPr>
          <w:p w14:paraId="1C28DEF9">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66B6F9A7">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7209DBB9">
            <w:pPr>
              <w:widowControl/>
              <w:snapToGrid w:val="0"/>
              <w:spacing w:line="360" w:lineRule="auto"/>
              <w:ind w:right="0" w:firstLine="371"/>
              <w:jc w:val="left"/>
              <w:rPr>
                <w:color w:val="000000"/>
                <w:kern w:val="0"/>
                <w:szCs w:val="21"/>
                <w:highlight w:val="none"/>
              </w:rPr>
            </w:pPr>
            <w:r>
              <w:rPr>
                <w:color w:val="000000"/>
                <w:kern w:val="0"/>
                <w:szCs w:val="21"/>
              </w:rPr>
              <w:t>应付利润</w:t>
            </w:r>
          </w:p>
        </w:tc>
        <w:tc>
          <w:tcPr>
            <w:tcW w:w="4449" w:type="dxa"/>
            <w:tcBorders>
              <w:bottom w:val="single" w:color="000000" w:sz="8" w:space="0"/>
              <w:right w:val="single" w:color="000000" w:sz="8" w:space="0"/>
            </w:tcBorders>
            <w:vAlign w:val="center"/>
          </w:tcPr>
          <w:p w14:paraId="7310C15D">
            <w:pPr>
              <w:widowControl/>
              <w:snapToGrid w:val="0"/>
              <w:jc w:val="right"/>
              <w:textAlignment w:val="center"/>
              <w:rPr>
                <w:color w:val="000000"/>
                <w:kern w:val="0"/>
                <w:szCs w:val="21"/>
                <w:highlight w:val="none"/>
              </w:rPr>
            </w:pPr>
            <w:r>
              <w:rPr>
                <w:rFonts w:hint="eastAsia" w:ascii="宋体" w:hAnsi="宋体" w:eastAsia="宋体" w:cs="宋体"/>
                <w:color w:val="000000"/>
                <w:kern w:val="0"/>
                <w:sz w:val="22"/>
                <w:szCs w:val="22"/>
                <w:highlight w:val="none"/>
                <w:lang w:bidi="ar"/>
              </w:rPr>
              <w:t>-</w:t>
            </w:r>
          </w:p>
        </w:tc>
      </w:tr>
      <w:tr w14:paraId="5AF01F26">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41BA7A49">
            <w:pPr>
              <w:widowControl/>
              <w:snapToGrid w:val="0"/>
              <w:spacing w:line="360" w:lineRule="auto"/>
              <w:ind w:right="0" w:firstLine="371"/>
              <w:jc w:val="left"/>
              <w:rPr>
                <w:color w:val="000000"/>
                <w:kern w:val="0"/>
                <w:szCs w:val="21"/>
                <w:highlight w:val="none"/>
              </w:rPr>
            </w:pPr>
            <w:r>
              <w:rPr>
                <w:color w:val="000000"/>
                <w:kern w:val="0"/>
                <w:szCs w:val="21"/>
              </w:rPr>
              <w:t>其他负债</w:t>
            </w:r>
          </w:p>
        </w:tc>
        <w:tc>
          <w:tcPr>
            <w:tcW w:w="4449" w:type="dxa"/>
            <w:tcBorders>
              <w:bottom w:val="single" w:color="000000" w:sz="8" w:space="0"/>
              <w:right w:val="single" w:color="000000" w:sz="8" w:space="0"/>
            </w:tcBorders>
            <w:vAlign w:val="center"/>
          </w:tcPr>
          <w:p w14:paraId="334901C8">
            <w:pPr>
              <w:keepNext w:val="0"/>
              <w:keepLines w:val="0"/>
              <w:widowControl/>
              <w:suppressLineNumbers w:val="0"/>
              <w:snapToGrid w:val="0"/>
              <w:jc w:val="right"/>
              <w:textAlignment w:val="center"/>
              <w:rPr>
                <w:rFonts w:ascii="宋体" w:hAnsi="宋体" w:eastAsia="宋体" w:cs="宋体"/>
                <w:i w:val="0"/>
                <w:iCs w:val="0"/>
                <w:color w:val="000000"/>
                <w:kern w:val="2"/>
                <w:sz w:val="20"/>
                <w:szCs w:val="20"/>
                <w:highlight w:val="none"/>
                <w:u w:val="none"/>
                <w:lang w:val="en-US" w:eastAsia="zh-CN" w:bidi="ar-SA"/>
              </w:rPr>
            </w:pPr>
            <w:r>
              <w:rPr>
                <w:rFonts w:hint="eastAsia"/>
              </w:rPr>
              <w:t xml:space="preserve">1,884.63 </w:t>
            </w:r>
          </w:p>
        </w:tc>
      </w:tr>
      <w:tr w14:paraId="1D046E2D">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77654DBF">
            <w:pPr>
              <w:widowControl/>
              <w:snapToGrid w:val="0"/>
              <w:spacing w:line="360" w:lineRule="auto"/>
              <w:ind w:right="0" w:firstLine="373"/>
              <w:jc w:val="left"/>
              <w:rPr>
                <w:b/>
                <w:color w:val="000000"/>
                <w:kern w:val="0"/>
                <w:szCs w:val="21"/>
                <w:highlight w:val="none"/>
              </w:rPr>
            </w:pPr>
            <w:r>
              <w:rPr>
                <w:b/>
                <w:color w:val="000000"/>
                <w:kern w:val="0"/>
                <w:szCs w:val="21"/>
              </w:rPr>
              <w:t>负债合计</w:t>
            </w:r>
          </w:p>
        </w:tc>
        <w:tc>
          <w:tcPr>
            <w:tcW w:w="4449" w:type="dxa"/>
            <w:tcBorders>
              <w:bottom w:val="single" w:color="000000" w:sz="8" w:space="0"/>
              <w:right w:val="single" w:color="000000" w:sz="8" w:space="0"/>
            </w:tcBorders>
            <w:vAlign w:val="center"/>
          </w:tcPr>
          <w:p w14:paraId="1F34499C">
            <w:pPr>
              <w:keepNext w:val="0"/>
              <w:keepLines w:val="0"/>
              <w:widowControl/>
              <w:suppressLineNumbers w:val="0"/>
              <w:snapToGrid w:val="0"/>
              <w:jc w:val="right"/>
              <w:textAlignment w:val="center"/>
              <w:rPr>
                <w:rFonts w:ascii="宋体" w:hAnsi="宋体" w:eastAsia="宋体" w:cs="宋体"/>
                <w:b/>
                <w:i w:val="0"/>
                <w:iCs w:val="0"/>
                <w:color w:val="000000"/>
                <w:kern w:val="2"/>
                <w:sz w:val="20"/>
                <w:szCs w:val="20"/>
                <w:highlight w:val="none"/>
                <w:u w:val="none"/>
                <w:lang w:val="en-US" w:eastAsia="zh-CN" w:bidi="ar-SA"/>
              </w:rPr>
            </w:pPr>
            <w:r>
              <w:rPr>
                <w:rFonts w:hint="eastAsia"/>
              </w:rPr>
              <w:t>8,888.94</w:t>
            </w:r>
          </w:p>
        </w:tc>
      </w:tr>
      <w:tr w14:paraId="4715CC31">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4FC5AE6F">
            <w:pPr>
              <w:widowControl/>
              <w:snapToGrid w:val="0"/>
              <w:spacing w:line="360" w:lineRule="auto"/>
              <w:ind w:right="0" w:firstLine="373"/>
              <w:jc w:val="left"/>
              <w:rPr>
                <w:b/>
                <w:color w:val="000000"/>
                <w:kern w:val="0"/>
                <w:szCs w:val="21"/>
                <w:highlight w:val="none"/>
              </w:rPr>
            </w:pPr>
            <w:r>
              <w:rPr>
                <w:b/>
                <w:color w:val="000000"/>
                <w:kern w:val="0"/>
                <w:szCs w:val="21"/>
              </w:rPr>
              <w:t>所有者权益：</w:t>
            </w:r>
          </w:p>
        </w:tc>
        <w:tc>
          <w:tcPr>
            <w:tcW w:w="4449" w:type="dxa"/>
            <w:tcBorders>
              <w:bottom w:val="single" w:color="000000" w:sz="8" w:space="0"/>
              <w:right w:val="single" w:color="000000" w:sz="8" w:space="0"/>
            </w:tcBorders>
            <w:vAlign w:val="center"/>
          </w:tcPr>
          <w:p w14:paraId="17870486">
            <w:pPr>
              <w:widowControl/>
              <w:snapToGrid w:val="0"/>
              <w:spacing w:line="360" w:lineRule="auto"/>
              <w:ind w:right="0" w:firstLine="373"/>
              <w:jc w:val="right"/>
              <w:rPr>
                <w:b/>
                <w:color w:val="000000"/>
                <w:kern w:val="0"/>
                <w:szCs w:val="21"/>
                <w:highlight w:val="none"/>
              </w:rPr>
            </w:pPr>
          </w:p>
        </w:tc>
      </w:tr>
      <w:tr w14:paraId="34F4D525">
        <w:trPr>
          <w:trHeight w:val="300" w:hRule="atLeast"/>
        </w:trPr>
        <w:tc>
          <w:tcPr>
            <w:tcW w:w="3857" w:type="dxa"/>
            <w:tcBorders>
              <w:left w:val="single" w:color="000000" w:sz="8" w:space="0"/>
              <w:bottom w:val="single" w:color="000000" w:sz="8" w:space="0"/>
              <w:right w:val="single" w:color="000000" w:sz="8" w:space="0"/>
            </w:tcBorders>
            <w:vAlign w:val="center"/>
          </w:tcPr>
          <w:p w14:paraId="39B168BE">
            <w:pPr>
              <w:widowControl/>
              <w:snapToGrid w:val="0"/>
              <w:spacing w:line="360" w:lineRule="auto"/>
              <w:ind w:right="0" w:firstLine="371"/>
              <w:jc w:val="left"/>
              <w:rPr>
                <w:color w:val="000000"/>
                <w:kern w:val="0"/>
                <w:szCs w:val="21"/>
                <w:highlight w:val="none"/>
              </w:rPr>
            </w:pPr>
            <w:r>
              <w:rPr>
                <w:color w:val="000000"/>
                <w:kern w:val="0"/>
                <w:szCs w:val="21"/>
              </w:rPr>
              <w:t>实收基金</w:t>
            </w:r>
          </w:p>
        </w:tc>
        <w:tc>
          <w:tcPr>
            <w:tcW w:w="4449" w:type="dxa"/>
            <w:tcBorders>
              <w:bottom w:val="single" w:color="000000" w:sz="8" w:space="0"/>
              <w:right w:val="single" w:color="000000" w:sz="8" w:space="0"/>
            </w:tcBorders>
            <w:vAlign w:val="center"/>
          </w:tcPr>
          <w:p w14:paraId="21DAEAC5">
            <w:pPr>
              <w:keepNext w:val="0"/>
              <w:keepLines w:val="0"/>
              <w:widowControl/>
              <w:suppressLineNumbers w:val="0"/>
              <w:snapToGrid w:val="0"/>
              <w:jc w:val="right"/>
              <w:textAlignment w:val="center"/>
              <w:rPr>
                <w:rFonts w:ascii="宋体" w:hAnsi="宋体" w:eastAsia="宋体" w:cs="宋体"/>
                <w:i w:val="0"/>
                <w:iCs w:val="0"/>
                <w:color w:val="000000"/>
                <w:kern w:val="2"/>
                <w:sz w:val="20"/>
                <w:szCs w:val="20"/>
                <w:highlight w:val="none"/>
                <w:u w:val="none"/>
                <w:lang w:val="en-US" w:eastAsia="zh-CN" w:bidi="ar-SA"/>
              </w:rPr>
            </w:pPr>
            <w:r>
              <w:rPr>
                <w:rFonts w:hint="eastAsia"/>
              </w:rPr>
              <w:t>213,046,012.00</w:t>
            </w:r>
          </w:p>
        </w:tc>
      </w:tr>
      <w:tr w14:paraId="1EEB2731">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2EB3E355">
            <w:pPr>
              <w:widowControl/>
              <w:snapToGrid w:val="0"/>
              <w:spacing w:line="360" w:lineRule="auto"/>
              <w:ind w:right="0" w:firstLine="371"/>
              <w:jc w:val="left"/>
              <w:rPr>
                <w:color w:val="000000"/>
                <w:kern w:val="0"/>
                <w:szCs w:val="21"/>
                <w:highlight w:val="none"/>
              </w:rPr>
            </w:pPr>
            <w:r>
              <w:rPr>
                <w:color w:val="000000"/>
                <w:kern w:val="0"/>
                <w:szCs w:val="21"/>
              </w:rPr>
              <w:t>未分配利润</w:t>
            </w:r>
          </w:p>
        </w:tc>
        <w:tc>
          <w:tcPr>
            <w:tcW w:w="4449" w:type="dxa"/>
            <w:tcBorders>
              <w:bottom w:val="single" w:color="000000" w:sz="8" w:space="0"/>
              <w:right w:val="single" w:color="000000" w:sz="8" w:space="0"/>
            </w:tcBorders>
            <w:vAlign w:val="bottom"/>
          </w:tcPr>
          <w:p w14:paraId="7681094C">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rPr>
              <w:t>-379,784.13</w:t>
            </w:r>
          </w:p>
        </w:tc>
      </w:tr>
      <w:tr w14:paraId="57D49458">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2533E8AF">
            <w:pPr>
              <w:widowControl/>
              <w:snapToGrid w:val="0"/>
              <w:spacing w:line="360" w:lineRule="auto"/>
              <w:ind w:right="0" w:firstLine="373"/>
              <w:jc w:val="left"/>
              <w:rPr>
                <w:b/>
                <w:color w:val="000000"/>
                <w:kern w:val="0"/>
                <w:szCs w:val="21"/>
                <w:highlight w:val="none"/>
              </w:rPr>
            </w:pPr>
            <w:r>
              <w:rPr>
                <w:b/>
                <w:color w:val="000000"/>
                <w:kern w:val="0"/>
                <w:szCs w:val="21"/>
              </w:rPr>
              <w:t>所有者权益合计</w:t>
            </w:r>
          </w:p>
        </w:tc>
        <w:tc>
          <w:tcPr>
            <w:tcW w:w="4449" w:type="dxa"/>
            <w:tcBorders>
              <w:bottom w:val="single" w:color="000000" w:sz="8" w:space="0"/>
              <w:right w:val="single" w:color="000000" w:sz="8" w:space="0"/>
            </w:tcBorders>
            <w:vAlign w:val="center"/>
          </w:tcPr>
          <w:p w14:paraId="04FBEBCE">
            <w:pPr>
              <w:keepNext w:val="0"/>
              <w:keepLines w:val="0"/>
              <w:widowControl/>
              <w:suppressLineNumbers w:val="0"/>
              <w:snapToGrid w:val="0"/>
              <w:jc w:val="right"/>
              <w:textAlignment w:val="center"/>
              <w:rPr>
                <w:rFonts w:ascii="宋体" w:hAnsi="宋体" w:eastAsia="宋体" w:cs="宋体"/>
                <w:b/>
                <w:i w:val="0"/>
                <w:iCs w:val="0"/>
                <w:color w:val="000000"/>
                <w:kern w:val="2"/>
                <w:sz w:val="20"/>
                <w:szCs w:val="20"/>
                <w:highlight w:val="none"/>
                <w:u w:val="none"/>
                <w:lang w:val="en-US" w:eastAsia="zh-CN" w:bidi="ar-SA"/>
              </w:rPr>
            </w:pPr>
            <w:r>
              <w:rPr>
                <w:rFonts w:hint="eastAsia"/>
              </w:rPr>
              <w:t>212,666,227.87</w:t>
            </w:r>
          </w:p>
        </w:tc>
      </w:tr>
      <w:tr w14:paraId="341F2BA4">
        <w:tblPrEx>
          <w:tblCellMar>
            <w:top w:w="0" w:type="dxa"/>
            <w:left w:w="108" w:type="dxa"/>
            <w:bottom w:w="0" w:type="dxa"/>
            <w:right w:w="108" w:type="dxa"/>
          </w:tblCellMar>
        </w:tblPrEx>
        <w:trPr>
          <w:trHeight w:val="300" w:hRule="atLeast"/>
        </w:trPr>
        <w:tc>
          <w:tcPr>
            <w:tcW w:w="3857" w:type="dxa"/>
            <w:tcBorders>
              <w:left w:val="single" w:color="000000" w:sz="8" w:space="0"/>
              <w:bottom w:val="single" w:color="000000" w:sz="8" w:space="0"/>
              <w:right w:val="single" w:color="000000" w:sz="8" w:space="0"/>
            </w:tcBorders>
            <w:vAlign w:val="center"/>
          </w:tcPr>
          <w:p w14:paraId="3A03D17F">
            <w:pPr>
              <w:widowControl/>
              <w:snapToGrid w:val="0"/>
              <w:spacing w:line="360" w:lineRule="auto"/>
              <w:ind w:right="0" w:firstLine="373"/>
              <w:jc w:val="left"/>
              <w:rPr>
                <w:b/>
                <w:color w:val="000000"/>
                <w:kern w:val="0"/>
                <w:szCs w:val="21"/>
                <w:highlight w:val="none"/>
              </w:rPr>
            </w:pPr>
            <w:r>
              <w:rPr>
                <w:b/>
                <w:color w:val="000000"/>
                <w:kern w:val="0"/>
                <w:szCs w:val="21"/>
              </w:rPr>
              <w:t>负债和所有者权益总计</w:t>
            </w:r>
          </w:p>
        </w:tc>
        <w:tc>
          <w:tcPr>
            <w:tcW w:w="4449" w:type="dxa"/>
            <w:tcBorders>
              <w:bottom w:val="single" w:color="000000" w:sz="8" w:space="0"/>
              <w:right w:val="single" w:color="000000" w:sz="8" w:space="0"/>
            </w:tcBorders>
            <w:vAlign w:val="center"/>
          </w:tcPr>
          <w:p w14:paraId="1F44C9DA">
            <w:pPr>
              <w:widowControl/>
              <w:snapToGrid w:val="0"/>
              <w:jc w:val="right"/>
              <w:textAlignment w:val="center"/>
              <w:rPr>
                <w:b/>
                <w:color w:val="000000"/>
                <w:kern w:val="0"/>
                <w:szCs w:val="21"/>
                <w:highlight w:val="none"/>
              </w:rPr>
            </w:pPr>
            <w:r>
              <w:rPr>
                <w:rFonts w:hint="eastAsia"/>
              </w:rPr>
              <w:t>212,675,116.81</w:t>
            </w:r>
          </w:p>
        </w:tc>
      </w:tr>
    </w:tbl>
    <w:p w14:paraId="03AD8521">
      <w:pPr>
        <w:widowControl w:val="0"/>
        <w:snapToGrid w:val="0"/>
        <w:spacing w:line="360" w:lineRule="auto"/>
        <w:ind w:right="0" w:firstLine="420"/>
        <w:rPr>
          <w:color w:val="000000"/>
          <w:kern w:val="0"/>
          <w:szCs w:val="21"/>
          <w:highlight w:val="none"/>
        </w:rPr>
      </w:pPr>
      <w:r>
        <w:rPr>
          <w:color w:val="000000"/>
          <w:kern w:val="0"/>
          <w:szCs w:val="21"/>
        </w:rPr>
        <w:t>注：截至</w:t>
      </w:r>
      <w:r>
        <w:rPr>
          <w:rFonts w:hint="eastAsia"/>
          <w:color w:val="000000"/>
          <w:kern w:val="0"/>
          <w:szCs w:val="21"/>
        </w:rPr>
        <w:t>2026年7月31日</w:t>
      </w:r>
      <w:r>
        <w:rPr>
          <w:color w:val="000000"/>
          <w:kern w:val="0"/>
          <w:szCs w:val="21"/>
        </w:rPr>
        <w:t>，基金份额净值</w:t>
      </w:r>
      <w:r>
        <w:rPr>
          <w:rFonts w:hint="eastAsia"/>
          <w:color w:val="000000"/>
          <w:kern w:val="0"/>
          <w:szCs w:val="21"/>
        </w:rPr>
        <w:t>0.9982</w:t>
      </w:r>
      <w:r>
        <w:rPr>
          <w:color w:val="000000"/>
          <w:kern w:val="0"/>
          <w:szCs w:val="21"/>
        </w:rPr>
        <w:t>元，基金份额总额</w:t>
      </w:r>
      <w:r>
        <w:rPr>
          <w:rFonts w:hint="eastAsia"/>
          <w:color w:val="000000"/>
          <w:kern w:val="0"/>
          <w:szCs w:val="21"/>
        </w:rPr>
        <w:t>213,046,012.00</w:t>
      </w:r>
      <w:r>
        <w:rPr>
          <w:color w:val="000000"/>
          <w:kern w:val="0"/>
          <w:szCs w:val="21"/>
        </w:rPr>
        <w:t xml:space="preserve"> 份。</w:t>
      </w:r>
    </w:p>
    <w:p w14:paraId="176B7C9E">
      <w:pPr>
        <w:pStyle w:val="2"/>
        <w:keepNext w:val="0"/>
        <w:keepLines w:val="0"/>
        <w:ind w:left="0" w:firstLine="0"/>
        <w:rPr>
          <w:rFonts w:ascii="Times New Roman" w:hAnsi="Times New Roman" w:cs="Times New Roman"/>
          <w:highlight w:val="none"/>
        </w:rPr>
      </w:pPr>
      <w:bookmarkStart w:id="12" w:name="_Toc26214"/>
      <w:r>
        <w:rPr>
          <w:rFonts w:ascii="Times New Roman" w:hAnsi="Times New Roman" w:cs="Times New Roman"/>
        </w:rPr>
        <w:t>八、基金投资组合</w:t>
      </w:r>
      <w:bookmarkEnd w:id="12"/>
    </w:p>
    <w:p w14:paraId="08A0AECA">
      <w:pPr>
        <w:widowControl/>
        <w:snapToGrid w:val="0"/>
        <w:spacing w:line="360" w:lineRule="auto"/>
        <w:ind w:right="0" w:firstLine="480"/>
        <w:rPr>
          <w:color w:val="000000"/>
          <w:kern w:val="0"/>
          <w:sz w:val="24"/>
          <w:highlight w:val="none"/>
        </w:rPr>
      </w:pPr>
      <w:r>
        <w:rPr>
          <w:color w:val="000000"/>
          <w:kern w:val="0"/>
          <w:sz w:val="24"/>
        </w:rPr>
        <w:t>本基金目前处于建仓期，在上市首日前，基金管理人将使本基金的投资组合比例符合有关法律法规、部门规章、规范性文件的规定和基金合同的有关约定。</w:t>
      </w:r>
    </w:p>
    <w:p w14:paraId="2753373E">
      <w:pPr>
        <w:widowControl/>
        <w:snapToGrid w:val="0"/>
        <w:spacing w:line="360" w:lineRule="auto"/>
        <w:ind w:right="0" w:firstLine="480"/>
        <w:rPr>
          <w:color w:val="000000"/>
          <w:kern w:val="0"/>
          <w:sz w:val="24"/>
          <w:highlight w:val="none"/>
        </w:rPr>
      </w:pPr>
      <w:r>
        <w:rPr>
          <w:color w:val="000000"/>
          <w:kern w:val="0"/>
          <w:sz w:val="24"/>
        </w:rPr>
        <w:t>截至公告前两个工作日即</w:t>
      </w:r>
      <w:r>
        <w:rPr>
          <w:rFonts w:hint="eastAsia"/>
          <w:color w:val="000000"/>
          <w:kern w:val="0"/>
          <w:sz w:val="24"/>
          <w:lang w:eastAsia="zh-CN"/>
        </w:rPr>
        <w:t>2026年7月31日</w:t>
      </w:r>
      <w:r>
        <w:rPr>
          <w:color w:val="000000"/>
          <w:kern w:val="0"/>
          <w:sz w:val="24"/>
        </w:rPr>
        <w:t>，本基金的投资组合情况如下：</w:t>
      </w:r>
    </w:p>
    <w:p w14:paraId="4C40EA67">
      <w:pPr>
        <w:widowControl/>
        <w:snapToGrid w:val="0"/>
        <w:spacing w:line="360" w:lineRule="auto"/>
        <w:rPr>
          <w:color w:val="000000"/>
          <w:kern w:val="0"/>
          <w:sz w:val="24"/>
          <w:highlight w:val="none"/>
        </w:rPr>
      </w:pPr>
      <w:r>
        <w:rPr>
          <w:color w:val="000000"/>
          <w:kern w:val="0"/>
          <w:sz w:val="24"/>
        </w:rPr>
        <w:t>（一）基金资产组合情况</w:t>
      </w:r>
    </w:p>
    <w:tbl>
      <w:tblPr>
        <w:tblStyle w:val="28"/>
        <w:tblW w:w="5000" w:type="pct"/>
        <w:tblInd w:w="0" w:type="dxa"/>
        <w:tblLayout w:type="fixed"/>
        <w:tblCellMar>
          <w:top w:w="0" w:type="dxa"/>
          <w:left w:w="108" w:type="dxa"/>
          <w:bottom w:w="0" w:type="dxa"/>
          <w:right w:w="108" w:type="dxa"/>
        </w:tblCellMar>
      </w:tblPr>
      <w:tblGrid>
        <w:gridCol w:w="861"/>
        <w:gridCol w:w="3698"/>
        <w:gridCol w:w="2448"/>
        <w:gridCol w:w="1515"/>
      </w:tblGrid>
      <w:tr w14:paraId="08A79DDF">
        <w:tblPrEx>
          <w:tblCellMar>
            <w:top w:w="0" w:type="dxa"/>
            <w:left w:w="108" w:type="dxa"/>
            <w:bottom w:w="0" w:type="dxa"/>
            <w:right w:w="108" w:type="dxa"/>
          </w:tblCellMar>
        </w:tblPrEx>
        <w:trPr>
          <w:trHeight w:val="870" w:hRule="atLeast"/>
        </w:trPr>
        <w:tc>
          <w:tcPr>
            <w:tcW w:w="839" w:type="dxa"/>
            <w:tcBorders>
              <w:top w:val="single" w:color="000000" w:sz="8" w:space="0"/>
              <w:left w:val="single" w:color="000000" w:sz="8" w:space="0"/>
              <w:bottom w:val="single" w:color="000000" w:sz="8" w:space="0"/>
              <w:right w:val="single" w:color="000000" w:sz="8" w:space="0"/>
            </w:tcBorders>
            <w:vAlign w:val="center"/>
          </w:tcPr>
          <w:p w14:paraId="7BA9F416">
            <w:pPr>
              <w:widowControl/>
              <w:snapToGrid w:val="0"/>
              <w:spacing w:line="360" w:lineRule="auto"/>
              <w:jc w:val="center"/>
              <w:rPr>
                <w:color w:val="000000"/>
                <w:kern w:val="0"/>
                <w:szCs w:val="21"/>
                <w:highlight w:val="none"/>
              </w:rPr>
            </w:pPr>
            <w:r>
              <w:rPr>
                <w:color w:val="000000"/>
                <w:kern w:val="0"/>
                <w:szCs w:val="21"/>
              </w:rPr>
              <w:t>序号</w:t>
            </w:r>
          </w:p>
        </w:tc>
        <w:tc>
          <w:tcPr>
            <w:tcW w:w="3604" w:type="dxa"/>
            <w:tcBorders>
              <w:top w:val="single" w:color="000000" w:sz="8" w:space="0"/>
              <w:bottom w:val="single" w:color="000000" w:sz="8" w:space="0"/>
              <w:right w:val="single" w:color="000000" w:sz="8" w:space="0"/>
            </w:tcBorders>
            <w:vAlign w:val="center"/>
          </w:tcPr>
          <w:p w14:paraId="56AC4512">
            <w:pPr>
              <w:widowControl/>
              <w:snapToGrid w:val="0"/>
              <w:spacing w:line="360" w:lineRule="auto"/>
              <w:jc w:val="center"/>
              <w:rPr>
                <w:color w:val="000000"/>
                <w:kern w:val="0"/>
                <w:szCs w:val="21"/>
                <w:highlight w:val="none"/>
              </w:rPr>
            </w:pPr>
            <w:r>
              <w:rPr>
                <w:color w:val="000000"/>
                <w:kern w:val="0"/>
                <w:szCs w:val="21"/>
              </w:rPr>
              <w:t>项目</w:t>
            </w:r>
          </w:p>
        </w:tc>
        <w:tc>
          <w:tcPr>
            <w:tcW w:w="2386" w:type="dxa"/>
            <w:tcBorders>
              <w:top w:val="single" w:color="000000" w:sz="8" w:space="0"/>
              <w:bottom w:val="single" w:color="000000" w:sz="8" w:space="0"/>
              <w:right w:val="single" w:color="000000" w:sz="8" w:space="0"/>
            </w:tcBorders>
            <w:vAlign w:val="center"/>
          </w:tcPr>
          <w:p w14:paraId="7F5FA505">
            <w:pPr>
              <w:widowControl/>
              <w:snapToGrid w:val="0"/>
              <w:spacing w:line="360" w:lineRule="auto"/>
              <w:jc w:val="center"/>
              <w:rPr>
                <w:color w:val="000000"/>
                <w:kern w:val="0"/>
                <w:szCs w:val="21"/>
                <w:highlight w:val="none"/>
              </w:rPr>
            </w:pPr>
            <w:r>
              <w:rPr>
                <w:color w:val="000000"/>
                <w:kern w:val="0"/>
                <w:szCs w:val="21"/>
              </w:rPr>
              <w:t>金额（元）</w:t>
            </w:r>
          </w:p>
        </w:tc>
        <w:tc>
          <w:tcPr>
            <w:tcW w:w="1477" w:type="dxa"/>
            <w:tcBorders>
              <w:top w:val="single" w:color="000000" w:sz="8" w:space="0"/>
              <w:bottom w:val="single" w:color="000000" w:sz="8" w:space="0"/>
              <w:right w:val="single" w:color="000000" w:sz="8" w:space="0"/>
            </w:tcBorders>
            <w:vAlign w:val="center"/>
          </w:tcPr>
          <w:p w14:paraId="16D1FDB5">
            <w:pPr>
              <w:widowControl/>
              <w:snapToGrid w:val="0"/>
              <w:spacing w:line="360" w:lineRule="auto"/>
              <w:jc w:val="center"/>
              <w:rPr>
                <w:color w:val="000000"/>
                <w:kern w:val="0"/>
                <w:szCs w:val="21"/>
                <w:highlight w:val="none"/>
              </w:rPr>
            </w:pPr>
            <w:r>
              <w:rPr>
                <w:color w:val="000000"/>
                <w:kern w:val="0"/>
                <w:szCs w:val="21"/>
              </w:rPr>
              <w:t>占基金总资产的比例（%）</w:t>
            </w:r>
          </w:p>
        </w:tc>
      </w:tr>
      <w:tr w14:paraId="2700E164">
        <w:tblPrEx>
          <w:tblCellMar>
            <w:top w:w="0" w:type="dxa"/>
            <w:left w:w="108" w:type="dxa"/>
            <w:bottom w:w="0" w:type="dxa"/>
            <w:right w:w="108" w:type="dxa"/>
          </w:tblCellMar>
        </w:tblPrEx>
        <w:trPr>
          <w:trHeight w:val="400" w:hRule="atLeast"/>
        </w:trPr>
        <w:tc>
          <w:tcPr>
            <w:tcW w:w="839" w:type="dxa"/>
            <w:tcBorders>
              <w:left w:val="single" w:color="000000" w:sz="8" w:space="0"/>
              <w:bottom w:val="single" w:color="000000" w:sz="8" w:space="0"/>
              <w:right w:val="single" w:color="000000" w:sz="8" w:space="0"/>
            </w:tcBorders>
            <w:vAlign w:val="bottom"/>
          </w:tcPr>
          <w:p w14:paraId="3F6CFC20">
            <w:pPr>
              <w:widowControl/>
              <w:snapToGrid w:val="0"/>
              <w:spacing w:line="360" w:lineRule="auto"/>
              <w:jc w:val="center"/>
              <w:rPr>
                <w:color w:val="000000"/>
                <w:kern w:val="0"/>
                <w:szCs w:val="21"/>
                <w:highlight w:val="none"/>
              </w:rPr>
            </w:pPr>
            <w:r>
              <w:rPr>
                <w:color w:val="000000"/>
                <w:kern w:val="0"/>
                <w:szCs w:val="21"/>
              </w:rPr>
              <w:t>1</w:t>
            </w:r>
          </w:p>
        </w:tc>
        <w:tc>
          <w:tcPr>
            <w:tcW w:w="3604" w:type="dxa"/>
            <w:tcBorders>
              <w:bottom w:val="single" w:color="000000" w:sz="8" w:space="0"/>
              <w:right w:val="single" w:color="000000" w:sz="8" w:space="0"/>
            </w:tcBorders>
            <w:vAlign w:val="bottom"/>
          </w:tcPr>
          <w:p w14:paraId="769AD4AA">
            <w:pPr>
              <w:widowControl/>
              <w:snapToGrid w:val="0"/>
              <w:spacing w:line="360" w:lineRule="auto"/>
              <w:jc w:val="left"/>
              <w:rPr>
                <w:color w:val="000000"/>
                <w:kern w:val="0"/>
                <w:szCs w:val="21"/>
                <w:highlight w:val="none"/>
              </w:rPr>
            </w:pPr>
            <w:r>
              <w:rPr>
                <w:color w:val="000000"/>
                <w:kern w:val="0"/>
                <w:szCs w:val="21"/>
              </w:rPr>
              <w:t>权益投资</w:t>
            </w:r>
          </w:p>
        </w:tc>
        <w:tc>
          <w:tcPr>
            <w:tcW w:w="2386" w:type="dxa"/>
            <w:tcBorders>
              <w:bottom w:val="single" w:color="000000" w:sz="8" w:space="0"/>
              <w:right w:val="single" w:color="000000" w:sz="8" w:space="0"/>
            </w:tcBorders>
            <w:vAlign w:val="center"/>
          </w:tcPr>
          <w:p w14:paraId="79AE2B8E">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rPr>
              <w:t>63,746,839.92</w:t>
            </w:r>
          </w:p>
        </w:tc>
        <w:tc>
          <w:tcPr>
            <w:tcW w:w="1477" w:type="dxa"/>
            <w:tcBorders>
              <w:bottom w:val="single" w:color="000000" w:sz="8" w:space="0"/>
              <w:right w:val="single" w:color="000000" w:sz="8" w:space="0"/>
            </w:tcBorders>
            <w:vAlign w:val="center"/>
          </w:tcPr>
          <w:p w14:paraId="60D34FE2">
            <w:pPr>
              <w:keepNext w:val="0"/>
              <w:keepLines w:val="0"/>
              <w:widowControl/>
              <w:suppressLineNumbers w:val="0"/>
              <w:snapToGrid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29.97</w:t>
            </w:r>
          </w:p>
        </w:tc>
      </w:tr>
      <w:tr w14:paraId="2C6E4FDA">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2A05539E">
            <w:pPr>
              <w:widowControl/>
              <w:snapToGrid w:val="0"/>
              <w:spacing w:line="360" w:lineRule="auto"/>
              <w:jc w:val="center"/>
              <w:rPr>
                <w:rFonts w:ascii="宋体" w:hAnsi="宋体" w:eastAsia="宋体" w:cs="宋体"/>
                <w:i w:val="0"/>
                <w:iCs w:val="0"/>
                <w:color w:val="000000"/>
                <w:kern w:val="0"/>
                <w:sz w:val="20"/>
                <w:szCs w:val="21"/>
                <w:highlight w:val="none"/>
                <w:u w:val="none"/>
                <w:lang w:val="en-US" w:eastAsia="zh-CN" w:bidi="ar"/>
              </w:rPr>
            </w:pPr>
          </w:p>
        </w:tc>
        <w:tc>
          <w:tcPr>
            <w:tcW w:w="3604" w:type="dxa"/>
            <w:tcBorders>
              <w:bottom w:val="single" w:color="000000" w:sz="8" w:space="0"/>
              <w:right w:val="single" w:color="000000" w:sz="8" w:space="0"/>
            </w:tcBorders>
            <w:vAlign w:val="bottom"/>
          </w:tcPr>
          <w:p w14:paraId="5707655A">
            <w:pPr>
              <w:widowControl/>
              <w:snapToGrid w:val="0"/>
              <w:spacing w:line="360" w:lineRule="auto"/>
              <w:jc w:val="left"/>
              <w:rPr>
                <w:color w:val="000000"/>
                <w:kern w:val="0"/>
                <w:szCs w:val="21"/>
                <w:highlight w:val="none"/>
              </w:rPr>
            </w:pPr>
            <w:r>
              <w:rPr>
                <w:color w:val="000000"/>
                <w:kern w:val="0"/>
                <w:szCs w:val="21"/>
              </w:rPr>
              <w:t>其中：股票</w:t>
            </w:r>
          </w:p>
        </w:tc>
        <w:tc>
          <w:tcPr>
            <w:tcW w:w="2386" w:type="dxa"/>
            <w:tcBorders>
              <w:bottom w:val="single" w:color="000000" w:sz="8" w:space="0"/>
              <w:right w:val="single" w:color="000000" w:sz="8" w:space="0"/>
            </w:tcBorders>
            <w:vAlign w:val="center"/>
          </w:tcPr>
          <w:p w14:paraId="71784005">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rPr>
              <w:t>63,746,839.92</w:t>
            </w:r>
          </w:p>
        </w:tc>
        <w:tc>
          <w:tcPr>
            <w:tcW w:w="1477" w:type="dxa"/>
            <w:tcBorders>
              <w:bottom w:val="single" w:color="000000" w:sz="8" w:space="0"/>
              <w:right w:val="single" w:color="000000" w:sz="8" w:space="0"/>
            </w:tcBorders>
            <w:vAlign w:val="center"/>
          </w:tcPr>
          <w:p w14:paraId="6E79CD09">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29.97</w:t>
            </w:r>
          </w:p>
        </w:tc>
      </w:tr>
      <w:tr w14:paraId="23CB696C">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083830BB">
            <w:pPr>
              <w:widowControl/>
              <w:snapToGrid w:val="0"/>
              <w:spacing w:line="360" w:lineRule="auto"/>
              <w:jc w:val="center"/>
              <w:rPr>
                <w:color w:val="000000"/>
                <w:kern w:val="0"/>
                <w:szCs w:val="21"/>
                <w:highlight w:val="none"/>
              </w:rPr>
            </w:pPr>
            <w:r>
              <w:rPr>
                <w:color w:val="000000"/>
                <w:kern w:val="0"/>
                <w:szCs w:val="21"/>
              </w:rPr>
              <w:t>2</w:t>
            </w:r>
          </w:p>
        </w:tc>
        <w:tc>
          <w:tcPr>
            <w:tcW w:w="3604" w:type="dxa"/>
            <w:tcBorders>
              <w:bottom w:val="single" w:color="000000" w:sz="8" w:space="0"/>
              <w:right w:val="single" w:color="000000" w:sz="8" w:space="0"/>
            </w:tcBorders>
            <w:vAlign w:val="bottom"/>
          </w:tcPr>
          <w:p w14:paraId="2F1F351B">
            <w:pPr>
              <w:widowControl/>
              <w:snapToGrid w:val="0"/>
              <w:spacing w:line="360" w:lineRule="auto"/>
              <w:jc w:val="left"/>
              <w:rPr>
                <w:color w:val="000000"/>
                <w:kern w:val="0"/>
                <w:szCs w:val="21"/>
                <w:highlight w:val="none"/>
              </w:rPr>
            </w:pPr>
            <w:r>
              <w:rPr>
                <w:color w:val="000000"/>
                <w:kern w:val="0"/>
                <w:szCs w:val="21"/>
              </w:rPr>
              <w:t>固定收益投资</w:t>
            </w:r>
          </w:p>
        </w:tc>
        <w:tc>
          <w:tcPr>
            <w:tcW w:w="2386" w:type="dxa"/>
            <w:tcBorders>
              <w:bottom w:val="single" w:color="000000" w:sz="8" w:space="0"/>
              <w:right w:val="single" w:color="000000" w:sz="8" w:space="0"/>
            </w:tcBorders>
            <w:vAlign w:val="center"/>
          </w:tcPr>
          <w:p w14:paraId="2870D271">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477" w:type="dxa"/>
            <w:tcBorders>
              <w:bottom w:val="single" w:color="000000" w:sz="8" w:space="0"/>
              <w:right w:val="single" w:color="000000" w:sz="8" w:space="0"/>
            </w:tcBorders>
            <w:vAlign w:val="center"/>
          </w:tcPr>
          <w:p w14:paraId="7F96CCEE">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46B96187">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4AC0493D">
            <w:pPr>
              <w:widowControl/>
              <w:snapToGrid w:val="0"/>
              <w:spacing w:line="360" w:lineRule="auto"/>
              <w:jc w:val="center"/>
              <w:rPr>
                <w:rFonts w:ascii="宋体" w:hAnsi="宋体" w:eastAsia="宋体" w:cs="宋体"/>
                <w:i w:val="0"/>
                <w:iCs w:val="0"/>
                <w:color w:val="000000"/>
                <w:kern w:val="0"/>
                <w:sz w:val="20"/>
                <w:szCs w:val="21"/>
                <w:highlight w:val="none"/>
                <w:u w:val="none"/>
                <w:lang w:val="en-US" w:eastAsia="zh-CN" w:bidi="ar"/>
              </w:rPr>
            </w:pPr>
          </w:p>
        </w:tc>
        <w:tc>
          <w:tcPr>
            <w:tcW w:w="3604" w:type="dxa"/>
            <w:tcBorders>
              <w:bottom w:val="single" w:color="000000" w:sz="8" w:space="0"/>
              <w:right w:val="single" w:color="000000" w:sz="8" w:space="0"/>
            </w:tcBorders>
            <w:vAlign w:val="bottom"/>
          </w:tcPr>
          <w:p w14:paraId="4025B670">
            <w:pPr>
              <w:widowControl/>
              <w:snapToGrid w:val="0"/>
              <w:spacing w:line="360" w:lineRule="auto"/>
              <w:jc w:val="left"/>
              <w:rPr>
                <w:color w:val="000000"/>
                <w:kern w:val="0"/>
                <w:szCs w:val="21"/>
                <w:highlight w:val="none"/>
              </w:rPr>
            </w:pPr>
            <w:r>
              <w:rPr>
                <w:color w:val="000000"/>
                <w:kern w:val="0"/>
                <w:szCs w:val="21"/>
              </w:rPr>
              <w:t>其中：债券</w:t>
            </w:r>
          </w:p>
        </w:tc>
        <w:tc>
          <w:tcPr>
            <w:tcW w:w="2386" w:type="dxa"/>
            <w:tcBorders>
              <w:bottom w:val="single" w:color="000000" w:sz="8" w:space="0"/>
              <w:right w:val="single" w:color="000000" w:sz="8" w:space="0"/>
            </w:tcBorders>
            <w:vAlign w:val="center"/>
          </w:tcPr>
          <w:p w14:paraId="2E91C081">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477" w:type="dxa"/>
            <w:tcBorders>
              <w:bottom w:val="single" w:color="000000" w:sz="8" w:space="0"/>
              <w:right w:val="single" w:color="000000" w:sz="8" w:space="0"/>
            </w:tcBorders>
            <w:vAlign w:val="center"/>
          </w:tcPr>
          <w:p w14:paraId="24EF853D">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41904EAD">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1FB3A758">
            <w:pPr>
              <w:widowControl/>
              <w:snapToGrid w:val="0"/>
              <w:spacing w:line="360" w:lineRule="auto"/>
              <w:jc w:val="center"/>
              <w:rPr>
                <w:rFonts w:ascii="宋体" w:hAnsi="宋体" w:eastAsia="宋体" w:cs="宋体"/>
                <w:i w:val="0"/>
                <w:iCs w:val="0"/>
                <w:color w:val="000000"/>
                <w:kern w:val="0"/>
                <w:sz w:val="20"/>
                <w:szCs w:val="21"/>
                <w:highlight w:val="none"/>
                <w:u w:val="none"/>
                <w:lang w:val="en-US" w:eastAsia="zh-CN" w:bidi="ar"/>
              </w:rPr>
            </w:pPr>
          </w:p>
        </w:tc>
        <w:tc>
          <w:tcPr>
            <w:tcW w:w="3604" w:type="dxa"/>
            <w:tcBorders>
              <w:bottom w:val="single" w:color="000000" w:sz="8" w:space="0"/>
              <w:right w:val="single" w:color="000000" w:sz="8" w:space="0"/>
            </w:tcBorders>
            <w:vAlign w:val="bottom"/>
          </w:tcPr>
          <w:p w14:paraId="38DABBBB">
            <w:pPr>
              <w:widowControl/>
              <w:snapToGrid w:val="0"/>
              <w:spacing w:line="360" w:lineRule="auto"/>
              <w:ind w:right="0" w:firstLine="630"/>
              <w:jc w:val="left"/>
              <w:rPr>
                <w:color w:val="000000"/>
                <w:kern w:val="0"/>
                <w:szCs w:val="21"/>
                <w:highlight w:val="none"/>
              </w:rPr>
            </w:pPr>
            <w:r>
              <w:rPr>
                <w:color w:val="000000"/>
                <w:kern w:val="0"/>
                <w:szCs w:val="21"/>
              </w:rPr>
              <w:t>资产支持证券</w:t>
            </w:r>
          </w:p>
        </w:tc>
        <w:tc>
          <w:tcPr>
            <w:tcW w:w="2386" w:type="dxa"/>
            <w:tcBorders>
              <w:bottom w:val="single" w:color="000000" w:sz="8" w:space="0"/>
              <w:right w:val="single" w:color="000000" w:sz="8" w:space="0"/>
            </w:tcBorders>
            <w:vAlign w:val="center"/>
          </w:tcPr>
          <w:p w14:paraId="38CDC6BF">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477" w:type="dxa"/>
            <w:tcBorders>
              <w:bottom w:val="single" w:color="000000" w:sz="8" w:space="0"/>
              <w:right w:val="single" w:color="000000" w:sz="8" w:space="0"/>
            </w:tcBorders>
            <w:vAlign w:val="center"/>
          </w:tcPr>
          <w:p w14:paraId="406E97EA">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7D2D784C">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28290B4B">
            <w:pPr>
              <w:widowControl/>
              <w:snapToGrid w:val="0"/>
              <w:spacing w:line="360" w:lineRule="auto"/>
              <w:jc w:val="center"/>
              <w:rPr>
                <w:color w:val="000000"/>
                <w:kern w:val="0"/>
                <w:szCs w:val="21"/>
                <w:highlight w:val="none"/>
              </w:rPr>
            </w:pPr>
            <w:r>
              <w:rPr>
                <w:color w:val="000000"/>
                <w:kern w:val="0"/>
                <w:szCs w:val="21"/>
              </w:rPr>
              <w:t>3</w:t>
            </w:r>
          </w:p>
        </w:tc>
        <w:tc>
          <w:tcPr>
            <w:tcW w:w="3604" w:type="dxa"/>
            <w:tcBorders>
              <w:bottom w:val="single" w:color="000000" w:sz="8" w:space="0"/>
              <w:right w:val="single" w:color="000000" w:sz="8" w:space="0"/>
            </w:tcBorders>
            <w:vAlign w:val="bottom"/>
          </w:tcPr>
          <w:p w14:paraId="19AB9F05">
            <w:pPr>
              <w:widowControl/>
              <w:snapToGrid w:val="0"/>
              <w:spacing w:line="360" w:lineRule="auto"/>
              <w:jc w:val="left"/>
              <w:rPr>
                <w:color w:val="000000"/>
                <w:kern w:val="0"/>
                <w:szCs w:val="21"/>
                <w:highlight w:val="none"/>
              </w:rPr>
            </w:pPr>
            <w:r>
              <w:rPr>
                <w:color w:val="000000"/>
                <w:kern w:val="0"/>
                <w:szCs w:val="21"/>
              </w:rPr>
              <w:t>金融衍生品投资</w:t>
            </w:r>
          </w:p>
        </w:tc>
        <w:tc>
          <w:tcPr>
            <w:tcW w:w="2386" w:type="dxa"/>
            <w:tcBorders>
              <w:bottom w:val="single" w:color="000000" w:sz="8" w:space="0"/>
              <w:right w:val="single" w:color="000000" w:sz="8" w:space="0"/>
            </w:tcBorders>
            <w:vAlign w:val="center"/>
          </w:tcPr>
          <w:p w14:paraId="3782D3A3">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477" w:type="dxa"/>
            <w:tcBorders>
              <w:bottom w:val="single" w:color="000000" w:sz="8" w:space="0"/>
              <w:right w:val="single" w:color="000000" w:sz="8" w:space="0"/>
            </w:tcBorders>
            <w:vAlign w:val="center"/>
          </w:tcPr>
          <w:p w14:paraId="30099C8A">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3C491222">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5B6F6AE6">
            <w:pPr>
              <w:widowControl/>
              <w:snapToGrid w:val="0"/>
              <w:spacing w:line="360" w:lineRule="auto"/>
              <w:jc w:val="center"/>
              <w:rPr>
                <w:color w:val="000000"/>
                <w:kern w:val="0"/>
                <w:szCs w:val="21"/>
                <w:highlight w:val="none"/>
              </w:rPr>
            </w:pPr>
            <w:r>
              <w:rPr>
                <w:color w:val="000000"/>
                <w:kern w:val="0"/>
                <w:szCs w:val="21"/>
              </w:rPr>
              <w:t>4</w:t>
            </w:r>
          </w:p>
        </w:tc>
        <w:tc>
          <w:tcPr>
            <w:tcW w:w="3604" w:type="dxa"/>
            <w:tcBorders>
              <w:bottom w:val="single" w:color="000000" w:sz="8" w:space="0"/>
              <w:right w:val="single" w:color="000000" w:sz="8" w:space="0"/>
            </w:tcBorders>
            <w:vAlign w:val="bottom"/>
          </w:tcPr>
          <w:p w14:paraId="03A58288">
            <w:pPr>
              <w:widowControl/>
              <w:snapToGrid w:val="0"/>
              <w:spacing w:line="360" w:lineRule="auto"/>
              <w:jc w:val="left"/>
              <w:rPr>
                <w:color w:val="000000"/>
                <w:kern w:val="0"/>
                <w:szCs w:val="21"/>
                <w:highlight w:val="none"/>
              </w:rPr>
            </w:pPr>
            <w:r>
              <w:rPr>
                <w:color w:val="000000"/>
                <w:kern w:val="0"/>
                <w:szCs w:val="21"/>
              </w:rPr>
              <w:t>买入返售金融资产</w:t>
            </w:r>
          </w:p>
        </w:tc>
        <w:tc>
          <w:tcPr>
            <w:tcW w:w="2386" w:type="dxa"/>
            <w:tcBorders>
              <w:bottom w:val="single" w:color="000000" w:sz="8" w:space="0"/>
              <w:right w:val="single" w:color="000000" w:sz="8" w:space="0"/>
            </w:tcBorders>
            <w:vAlign w:val="center"/>
          </w:tcPr>
          <w:p w14:paraId="03D8D4FF">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477" w:type="dxa"/>
            <w:tcBorders>
              <w:bottom w:val="single" w:color="000000" w:sz="8" w:space="0"/>
              <w:right w:val="single" w:color="000000" w:sz="8" w:space="0"/>
            </w:tcBorders>
            <w:vAlign w:val="center"/>
          </w:tcPr>
          <w:p w14:paraId="7B727461">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31F70AE2">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7C805EFC">
            <w:pPr>
              <w:widowControl/>
              <w:snapToGrid w:val="0"/>
              <w:spacing w:line="360" w:lineRule="auto"/>
              <w:jc w:val="center"/>
              <w:rPr>
                <w:rFonts w:ascii="宋体" w:hAnsi="宋体" w:eastAsia="宋体" w:cs="宋体"/>
                <w:i w:val="0"/>
                <w:iCs w:val="0"/>
                <w:color w:val="000000"/>
                <w:kern w:val="0"/>
                <w:sz w:val="20"/>
                <w:szCs w:val="21"/>
                <w:highlight w:val="none"/>
                <w:u w:val="none"/>
                <w:lang w:val="en-US" w:eastAsia="zh-CN" w:bidi="ar"/>
              </w:rPr>
            </w:pPr>
          </w:p>
        </w:tc>
        <w:tc>
          <w:tcPr>
            <w:tcW w:w="3604" w:type="dxa"/>
            <w:tcBorders>
              <w:bottom w:val="single" w:color="000000" w:sz="8" w:space="0"/>
              <w:right w:val="single" w:color="000000" w:sz="8" w:space="0"/>
            </w:tcBorders>
            <w:vAlign w:val="bottom"/>
          </w:tcPr>
          <w:p w14:paraId="36562A33">
            <w:pPr>
              <w:widowControl/>
              <w:snapToGrid w:val="0"/>
              <w:spacing w:line="360" w:lineRule="auto"/>
              <w:jc w:val="center"/>
              <w:rPr>
                <w:color w:val="000000"/>
                <w:kern w:val="0"/>
                <w:szCs w:val="21"/>
                <w:highlight w:val="none"/>
              </w:rPr>
            </w:pPr>
            <w:r>
              <w:rPr>
                <w:color w:val="000000"/>
                <w:kern w:val="0"/>
                <w:szCs w:val="21"/>
              </w:rPr>
              <w:t>其中：买断式回购的买入返售金融资产</w:t>
            </w:r>
          </w:p>
        </w:tc>
        <w:tc>
          <w:tcPr>
            <w:tcW w:w="2386" w:type="dxa"/>
            <w:tcBorders>
              <w:bottom w:val="single" w:color="000000" w:sz="8" w:space="0"/>
              <w:right w:val="single" w:color="000000" w:sz="8" w:space="0"/>
            </w:tcBorders>
            <w:vAlign w:val="center"/>
          </w:tcPr>
          <w:p w14:paraId="440D66C4">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477" w:type="dxa"/>
            <w:tcBorders>
              <w:bottom w:val="single" w:color="000000" w:sz="8" w:space="0"/>
              <w:right w:val="single" w:color="000000" w:sz="8" w:space="0"/>
            </w:tcBorders>
            <w:vAlign w:val="center"/>
          </w:tcPr>
          <w:p w14:paraId="15368E65">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3DB37925">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79DB723A">
            <w:pPr>
              <w:widowControl/>
              <w:snapToGrid w:val="0"/>
              <w:spacing w:line="360" w:lineRule="auto"/>
              <w:jc w:val="center"/>
              <w:rPr>
                <w:color w:val="000000"/>
                <w:kern w:val="0"/>
                <w:szCs w:val="21"/>
                <w:highlight w:val="none"/>
              </w:rPr>
            </w:pPr>
            <w:r>
              <w:rPr>
                <w:color w:val="000000"/>
                <w:kern w:val="0"/>
                <w:szCs w:val="21"/>
              </w:rPr>
              <w:t>5</w:t>
            </w:r>
          </w:p>
        </w:tc>
        <w:tc>
          <w:tcPr>
            <w:tcW w:w="3604" w:type="dxa"/>
            <w:tcBorders>
              <w:bottom w:val="single" w:color="000000" w:sz="8" w:space="0"/>
              <w:right w:val="single" w:color="000000" w:sz="8" w:space="0"/>
            </w:tcBorders>
            <w:vAlign w:val="bottom"/>
          </w:tcPr>
          <w:p w14:paraId="0D12096F">
            <w:pPr>
              <w:widowControl/>
              <w:snapToGrid w:val="0"/>
              <w:spacing w:line="360" w:lineRule="auto"/>
              <w:jc w:val="left"/>
              <w:rPr>
                <w:color w:val="000000"/>
                <w:kern w:val="0"/>
                <w:szCs w:val="21"/>
                <w:highlight w:val="none"/>
              </w:rPr>
            </w:pPr>
            <w:r>
              <w:rPr>
                <w:color w:val="000000"/>
                <w:kern w:val="0"/>
                <w:szCs w:val="21"/>
              </w:rPr>
              <w:t>银行存款和结算备付金合计</w:t>
            </w:r>
          </w:p>
        </w:tc>
        <w:tc>
          <w:tcPr>
            <w:tcW w:w="2386" w:type="dxa"/>
            <w:tcBorders>
              <w:bottom w:val="single" w:color="000000" w:sz="8" w:space="0"/>
              <w:right w:val="single" w:color="000000" w:sz="8" w:space="0"/>
            </w:tcBorders>
            <w:vAlign w:val="center"/>
          </w:tcPr>
          <w:p w14:paraId="7E52176E">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rPr>
              <w:t>148,928,276.89</w:t>
            </w:r>
          </w:p>
        </w:tc>
        <w:tc>
          <w:tcPr>
            <w:tcW w:w="1477" w:type="dxa"/>
            <w:tcBorders>
              <w:bottom w:val="single" w:color="000000" w:sz="8" w:space="0"/>
              <w:right w:val="single" w:color="000000" w:sz="8" w:space="0"/>
            </w:tcBorders>
            <w:vAlign w:val="center"/>
          </w:tcPr>
          <w:p w14:paraId="52C0C2EA">
            <w:pPr>
              <w:keepNext w:val="0"/>
              <w:keepLines w:val="0"/>
              <w:widowControl/>
              <w:suppressLineNumbers w:val="0"/>
              <w:snapToGrid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70.03</w:t>
            </w:r>
          </w:p>
        </w:tc>
      </w:tr>
      <w:tr w14:paraId="7E8B2ADA">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5A11D95A">
            <w:pPr>
              <w:widowControl/>
              <w:snapToGrid w:val="0"/>
              <w:spacing w:line="360" w:lineRule="auto"/>
              <w:jc w:val="center"/>
              <w:rPr>
                <w:color w:val="000000"/>
                <w:kern w:val="0"/>
                <w:szCs w:val="21"/>
                <w:highlight w:val="none"/>
              </w:rPr>
            </w:pPr>
            <w:r>
              <w:rPr>
                <w:color w:val="000000"/>
                <w:kern w:val="0"/>
                <w:szCs w:val="21"/>
              </w:rPr>
              <w:t>6</w:t>
            </w:r>
          </w:p>
        </w:tc>
        <w:tc>
          <w:tcPr>
            <w:tcW w:w="3604" w:type="dxa"/>
            <w:tcBorders>
              <w:bottom w:val="single" w:color="000000" w:sz="8" w:space="0"/>
              <w:right w:val="single" w:color="000000" w:sz="8" w:space="0"/>
            </w:tcBorders>
            <w:vAlign w:val="bottom"/>
          </w:tcPr>
          <w:p w14:paraId="36FB1595">
            <w:pPr>
              <w:widowControl/>
              <w:snapToGrid w:val="0"/>
              <w:spacing w:line="360" w:lineRule="auto"/>
              <w:jc w:val="left"/>
              <w:rPr>
                <w:color w:val="000000"/>
                <w:kern w:val="0"/>
                <w:szCs w:val="21"/>
                <w:highlight w:val="none"/>
              </w:rPr>
            </w:pPr>
            <w:r>
              <w:rPr>
                <w:color w:val="000000"/>
                <w:kern w:val="0"/>
                <w:szCs w:val="21"/>
              </w:rPr>
              <w:t>其他资产</w:t>
            </w:r>
          </w:p>
        </w:tc>
        <w:tc>
          <w:tcPr>
            <w:tcW w:w="2386" w:type="dxa"/>
            <w:tcBorders>
              <w:bottom w:val="single" w:color="000000" w:sz="8" w:space="0"/>
              <w:right w:val="single" w:color="000000" w:sz="8" w:space="0"/>
            </w:tcBorders>
            <w:vAlign w:val="center"/>
          </w:tcPr>
          <w:p w14:paraId="08132FC0">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477" w:type="dxa"/>
            <w:tcBorders>
              <w:bottom w:val="single" w:color="000000" w:sz="8" w:space="0"/>
              <w:right w:val="single" w:color="000000" w:sz="8" w:space="0"/>
            </w:tcBorders>
            <w:vAlign w:val="center"/>
          </w:tcPr>
          <w:p w14:paraId="02AD3137">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794D81B0">
        <w:tblPrEx>
          <w:tblCellMar>
            <w:top w:w="0" w:type="dxa"/>
            <w:left w:w="108" w:type="dxa"/>
            <w:bottom w:w="0" w:type="dxa"/>
            <w:right w:w="108" w:type="dxa"/>
          </w:tblCellMar>
        </w:tblPrEx>
        <w:trPr>
          <w:trHeight w:val="300" w:hRule="atLeast"/>
        </w:trPr>
        <w:tc>
          <w:tcPr>
            <w:tcW w:w="839" w:type="dxa"/>
            <w:tcBorders>
              <w:left w:val="single" w:color="000000" w:sz="8" w:space="0"/>
              <w:bottom w:val="single" w:color="000000" w:sz="8" w:space="0"/>
              <w:right w:val="single" w:color="000000" w:sz="8" w:space="0"/>
            </w:tcBorders>
            <w:vAlign w:val="bottom"/>
          </w:tcPr>
          <w:p w14:paraId="7986A339">
            <w:pPr>
              <w:widowControl/>
              <w:snapToGrid w:val="0"/>
              <w:spacing w:line="360" w:lineRule="auto"/>
              <w:jc w:val="center"/>
              <w:rPr>
                <w:color w:val="000000"/>
                <w:kern w:val="0"/>
                <w:szCs w:val="21"/>
                <w:highlight w:val="none"/>
              </w:rPr>
            </w:pPr>
            <w:r>
              <w:rPr>
                <w:color w:val="000000"/>
                <w:kern w:val="0"/>
                <w:szCs w:val="21"/>
              </w:rPr>
              <w:t>7</w:t>
            </w:r>
          </w:p>
        </w:tc>
        <w:tc>
          <w:tcPr>
            <w:tcW w:w="3604" w:type="dxa"/>
            <w:tcBorders>
              <w:bottom w:val="single" w:color="000000" w:sz="8" w:space="0"/>
              <w:right w:val="single" w:color="000000" w:sz="8" w:space="0"/>
            </w:tcBorders>
            <w:vAlign w:val="bottom"/>
          </w:tcPr>
          <w:p w14:paraId="4CA45031">
            <w:pPr>
              <w:widowControl/>
              <w:snapToGrid w:val="0"/>
              <w:spacing w:line="360" w:lineRule="auto"/>
              <w:jc w:val="left"/>
              <w:rPr>
                <w:color w:val="000000"/>
                <w:kern w:val="0"/>
                <w:szCs w:val="21"/>
                <w:highlight w:val="none"/>
              </w:rPr>
            </w:pPr>
            <w:r>
              <w:rPr>
                <w:color w:val="000000"/>
                <w:kern w:val="0"/>
                <w:szCs w:val="21"/>
              </w:rPr>
              <w:t>合计</w:t>
            </w:r>
          </w:p>
        </w:tc>
        <w:tc>
          <w:tcPr>
            <w:tcW w:w="2386" w:type="dxa"/>
            <w:tcBorders>
              <w:bottom w:val="single" w:color="000000" w:sz="8" w:space="0"/>
              <w:right w:val="single" w:color="000000" w:sz="8" w:space="0"/>
            </w:tcBorders>
            <w:vAlign w:val="center"/>
          </w:tcPr>
          <w:p w14:paraId="76A4A351">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rPr>
              <w:t xml:space="preserve"> 212,675,116.81</w:t>
            </w:r>
          </w:p>
        </w:tc>
        <w:tc>
          <w:tcPr>
            <w:tcW w:w="1477" w:type="dxa"/>
            <w:tcBorders>
              <w:bottom w:val="single" w:color="000000" w:sz="8" w:space="0"/>
              <w:right w:val="single" w:color="000000" w:sz="8" w:space="0"/>
            </w:tcBorders>
            <w:vAlign w:val="center"/>
          </w:tcPr>
          <w:p w14:paraId="268D9903">
            <w:pPr>
              <w:keepNext w:val="0"/>
              <w:keepLines w:val="0"/>
              <w:widowControl/>
              <w:suppressLineNumbers w:val="0"/>
              <w:snapToGrid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100.00</w:t>
            </w:r>
          </w:p>
        </w:tc>
      </w:tr>
    </w:tbl>
    <w:p w14:paraId="48379F54">
      <w:pPr>
        <w:widowControl/>
        <w:snapToGrid w:val="0"/>
        <w:spacing w:before="156" w:after="156" w:line="360" w:lineRule="auto"/>
        <w:rPr>
          <w:color w:val="000000"/>
          <w:kern w:val="0"/>
          <w:sz w:val="24"/>
          <w:highlight w:val="none"/>
        </w:rPr>
      </w:pPr>
      <w:r>
        <w:rPr>
          <w:color w:val="000000"/>
          <w:kern w:val="0"/>
          <w:sz w:val="24"/>
        </w:rPr>
        <w:t>（二）按行业分类的股票投资组合</w:t>
      </w:r>
    </w:p>
    <w:tbl>
      <w:tblPr>
        <w:tblStyle w:val="28"/>
        <w:tblW w:w="5000" w:type="pct"/>
        <w:tblInd w:w="0" w:type="dxa"/>
        <w:tblLayout w:type="fixed"/>
        <w:tblCellMar>
          <w:top w:w="0" w:type="dxa"/>
          <w:left w:w="108" w:type="dxa"/>
          <w:bottom w:w="0" w:type="dxa"/>
          <w:right w:w="108" w:type="dxa"/>
        </w:tblCellMar>
      </w:tblPr>
      <w:tblGrid>
        <w:gridCol w:w="805"/>
        <w:gridCol w:w="4265"/>
        <w:gridCol w:w="2267"/>
        <w:gridCol w:w="1185"/>
      </w:tblGrid>
      <w:tr w14:paraId="306300C9">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48CE94AE">
            <w:pPr>
              <w:snapToGrid w:val="0"/>
              <w:spacing w:line="360" w:lineRule="auto"/>
              <w:rPr>
                <w:color w:val="000000"/>
                <w:kern w:val="0"/>
                <w:szCs w:val="21"/>
                <w:highlight w:val="none"/>
              </w:rPr>
            </w:pPr>
            <w:r>
              <w:rPr>
                <w:color w:val="000000"/>
                <w:kern w:val="0"/>
                <w:szCs w:val="21"/>
              </w:rPr>
              <w:t>代码</w:t>
            </w:r>
          </w:p>
        </w:tc>
        <w:tc>
          <w:tcPr>
            <w:tcW w:w="4156" w:type="dxa"/>
            <w:tcBorders>
              <w:top w:val="single" w:color="000000" w:sz="8" w:space="0"/>
              <w:bottom w:val="single" w:color="000000" w:sz="8" w:space="0"/>
              <w:right w:val="single" w:color="000000" w:sz="8" w:space="0"/>
            </w:tcBorders>
            <w:vAlign w:val="center"/>
          </w:tcPr>
          <w:p w14:paraId="50C8E473">
            <w:pPr>
              <w:snapToGrid w:val="0"/>
              <w:spacing w:line="360" w:lineRule="auto"/>
              <w:rPr>
                <w:color w:val="000000"/>
                <w:kern w:val="0"/>
                <w:szCs w:val="21"/>
                <w:highlight w:val="none"/>
              </w:rPr>
            </w:pPr>
            <w:r>
              <w:rPr>
                <w:color w:val="000000"/>
                <w:kern w:val="0"/>
                <w:szCs w:val="21"/>
              </w:rPr>
              <w:t>行业类别</w:t>
            </w:r>
          </w:p>
        </w:tc>
        <w:tc>
          <w:tcPr>
            <w:tcW w:w="2210" w:type="dxa"/>
            <w:tcBorders>
              <w:top w:val="single" w:color="000000" w:sz="8" w:space="0"/>
              <w:bottom w:val="single" w:color="000000" w:sz="8" w:space="0"/>
              <w:right w:val="single" w:color="000000" w:sz="8" w:space="0"/>
            </w:tcBorders>
            <w:vAlign w:val="center"/>
          </w:tcPr>
          <w:p w14:paraId="6396C608">
            <w:pPr>
              <w:snapToGrid w:val="0"/>
              <w:spacing w:line="360" w:lineRule="auto"/>
              <w:rPr>
                <w:color w:val="000000"/>
                <w:kern w:val="0"/>
                <w:szCs w:val="21"/>
                <w:highlight w:val="none"/>
              </w:rPr>
            </w:pPr>
            <w:r>
              <w:rPr>
                <w:color w:val="000000"/>
                <w:kern w:val="0"/>
                <w:szCs w:val="21"/>
              </w:rPr>
              <w:t>公允价值（元）</w:t>
            </w:r>
          </w:p>
        </w:tc>
        <w:tc>
          <w:tcPr>
            <w:tcW w:w="1155" w:type="dxa"/>
            <w:tcBorders>
              <w:top w:val="single" w:color="000000" w:sz="8" w:space="0"/>
              <w:bottom w:val="single" w:color="000000" w:sz="8" w:space="0"/>
              <w:right w:val="single" w:color="000000" w:sz="8" w:space="0"/>
            </w:tcBorders>
            <w:vAlign w:val="center"/>
          </w:tcPr>
          <w:p w14:paraId="1063E7C4">
            <w:pPr>
              <w:snapToGrid w:val="0"/>
              <w:spacing w:line="360" w:lineRule="auto"/>
              <w:rPr>
                <w:color w:val="000000"/>
                <w:kern w:val="0"/>
                <w:szCs w:val="21"/>
                <w:highlight w:val="none"/>
              </w:rPr>
            </w:pPr>
            <w:r>
              <w:rPr>
                <w:color w:val="000000"/>
                <w:kern w:val="0"/>
                <w:szCs w:val="21"/>
              </w:rPr>
              <w:t>占基金资产净值比例（％）</w:t>
            </w:r>
          </w:p>
        </w:tc>
      </w:tr>
      <w:tr w14:paraId="18656A19">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79DB5F66">
            <w:pPr>
              <w:snapToGrid w:val="0"/>
              <w:spacing w:line="360" w:lineRule="auto"/>
              <w:jc w:val="center"/>
              <w:rPr>
                <w:color w:val="000000"/>
                <w:kern w:val="0"/>
                <w:szCs w:val="21"/>
                <w:highlight w:val="none"/>
              </w:rPr>
            </w:pPr>
            <w:r>
              <w:rPr>
                <w:color w:val="000000"/>
                <w:kern w:val="0"/>
                <w:szCs w:val="21"/>
              </w:rPr>
              <w:t>A</w:t>
            </w:r>
          </w:p>
        </w:tc>
        <w:tc>
          <w:tcPr>
            <w:tcW w:w="4156" w:type="dxa"/>
            <w:tcBorders>
              <w:top w:val="single" w:color="000000" w:sz="8" w:space="0"/>
              <w:bottom w:val="single" w:color="000000" w:sz="8" w:space="0"/>
              <w:right w:val="single" w:color="000000" w:sz="8" w:space="0"/>
            </w:tcBorders>
            <w:vAlign w:val="center"/>
          </w:tcPr>
          <w:p w14:paraId="35A2D773">
            <w:pPr>
              <w:snapToGrid w:val="0"/>
              <w:spacing w:line="360" w:lineRule="auto"/>
              <w:rPr>
                <w:color w:val="000000"/>
                <w:kern w:val="0"/>
                <w:szCs w:val="21"/>
                <w:highlight w:val="none"/>
              </w:rPr>
            </w:pPr>
            <w:r>
              <w:rPr>
                <w:color w:val="000000"/>
                <w:kern w:val="0"/>
                <w:szCs w:val="21"/>
              </w:rPr>
              <w:t>农、林、牧、渔业</w:t>
            </w:r>
          </w:p>
        </w:tc>
        <w:tc>
          <w:tcPr>
            <w:tcW w:w="2210" w:type="dxa"/>
            <w:tcBorders>
              <w:top w:val="single" w:color="000000" w:sz="8" w:space="0"/>
              <w:bottom w:val="single" w:color="000000" w:sz="8" w:space="0"/>
              <w:right w:val="single" w:color="000000" w:sz="8" w:space="0"/>
            </w:tcBorders>
            <w:vAlign w:val="center"/>
          </w:tcPr>
          <w:p w14:paraId="18C0D767">
            <w:pPr>
              <w:widowControl/>
              <w:snapToGrid w:val="0"/>
              <w:jc w:val="right"/>
              <w:textAlignment w:val="center"/>
              <w:rPr>
                <w:color w:val="000000"/>
                <w:kern w:val="0"/>
                <w:szCs w:val="21"/>
                <w:highlight w:val="none"/>
                <w:lang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2F0522C9">
            <w:pPr>
              <w:widowControl/>
              <w:snapToGrid w:val="0"/>
              <w:jc w:val="right"/>
              <w:textAlignment w:val="center"/>
              <w:rPr>
                <w:color w:val="000000"/>
                <w:kern w:val="0"/>
                <w:szCs w:val="21"/>
                <w:highlight w:val="none"/>
                <w:lang w:bidi="ar"/>
              </w:rPr>
            </w:pPr>
            <w:r>
              <w:rPr>
                <w:rFonts w:hint="eastAsia" w:ascii="宋体" w:hAnsi="宋体" w:eastAsia="宋体" w:cs="宋体"/>
                <w:color w:val="000000"/>
                <w:kern w:val="0"/>
                <w:sz w:val="21"/>
                <w:szCs w:val="21"/>
                <w:highlight w:val="none"/>
                <w:lang w:bidi="ar"/>
              </w:rPr>
              <w:t>-</w:t>
            </w:r>
          </w:p>
        </w:tc>
      </w:tr>
      <w:tr w14:paraId="60EFA10B">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5BD8E14A">
            <w:pPr>
              <w:snapToGrid w:val="0"/>
              <w:spacing w:line="360" w:lineRule="auto"/>
              <w:jc w:val="center"/>
              <w:rPr>
                <w:color w:val="000000"/>
                <w:kern w:val="0"/>
                <w:szCs w:val="21"/>
                <w:highlight w:val="none"/>
              </w:rPr>
            </w:pPr>
            <w:r>
              <w:rPr>
                <w:color w:val="000000"/>
                <w:kern w:val="0"/>
                <w:szCs w:val="21"/>
              </w:rPr>
              <w:t>B</w:t>
            </w:r>
          </w:p>
        </w:tc>
        <w:tc>
          <w:tcPr>
            <w:tcW w:w="4156" w:type="dxa"/>
            <w:tcBorders>
              <w:top w:val="single" w:color="000000" w:sz="8" w:space="0"/>
              <w:bottom w:val="single" w:color="000000" w:sz="8" w:space="0"/>
              <w:right w:val="single" w:color="000000" w:sz="8" w:space="0"/>
            </w:tcBorders>
            <w:vAlign w:val="center"/>
          </w:tcPr>
          <w:p w14:paraId="7D55696E">
            <w:pPr>
              <w:snapToGrid w:val="0"/>
              <w:spacing w:line="360" w:lineRule="auto"/>
              <w:rPr>
                <w:color w:val="000000"/>
                <w:kern w:val="0"/>
                <w:szCs w:val="21"/>
                <w:highlight w:val="none"/>
              </w:rPr>
            </w:pPr>
            <w:r>
              <w:rPr>
                <w:color w:val="000000"/>
                <w:kern w:val="0"/>
                <w:szCs w:val="21"/>
              </w:rPr>
              <w:t>采矿业</w:t>
            </w:r>
          </w:p>
        </w:tc>
        <w:tc>
          <w:tcPr>
            <w:tcW w:w="2210" w:type="dxa"/>
            <w:tcBorders>
              <w:top w:val="single" w:color="000000" w:sz="8" w:space="0"/>
              <w:bottom w:val="single" w:color="000000" w:sz="8" w:space="0"/>
              <w:right w:val="single" w:color="000000" w:sz="8" w:space="0"/>
            </w:tcBorders>
            <w:vAlign w:val="center"/>
          </w:tcPr>
          <w:p w14:paraId="29061C8A">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586,036.00</w:t>
            </w:r>
          </w:p>
        </w:tc>
        <w:tc>
          <w:tcPr>
            <w:tcW w:w="1155" w:type="dxa"/>
            <w:tcBorders>
              <w:top w:val="single" w:color="000000" w:sz="8" w:space="0"/>
              <w:bottom w:val="single" w:color="000000" w:sz="8" w:space="0"/>
              <w:right w:val="single" w:color="000000" w:sz="8" w:space="0"/>
            </w:tcBorders>
            <w:vAlign w:val="center"/>
          </w:tcPr>
          <w:p w14:paraId="478E220F">
            <w:pPr>
              <w:keepNext w:val="0"/>
              <w:keepLines w:val="0"/>
              <w:widowControl/>
              <w:suppressLineNumbers w:val="0"/>
              <w:snapToGrid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0.28</w:t>
            </w:r>
          </w:p>
        </w:tc>
      </w:tr>
      <w:tr w14:paraId="7068A606">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4187BFD5">
            <w:pPr>
              <w:snapToGrid w:val="0"/>
              <w:spacing w:line="360" w:lineRule="auto"/>
              <w:jc w:val="center"/>
              <w:rPr>
                <w:color w:val="000000"/>
                <w:kern w:val="0"/>
                <w:szCs w:val="21"/>
                <w:highlight w:val="none"/>
              </w:rPr>
            </w:pPr>
            <w:r>
              <w:rPr>
                <w:color w:val="000000"/>
                <w:kern w:val="0"/>
                <w:szCs w:val="21"/>
              </w:rPr>
              <w:t>C</w:t>
            </w:r>
          </w:p>
        </w:tc>
        <w:tc>
          <w:tcPr>
            <w:tcW w:w="4156" w:type="dxa"/>
            <w:tcBorders>
              <w:top w:val="single" w:color="000000" w:sz="8" w:space="0"/>
              <w:bottom w:val="single" w:color="000000" w:sz="8" w:space="0"/>
              <w:right w:val="single" w:color="000000" w:sz="8" w:space="0"/>
            </w:tcBorders>
            <w:vAlign w:val="center"/>
          </w:tcPr>
          <w:p w14:paraId="1D51B4E0">
            <w:pPr>
              <w:snapToGrid w:val="0"/>
              <w:spacing w:line="360" w:lineRule="auto"/>
              <w:rPr>
                <w:color w:val="000000"/>
                <w:kern w:val="0"/>
                <w:szCs w:val="21"/>
                <w:highlight w:val="none"/>
              </w:rPr>
            </w:pPr>
            <w:r>
              <w:rPr>
                <w:color w:val="000000"/>
                <w:kern w:val="0"/>
                <w:szCs w:val="21"/>
              </w:rPr>
              <w:t>制造业</w:t>
            </w:r>
          </w:p>
        </w:tc>
        <w:tc>
          <w:tcPr>
            <w:tcW w:w="2210" w:type="dxa"/>
            <w:tcBorders>
              <w:top w:val="single" w:color="000000" w:sz="8" w:space="0"/>
              <w:bottom w:val="single" w:color="000000" w:sz="8" w:space="0"/>
              <w:right w:val="single" w:color="000000" w:sz="8" w:space="0"/>
            </w:tcBorders>
            <w:vAlign w:val="center"/>
          </w:tcPr>
          <w:p w14:paraId="61445D8F">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63,160,803.92</w:t>
            </w:r>
          </w:p>
        </w:tc>
        <w:tc>
          <w:tcPr>
            <w:tcW w:w="1155" w:type="dxa"/>
            <w:tcBorders>
              <w:top w:val="single" w:color="000000" w:sz="8" w:space="0"/>
              <w:bottom w:val="single" w:color="000000" w:sz="8" w:space="0"/>
              <w:right w:val="single" w:color="000000" w:sz="8" w:space="0"/>
            </w:tcBorders>
            <w:vAlign w:val="center"/>
          </w:tcPr>
          <w:p w14:paraId="17733929">
            <w:pPr>
              <w:keepNext w:val="0"/>
              <w:keepLines w:val="0"/>
              <w:widowControl/>
              <w:suppressLineNumbers w:val="0"/>
              <w:snapToGrid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29.70</w:t>
            </w:r>
          </w:p>
        </w:tc>
      </w:tr>
      <w:tr w14:paraId="62DF31BA">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4793A48F">
            <w:pPr>
              <w:snapToGrid w:val="0"/>
              <w:spacing w:line="360" w:lineRule="auto"/>
              <w:jc w:val="center"/>
              <w:rPr>
                <w:color w:val="000000"/>
                <w:kern w:val="0"/>
                <w:szCs w:val="21"/>
                <w:highlight w:val="none"/>
              </w:rPr>
            </w:pPr>
            <w:r>
              <w:rPr>
                <w:color w:val="000000"/>
                <w:kern w:val="0"/>
                <w:szCs w:val="21"/>
              </w:rPr>
              <w:t>D</w:t>
            </w:r>
          </w:p>
        </w:tc>
        <w:tc>
          <w:tcPr>
            <w:tcW w:w="4156" w:type="dxa"/>
            <w:tcBorders>
              <w:top w:val="single" w:color="000000" w:sz="8" w:space="0"/>
              <w:bottom w:val="single" w:color="000000" w:sz="8" w:space="0"/>
              <w:right w:val="single" w:color="000000" w:sz="8" w:space="0"/>
            </w:tcBorders>
            <w:vAlign w:val="center"/>
          </w:tcPr>
          <w:p w14:paraId="7A26CDFB">
            <w:pPr>
              <w:snapToGrid w:val="0"/>
              <w:spacing w:line="360" w:lineRule="auto"/>
              <w:rPr>
                <w:color w:val="000000"/>
                <w:kern w:val="0"/>
                <w:szCs w:val="21"/>
                <w:highlight w:val="none"/>
              </w:rPr>
            </w:pPr>
            <w:r>
              <w:rPr>
                <w:color w:val="000000"/>
                <w:kern w:val="0"/>
                <w:szCs w:val="21"/>
              </w:rPr>
              <w:t>电力、热力、燃气及水生产和供应业</w:t>
            </w:r>
          </w:p>
        </w:tc>
        <w:tc>
          <w:tcPr>
            <w:tcW w:w="2210" w:type="dxa"/>
            <w:tcBorders>
              <w:top w:val="single" w:color="000000" w:sz="8" w:space="0"/>
              <w:bottom w:val="single" w:color="000000" w:sz="8" w:space="0"/>
              <w:right w:val="single" w:color="000000" w:sz="8" w:space="0"/>
            </w:tcBorders>
            <w:vAlign w:val="center"/>
          </w:tcPr>
          <w:p w14:paraId="59A8EFA1">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5F08FEFA">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0ADDF381">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476D2104">
            <w:pPr>
              <w:snapToGrid w:val="0"/>
              <w:spacing w:line="360" w:lineRule="auto"/>
              <w:jc w:val="center"/>
              <w:rPr>
                <w:color w:val="000000"/>
                <w:kern w:val="0"/>
                <w:szCs w:val="21"/>
                <w:highlight w:val="none"/>
              </w:rPr>
            </w:pPr>
            <w:r>
              <w:rPr>
                <w:color w:val="000000"/>
                <w:kern w:val="0"/>
                <w:szCs w:val="21"/>
              </w:rPr>
              <w:t>E</w:t>
            </w:r>
          </w:p>
        </w:tc>
        <w:tc>
          <w:tcPr>
            <w:tcW w:w="4156" w:type="dxa"/>
            <w:tcBorders>
              <w:top w:val="single" w:color="000000" w:sz="8" w:space="0"/>
              <w:bottom w:val="single" w:color="000000" w:sz="8" w:space="0"/>
              <w:right w:val="single" w:color="000000" w:sz="8" w:space="0"/>
            </w:tcBorders>
            <w:vAlign w:val="center"/>
          </w:tcPr>
          <w:p w14:paraId="16DA745E">
            <w:pPr>
              <w:snapToGrid w:val="0"/>
              <w:spacing w:line="360" w:lineRule="auto"/>
              <w:rPr>
                <w:color w:val="000000"/>
                <w:kern w:val="0"/>
                <w:szCs w:val="21"/>
                <w:highlight w:val="none"/>
              </w:rPr>
            </w:pPr>
            <w:r>
              <w:rPr>
                <w:color w:val="000000"/>
                <w:kern w:val="0"/>
                <w:szCs w:val="21"/>
              </w:rPr>
              <w:t>建筑业</w:t>
            </w:r>
          </w:p>
        </w:tc>
        <w:tc>
          <w:tcPr>
            <w:tcW w:w="2210" w:type="dxa"/>
            <w:tcBorders>
              <w:top w:val="single" w:color="000000" w:sz="8" w:space="0"/>
              <w:bottom w:val="single" w:color="000000" w:sz="8" w:space="0"/>
              <w:right w:val="single" w:color="000000" w:sz="8" w:space="0"/>
            </w:tcBorders>
            <w:vAlign w:val="center"/>
          </w:tcPr>
          <w:p w14:paraId="7B5BF577">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043E1404">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4792CD9C">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773603FF">
            <w:pPr>
              <w:snapToGrid w:val="0"/>
              <w:spacing w:line="360" w:lineRule="auto"/>
              <w:jc w:val="center"/>
              <w:rPr>
                <w:color w:val="000000"/>
                <w:kern w:val="0"/>
                <w:szCs w:val="21"/>
                <w:highlight w:val="none"/>
              </w:rPr>
            </w:pPr>
            <w:r>
              <w:rPr>
                <w:color w:val="000000"/>
                <w:kern w:val="0"/>
                <w:szCs w:val="21"/>
              </w:rPr>
              <w:t>F</w:t>
            </w:r>
          </w:p>
        </w:tc>
        <w:tc>
          <w:tcPr>
            <w:tcW w:w="4156" w:type="dxa"/>
            <w:tcBorders>
              <w:top w:val="single" w:color="000000" w:sz="8" w:space="0"/>
              <w:bottom w:val="single" w:color="000000" w:sz="8" w:space="0"/>
              <w:right w:val="single" w:color="000000" w:sz="8" w:space="0"/>
            </w:tcBorders>
            <w:vAlign w:val="center"/>
          </w:tcPr>
          <w:p w14:paraId="5ADB09B5">
            <w:pPr>
              <w:snapToGrid w:val="0"/>
              <w:spacing w:line="360" w:lineRule="auto"/>
              <w:rPr>
                <w:color w:val="000000"/>
                <w:kern w:val="0"/>
                <w:szCs w:val="21"/>
                <w:highlight w:val="none"/>
              </w:rPr>
            </w:pPr>
            <w:r>
              <w:rPr>
                <w:color w:val="000000"/>
                <w:kern w:val="0"/>
                <w:szCs w:val="21"/>
              </w:rPr>
              <w:t>批发和零售业</w:t>
            </w:r>
          </w:p>
        </w:tc>
        <w:tc>
          <w:tcPr>
            <w:tcW w:w="2210" w:type="dxa"/>
            <w:tcBorders>
              <w:top w:val="single" w:color="000000" w:sz="8" w:space="0"/>
              <w:bottom w:val="single" w:color="000000" w:sz="8" w:space="0"/>
              <w:right w:val="single" w:color="000000" w:sz="8" w:space="0"/>
            </w:tcBorders>
            <w:vAlign w:val="center"/>
          </w:tcPr>
          <w:p w14:paraId="798336D3">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7755628E">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69CCBB74">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6FD6642F">
            <w:pPr>
              <w:snapToGrid w:val="0"/>
              <w:spacing w:line="360" w:lineRule="auto"/>
              <w:jc w:val="center"/>
              <w:rPr>
                <w:color w:val="000000"/>
                <w:kern w:val="0"/>
                <w:szCs w:val="21"/>
                <w:highlight w:val="none"/>
              </w:rPr>
            </w:pPr>
            <w:r>
              <w:rPr>
                <w:color w:val="000000"/>
                <w:kern w:val="0"/>
                <w:szCs w:val="21"/>
              </w:rPr>
              <w:t>G</w:t>
            </w:r>
          </w:p>
        </w:tc>
        <w:tc>
          <w:tcPr>
            <w:tcW w:w="4156" w:type="dxa"/>
            <w:tcBorders>
              <w:top w:val="single" w:color="000000" w:sz="8" w:space="0"/>
              <w:bottom w:val="single" w:color="000000" w:sz="8" w:space="0"/>
              <w:right w:val="single" w:color="000000" w:sz="8" w:space="0"/>
            </w:tcBorders>
            <w:vAlign w:val="center"/>
          </w:tcPr>
          <w:p w14:paraId="5F54D62B">
            <w:pPr>
              <w:snapToGrid w:val="0"/>
              <w:spacing w:line="360" w:lineRule="auto"/>
              <w:rPr>
                <w:color w:val="000000"/>
                <w:kern w:val="0"/>
                <w:szCs w:val="21"/>
                <w:highlight w:val="none"/>
              </w:rPr>
            </w:pPr>
            <w:r>
              <w:rPr>
                <w:color w:val="000000"/>
                <w:kern w:val="0"/>
                <w:szCs w:val="21"/>
              </w:rPr>
              <w:t>交通运输、仓储和邮政业</w:t>
            </w:r>
          </w:p>
        </w:tc>
        <w:tc>
          <w:tcPr>
            <w:tcW w:w="2210" w:type="dxa"/>
            <w:tcBorders>
              <w:top w:val="single" w:color="000000" w:sz="8" w:space="0"/>
              <w:bottom w:val="single" w:color="000000" w:sz="8" w:space="0"/>
              <w:right w:val="single" w:color="000000" w:sz="8" w:space="0"/>
            </w:tcBorders>
            <w:vAlign w:val="center"/>
          </w:tcPr>
          <w:p w14:paraId="0A2216FF">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72D4D4F7">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183ECE7A">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0267D13C">
            <w:pPr>
              <w:snapToGrid w:val="0"/>
              <w:spacing w:line="360" w:lineRule="auto"/>
              <w:jc w:val="center"/>
              <w:rPr>
                <w:color w:val="000000"/>
                <w:kern w:val="0"/>
                <w:szCs w:val="21"/>
                <w:highlight w:val="none"/>
              </w:rPr>
            </w:pPr>
            <w:r>
              <w:rPr>
                <w:color w:val="000000"/>
                <w:kern w:val="0"/>
                <w:szCs w:val="21"/>
              </w:rPr>
              <w:t>H</w:t>
            </w:r>
          </w:p>
        </w:tc>
        <w:tc>
          <w:tcPr>
            <w:tcW w:w="4156" w:type="dxa"/>
            <w:tcBorders>
              <w:top w:val="single" w:color="000000" w:sz="8" w:space="0"/>
              <w:bottom w:val="single" w:color="000000" w:sz="8" w:space="0"/>
              <w:right w:val="single" w:color="000000" w:sz="8" w:space="0"/>
            </w:tcBorders>
            <w:vAlign w:val="center"/>
          </w:tcPr>
          <w:p w14:paraId="68C0E684">
            <w:pPr>
              <w:snapToGrid w:val="0"/>
              <w:spacing w:line="360" w:lineRule="auto"/>
              <w:rPr>
                <w:color w:val="000000"/>
                <w:kern w:val="0"/>
                <w:szCs w:val="21"/>
                <w:highlight w:val="none"/>
              </w:rPr>
            </w:pPr>
            <w:r>
              <w:rPr>
                <w:color w:val="000000"/>
                <w:kern w:val="0"/>
                <w:szCs w:val="21"/>
              </w:rPr>
              <w:t>住宿和餐饮业</w:t>
            </w:r>
          </w:p>
        </w:tc>
        <w:tc>
          <w:tcPr>
            <w:tcW w:w="2210" w:type="dxa"/>
            <w:tcBorders>
              <w:top w:val="single" w:color="000000" w:sz="8" w:space="0"/>
              <w:bottom w:val="single" w:color="000000" w:sz="8" w:space="0"/>
              <w:right w:val="single" w:color="000000" w:sz="8" w:space="0"/>
            </w:tcBorders>
            <w:vAlign w:val="center"/>
          </w:tcPr>
          <w:p w14:paraId="7295BEE5">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08897F35">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4FC71DBD">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4A7296C8">
            <w:pPr>
              <w:snapToGrid w:val="0"/>
              <w:spacing w:line="360" w:lineRule="auto"/>
              <w:jc w:val="center"/>
              <w:rPr>
                <w:color w:val="000000"/>
                <w:kern w:val="0"/>
                <w:szCs w:val="21"/>
                <w:highlight w:val="none"/>
              </w:rPr>
            </w:pPr>
            <w:r>
              <w:rPr>
                <w:color w:val="000000"/>
                <w:kern w:val="0"/>
                <w:szCs w:val="21"/>
              </w:rPr>
              <w:t>I</w:t>
            </w:r>
          </w:p>
        </w:tc>
        <w:tc>
          <w:tcPr>
            <w:tcW w:w="4156" w:type="dxa"/>
            <w:tcBorders>
              <w:top w:val="single" w:color="000000" w:sz="8" w:space="0"/>
              <w:bottom w:val="single" w:color="000000" w:sz="8" w:space="0"/>
              <w:right w:val="single" w:color="000000" w:sz="8" w:space="0"/>
            </w:tcBorders>
            <w:vAlign w:val="center"/>
          </w:tcPr>
          <w:p w14:paraId="70005E8A">
            <w:pPr>
              <w:snapToGrid w:val="0"/>
              <w:spacing w:line="360" w:lineRule="auto"/>
              <w:rPr>
                <w:color w:val="000000"/>
                <w:kern w:val="0"/>
                <w:szCs w:val="21"/>
                <w:highlight w:val="none"/>
              </w:rPr>
            </w:pPr>
            <w:r>
              <w:rPr>
                <w:color w:val="000000"/>
                <w:kern w:val="0"/>
                <w:szCs w:val="21"/>
              </w:rPr>
              <w:t>信息传输、软件和信息技术服务业</w:t>
            </w:r>
          </w:p>
        </w:tc>
        <w:tc>
          <w:tcPr>
            <w:tcW w:w="2210" w:type="dxa"/>
            <w:tcBorders>
              <w:top w:val="single" w:color="000000" w:sz="8" w:space="0"/>
              <w:bottom w:val="single" w:color="000000" w:sz="8" w:space="0"/>
              <w:right w:val="single" w:color="000000" w:sz="8" w:space="0"/>
            </w:tcBorders>
            <w:vAlign w:val="center"/>
          </w:tcPr>
          <w:p w14:paraId="74A43451">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08B3F13B">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7D7DFD44">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723298B0">
            <w:pPr>
              <w:snapToGrid w:val="0"/>
              <w:spacing w:line="360" w:lineRule="auto"/>
              <w:jc w:val="center"/>
              <w:rPr>
                <w:color w:val="000000"/>
                <w:kern w:val="0"/>
                <w:szCs w:val="21"/>
                <w:highlight w:val="none"/>
              </w:rPr>
            </w:pPr>
            <w:r>
              <w:rPr>
                <w:color w:val="000000"/>
                <w:kern w:val="0"/>
                <w:szCs w:val="21"/>
              </w:rPr>
              <w:t>J</w:t>
            </w:r>
          </w:p>
        </w:tc>
        <w:tc>
          <w:tcPr>
            <w:tcW w:w="4156" w:type="dxa"/>
            <w:tcBorders>
              <w:top w:val="single" w:color="000000" w:sz="8" w:space="0"/>
              <w:bottom w:val="single" w:color="000000" w:sz="8" w:space="0"/>
              <w:right w:val="single" w:color="000000" w:sz="8" w:space="0"/>
            </w:tcBorders>
            <w:vAlign w:val="center"/>
          </w:tcPr>
          <w:p w14:paraId="7233531A">
            <w:pPr>
              <w:snapToGrid w:val="0"/>
              <w:spacing w:line="360" w:lineRule="auto"/>
              <w:rPr>
                <w:color w:val="000000"/>
                <w:kern w:val="0"/>
                <w:szCs w:val="21"/>
                <w:highlight w:val="none"/>
              </w:rPr>
            </w:pPr>
            <w:r>
              <w:rPr>
                <w:color w:val="000000"/>
                <w:kern w:val="0"/>
                <w:szCs w:val="21"/>
              </w:rPr>
              <w:t>金融业</w:t>
            </w:r>
          </w:p>
        </w:tc>
        <w:tc>
          <w:tcPr>
            <w:tcW w:w="2210" w:type="dxa"/>
            <w:tcBorders>
              <w:top w:val="single" w:color="000000" w:sz="8" w:space="0"/>
              <w:bottom w:val="single" w:color="000000" w:sz="8" w:space="0"/>
              <w:right w:val="single" w:color="000000" w:sz="8" w:space="0"/>
            </w:tcBorders>
            <w:vAlign w:val="center"/>
          </w:tcPr>
          <w:p w14:paraId="27C5FA88">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1466BA5B">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389FA1D9">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60C88EA5">
            <w:pPr>
              <w:snapToGrid w:val="0"/>
              <w:spacing w:line="360" w:lineRule="auto"/>
              <w:jc w:val="center"/>
              <w:rPr>
                <w:color w:val="000000"/>
                <w:kern w:val="0"/>
                <w:szCs w:val="21"/>
                <w:highlight w:val="none"/>
              </w:rPr>
            </w:pPr>
            <w:r>
              <w:rPr>
                <w:color w:val="000000"/>
                <w:kern w:val="0"/>
                <w:szCs w:val="21"/>
              </w:rPr>
              <w:t>K</w:t>
            </w:r>
          </w:p>
        </w:tc>
        <w:tc>
          <w:tcPr>
            <w:tcW w:w="4156" w:type="dxa"/>
            <w:tcBorders>
              <w:top w:val="single" w:color="000000" w:sz="8" w:space="0"/>
              <w:bottom w:val="single" w:color="000000" w:sz="8" w:space="0"/>
              <w:right w:val="single" w:color="000000" w:sz="8" w:space="0"/>
            </w:tcBorders>
            <w:vAlign w:val="center"/>
          </w:tcPr>
          <w:p w14:paraId="2B6CC808">
            <w:pPr>
              <w:snapToGrid w:val="0"/>
              <w:spacing w:line="360" w:lineRule="auto"/>
              <w:rPr>
                <w:color w:val="000000"/>
                <w:kern w:val="0"/>
                <w:szCs w:val="21"/>
                <w:highlight w:val="none"/>
              </w:rPr>
            </w:pPr>
            <w:r>
              <w:rPr>
                <w:color w:val="000000"/>
                <w:kern w:val="0"/>
                <w:szCs w:val="21"/>
              </w:rPr>
              <w:t>房地产业</w:t>
            </w:r>
          </w:p>
        </w:tc>
        <w:tc>
          <w:tcPr>
            <w:tcW w:w="2210" w:type="dxa"/>
            <w:tcBorders>
              <w:top w:val="single" w:color="000000" w:sz="8" w:space="0"/>
              <w:bottom w:val="single" w:color="000000" w:sz="8" w:space="0"/>
              <w:right w:val="single" w:color="000000" w:sz="8" w:space="0"/>
            </w:tcBorders>
            <w:vAlign w:val="center"/>
          </w:tcPr>
          <w:p w14:paraId="2DE240B0">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5CDA5D54">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380076DE">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37C4280F">
            <w:pPr>
              <w:snapToGrid w:val="0"/>
              <w:spacing w:line="360" w:lineRule="auto"/>
              <w:jc w:val="center"/>
              <w:rPr>
                <w:color w:val="000000"/>
                <w:kern w:val="0"/>
                <w:szCs w:val="21"/>
                <w:highlight w:val="none"/>
              </w:rPr>
            </w:pPr>
            <w:r>
              <w:rPr>
                <w:color w:val="000000"/>
                <w:kern w:val="0"/>
                <w:szCs w:val="21"/>
              </w:rPr>
              <w:t>L</w:t>
            </w:r>
          </w:p>
        </w:tc>
        <w:tc>
          <w:tcPr>
            <w:tcW w:w="4156" w:type="dxa"/>
            <w:tcBorders>
              <w:top w:val="single" w:color="000000" w:sz="8" w:space="0"/>
              <w:bottom w:val="single" w:color="000000" w:sz="8" w:space="0"/>
              <w:right w:val="single" w:color="000000" w:sz="8" w:space="0"/>
            </w:tcBorders>
            <w:vAlign w:val="center"/>
          </w:tcPr>
          <w:p w14:paraId="0C9CC61A">
            <w:pPr>
              <w:snapToGrid w:val="0"/>
              <w:spacing w:line="360" w:lineRule="auto"/>
              <w:rPr>
                <w:color w:val="000000"/>
                <w:kern w:val="0"/>
                <w:szCs w:val="21"/>
                <w:highlight w:val="none"/>
              </w:rPr>
            </w:pPr>
            <w:r>
              <w:rPr>
                <w:color w:val="000000"/>
                <w:kern w:val="0"/>
                <w:szCs w:val="21"/>
              </w:rPr>
              <w:t>租赁和商务服务业</w:t>
            </w:r>
          </w:p>
        </w:tc>
        <w:tc>
          <w:tcPr>
            <w:tcW w:w="2210" w:type="dxa"/>
            <w:tcBorders>
              <w:top w:val="single" w:color="000000" w:sz="8" w:space="0"/>
              <w:bottom w:val="single" w:color="000000" w:sz="8" w:space="0"/>
              <w:right w:val="single" w:color="000000" w:sz="8" w:space="0"/>
            </w:tcBorders>
            <w:vAlign w:val="center"/>
          </w:tcPr>
          <w:p w14:paraId="10C1D384">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431104E8">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65348A35">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398D728A">
            <w:pPr>
              <w:snapToGrid w:val="0"/>
              <w:spacing w:line="360" w:lineRule="auto"/>
              <w:jc w:val="center"/>
              <w:rPr>
                <w:color w:val="000000"/>
                <w:kern w:val="0"/>
                <w:szCs w:val="21"/>
                <w:highlight w:val="none"/>
              </w:rPr>
            </w:pPr>
            <w:r>
              <w:rPr>
                <w:color w:val="000000"/>
                <w:kern w:val="0"/>
                <w:szCs w:val="21"/>
              </w:rPr>
              <w:t>M</w:t>
            </w:r>
          </w:p>
        </w:tc>
        <w:tc>
          <w:tcPr>
            <w:tcW w:w="4156" w:type="dxa"/>
            <w:tcBorders>
              <w:top w:val="single" w:color="000000" w:sz="8" w:space="0"/>
              <w:bottom w:val="single" w:color="000000" w:sz="8" w:space="0"/>
              <w:right w:val="single" w:color="000000" w:sz="8" w:space="0"/>
            </w:tcBorders>
            <w:vAlign w:val="center"/>
          </w:tcPr>
          <w:p w14:paraId="7045D6F8">
            <w:pPr>
              <w:snapToGrid w:val="0"/>
              <w:spacing w:line="360" w:lineRule="auto"/>
              <w:rPr>
                <w:color w:val="000000"/>
                <w:kern w:val="0"/>
                <w:szCs w:val="21"/>
                <w:highlight w:val="none"/>
              </w:rPr>
            </w:pPr>
            <w:r>
              <w:rPr>
                <w:color w:val="000000"/>
                <w:kern w:val="0"/>
                <w:szCs w:val="21"/>
              </w:rPr>
              <w:t>科学研究和技术服务业</w:t>
            </w:r>
          </w:p>
        </w:tc>
        <w:tc>
          <w:tcPr>
            <w:tcW w:w="2210" w:type="dxa"/>
            <w:tcBorders>
              <w:top w:val="single" w:color="000000" w:sz="8" w:space="0"/>
              <w:bottom w:val="single" w:color="000000" w:sz="8" w:space="0"/>
              <w:right w:val="single" w:color="000000" w:sz="8" w:space="0"/>
            </w:tcBorders>
            <w:vAlign w:val="center"/>
          </w:tcPr>
          <w:p w14:paraId="7C9176DF">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53D53193">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3343FAD2">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0CBA6AD7">
            <w:pPr>
              <w:snapToGrid w:val="0"/>
              <w:spacing w:line="360" w:lineRule="auto"/>
              <w:jc w:val="center"/>
              <w:rPr>
                <w:color w:val="000000"/>
                <w:kern w:val="0"/>
                <w:szCs w:val="21"/>
                <w:highlight w:val="none"/>
              </w:rPr>
            </w:pPr>
            <w:r>
              <w:rPr>
                <w:color w:val="000000"/>
                <w:kern w:val="0"/>
                <w:szCs w:val="21"/>
              </w:rPr>
              <w:t>N</w:t>
            </w:r>
          </w:p>
        </w:tc>
        <w:tc>
          <w:tcPr>
            <w:tcW w:w="4156" w:type="dxa"/>
            <w:tcBorders>
              <w:top w:val="single" w:color="000000" w:sz="8" w:space="0"/>
              <w:bottom w:val="single" w:color="000000" w:sz="8" w:space="0"/>
              <w:right w:val="single" w:color="000000" w:sz="8" w:space="0"/>
            </w:tcBorders>
            <w:vAlign w:val="center"/>
          </w:tcPr>
          <w:p w14:paraId="1413C909">
            <w:pPr>
              <w:snapToGrid w:val="0"/>
              <w:spacing w:line="360" w:lineRule="auto"/>
              <w:rPr>
                <w:color w:val="000000"/>
                <w:kern w:val="0"/>
                <w:szCs w:val="21"/>
                <w:highlight w:val="none"/>
              </w:rPr>
            </w:pPr>
            <w:r>
              <w:rPr>
                <w:color w:val="000000"/>
                <w:kern w:val="0"/>
                <w:szCs w:val="21"/>
              </w:rPr>
              <w:t>水利、环境和公共设施管理业</w:t>
            </w:r>
          </w:p>
        </w:tc>
        <w:tc>
          <w:tcPr>
            <w:tcW w:w="2210" w:type="dxa"/>
            <w:tcBorders>
              <w:top w:val="single" w:color="000000" w:sz="8" w:space="0"/>
              <w:bottom w:val="single" w:color="000000" w:sz="8" w:space="0"/>
              <w:right w:val="single" w:color="000000" w:sz="8" w:space="0"/>
            </w:tcBorders>
            <w:vAlign w:val="center"/>
          </w:tcPr>
          <w:p w14:paraId="6494E238">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7C592696">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3095B133">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0200C237">
            <w:pPr>
              <w:snapToGrid w:val="0"/>
              <w:spacing w:line="360" w:lineRule="auto"/>
              <w:jc w:val="center"/>
              <w:rPr>
                <w:color w:val="000000"/>
                <w:kern w:val="0"/>
                <w:szCs w:val="21"/>
                <w:highlight w:val="none"/>
              </w:rPr>
            </w:pPr>
            <w:r>
              <w:rPr>
                <w:color w:val="000000"/>
                <w:kern w:val="0"/>
                <w:szCs w:val="21"/>
              </w:rPr>
              <w:t>O</w:t>
            </w:r>
          </w:p>
        </w:tc>
        <w:tc>
          <w:tcPr>
            <w:tcW w:w="4156" w:type="dxa"/>
            <w:tcBorders>
              <w:top w:val="single" w:color="000000" w:sz="8" w:space="0"/>
              <w:bottom w:val="single" w:color="000000" w:sz="8" w:space="0"/>
              <w:right w:val="single" w:color="000000" w:sz="8" w:space="0"/>
            </w:tcBorders>
            <w:vAlign w:val="center"/>
          </w:tcPr>
          <w:p w14:paraId="1683678F">
            <w:pPr>
              <w:snapToGrid w:val="0"/>
              <w:spacing w:line="360" w:lineRule="auto"/>
              <w:rPr>
                <w:color w:val="000000"/>
                <w:kern w:val="0"/>
                <w:szCs w:val="21"/>
                <w:highlight w:val="none"/>
              </w:rPr>
            </w:pPr>
            <w:r>
              <w:rPr>
                <w:color w:val="000000"/>
                <w:kern w:val="0"/>
                <w:szCs w:val="21"/>
              </w:rPr>
              <w:t>居民服务、修理和其他服务业</w:t>
            </w:r>
          </w:p>
        </w:tc>
        <w:tc>
          <w:tcPr>
            <w:tcW w:w="2210" w:type="dxa"/>
            <w:tcBorders>
              <w:top w:val="single" w:color="000000" w:sz="8" w:space="0"/>
              <w:bottom w:val="single" w:color="000000" w:sz="8" w:space="0"/>
              <w:right w:val="single" w:color="000000" w:sz="8" w:space="0"/>
            </w:tcBorders>
            <w:vAlign w:val="center"/>
          </w:tcPr>
          <w:p w14:paraId="0C5B18CE">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5AD3BFAE">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203DAF35">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34865F87">
            <w:pPr>
              <w:snapToGrid w:val="0"/>
              <w:spacing w:line="360" w:lineRule="auto"/>
              <w:jc w:val="center"/>
              <w:rPr>
                <w:color w:val="000000"/>
                <w:kern w:val="0"/>
                <w:szCs w:val="21"/>
                <w:highlight w:val="none"/>
              </w:rPr>
            </w:pPr>
            <w:r>
              <w:rPr>
                <w:color w:val="000000"/>
                <w:kern w:val="0"/>
                <w:szCs w:val="21"/>
              </w:rPr>
              <w:t>P</w:t>
            </w:r>
          </w:p>
        </w:tc>
        <w:tc>
          <w:tcPr>
            <w:tcW w:w="4156" w:type="dxa"/>
            <w:tcBorders>
              <w:top w:val="single" w:color="000000" w:sz="8" w:space="0"/>
              <w:bottom w:val="single" w:color="000000" w:sz="8" w:space="0"/>
              <w:right w:val="single" w:color="000000" w:sz="8" w:space="0"/>
            </w:tcBorders>
            <w:vAlign w:val="center"/>
          </w:tcPr>
          <w:p w14:paraId="5DDA3F13">
            <w:pPr>
              <w:snapToGrid w:val="0"/>
              <w:spacing w:line="360" w:lineRule="auto"/>
              <w:rPr>
                <w:color w:val="000000"/>
                <w:kern w:val="0"/>
                <w:szCs w:val="21"/>
                <w:highlight w:val="none"/>
              </w:rPr>
            </w:pPr>
            <w:r>
              <w:rPr>
                <w:color w:val="000000"/>
                <w:kern w:val="0"/>
                <w:szCs w:val="21"/>
              </w:rPr>
              <w:t>教育</w:t>
            </w:r>
          </w:p>
        </w:tc>
        <w:tc>
          <w:tcPr>
            <w:tcW w:w="2210" w:type="dxa"/>
            <w:tcBorders>
              <w:top w:val="single" w:color="000000" w:sz="8" w:space="0"/>
              <w:bottom w:val="single" w:color="000000" w:sz="8" w:space="0"/>
              <w:right w:val="single" w:color="000000" w:sz="8" w:space="0"/>
            </w:tcBorders>
            <w:vAlign w:val="center"/>
          </w:tcPr>
          <w:p w14:paraId="1483B906">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0D9F557B">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0CF82B53">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760C941F">
            <w:pPr>
              <w:snapToGrid w:val="0"/>
              <w:spacing w:line="360" w:lineRule="auto"/>
              <w:jc w:val="center"/>
              <w:rPr>
                <w:color w:val="000000"/>
                <w:kern w:val="0"/>
                <w:szCs w:val="21"/>
                <w:highlight w:val="none"/>
              </w:rPr>
            </w:pPr>
            <w:r>
              <w:rPr>
                <w:color w:val="000000"/>
                <w:kern w:val="0"/>
                <w:szCs w:val="21"/>
              </w:rPr>
              <w:t>Q</w:t>
            </w:r>
          </w:p>
        </w:tc>
        <w:tc>
          <w:tcPr>
            <w:tcW w:w="4156" w:type="dxa"/>
            <w:tcBorders>
              <w:top w:val="single" w:color="000000" w:sz="8" w:space="0"/>
              <w:bottom w:val="single" w:color="000000" w:sz="8" w:space="0"/>
              <w:right w:val="single" w:color="000000" w:sz="8" w:space="0"/>
            </w:tcBorders>
            <w:vAlign w:val="center"/>
          </w:tcPr>
          <w:p w14:paraId="4979BBA3">
            <w:pPr>
              <w:snapToGrid w:val="0"/>
              <w:spacing w:line="360" w:lineRule="auto"/>
              <w:rPr>
                <w:color w:val="000000"/>
                <w:kern w:val="0"/>
                <w:szCs w:val="21"/>
                <w:highlight w:val="none"/>
              </w:rPr>
            </w:pPr>
            <w:r>
              <w:rPr>
                <w:color w:val="000000"/>
                <w:kern w:val="0"/>
                <w:szCs w:val="21"/>
              </w:rPr>
              <w:t>卫生和社会工作</w:t>
            </w:r>
          </w:p>
        </w:tc>
        <w:tc>
          <w:tcPr>
            <w:tcW w:w="2210" w:type="dxa"/>
            <w:tcBorders>
              <w:top w:val="single" w:color="000000" w:sz="8" w:space="0"/>
              <w:bottom w:val="single" w:color="000000" w:sz="8" w:space="0"/>
              <w:right w:val="single" w:color="000000" w:sz="8" w:space="0"/>
            </w:tcBorders>
            <w:vAlign w:val="center"/>
          </w:tcPr>
          <w:p w14:paraId="77A2012B">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3AF562A3">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7B2A33A5">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5BA95E14">
            <w:pPr>
              <w:snapToGrid w:val="0"/>
              <w:spacing w:line="360" w:lineRule="auto"/>
              <w:jc w:val="center"/>
              <w:rPr>
                <w:color w:val="000000"/>
                <w:kern w:val="0"/>
                <w:szCs w:val="21"/>
                <w:highlight w:val="none"/>
              </w:rPr>
            </w:pPr>
            <w:r>
              <w:rPr>
                <w:color w:val="000000"/>
                <w:kern w:val="0"/>
                <w:szCs w:val="21"/>
              </w:rPr>
              <w:t>R</w:t>
            </w:r>
          </w:p>
        </w:tc>
        <w:tc>
          <w:tcPr>
            <w:tcW w:w="4156" w:type="dxa"/>
            <w:tcBorders>
              <w:top w:val="single" w:color="000000" w:sz="8" w:space="0"/>
              <w:bottom w:val="single" w:color="000000" w:sz="8" w:space="0"/>
              <w:right w:val="single" w:color="000000" w:sz="8" w:space="0"/>
            </w:tcBorders>
            <w:vAlign w:val="center"/>
          </w:tcPr>
          <w:p w14:paraId="2B828571">
            <w:pPr>
              <w:snapToGrid w:val="0"/>
              <w:spacing w:line="360" w:lineRule="auto"/>
              <w:rPr>
                <w:color w:val="000000"/>
                <w:kern w:val="0"/>
                <w:szCs w:val="21"/>
                <w:highlight w:val="none"/>
              </w:rPr>
            </w:pPr>
            <w:r>
              <w:rPr>
                <w:color w:val="000000"/>
                <w:kern w:val="0"/>
                <w:szCs w:val="21"/>
              </w:rPr>
              <w:t>文化、体育和娱乐业</w:t>
            </w:r>
          </w:p>
        </w:tc>
        <w:tc>
          <w:tcPr>
            <w:tcW w:w="2210" w:type="dxa"/>
            <w:tcBorders>
              <w:top w:val="single" w:color="000000" w:sz="8" w:space="0"/>
              <w:bottom w:val="single" w:color="000000" w:sz="8" w:space="0"/>
              <w:right w:val="single" w:color="000000" w:sz="8" w:space="0"/>
            </w:tcBorders>
            <w:vAlign w:val="center"/>
          </w:tcPr>
          <w:p w14:paraId="7FBED2DD">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1807AA25">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097669C0">
        <w:tblPrEx>
          <w:tblCellMar>
            <w:top w:w="0" w:type="dxa"/>
            <w:left w:w="108" w:type="dxa"/>
            <w:bottom w:w="0" w:type="dxa"/>
            <w:right w:w="108" w:type="dxa"/>
          </w:tblCellMar>
        </w:tblPrEx>
        <w:trPr>
          <w:trHeight w:val="300"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218095D6">
            <w:pPr>
              <w:snapToGrid w:val="0"/>
              <w:spacing w:line="360" w:lineRule="auto"/>
              <w:jc w:val="center"/>
              <w:rPr>
                <w:color w:val="000000"/>
                <w:kern w:val="0"/>
                <w:szCs w:val="21"/>
                <w:highlight w:val="none"/>
              </w:rPr>
            </w:pPr>
            <w:r>
              <w:rPr>
                <w:color w:val="000000"/>
                <w:kern w:val="0"/>
                <w:szCs w:val="21"/>
              </w:rPr>
              <w:t>S</w:t>
            </w:r>
          </w:p>
        </w:tc>
        <w:tc>
          <w:tcPr>
            <w:tcW w:w="4156" w:type="dxa"/>
            <w:tcBorders>
              <w:top w:val="single" w:color="000000" w:sz="8" w:space="0"/>
              <w:bottom w:val="single" w:color="000000" w:sz="8" w:space="0"/>
              <w:right w:val="single" w:color="000000" w:sz="8" w:space="0"/>
            </w:tcBorders>
            <w:vAlign w:val="center"/>
          </w:tcPr>
          <w:p w14:paraId="3DB088EC">
            <w:pPr>
              <w:snapToGrid w:val="0"/>
              <w:spacing w:line="360" w:lineRule="auto"/>
              <w:rPr>
                <w:color w:val="000000"/>
                <w:kern w:val="0"/>
                <w:szCs w:val="21"/>
                <w:highlight w:val="none"/>
              </w:rPr>
            </w:pPr>
            <w:r>
              <w:rPr>
                <w:color w:val="000000"/>
                <w:kern w:val="0"/>
                <w:szCs w:val="21"/>
              </w:rPr>
              <w:t>综合</w:t>
            </w:r>
          </w:p>
        </w:tc>
        <w:tc>
          <w:tcPr>
            <w:tcW w:w="2210" w:type="dxa"/>
            <w:tcBorders>
              <w:top w:val="single" w:color="000000" w:sz="8" w:space="0"/>
              <w:bottom w:val="single" w:color="000000" w:sz="8" w:space="0"/>
              <w:right w:val="single" w:color="000000" w:sz="8" w:space="0"/>
            </w:tcBorders>
            <w:vAlign w:val="center"/>
          </w:tcPr>
          <w:p w14:paraId="51F7F518">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color w:val="000000"/>
                <w:kern w:val="0"/>
                <w:sz w:val="21"/>
                <w:szCs w:val="21"/>
                <w:highlight w:val="none"/>
                <w:lang w:bidi="ar"/>
              </w:rPr>
              <w:t>-</w:t>
            </w:r>
          </w:p>
        </w:tc>
        <w:tc>
          <w:tcPr>
            <w:tcW w:w="1155" w:type="dxa"/>
            <w:tcBorders>
              <w:top w:val="single" w:color="000000" w:sz="8" w:space="0"/>
              <w:bottom w:val="single" w:color="000000" w:sz="8" w:space="0"/>
              <w:right w:val="single" w:color="000000" w:sz="8" w:space="0"/>
            </w:tcBorders>
            <w:vAlign w:val="center"/>
          </w:tcPr>
          <w:p w14:paraId="32A7FF8E">
            <w:pPr>
              <w:keepNext w:val="0"/>
              <w:keepLines w:val="0"/>
              <w:widowControl/>
              <w:suppressLineNumbers w:val="0"/>
              <w:snapToGrid w:val="0"/>
              <w:jc w:val="right"/>
              <w:textAlignment w:val="center"/>
              <w:rPr>
                <w:rFonts w:ascii="宋体" w:hAnsi="宋体" w:eastAsia="宋体" w:cs="宋体"/>
                <w:i w:val="0"/>
                <w:iCs w:val="0"/>
                <w:color w:val="000000"/>
                <w:kern w:val="0"/>
                <w:sz w:val="20"/>
                <w:szCs w:val="20"/>
                <w:u w:val="none"/>
                <w:lang w:val="en-US" w:eastAsia="zh-CN" w:bidi="ar"/>
              </w:rPr>
            </w:pPr>
            <w:r>
              <w:rPr>
                <w:rFonts w:hint="eastAsia" w:ascii="宋体" w:hAnsi="宋体" w:eastAsia="宋体" w:cs="宋体"/>
                <w:color w:val="000000"/>
                <w:kern w:val="0"/>
                <w:sz w:val="21"/>
                <w:szCs w:val="21"/>
                <w:highlight w:val="none"/>
                <w:lang w:bidi="ar"/>
              </w:rPr>
              <w:t>-</w:t>
            </w:r>
          </w:p>
        </w:tc>
      </w:tr>
      <w:tr w14:paraId="1EEA4569">
        <w:tblPrEx>
          <w:tblCellMar>
            <w:top w:w="0" w:type="dxa"/>
            <w:left w:w="108" w:type="dxa"/>
            <w:bottom w:w="0" w:type="dxa"/>
            <w:right w:w="108" w:type="dxa"/>
          </w:tblCellMar>
        </w:tblPrEx>
        <w:trPr>
          <w:trHeight w:val="231" w:hRule="atLeast"/>
        </w:trPr>
        <w:tc>
          <w:tcPr>
            <w:tcW w:w="785" w:type="dxa"/>
            <w:tcBorders>
              <w:top w:val="single" w:color="000000" w:sz="8" w:space="0"/>
              <w:left w:val="single" w:color="000000" w:sz="8" w:space="0"/>
              <w:bottom w:val="single" w:color="000000" w:sz="8" w:space="0"/>
              <w:right w:val="single" w:color="000000" w:sz="8" w:space="0"/>
            </w:tcBorders>
            <w:vAlign w:val="center"/>
          </w:tcPr>
          <w:p w14:paraId="40D457A0">
            <w:pPr>
              <w:snapToGrid w:val="0"/>
              <w:spacing w:line="360" w:lineRule="auto"/>
              <w:jc w:val="center"/>
              <w:rPr>
                <w:rFonts w:ascii="宋体" w:hAnsi="宋体" w:eastAsia="宋体" w:cs="宋体"/>
                <w:i w:val="0"/>
                <w:iCs w:val="0"/>
                <w:color w:val="000000"/>
                <w:kern w:val="0"/>
                <w:sz w:val="20"/>
                <w:szCs w:val="21"/>
                <w:highlight w:val="none"/>
                <w:u w:val="none"/>
                <w:lang w:val="en-US" w:eastAsia="zh-CN" w:bidi="ar"/>
              </w:rPr>
            </w:pPr>
          </w:p>
        </w:tc>
        <w:tc>
          <w:tcPr>
            <w:tcW w:w="4156" w:type="dxa"/>
            <w:tcBorders>
              <w:top w:val="single" w:color="000000" w:sz="8" w:space="0"/>
              <w:bottom w:val="single" w:color="000000" w:sz="8" w:space="0"/>
              <w:right w:val="single" w:color="000000" w:sz="8" w:space="0"/>
            </w:tcBorders>
            <w:vAlign w:val="center"/>
          </w:tcPr>
          <w:p w14:paraId="0EF22EF0">
            <w:pPr>
              <w:snapToGrid w:val="0"/>
              <w:spacing w:line="360" w:lineRule="auto"/>
              <w:rPr>
                <w:color w:val="000000"/>
                <w:kern w:val="0"/>
                <w:szCs w:val="21"/>
                <w:highlight w:val="none"/>
              </w:rPr>
            </w:pPr>
            <w:r>
              <w:rPr>
                <w:color w:val="000000"/>
                <w:kern w:val="0"/>
                <w:szCs w:val="21"/>
              </w:rPr>
              <w:t>合计</w:t>
            </w:r>
          </w:p>
        </w:tc>
        <w:tc>
          <w:tcPr>
            <w:tcW w:w="2210" w:type="dxa"/>
            <w:tcBorders>
              <w:top w:val="single" w:color="000000" w:sz="8" w:space="0"/>
              <w:bottom w:val="single" w:color="000000" w:sz="8" w:space="0"/>
              <w:right w:val="single" w:color="000000" w:sz="8" w:space="0"/>
            </w:tcBorders>
            <w:vAlign w:val="center"/>
          </w:tcPr>
          <w:p w14:paraId="0D5BA8FE">
            <w:pPr>
              <w:keepNext w:val="0"/>
              <w:keepLines w:val="0"/>
              <w:widowControl/>
              <w:suppressLineNumbers w:val="0"/>
              <w:snapToGrid w:val="0"/>
              <w:jc w:val="right"/>
              <w:textAlignment w:val="center"/>
              <w:rPr>
                <w:rFonts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63,746,839.92</w:t>
            </w:r>
          </w:p>
        </w:tc>
        <w:tc>
          <w:tcPr>
            <w:tcW w:w="1155" w:type="dxa"/>
            <w:tcBorders>
              <w:top w:val="single" w:color="000000" w:sz="8" w:space="0"/>
              <w:bottom w:val="single" w:color="000000" w:sz="8" w:space="0"/>
              <w:right w:val="single" w:color="000000" w:sz="8" w:space="0"/>
            </w:tcBorders>
            <w:vAlign w:val="center"/>
          </w:tcPr>
          <w:p w14:paraId="4F9D635D">
            <w:pPr>
              <w:keepNext w:val="0"/>
              <w:keepLines w:val="0"/>
              <w:widowControl/>
              <w:suppressLineNumbers w:val="0"/>
              <w:snapToGrid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29.98</w:t>
            </w:r>
          </w:p>
        </w:tc>
      </w:tr>
    </w:tbl>
    <w:p w14:paraId="35A2B9CC">
      <w:pPr>
        <w:keepNext w:val="0"/>
        <w:keepLines w:val="0"/>
        <w:pageBreakBefore w:val="0"/>
        <w:widowControl/>
        <w:numPr>
          <w:ilvl w:val="0"/>
          <w:numId w:val="3"/>
        </w:numPr>
        <w:kinsoku/>
        <w:overflowPunct/>
        <w:autoSpaceDE/>
        <w:bidi w:val="0"/>
        <w:snapToGrid w:val="0"/>
        <w:spacing w:line="240" w:lineRule="auto"/>
        <w:textAlignment w:val="auto"/>
        <w:rPr>
          <w:color w:val="000000"/>
          <w:kern w:val="0"/>
          <w:sz w:val="24"/>
          <w:highlight w:val="none"/>
        </w:rPr>
      </w:pPr>
      <w:r>
        <w:rPr>
          <w:color w:val="000000"/>
          <w:kern w:val="0"/>
          <w:sz w:val="24"/>
        </w:rPr>
        <w:t>期末按公允价值占基金资产净值比例大小排序的前十名股票明细</w:t>
      </w:r>
    </w:p>
    <w:tbl>
      <w:tblPr>
        <w:tblStyle w:val="28"/>
        <w:tblpPr w:leftFromText="180" w:rightFromText="180" w:vertAnchor="text" w:horzAnchor="page" w:tblpX="1851" w:tblpY="18"/>
        <w:tblOverlap w:val="never"/>
        <w:tblW w:w="8473" w:type="dxa"/>
        <w:tblInd w:w="108" w:type="dxa"/>
        <w:tblLayout w:type="fixed"/>
        <w:tblCellMar>
          <w:top w:w="0" w:type="dxa"/>
          <w:left w:w="108" w:type="dxa"/>
          <w:bottom w:w="0" w:type="dxa"/>
          <w:right w:w="108" w:type="dxa"/>
        </w:tblCellMar>
      </w:tblPr>
      <w:tblGrid>
        <w:gridCol w:w="656"/>
        <w:gridCol w:w="1280"/>
        <w:gridCol w:w="1489"/>
        <w:gridCol w:w="1645"/>
        <w:gridCol w:w="2035"/>
        <w:gridCol w:w="1368"/>
      </w:tblGrid>
      <w:tr w14:paraId="0A791EFE">
        <w:tblPrEx>
          <w:tblCellMar>
            <w:top w:w="0" w:type="dxa"/>
            <w:left w:w="108" w:type="dxa"/>
            <w:bottom w:w="0" w:type="dxa"/>
            <w:right w:w="108" w:type="dxa"/>
          </w:tblCellMar>
        </w:tblPrEx>
        <w:trPr>
          <w:trHeight w:val="87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0D954508">
            <w:pPr>
              <w:widowControl/>
              <w:snapToGrid w:val="0"/>
              <w:spacing w:line="360" w:lineRule="auto"/>
              <w:jc w:val="center"/>
              <w:rPr>
                <w:color w:val="000000"/>
                <w:kern w:val="0"/>
                <w:szCs w:val="21"/>
                <w:highlight w:val="none"/>
              </w:rPr>
            </w:pPr>
            <w:r>
              <w:rPr>
                <w:color w:val="000000"/>
                <w:kern w:val="0"/>
                <w:szCs w:val="21"/>
              </w:rPr>
              <w:t>序号</w:t>
            </w:r>
          </w:p>
        </w:tc>
        <w:tc>
          <w:tcPr>
            <w:tcW w:w="1280" w:type="dxa"/>
            <w:tcBorders>
              <w:top w:val="single" w:color="000000" w:sz="8" w:space="0"/>
              <w:left w:val="single" w:color="000000" w:sz="8" w:space="0"/>
              <w:bottom w:val="single" w:color="000000" w:sz="8" w:space="0"/>
              <w:right w:val="single" w:color="000000" w:sz="8" w:space="0"/>
            </w:tcBorders>
            <w:vAlign w:val="center"/>
          </w:tcPr>
          <w:p w14:paraId="0A26C999">
            <w:pPr>
              <w:widowControl/>
              <w:snapToGrid w:val="0"/>
              <w:spacing w:line="360" w:lineRule="auto"/>
              <w:jc w:val="center"/>
              <w:rPr>
                <w:color w:val="000000"/>
                <w:kern w:val="0"/>
                <w:szCs w:val="21"/>
                <w:highlight w:val="none"/>
              </w:rPr>
            </w:pPr>
            <w:r>
              <w:rPr>
                <w:color w:val="000000"/>
                <w:kern w:val="0"/>
                <w:szCs w:val="21"/>
              </w:rPr>
              <w:t>股票代码</w:t>
            </w:r>
          </w:p>
        </w:tc>
        <w:tc>
          <w:tcPr>
            <w:tcW w:w="1489" w:type="dxa"/>
            <w:tcBorders>
              <w:top w:val="single" w:color="000000" w:sz="8" w:space="0"/>
              <w:left w:val="single" w:color="000000" w:sz="8" w:space="0"/>
              <w:bottom w:val="single" w:color="000000" w:sz="8" w:space="0"/>
              <w:right w:val="single" w:color="000000" w:sz="8" w:space="0"/>
            </w:tcBorders>
            <w:vAlign w:val="center"/>
          </w:tcPr>
          <w:p w14:paraId="4DCD9B65">
            <w:pPr>
              <w:widowControl/>
              <w:snapToGrid w:val="0"/>
              <w:spacing w:line="360" w:lineRule="auto"/>
              <w:jc w:val="center"/>
              <w:rPr>
                <w:color w:val="000000"/>
                <w:kern w:val="0"/>
                <w:szCs w:val="21"/>
                <w:highlight w:val="none"/>
              </w:rPr>
            </w:pPr>
            <w:r>
              <w:rPr>
                <w:color w:val="000000"/>
                <w:kern w:val="0"/>
                <w:szCs w:val="21"/>
              </w:rPr>
              <w:t>股票名称</w:t>
            </w:r>
          </w:p>
        </w:tc>
        <w:tc>
          <w:tcPr>
            <w:tcW w:w="1645" w:type="dxa"/>
            <w:tcBorders>
              <w:top w:val="single" w:color="000000" w:sz="8" w:space="0"/>
              <w:left w:val="single" w:color="000000" w:sz="8" w:space="0"/>
              <w:bottom w:val="single" w:color="000000" w:sz="8" w:space="0"/>
              <w:right w:val="single" w:color="000000" w:sz="8" w:space="0"/>
            </w:tcBorders>
            <w:vAlign w:val="center"/>
          </w:tcPr>
          <w:p w14:paraId="26C6A2EC">
            <w:pPr>
              <w:widowControl/>
              <w:snapToGrid w:val="0"/>
              <w:spacing w:line="360" w:lineRule="auto"/>
              <w:jc w:val="center"/>
              <w:rPr>
                <w:color w:val="000000"/>
                <w:kern w:val="0"/>
                <w:szCs w:val="21"/>
                <w:highlight w:val="none"/>
              </w:rPr>
            </w:pPr>
            <w:r>
              <w:rPr>
                <w:color w:val="000000"/>
                <w:kern w:val="0"/>
                <w:szCs w:val="21"/>
              </w:rPr>
              <w:t>数量（股）</w:t>
            </w:r>
          </w:p>
        </w:tc>
        <w:tc>
          <w:tcPr>
            <w:tcW w:w="2035" w:type="dxa"/>
            <w:tcBorders>
              <w:top w:val="single" w:color="000000" w:sz="8" w:space="0"/>
              <w:left w:val="single" w:color="000000" w:sz="8" w:space="0"/>
              <w:bottom w:val="single" w:color="000000" w:sz="8" w:space="0"/>
              <w:right w:val="single" w:color="000000" w:sz="8" w:space="0"/>
            </w:tcBorders>
            <w:vAlign w:val="center"/>
          </w:tcPr>
          <w:p w14:paraId="35788B85">
            <w:pPr>
              <w:widowControl/>
              <w:snapToGrid w:val="0"/>
              <w:spacing w:line="360" w:lineRule="auto"/>
              <w:jc w:val="center"/>
              <w:rPr>
                <w:color w:val="000000"/>
                <w:kern w:val="0"/>
                <w:szCs w:val="21"/>
                <w:highlight w:val="none"/>
              </w:rPr>
            </w:pPr>
            <w:r>
              <w:rPr>
                <w:color w:val="000000"/>
                <w:kern w:val="0"/>
                <w:szCs w:val="21"/>
              </w:rPr>
              <w:t>公允价值（元）</w:t>
            </w:r>
          </w:p>
        </w:tc>
        <w:tc>
          <w:tcPr>
            <w:tcW w:w="1368" w:type="dxa"/>
            <w:tcBorders>
              <w:top w:val="single" w:color="000000" w:sz="8" w:space="0"/>
              <w:left w:val="single" w:color="000000" w:sz="8" w:space="0"/>
              <w:bottom w:val="single" w:color="000000" w:sz="8" w:space="0"/>
              <w:right w:val="single" w:color="000000" w:sz="8" w:space="0"/>
            </w:tcBorders>
            <w:vAlign w:val="center"/>
          </w:tcPr>
          <w:p w14:paraId="3B66C67F">
            <w:pPr>
              <w:widowControl/>
              <w:snapToGrid w:val="0"/>
              <w:spacing w:line="360" w:lineRule="auto"/>
              <w:jc w:val="center"/>
              <w:rPr>
                <w:color w:val="000000"/>
                <w:kern w:val="0"/>
                <w:szCs w:val="21"/>
                <w:highlight w:val="none"/>
              </w:rPr>
            </w:pPr>
            <w:r>
              <w:rPr>
                <w:color w:val="000000"/>
                <w:kern w:val="0"/>
                <w:szCs w:val="21"/>
              </w:rPr>
              <w:t>占基金资产净值比例（%）</w:t>
            </w:r>
          </w:p>
        </w:tc>
      </w:tr>
      <w:tr w14:paraId="469AB2D8">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02E8B315">
            <w:pPr>
              <w:jc w:val="center"/>
              <w:rPr>
                <w:color w:val="000000"/>
                <w:sz w:val="21"/>
                <w:szCs w:val="21"/>
                <w:highlight w:val="none"/>
              </w:rPr>
            </w:pPr>
            <w:r>
              <w:rPr>
                <w:color w:val="000000"/>
                <w:sz w:val="21"/>
                <w:szCs w:val="21"/>
              </w:rPr>
              <w:t>1</w:t>
            </w:r>
          </w:p>
        </w:tc>
        <w:tc>
          <w:tcPr>
            <w:tcW w:w="1280" w:type="dxa"/>
            <w:tcBorders>
              <w:top w:val="single" w:color="000000" w:sz="8" w:space="0"/>
              <w:left w:val="single" w:color="000000" w:sz="8" w:space="0"/>
              <w:bottom w:val="single" w:color="000000" w:sz="8" w:space="0"/>
              <w:right w:val="single" w:color="000000" w:sz="8" w:space="0"/>
            </w:tcBorders>
            <w:vAlign w:val="bottom"/>
          </w:tcPr>
          <w:p w14:paraId="51138E64">
            <w:pPr>
              <w:keepNext w:val="0"/>
              <w:keepLines w:val="0"/>
              <w:widowControl/>
              <w:suppressLineNumbers w:val="0"/>
              <w:jc w:val="left"/>
              <w:textAlignment w:val="bottom"/>
              <w:rPr>
                <w:rFonts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600309</w:t>
            </w:r>
          </w:p>
        </w:tc>
        <w:tc>
          <w:tcPr>
            <w:tcW w:w="1489" w:type="dxa"/>
            <w:tcBorders>
              <w:top w:val="single" w:color="000000" w:sz="8" w:space="0"/>
              <w:left w:val="single" w:color="000000" w:sz="8" w:space="0"/>
              <w:bottom w:val="single" w:color="000000" w:sz="8" w:space="0"/>
              <w:right w:val="single" w:color="000000" w:sz="8" w:space="0"/>
            </w:tcBorders>
            <w:vAlign w:val="bottom"/>
          </w:tcPr>
          <w:p w14:paraId="2D483AEC">
            <w:pPr>
              <w:keepNext w:val="0"/>
              <w:keepLines w:val="0"/>
              <w:widowControl/>
              <w:suppressLineNumbers w:val="0"/>
              <w:jc w:val="lef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万华化学</w:t>
            </w:r>
          </w:p>
        </w:tc>
        <w:tc>
          <w:tcPr>
            <w:tcW w:w="1645" w:type="dxa"/>
            <w:tcBorders>
              <w:top w:val="single" w:color="000000" w:sz="8" w:space="0"/>
              <w:left w:val="single" w:color="000000" w:sz="8" w:space="0"/>
              <w:bottom w:val="single" w:color="000000" w:sz="8" w:space="0"/>
              <w:right w:val="single" w:color="000000" w:sz="8" w:space="0"/>
            </w:tcBorders>
            <w:vAlign w:val="bottom"/>
          </w:tcPr>
          <w:p w14:paraId="14C9349A">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85,900.00 </w:t>
            </w:r>
          </w:p>
        </w:tc>
        <w:tc>
          <w:tcPr>
            <w:tcW w:w="2035" w:type="dxa"/>
            <w:tcBorders>
              <w:top w:val="single" w:color="000000" w:sz="8" w:space="0"/>
              <w:left w:val="single" w:color="000000" w:sz="8" w:space="0"/>
              <w:bottom w:val="single" w:color="000000" w:sz="8" w:space="0"/>
              <w:right w:val="single" w:color="000000" w:sz="8" w:space="0"/>
            </w:tcBorders>
            <w:vAlign w:val="bottom"/>
          </w:tcPr>
          <w:p w14:paraId="6DB3D48E">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6,400,409.00 </w:t>
            </w:r>
          </w:p>
        </w:tc>
        <w:tc>
          <w:tcPr>
            <w:tcW w:w="1368" w:type="dxa"/>
            <w:tcBorders>
              <w:top w:val="single" w:color="000000" w:sz="8" w:space="0"/>
              <w:left w:val="single" w:color="000000" w:sz="8" w:space="0"/>
              <w:bottom w:val="single" w:color="000000" w:sz="8" w:space="0"/>
              <w:right w:val="single" w:color="000000" w:sz="8" w:space="0"/>
            </w:tcBorders>
            <w:vAlign w:val="bottom"/>
          </w:tcPr>
          <w:p w14:paraId="605A6CF9">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3.01</w:t>
            </w:r>
          </w:p>
        </w:tc>
      </w:tr>
      <w:tr w14:paraId="08483431">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0FCF7745">
            <w:pPr>
              <w:jc w:val="center"/>
              <w:rPr>
                <w:color w:val="000000"/>
                <w:sz w:val="21"/>
                <w:szCs w:val="21"/>
                <w:highlight w:val="none"/>
              </w:rPr>
            </w:pPr>
            <w:r>
              <w:rPr>
                <w:color w:val="000000"/>
                <w:sz w:val="21"/>
                <w:szCs w:val="21"/>
              </w:rPr>
              <w:t>2</w:t>
            </w:r>
          </w:p>
        </w:tc>
        <w:tc>
          <w:tcPr>
            <w:tcW w:w="1280" w:type="dxa"/>
            <w:tcBorders>
              <w:top w:val="single" w:color="000000" w:sz="8" w:space="0"/>
              <w:left w:val="single" w:color="000000" w:sz="8" w:space="0"/>
              <w:bottom w:val="single" w:color="000000" w:sz="8" w:space="0"/>
              <w:right w:val="single" w:color="000000" w:sz="8" w:space="0"/>
            </w:tcBorders>
            <w:vAlign w:val="bottom"/>
          </w:tcPr>
          <w:p w14:paraId="6CD1CCDB">
            <w:pPr>
              <w:keepNext w:val="0"/>
              <w:keepLines w:val="0"/>
              <w:widowControl/>
              <w:suppressLineNumbers w:val="0"/>
              <w:jc w:val="left"/>
              <w:textAlignment w:val="bottom"/>
              <w:rPr>
                <w:rFonts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000792</w:t>
            </w:r>
          </w:p>
        </w:tc>
        <w:tc>
          <w:tcPr>
            <w:tcW w:w="1489" w:type="dxa"/>
            <w:tcBorders>
              <w:top w:val="single" w:color="000000" w:sz="8" w:space="0"/>
              <w:left w:val="single" w:color="000000" w:sz="8" w:space="0"/>
              <w:bottom w:val="single" w:color="000000" w:sz="8" w:space="0"/>
              <w:right w:val="single" w:color="000000" w:sz="8" w:space="0"/>
            </w:tcBorders>
            <w:vAlign w:val="bottom"/>
          </w:tcPr>
          <w:p w14:paraId="09235599">
            <w:pPr>
              <w:keepNext w:val="0"/>
              <w:keepLines w:val="0"/>
              <w:widowControl/>
              <w:suppressLineNumbers w:val="0"/>
              <w:jc w:val="lef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盐湖股份</w:t>
            </w:r>
          </w:p>
        </w:tc>
        <w:tc>
          <w:tcPr>
            <w:tcW w:w="1645" w:type="dxa"/>
            <w:tcBorders>
              <w:top w:val="single" w:color="000000" w:sz="8" w:space="0"/>
              <w:left w:val="single" w:color="000000" w:sz="8" w:space="0"/>
              <w:bottom w:val="single" w:color="000000" w:sz="8" w:space="0"/>
              <w:right w:val="single" w:color="000000" w:sz="8" w:space="0"/>
            </w:tcBorders>
            <w:vAlign w:val="bottom"/>
          </w:tcPr>
          <w:p w14:paraId="543F2389">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145,200.00 </w:t>
            </w:r>
          </w:p>
        </w:tc>
        <w:tc>
          <w:tcPr>
            <w:tcW w:w="2035" w:type="dxa"/>
            <w:tcBorders>
              <w:top w:val="single" w:color="000000" w:sz="8" w:space="0"/>
              <w:left w:val="single" w:color="000000" w:sz="8" w:space="0"/>
              <w:bottom w:val="single" w:color="000000" w:sz="8" w:space="0"/>
              <w:right w:val="single" w:color="000000" w:sz="8" w:space="0"/>
            </w:tcBorders>
            <w:vAlign w:val="bottom"/>
          </w:tcPr>
          <w:p w14:paraId="4F7BAA1A">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3,966,864.00 </w:t>
            </w:r>
          </w:p>
        </w:tc>
        <w:tc>
          <w:tcPr>
            <w:tcW w:w="1368" w:type="dxa"/>
            <w:tcBorders>
              <w:top w:val="single" w:color="000000" w:sz="8" w:space="0"/>
              <w:left w:val="single" w:color="000000" w:sz="8" w:space="0"/>
              <w:bottom w:val="single" w:color="000000" w:sz="8" w:space="0"/>
              <w:right w:val="single" w:color="000000" w:sz="8" w:space="0"/>
            </w:tcBorders>
            <w:vAlign w:val="bottom"/>
          </w:tcPr>
          <w:p w14:paraId="1672F94B">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1.87</w:t>
            </w:r>
          </w:p>
        </w:tc>
      </w:tr>
      <w:tr w14:paraId="7F0D5CB3">
        <w:tblPrEx>
          <w:tblCellMar>
            <w:top w:w="0" w:type="dxa"/>
            <w:left w:w="108" w:type="dxa"/>
            <w:bottom w:w="0" w:type="dxa"/>
            <w:right w:w="108" w:type="dxa"/>
          </w:tblCellMar>
        </w:tblPrEx>
        <w:trPr>
          <w:trHeight w:val="396"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4161DD91">
            <w:pPr>
              <w:jc w:val="center"/>
              <w:rPr>
                <w:color w:val="000000"/>
                <w:sz w:val="21"/>
                <w:szCs w:val="21"/>
                <w:highlight w:val="none"/>
              </w:rPr>
            </w:pPr>
            <w:r>
              <w:rPr>
                <w:color w:val="000000"/>
                <w:sz w:val="21"/>
                <w:szCs w:val="21"/>
              </w:rPr>
              <w:t>3</w:t>
            </w:r>
          </w:p>
        </w:tc>
        <w:tc>
          <w:tcPr>
            <w:tcW w:w="1280" w:type="dxa"/>
            <w:tcBorders>
              <w:top w:val="single" w:color="000000" w:sz="8" w:space="0"/>
              <w:left w:val="single" w:color="000000" w:sz="8" w:space="0"/>
              <w:bottom w:val="single" w:color="000000" w:sz="8" w:space="0"/>
              <w:right w:val="single" w:color="000000" w:sz="8" w:space="0"/>
            </w:tcBorders>
            <w:vAlign w:val="bottom"/>
          </w:tcPr>
          <w:p w14:paraId="7ED1F810">
            <w:pPr>
              <w:keepNext w:val="0"/>
              <w:keepLines w:val="0"/>
              <w:widowControl/>
              <w:suppressLineNumbers w:val="0"/>
              <w:jc w:val="left"/>
              <w:textAlignment w:val="bottom"/>
              <w:rPr>
                <w:rFonts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000408</w:t>
            </w:r>
          </w:p>
        </w:tc>
        <w:tc>
          <w:tcPr>
            <w:tcW w:w="1489" w:type="dxa"/>
            <w:tcBorders>
              <w:top w:val="single" w:color="000000" w:sz="8" w:space="0"/>
              <w:left w:val="single" w:color="000000" w:sz="8" w:space="0"/>
              <w:bottom w:val="single" w:color="000000" w:sz="8" w:space="0"/>
              <w:right w:val="single" w:color="000000" w:sz="8" w:space="0"/>
            </w:tcBorders>
            <w:vAlign w:val="bottom"/>
          </w:tcPr>
          <w:p w14:paraId="22CBCED1">
            <w:pPr>
              <w:keepNext w:val="0"/>
              <w:keepLines w:val="0"/>
              <w:widowControl/>
              <w:suppressLineNumbers w:val="0"/>
              <w:jc w:val="lef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藏格矿业</w:t>
            </w:r>
          </w:p>
        </w:tc>
        <w:tc>
          <w:tcPr>
            <w:tcW w:w="1645" w:type="dxa"/>
            <w:tcBorders>
              <w:top w:val="single" w:color="000000" w:sz="8" w:space="0"/>
              <w:left w:val="single" w:color="000000" w:sz="8" w:space="0"/>
              <w:bottom w:val="single" w:color="000000" w:sz="8" w:space="0"/>
              <w:right w:val="single" w:color="000000" w:sz="8" w:space="0"/>
            </w:tcBorders>
            <w:vAlign w:val="bottom"/>
          </w:tcPr>
          <w:p w14:paraId="3CAD0F67">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35,900.00 </w:t>
            </w:r>
          </w:p>
        </w:tc>
        <w:tc>
          <w:tcPr>
            <w:tcW w:w="2035" w:type="dxa"/>
            <w:tcBorders>
              <w:top w:val="single" w:color="000000" w:sz="8" w:space="0"/>
              <w:left w:val="single" w:color="000000" w:sz="8" w:space="0"/>
              <w:bottom w:val="single" w:color="000000" w:sz="8" w:space="0"/>
              <w:right w:val="single" w:color="000000" w:sz="8" w:space="0"/>
            </w:tcBorders>
            <w:vAlign w:val="bottom"/>
          </w:tcPr>
          <w:p w14:paraId="7FDB87CA">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2,894,258.00 </w:t>
            </w:r>
          </w:p>
        </w:tc>
        <w:tc>
          <w:tcPr>
            <w:tcW w:w="1368" w:type="dxa"/>
            <w:tcBorders>
              <w:top w:val="single" w:color="000000" w:sz="8" w:space="0"/>
              <w:left w:val="single" w:color="000000" w:sz="8" w:space="0"/>
              <w:bottom w:val="single" w:color="000000" w:sz="8" w:space="0"/>
              <w:right w:val="single" w:color="000000" w:sz="8" w:space="0"/>
            </w:tcBorders>
            <w:vAlign w:val="bottom"/>
          </w:tcPr>
          <w:p w14:paraId="4CB8349A">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1.36</w:t>
            </w:r>
          </w:p>
        </w:tc>
      </w:tr>
      <w:tr w14:paraId="15DF7BB3">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0DAF3527">
            <w:pPr>
              <w:jc w:val="center"/>
              <w:rPr>
                <w:color w:val="000000"/>
                <w:sz w:val="21"/>
                <w:szCs w:val="21"/>
                <w:highlight w:val="none"/>
              </w:rPr>
            </w:pPr>
            <w:r>
              <w:rPr>
                <w:color w:val="000000"/>
                <w:sz w:val="21"/>
                <w:szCs w:val="21"/>
              </w:rPr>
              <w:t>4</w:t>
            </w:r>
          </w:p>
        </w:tc>
        <w:tc>
          <w:tcPr>
            <w:tcW w:w="1280" w:type="dxa"/>
            <w:tcBorders>
              <w:top w:val="single" w:color="000000" w:sz="8" w:space="0"/>
              <w:left w:val="single" w:color="000000" w:sz="8" w:space="0"/>
              <w:bottom w:val="single" w:color="000000" w:sz="8" w:space="0"/>
              <w:right w:val="single" w:color="000000" w:sz="8" w:space="0"/>
            </w:tcBorders>
            <w:vAlign w:val="bottom"/>
          </w:tcPr>
          <w:p w14:paraId="7B517967">
            <w:pPr>
              <w:keepNext w:val="0"/>
              <w:keepLines w:val="0"/>
              <w:widowControl/>
              <w:suppressLineNumbers w:val="0"/>
              <w:jc w:val="left"/>
              <w:textAlignment w:val="bottom"/>
              <w:rPr>
                <w:rFonts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600160</w:t>
            </w:r>
          </w:p>
        </w:tc>
        <w:tc>
          <w:tcPr>
            <w:tcW w:w="1489" w:type="dxa"/>
            <w:tcBorders>
              <w:top w:val="single" w:color="000000" w:sz="8" w:space="0"/>
              <w:left w:val="single" w:color="000000" w:sz="8" w:space="0"/>
              <w:bottom w:val="single" w:color="000000" w:sz="8" w:space="0"/>
              <w:right w:val="single" w:color="000000" w:sz="8" w:space="0"/>
            </w:tcBorders>
            <w:vAlign w:val="bottom"/>
          </w:tcPr>
          <w:p w14:paraId="34AE6687">
            <w:pPr>
              <w:keepNext w:val="0"/>
              <w:keepLines w:val="0"/>
              <w:widowControl/>
              <w:suppressLineNumbers w:val="0"/>
              <w:jc w:val="lef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巨化股份</w:t>
            </w:r>
          </w:p>
        </w:tc>
        <w:tc>
          <w:tcPr>
            <w:tcW w:w="1645" w:type="dxa"/>
            <w:tcBorders>
              <w:top w:val="single" w:color="000000" w:sz="8" w:space="0"/>
              <w:left w:val="single" w:color="000000" w:sz="8" w:space="0"/>
              <w:bottom w:val="single" w:color="000000" w:sz="8" w:space="0"/>
              <w:right w:val="single" w:color="000000" w:sz="8" w:space="0"/>
            </w:tcBorders>
            <w:vAlign w:val="bottom"/>
          </w:tcPr>
          <w:p w14:paraId="54772C4A">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61,700.00 </w:t>
            </w:r>
          </w:p>
        </w:tc>
        <w:tc>
          <w:tcPr>
            <w:tcW w:w="2035" w:type="dxa"/>
            <w:tcBorders>
              <w:top w:val="single" w:color="000000" w:sz="8" w:space="0"/>
              <w:left w:val="single" w:color="000000" w:sz="8" w:space="0"/>
              <w:bottom w:val="single" w:color="000000" w:sz="8" w:space="0"/>
              <w:right w:val="single" w:color="000000" w:sz="8" w:space="0"/>
            </w:tcBorders>
            <w:vAlign w:val="bottom"/>
          </w:tcPr>
          <w:p w14:paraId="1E26193E">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2,438,384.00 </w:t>
            </w:r>
          </w:p>
        </w:tc>
        <w:tc>
          <w:tcPr>
            <w:tcW w:w="1368" w:type="dxa"/>
            <w:tcBorders>
              <w:top w:val="single" w:color="000000" w:sz="8" w:space="0"/>
              <w:left w:val="single" w:color="000000" w:sz="8" w:space="0"/>
              <w:bottom w:val="single" w:color="000000" w:sz="8" w:space="0"/>
              <w:right w:val="single" w:color="000000" w:sz="8" w:space="0"/>
            </w:tcBorders>
            <w:vAlign w:val="bottom"/>
          </w:tcPr>
          <w:p w14:paraId="55EF9625">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w:t>
            </w:r>
          </w:p>
        </w:tc>
      </w:tr>
      <w:tr w14:paraId="68D1266D">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598D1088">
            <w:pPr>
              <w:jc w:val="center"/>
              <w:rPr>
                <w:color w:val="000000"/>
                <w:sz w:val="21"/>
                <w:szCs w:val="21"/>
                <w:highlight w:val="none"/>
              </w:rPr>
            </w:pPr>
            <w:r>
              <w:rPr>
                <w:color w:val="000000"/>
                <w:sz w:val="21"/>
                <w:szCs w:val="21"/>
              </w:rPr>
              <w:t>5</w:t>
            </w:r>
          </w:p>
        </w:tc>
        <w:tc>
          <w:tcPr>
            <w:tcW w:w="1280" w:type="dxa"/>
            <w:tcBorders>
              <w:top w:val="single" w:color="000000" w:sz="8" w:space="0"/>
              <w:left w:val="single" w:color="000000" w:sz="8" w:space="0"/>
              <w:bottom w:val="single" w:color="000000" w:sz="8" w:space="0"/>
              <w:right w:val="single" w:color="000000" w:sz="8" w:space="0"/>
            </w:tcBorders>
            <w:vAlign w:val="bottom"/>
          </w:tcPr>
          <w:p w14:paraId="0332CE30">
            <w:pPr>
              <w:keepNext w:val="0"/>
              <w:keepLines w:val="0"/>
              <w:widowControl/>
              <w:suppressLineNumbers w:val="0"/>
              <w:jc w:val="left"/>
              <w:textAlignment w:val="bottom"/>
              <w:rPr>
                <w:rFonts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600989</w:t>
            </w:r>
          </w:p>
        </w:tc>
        <w:tc>
          <w:tcPr>
            <w:tcW w:w="1489" w:type="dxa"/>
            <w:tcBorders>
              <w:top w:val="single" w:color="000000" w:sz="8" w:space="0"/>
              <w:left w:val="single" w:color="000000" w:sz="8" w:space="0"/>
              <w:bottom w:val="single" w:color="000000" w:sz="8" w:space="0"/>
              <w:right w:val="single" w:color="000000" w:sz="8" w:space="0"/>
            </w:tcBorders>
            <w:vAlign w:val="bottom"/>
          </w:tcPr>
          <w:p w14:paraId="087F75E4">
            <w:pPr>
              <w:keepNext w:val="0"/>
              <w:keepLines w:val="0"/>
              <w:widowControl/>
              <w:suppressLineNumbers w:val="0"/>
              <w:jc w:val="lef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宝丰能源</w:t>
            </w:r>
          </w:p>
        </w:tc>
        <w:tc>
          <w:tcPr>
            <w:tcW w:w="1645" w:type="dxa"/>
            <w:tcBorders>
              <w:top w:val="single" w:color="000000" w:sz="8" w:space="0"/>
              <w:left w:val="single" w:color="000000" w:sz="8" w:space="0"/>
              <w:bottom w:val="single" w:color="000000" w:sz="8" w:space="0"/>
              <w:right w:val="single" w:color="000000" w:sz="8" w:space="0"/>
            </w:tcBorders>
            <w:vAlign w:val="bottom"/>
          </w:tcPr>
          <w:p w14:paraId="3CDEEAAA">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100,600.00 </w:t>
            </w:r>
          </w:p>
        </w:tc>
        <w:tc>
          <w:tcPr>
            <w:tcW w:w="2035" w:type="dxa"/>
            <w:tcBorders>
              <w:top w:val="single" w:color="000000" w:sz="8" w:space="0"/>
              <w:left w:val="single" w:color="000000" w:sz="8" w:space="0"/>
              <w:bottom w:val="single" w:color="000000" w:sz="8" w:space="0"/>
              <w:right w:val="single" w:color="000000" w:sz="8" w:space="0"/>
            </w:tcBorders>
            <w:vAlign w:val="bottom"/>
          </w:tcPr>
          <w:p w14:paraId="725A750E">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2,342,974.00 </w:t>
            </w:r>
          </w:p>
        </w:tc>
        <w:tc>
          <w:tcPr>
            <w:tcW w:w="1368" w:type="dxa"/>
            <w:tcBorders>
              <w:top w:val="single" w:color="000000" w:sz="8" w:space="0"/>
              <w:left w:val="single" w:color="000000" w:sz="8" w:space="0"/>
              <w:bottom w:val="single" w:color="000000" w:sz="8" w:space="0"/>
              <w:right w:val="single" w:color="000000" w:sz="8" w:space="0"/>
            </w:tcBorders>
            <w:vAlign w:val="bottom"/>
          </w:tcPr>
          <w:p w14:paraId="184733CB">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w:t>
            </w:r>
          </w:p>
        </w:tc>
      </w:tr>
      <w:tr w14:paraId="0253905F">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6A8986B6">
            <w:pPr>
              <w:jc w:val="center"/>
              <w:rPr>
                <w:color w:val="000000"/>
                <w:sz w:val="21"/>
                <w:szCs w:val="21"/>
                <w:highlight w:val="none"/>
              </w:rPr>
            </w:pPr>
            <w:r>
              <w:rPr>
                <w:color w:val="000000"/>
                <w:sz w:val="21"/>
                <w:szCs w:val="21"/>
              </w:rPr>
              <w:t>6</w:t>
            </w:r>
          </w:p>
        </w:tc>
        <w:tc>
          <w:tcPr>
            <w:tcW w:w="1280" w:type="dxa"/>
            <w:tcBorders>
              <w:top w:val="single" w:color="000000" w:sz="8" w:space="0"/>
              <w:left w:val="single" w:color="000000" w:sz="8" w:space="0"/>
              <w:bottom w:val="single" w:color="000000" w:sz="8" w:space="0"/>
              <w:right w:val="single" w:color="000000" w:sz="8" w:space="0"/>
            </w:tcBorders>
            <w:vAlign w:val="bottom"/>
          </w:tcPr>
          <w:p w14:paraId="4DBCF902">
            <w:pPr>
              <w:keepNext w:val="0"/>
              <w:keepLines w:val="0"/>
              <w:widowControl/>
              <w:suppressLineNumbers w:val="0"/>
              <w:jc w:val="left"/>
              <w:textAlignment w:val="bottom"/>
              <w:rPr>
                <w:rFonts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002709</w:t>
            </w:r>
          </w:p>
        </w:tc>
        <w:tc>
          <w:tcPr>
            <w:tcW w:w="1489" w:type="dxa"/>
            <w:tcBorders>
              <w:top w:val="single" w:color="000000" w:sz="8" w:space="0"/>
              <w:left w:val="single" w:color="000000" w:sz="8" w:space="0"/>
              <w:bottom w:val="single" w:color="000000" w:sz="8" w:space="0"/>
              <w:right w:val="single" w:color="000000" w:sz="8" w:space="0"/>
            </w:tcBorders>
            <w:vAlign w:val="bottom"/>
          </w:tcPr>
          <w:p w14:paraId="1AB9AF83">
            <w:pPr>
              <w:keepNext w:val="0"/>
              <w:keepLines w:val="0"/>
              <w:widowControl/>
              <w:suppressLineNumbers w:val="0"/>
              <w:jc w:val="lef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天赐材料</w:t>
            </w:r>
          </w:p>
        </w:tc>
        <w:tc>
          <w:tcPr>
            <w:tcW w:w="1645" w:type="dxa"/>
            <w:tcBorders>
              <w:top w:val="single" w:color="000000" w:sz="8" w:space="0"/>
              <w:left w:val="single" w:color="000000" w:sz="8" w:space="0"/>
              <w:bottom w:val="single" w:color="000000" w:sz="8" w:space="0"/>
              <w:right w:val="single" w:color="000000" w:sz="8" w:space="0"/>
            </w:tcBorders>
            <w:vAlign w:val="bottom"/>
          </w:tcPr>
          <w:p w14:paraId="15E2952A">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65,300.00 </w:t>
            </w:r>
          </w:p>
        </w:tc>
        <w:tc>
          <w:tcPr>
            <w:tcW w:w="2035" w:type="dxa"/>
            <w:tcBorders>
              <w:top w:val="single" w:color="000000" w:sz="8" w:space="0"/>
              <w:left w:val="single" w:color="000000" w:sz="8" w:space="0"/>
              <w:bottom w:val="single" w:color="000000" w:sz="8" w:space="0"/>
              <w:right w:val="single" w:color="000000" w:sz="8" w:space="0"/>
            </w:tcBorders>
            <w:vAlign w:val="bottom"/>
          </w:tcPr>
          <w:p w14:paraId="5CC703F0">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2,333,822.00 </w:t>
            </w:r>
          </w:p>
        </w:tc>
        <w:tc>
          <w:tcPr>
            <w:tcW w:w="1368" w:type="dxa"/>
            <w:tcBorders>
              <w:top w:val="single" w:color="000000" w:sz="8" w:space="0"/>
              <w:left w:val="single" w:color="000000" w:sz="8" w:space="0"/>
              <w:bottom w:val="single" w:color="000000" w:sz="8" w:space="0"/>
              <w:right w:val="single" w:color="000000" w:sz="8" w:space="0"/>
            </w:tcBorders>
            <w:vAlign w:val="bottom"/>
          </w:tcPr>
          <w:p w14:paraId="0AF40E47">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w:t>
            </w:r>
          </w:p>
        </w:tc>
      </w:tr>
      <w:tr w14:paraId="463AF089">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5DE66149">
            <w:pPr>
              <w:jc w:val="center"/>
              <w:rPr>
                <w:color w:val="000000"/>
                <w:sz w:val="21"/>
                <w:szCs w:val="21"/>
                <w:highlight w:val="none"/>
              </w:rPr>
            </w:pPr>
            <w:r>
              <w:rPr>
                <w:color w:val="000000"/>
                <w:sz w:val="21"/>
                <w:szCs w:val="21"/>
              </w:rPr>
              <w:t>7</w:t>
            </w:r>
          </w:p>
        </w:tc>
        <w:tc>
          <w:tcPr>
            <w:tcW w:w="1280" w:type="dxa"/>
            <w:tcBorders>
              <w:top w:val="single" w:color="000000" w:sz="8" w:space="0"/>
              <w:left w:val="single" w:color="000000" w:sz="8" w:space="0"/>
              <w:bottom w:val="single" w:color="000000" w:sz="8" w:space="0"/>
              <w:right w:val="single" w:color="000000" w:sz="8" w:space="0"/>
            </w:tcBorders>
            <w:vAlign w:val="bottom"/>
          </w:tcPr>
          <w:p w14:paraId="5EC24B20">
            <w:pPr>
              <w:keepNext w:val="0"/>
              <w:keepLines w:val="0"/>
              <w:widowControl/>
              <w:suppressLineNumbers w:val="0"/>
              <w:jc w:val="left"/>
              <w:textAlignment w:val="bottom"/>
              <w:rPr>
                <w:rFonts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002648</w:t>
            </w:r>
          </w:p>
        </w:tc>
        <w:tc>
          <w:tcPr>
            <w:tcW w:w="1489" w:type="dxa"/>
            <w:tcBorders>
              <w:top w:val="single" w:color="000000" w:sz="8" w:space="0"/>
              <w:left w:val="single" w:color="000000" w:sz="8" w:space="0"/>
              <w:bottom w:val="single" w:color="000000" w:sz="8" w:space="0"/>
              <w:right w:val="single" w:color="000000" w:sz="8" w:space="0"/>
            </w:tcBorders>
            <w:vAlign w:val="bottom"/>
          </w:tcPr>
          <w:p w14:paraId="3E109DB0">
            <w:pPr>
              <w:keepNext w:val="0"/>
              <w:keepLines w:val="0"/>
              <w:widowControl/>
              <w:suppressLineNumbers w:val="0"/>
              <w:jc w:val="lef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卫星化学</w:t>
            </w:r>
          </w:p>
        </w:tc>
        <w:tc>
          <w:tcPr>
            <w:tcW w:w="1645" w:type="dxa"/>
            <w:tcBorders>
              <w:top w:val="single" w:color="000000" w:sz="8" w:space="0"/>
              <w:left w:val="single" w:color="000000" w:sz="8" w:space="0"/>
              <w:bottom w:val="single" w:color="000000" w:sz="8" w:space="0"/>
              <w:right w:val="single" w:color="000000" w:sz="8" w:space="0"/>
            </w:tcBorders>
            <w:vAlign w:val="bottom"/>
          </w:tcPr>
          <w:p w14:paraId="28AA057B">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77,000.00 </w:t>
            </w:r>
          </w:p>
        </w:tc>
        <w:tc>
          <w:tcPr>
            <w:tcW w:w="2035" w:type="dxa"/>
            <w:tcBorders>
              <w:top w:val="single" w:color="000000" w:sz="8" w:space="0"/>
              <w:left w:val="single" w:color="000000" w:sz="8" w:space="0"/>
              <w:bottom w:val="single" w:color="000000" w:sz="8" w:space="0"/>
              <w:right w:val="single" w:color="000000" w:sz="8" w:space="0"/>
            </w:tcBorders>
            <w:vAlign w:val="bottom"/>
          </w:tcPr>
          <w:p w14:paraId="663E7C92">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1,955,030.00 </w:t>
            </w:r>
          </w:p>
        </w:tc>
        <w:tc>
          <w:tcPr>
            <w:tcW w:w="1368" w:type="dxa"/>
            <w:tcBorders>
              <w:top w:val="single" w:color="000000" w:sz="8" w:space="0"/>
              <w:left w:val="single" w:color="000000" w:sz="8" w:space="0"/>
              <w:bottom w:val="single" w:color="000000" w:sz="8" w:space="0"/>
              <w:right w:val="single" w:color="000000" w:sz="8" w:space="0"/>
            </w:tcBorders>
            <w:vAlign w:val="bottom"/>
          </w:tcPr>
          <w:p w14:paraId="382602B7">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0.92</w:t>
            </w:r>
          </w:p>
        </w:tc>
      </w:tr>
      <w:tr w14:paraId="4BC3B4F5">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6F455C2E">
            <w:pPr>
              <w:jc w:val="center"/>
              <w:rPr>
                <w:color w:val="000000"/>
                <w:sz w:val="21"/>
                <w:szCs w:val="21"/>
                <w:highlight w:val="none"/>
              </w:rPr>
            </w:pPr>
            <w:r>
              <w:rPr>
                <w:color w:val="000000"/>
                <w:sz w:val="21"/>
                <w:szCs w:val="21"/>
              </w:rPr>
              <w:t>8</w:t>
            </w:r>
          </w:p>
        </w:tc>
        <w:tc>
          <w:tcPr>
            <w:tcW w:w="1280" w:type="dxa"/>
            <w:tcBorders>
              <w:top w:val="single" w:color="000000" w:sz="8" w:space="0"/>
              <w:left w:val="single" w:color="000000" w:sz="8" w:space="0"/>
              <w:bottom w:val="single" w:color="000000" w:sz="8" w:space="0"/>
              <w:right w:val="single" w:color="000000" w:sz="8" w:space="0"/>
            </w:tcBorders>
            <w:vAlign w:val="bottom"/>
          </w:tcPr>
          <w:p w14:paraId="6AB3C95F">
            <w:pPr>
              <w:keepNext w:val="0"/>
              <w:keepLines w:val="0"/>
              <w:widowControl/>
              <w:suppressLineNumbers w:val="0"/>
              <w:jc w:val="left"/>
              <w:textAlignment w:val="bottom"/>
              <w:rPr>
                <w:rFonts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600426</w:t>
            </w:r>
          </w:p>
        </w:tc>
        <w:tc>
          <w:tcPr>
            <w:tcW w:w="1489" w:type="dxa"/>
            <w:tcBorders>
              <w:top w:val="single" w:color="000000" w:sz="8" w:space="0"/>
              <w:left w:val="single" w:color="000000" w:sz="8" w:space="0"/>
              <w:bottom w:val="single" w:color="000000" w:sz="8" w:space="0"/>
              <w:right w:val="single" w:color="000000" w:sz="8" w:space="0"/>
            </w:tcBorders>
            <w:vAlign w:val="bottom"/>
          </w:tcPr>
          <w:p w14:paraId="2AD7CCE8">
            <w:pPr>
              <w:keepNext w:val="0"/>
              <w:keepLines w:val="0"/>
              <w:widowControl/>
              <w:suppressLineNumbers w:val="0"/>
              <w:jc w:val="lef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华鲁恒升</w:t>
            </w:r>
          </w:p>
        </w:tc>
        <w:tc>
          <w:tcPr>
            <w:tcW w:w="1645" w:type="dxa"/>
            <w:tcBorders>
              <w:top w:val="single" w:color="000000" w:sz="8" w:space="0"/>
              <w:left w:val="single" w:color="000000" w:sz="8" w:space="0"/>
              <w:bottom w:val="single" w:color="000000" w:sz="8" w:space="0"/>
              <w:right w:val="single" w:color="000000" w:sz="8" w:space="0"/>
            </w:tcBorders>
            <w:vAlign w:val="bottom"/>
          </w:tcPr>
          <w:p w14:paraId="512CA55A">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88,000.00 </w:t>
            </w:r>
          </w:p>
        </w:tc>
        <w:tc>
          <w:tcPr>
            <w:tcW w:w="2035" w:type="dxa"/>
            <w:tcBorders>
              <w:top w:val="single" w:color="000000" w:sz="8" w:space="0"/>
              <w:left w:val="single" w:color="000000" w:sz="8" w:space="0"/>
              <w:bottom w:val="single" w:color="000000" w:sz="8" w:space="0"/>
              <w:right w:val="single" w:color="000000" w:sz="8" w:space="0"/>
            </w:tcBorders>
            <w:vAlign w:val="bottom"/>
          </w:tcPr>
          <w:p w14:paraId="38B3B3DA">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1,896,400.00 </w:t>
            </w:r>
          </w:p>
        </w:tc>
        <w:tc>
          <w:tcPr>
            <w:tcW w:w="1368" w:type="dxa"/>
            <w:tcBorders>
              <w:top w:val="single" w:color="000000" w:sz="8" w:space="0"/>
              <w:left w:val="single" w:color="000000" w:sz="8" w:space="0"/>
              <w:bottom w:val="single" w:color="000000" w:sz="8" w:space="0"/>
              <w:right w:val="single" w:color="000000" w:sz="8" w:space="0"/>
            </w:tcBorders>
            <w:vAlign w:val="bottom"/>
          </w:tcPr>
          <w:p w14:paraId="5C14CE0B">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0.89</w:t>
            </w:r>
          </w:p>
        </w:tc>
      </w:tr>
      <w:tr w14:paraId="2CDADE9A">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6FCD3F06">
            <w:pPr>
              <w:jc w:val="center"/>
              <w:rPr>
                <w:color w:val="000000"/>
                <w:sz w:val="21"/>
                <w:szCs w:val="21"/>
                <w:highlight w:val="none"/>
              </w:rPr>
            </w:pPr>
            <w:r>
              <w:rPr>
                <w:color w:val="000000"/>
                <w:sz w:val="21"/>
                <w:szCs w:val="21"/>
              </w:rPr>
              <w:t>9</w:t>
            </w:r>
          </w:p>
        </w:tc>
        <w:tc>
          <w:tcPr>
            <w:tcW w:w="1280" w:type="dxa"/>
            <w:tcBorders>
              <w:top w:val="single" w:color="000000" w:sz="8" w:space="0"/>
              <w:left w:val="single" w:color="000000" w:sz="8" w:space="0"/>
              <w:bottom w:val="single" w:color="000000" w:sz="8" w:space="0"/>
              <w:right w:val="single" w:color="000000" w:sz="8" w:space="0"/>
            </w:tcBorders>
            <w:vAlign w:val="bottom"/>
          </w:tcPr>
          <w:p w14:paraId="77EA7562">
            <w:pPr>
              <w:keepNext w:val="0"/>
              <w:keepLines w:val="0"/>
              <w:widowControl/>
              <w:suppressLineNumbers w:val="0"/>
              <w:jc w:val="left"/>
              <w:textAlignment w:val="bottom"/>
              <w:rPr>
                <w:rFonts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600096</w:t>
            </w:r>
          </w:p>
        </w:tc>
        <w:tc>
          <w:tcPr>
            <w:tcW w:w="1489" w:type="dxa"/>
            <w:tcBorders>
              <w:top w:val="single" w:color="000000" w:sz="8" w:space="0"/>
              <w:left w:val="single" w:color="000000" w:sz="8" w:space="0"/>
              <w:bottom w:val="single" w:color="000000" w:sz="8" w:space="0"/>
              <w:right w:val="single" w:color="000000" w:sz="8" w:space="0"/>
            </w:tcBorders>
            <w:vAlign w:val="bottom"/>
          </w:tcPr>
          <w:p w14:paraId="56533B52">
            <w:pPr>
              <w:keepNext w:val="0"/>
              <w:keepLines w:val="0"/>
              <w:widowControl/>
              <w:suppressLineNumbers w:val="0"/>
              <w:jc w:val="lef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云天化</w:t>
            </w:r>
          </w:p>
        </w:tc>
        <w:tc>
          <w:tcPr>
            <w:tcW w:w="1645" w:type="dxa"/>
            <w:tcBorders>
              <w:top w:val="single" w:color="000000" w:sz="8" w:space="0"/>
              <w:left w:val="single" w:color="000000" w:sz="8" w:space="0"/>
              <w:bottom w:val="single" w:color="000000" w:sz="8" w:space="0"/>
              <w:right w:val="single" w:color="000000" w:sz="8" w:space="0"/>
            </w:tcBorders>
            <w:vAlign w:val="bottom"/>
          </w:tcPr>
          <w:p w14:paraId="12ED374F">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58,400.00 </w:t>
            </w:r>
          </w:p>
        </w:tc>
        <w:tc>
          <w:tcPr>
            <w:tcW w:w="2035" w:type="dxa"/>
            <w:tcBorders>
              <w:top w:val="single" w:color="000000" w:sz="8" w:space="0"/>
              <w:left w:val="single" w:color="000000" w:sz="8" w:space="0"/>
              <w:bottom w:val="single" w:color="000000" w:sz="8" w:space="0"/>
              <w:right w:val="single" w:color="000000" w:sz="8" w:space="0"/>
            </w:tcBorders>
            <w:vAlign w:val="bottom"/>
          </w:tcPr>
          <w:p w14:paraId="71C85F87">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1,744,408.00 </w:t>
            </w:r>
          </w:p>
        </w:tc>
        <w:tc>
          <w:tcPr>
            <w:tcW w:w="1368" w:type="dxa"/>
            <w:tcBorders>
              <w:top w:val="single" w:color="000000" w:sz="8" w:space="0"/>
              <w:left w:val="single" w:color="000000" w:sz="8" w:space="0"/>
              <w:bottom w:val="single" w:color="000000" w:sz="8" w:space="0"/>
              <w:right w:val="single" w:color="000000" w:sz="8" w:space="0"/>
            </w:tcBorders>
            <w:vAlign w:val="bottom"/>
          </w:tcPr>
          <w:p w14:paraId="2FA1354F">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0.82</w:t>
            </w:r>
          </w:p>
        </w:tc>
      </w:tr>
      <w:tr w14:paraId="2E6EF3B3">
        <w:tblPrEx>
          <w:tblCellMar>
            <w:top w:w="0" w:type="dxa"/>
            <w:left w:w="108" w:type="dxa"/>
            <w:bottom w:w="0" w:type="dxa"/>
            <w:right w:w="108" w:type="dxa"/>
          </w:tblCellMar>
        </w:tblPrEx>
        <w:trPr>
          <w:trHeight w:val="300" w:hRule="atLeast"/>
        </w:trPr>
        <w:tc>
          <w:tcPr>
            <w:tcW w:w="656" w:type="dxa"/>
            <w:tcBorders>
              <w:top w:val="single" w:color="000000" w:sz="8" w:space="0"/>
              <w:left w:val="single" w:color="000000" w:sz="8" w:space="0"/>
              <w:bottom w:val="single" w:color="000000" w:sz="8" w:space="0"/>
              <w:right w:val="single" w:color="000000" w:sz="8" w:space="0"/>
            </w:tcBorders>
            <w:vAlign w:val="center"/>
          </w:tcPr>
          <w:p w14:paraId="1EEEFEDD">
            <w:pPr>
              <w:jc w:val="center"/>
              <w:rPr>
                <w:color w:val="000000"/>
                <w:sz w:val="21"/>
                <w:szCs w:val="21"/>
                <w:highlight w:val="none"/>
              </w:rPr>
            </w:pPr>
            <w:r>
              <w:rPr>
                <w:color w:val="000000"/>
                <w:sz w:val="21"/>
                <w:szCs w:val="21"/>
              </w:rPr>
              <w:t>10</w:t>
            </w:r>
          </w:p>
        </w:tc>
        <w:tc>
          <w:tcPr>
            <w:tcW w:w="1280" w:type="dxa"/>
            <w:tcBorders>
              <w:top w:val="single" w:color="000000" w:sz="8" w:space="0"/>
              <w:left w:val="single" w:color="000000" w:sz="8" w:space="0"/>
              <w:bottom w:val="single" w:color="000000" w:sz="8" w:space="0"/>
              <w:right w:val="single" w:color="000000" w:sz="8" w:space="0"/>
            </w:tcBorders>
            <w:vAlign w:val="bottom"/>
          </w:tcPr>
          <w:p w14:paraId="6CCC6FF6">
            <w:pPr>
              <w:keepNext w:val="0"/>
              <w:keepLines w:val="0"/>
              <w:widowControl/>
              <w:suppressLineNumbers w:val="0"/>
              <w:jc w:val="left"/>
              <w:textAlignment w:val="bottom"/>
              <w:rPr>
                <w:rFonts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002407</w:t>
            </w:r>
          </w:p>
        </w:tc>
        <w:tc>
          <w:tcPr>
            <w:tcW w:w="1489" w:type="dxa"/>
            <w:tcBorders>
              <w:top w:val="single" w:color="000000" w:sz="8" w:space="0"/>
              <w:left w:val="single" w:color="000000" w:sz="8" w:space="0"/>
              <w:bottom w:val="single" w:color="000000" w:sz="8" w:space="0"/>
              <w:right w:val="single" w:color="000000" w:sz="8" w:space="0"/>
            </w:tcBorders>
            <w:vAlign w:val="bottom"/>
          </w:tcPr>
          <w:p w14:paraId="3DB2DB1B">
            <w:pPr>
              <w:keepNext w:val="0"/>
              <w:keepLines w:val="0"/>
              <w:widowControl/>
              <w:suppressLineNumbers w:val="0"/>
              <w:jc w:val="lef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多氟多</w:t>
            </w:r>
          </w:p>
        </w:tc>
        <w:tc>
          <w:tcPr>
            <w:tcW w:w="1645" w:type="dxa"/>
            <w:tcBorders>
              <w:top w:val="single" w:color="000000" w:sz="8" w:space="0"/>
              <w:left w:val="single" w:color="000000" w:sz="8" w:space="0"/>
              <w:bottom w:val="single" w:color="000000" w:sz="8" w:space="0"/>
              <w:right w:val="single" w:color="000000" w:sz="8" w:space="0"/>
            </w:tcBorders>
            <w:vAlign w:val="bottom"/>
          </w:tcPr>
          <w:p w14:paraId="5ED46F14">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54,500.00 </w:t>
            </w:r>
          </w:p>
        </w:tc>
        <w:tc>
          <w:tcPr>
            <w:tcW w:w="2035" w:type="dxa"/>
            <w:tcBorders>
              <w:top w:val="single" w:color="000000" w:sz="8" w:space="0"/>
              <w:left w:val="single" w:color="000000" w:sz="8" w:space="0"/>
              <w:bottom w:val="single" w:color="000000" w:sz="8" w:space="0"/>
              <w:right w:val="single" w:color="000000" w:sz="8" w:space="0"/>
            </w:tcBorders>
            <w:vAlign w:val="bottom"/>
          </w:tcPr>
          <w:p w14:paraId="7487EE34">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1,713,480.00 </w:t>
            </w:r>
          </w:p>
        </w:tc>
        <w:tc>
          <w:tcPr>
            <w:tcW w:w="1368" w:type="dxa"/>
            <w:tcBorders>
              <w:top w:val="single" w:color="000000" w:sz="8" w:space="0"/>
              <w:left w:val="single" w:color="000000" w:sz="8" w:space="0"/>
              <w:bottom w:val="single" w:color="000000" w:sz="8" w:space="0"/>
              <w:right w:val="single" w:color="000000" w:sz="8" w:space="0"/>
            </w:tcBorders>
            <w:vAlign w:val="bottom"/>
          </w:tcPr>
          <w:p w14:paraId="532E60EA">
            <w:pPr>
              <w:keepNext w:val="0"/>
              <w:keepLines w:val="0"/>
              <w:widowControl/>
              <w:suppressLineNumbers w:val="0"/>
              <w:jc w:val="right"/>
              <w:textAlignment w:val="bottom"/>
              <w:rPr>
                <w:rFonts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0.81</w:t>
            </w:r>
          </w:p>
        </w:tc>
      </w:tr>
    </w:tbl>
    <w:p w14:paraId="6AEEDA42">
      <w:pPr>
        <w:widowControl/>
        <w:snapToGrid w:val="0"/>
        <w:spacing w:line="360" w:lineRule="auto"/>
        <w:rPr>
          <w:color w:val="000000"/>
          <w:kern w:val="0"/>
          <w:sz w:val="24"/>
          <w:highlight w:val="none"/>
        </w:rPr>
      </w:pPr>
      <w:r>
        <w:rPr>
          <w:color w:val="000000"/>
          <w:kern w:val="0"/>
          <w:sz w:val="24"/>
        </w:rPr>
        <w:t>（四）按券种分类的债券投资组合</w:t>
      </w:r>
    </w:p>
    <w:p w14:paraId="0B333D1F">
      <w:pPr>
        <w:widowControl/>
        <w:snapToGrid w:val="0"/>
        <w:spacing w:line="360" w:lineRule="auto"/>
        <w:rPr>
          <w:color w:val="000000"/>
          <w:kern w:val="0"/>
          <w:sz w:val="24"/>
          <w:highlight w:val="none"/>
        </w:rPr>
      </w:pPr>
      <w:r>
        <w:rPr>
          <w:color w:val="000000"/>
          <w:kern w:val="0"/>
          <w:sz w:val="24"/>
        </w:rPr>
        <w:t>截至</w:t>
      </w:r>
      <w:r>
        <w:rPr>
          <w:rFonts w:hint="eastAsia"/>
          <w:color w:val="000000"/>
          <w:kern w:val="0"/>
          <w:sz w:val="24"/>
          <w:lang w:eastAsia="zh-CN"/>
        </w:rPr>
        <w:t>2026年7月31日</w:t>
      </w:r>
      <w:r>
        <w:rPr>
          <w:color w:val="000000"/>
          <w:kern w:val="0"/>
          <w:sz w:val="24"/>
        </w:rPr>
        <w:t>，本基金未持有债券。</w:t>
      </w:r>
    </w:p>
    <w:p w14:paraId="4AC17F28">
      <w:pPr>
        <w:widowControl/>
        <w:snapToGrid w:val="0"/>
        <w:spacing w:line="360" w:lineRule="auto"/>
        <w:rPr>
          <w:color w:val="000000"/>
          <w:kern w:val="0"/>
          <w:sz w:val="24"/>
          <w:highlight w:val="none"/>
        </w:rPr>
      </w:pPr>
      <w:r>
        <w:rPr>
          <w:color w:val="000000"/>
          <w:kern w:val="0"/>
          <w:sz w:val="24"/>
        </w:rPr>
        <w:t>（五）按公允价值占基金资产净值比例大小排序的前五名债券明细</w:t>
      </w:r>
    </w:p>
    <w:p w14:paraId="5488B7F2">
      <w:pPr>
        <w:widowControl/>
        <w:snapToGrid w:val="0"/>
        <w:spacing w:line="360" w:lineRule="auto"/>
        <w:rPr>
          <w:color w:val="000000"/>
          <w:kern w:val="0"/>
          <w:sz w:val="24"/>
          <w:highlight w:val="none"/>
        </w:rPr>
      </w:pPr>
      <w:r>
        <w:rPr>
          <w:color w:val="000000"/>
          <w:kern w:val="0"/>
          <w:sz w:val="24"/>
        </w:rPr>
        <w:t>截至</w:t>
      </w:r>
      <w:r>
        <w:rPr>
          <w:rFonts w:hint="eastAsia"/>
          <w:color w:val="000000"/>
          <w:kern w:val="0"/>
          <w:sz w:val="24"/>
          <w:lang w:eastAsia="zh-CN"/>
        </w:rPr>
        <w:t>2026年7月31日</w:t>
      </w:r>
      <w:r>
        <w:rPr>
          <w:color w:val="000000"/>
          <w:kern w:val="0"/>
          <w:sz w:val="24"/>
        </w:rPr>
        <w:t>，本基金未持有债券。</w:t>
      </w:r>
    </w:p>
    <w:p w14:paraId="0119FC43">
      <w:pPr>
        <w:snapToGrid w:val="0"/>
        <w:spacing w:line="360" w:lineRule="auto"/>
        <w:rPr>
          <w:color w:val="000000"/>
          <w:kern w:val="0"/>
          <w:sz w:val="24"/>
          <w:highlight w:val="none"/>
        </w:rPr>
      </w:pPr>
      <w:r>
        <w:rPr>
          <w:color w:val="000000"/>
          <w:kern w:val="0"/>
          <w:sz w:val="24"/>
        </w:rPr>
        <w:t>（六）按公允价值占净值比例大小排序的前十名资产支持证券投资明细</w:t>
      </w:r>
      <w:r>
        <w:rPr>
          <w:rFonts w:eastAsia="Times New Roman"/>
          <w:color w:val="000000"/>
          <w:kern w:val="0"/>
          <w:sz w:val="24"/>
        </w:rPr>
        <w:t xml:space="preserve"> </w:t>
      </w:r>
    </w:p>
    <w:p w14:paraId="13F15D2C">
      <w:pPr>
        <w:snapToGrid w:val="0"/>
        <w:spacing w:line="360" w:lineRule="auto"/>
        <w:rPr>
          <w:color w:val="000000"/>
          <w:kern w:val="0"/>
          <w:sz w:val="24"/>
          <w:highlight w:val="none"/>
        </w:rPr>
      </w:pPr>
      <w:r>
        <w:rPr>
          <w:color w:val="000000"/>
          <w:kern w:val="0"/>
          <w:sz w:val="24"/>
        </w:rPr>
        <w:t>截至</w:t>
      </w:r>
      <w:r>
        <w:rPr>
          <w:rFonts w:hint="eastAsia"/>
          <w:color w:val="000000"/>
          <w:kern w:val="0"/>
          <w:sz w:val="24"/>
          <w:lang w:eastAsia="zh-CN"/>
        </w:rPr>
        <w:t>2026年7月31日</w:t>
      </w:r>
      <w:r>
        <w:rPr>
          <w:color w:val="000000"/>
          <w:kern w:val="0"/>
          <w:sz w:val="24"/>
        </w:rPr>
        <w:t xml:space="preserve">，本基金未持有资产支持证券。 </w:t>
      </w:r>
    </w:p>
    <w:p w14:paraId="53F29753">
      <w:pPr>
        <w:snapToGrid w:val="0"/>
        <w:spacing w:line="360" w:lineRule="auto"/>
        <w:rPr>
          <w:color w:val="000000"/>
          <w:kern w:val="0"/>
          <w:sz w:val="24"/>
          <w:highlight w:val="none"/>
        </w:rPr>
      </w:pPr>
      <w:r>
        <w:rPr>
          <w:color w:val="000000"/>
          <w:kern w:val="0"/>
          <w:sz w:val="24"/>
        </w:rPr>
        <w:t>（七）按公允价值占基金资产净值比例大小排序的前五名贵金属投资明细</w:t>
      </w:r>
      <w:r>
        <w:rPr>
          <w:rFonts w:eastAsia="Times New Roman"/>
          <w:color w:val="000000"/>
          <w:kern w:val="0"/>
          <w:sz w:val="24"/>
        </w:rPr>
        <w:t xml:space="preserve"> </w:t>
      </w:r>
    </w:p>
    <w:p w14:paraId="533D4946">
      <w:pPr>
        <w:snapToGrid w:val="0"/>
        <w:spacing w:line="360" w:lineRule="auto"/>
        <w:rPr>
          <w:color w:val="000000"/>
          <w:kern w:val="0"/>
          <w:sz w:val="24"/>
          <w:highlight w:val="none"/>
        </w:rPr>
      </w:pPr>
      <w:r>
        <w:rPr>
          <w:color w:val="000000"/>
          <w:kern w:val="0"/>
          <w:sz w:val="24"/>
        </w:rPr>
        <w:t>截至</w:t>
      </w:r>
      <w:r>
        <w:rPr>
          <w:rFonts w:hint="eastAsia"/>
          <w:color w:val="000000"/>
          <w:kern w:val="0"/>
          <w:sz w:val="24"/>
          <w:lang w:eastAsia="zh-CN"/>
        </w:rPr>
        <w:t>2026年7月31日</w:t>
      </w:r>
      <w:r>
        <w:rPr>
          <w:color w:val="000000"/>
          <w:kern w:val="0"/>
          <w:sz w:val="24"/>
        </w:rPr>
        <w:t>，本基金未持有贵金属。</w:t>
      </w:r>
    </w:p>
    <w:p w14:paraId="659AB815">
      <w:pPr>
        <w:snapToGrid w:val="0"/>
        <w:spacing w:line="360" w:lineRule="auto"/>
        <w:rPr>
          <w:color w:val="000000"/>
          <w:kern w:val="0"/>
          <w:sz w:val="24"/>
          <w:highlight w:val="none"/>
        </w:rPr>
      </w:pPr>
      <w:r>
        <w:rPr>
          <w:color w:val="000000"/>
          <w:kern w:val="0"/>
          <w:sz w:val="24"/>
        </w:rPr>
        <w:t>（八）按公允价值占净值比例大小排序的前五名权证投资明细</w:t>
      </w:r>
      <w:r>
        <w:rPr>
          <w:rFonts w:eastAsia="Times New Roman"/>
          <w:color w:val="000000"/>
          <w:kern w:val="0"/>
          <w:sz w:val="24"/>
        </w:rPr>
        <w:t xml:space="preserve"> </w:t>
      </w:r>
    </w:p>
    <w:p w14:paraId="141A3320">
      <w:pPr>
        <w:snapToGrid w:val="0"/>
        <w:spacing w:line="360" w:lineRule="auto"/>
        <w:rPr>
          <w:color w:val="000000"/>
          <w:kern w:val="0"/>
          <w:sz w:val="24"/>
          <w:highlight w:val="none"/>
        </w:rPr>
      </w:pPr>
      <w:r>
        <w:rPr>
          <w:color w:val="000000"/>
          <w:kern w:val="0"/>
          <w:sz w:val="24"/>
        </w:rPr>
        <w:t>截至</w:t>
      </w:r>
      <w:r>
        <w:rPr>
          <w:rFonts w:hint="eastAsia"/>
          <w:color w:val="000000"/>
          <w:kern w:val="0"/>
          <w:sz w:val="24"/>
          <w:lang w:eastAsia="zh-CN"/>
        </w:rPr>
        <w:t>2026年7月31日</w:t>
      </w:r>
      <w:r>
        <w:rPr>
          <w:color w:val="000000"/>
          <w:kern w:val="0"/>
          <w:sz w:val="24"/>
        </w:rPr>
        <w:t>，本基金未持有权证。</w:t>
      </w:r>
    </w:p>
    <w:p w14:paraId="319C6BC4">
      <w:pPr>
        <w:snapToGrid w:val="0"/>
        <w:spacing w:line="360" w:lineRule="auto"/>
        <w:rPr>
          <w:color w:val="000000"/>
          <w:kern w:val="0"/>
          <w:sz w:val="24"/>
          <w:highlight w:val="none"/>
        </w:rPr>
      </w:pPr>
      <w:r>
        <w:rPr>
          <w:color w:val="000000"/>
          <w:kern w:val="0"/>
          <w:sz w:val="24"/>
        </w:rPr>
        <w:t>（九）本基金投资的股指期货交易情况说明</w:t>
      </w:r>
      <w:r>
        <w:rPr>
          <w:rFonts w:eastAsia="Times New Roman"/>
          <w:color w:val="000000"/>
          <w:kern w:val="0"/>
          <w:sz w:val="24"/>
        </w:rPr>
        <w:t xml:space="preserve"> </w:t>
      </w:r>
    </w:p>
    <w:p w14:paraId="0266A3A1">
      <w:pPr>
        <w:widowControl/>
        <w:snapToGrid w:val="0"/>
        <w:spacing w:line="360" w:lineRule="auto"/>
        <w:rPr>
          <w:color w:val="000000"/>
          <w:kern w:val="0"/>
          <w:sz w:val="24"/>
          <w:highlight w:val="none"/>
        </w:rPr>
      </w:pPr>
      <w:r>
        <w:rPr>
          <w:color w:val="000000"/>
          <w:kern w:val="0"/>
          <w:sz w:val="24"/>
        </w:rPr>
        <w:t>截至</w:t>
      </w:r>
      <w:r>
        <w:rPr>
          <w:rFonts w:hint="eastAsia"/>
          <w:color w:val="000000"/>
          <w:kern w:val="0"/>
          <w:sz w:val="24"/>
          <w:lang w:eastAsia="zh-CN"/>
        </w:rPr>
        <w:t>2026年7月31日</w:t>
      </w:r>
      <w:r>
        <w:rPr>
          <w:color w:val="000000"/>
          <w:kern w:val="0"/>
          <w:sz w:val="24"/>
        </w:rPr>
        <w:t>，本基金未持有股指期货。</w:t>
      </w:r>
    </w:p>
    <w:p w14:paraId="1738961D">
      <w:pPr>
        <w:snapToGrid w:val="0"/>
        <w:spacing w:line="360" w:lineRule="auto"/>
        <w:rPr>
          <w:color w:val="000000"/>
          <w:kern w:val="0"/>
          <w:sz w:val="24"/>
          <w:highlight w:val="none"/>
        </w:rPr>
      </w:pPr>
      <w:r>
        <w:rPr>
          <w:color w:val="000000"/>
          <w:kern w:val="0"/>
          <w:sz w:val="24"/>
        </w:rPr>
        <w:t>（十）本基金投资的国债期货交易情况说明</w:t>
      </w:r>
      <w:r>
        <w:rPr>
          <w:rFonts w:eastAsia="Times New Roman"/>
          <w:color w:val="000000"/>
          <w:kern w:val="0"/>
          <w:sz w:val="24"/>
        </w:rPr>
        <w:t xml:space="preserve"> </w:t>
      </w:r>
    </w:p>
    <w:p w14:paraId="1C134267">
      <w:pPr>
        <w:widowControl/>
        <w:snapToGrid w:val="0"/>
        <w:spacing w:line="360" w:lineRule="auto"/>
        <w:rPr>
          <w:color w:val="000000"/>
          <w:kern w:val="0"/>
          <w:sz w:val="24"/>
          <w:highlight w:val="none"/>
        </w:rPr>
      </w:pPr>
      <w:r>
        <w:rPr>
          <w:color w:val="000000"/>
          <w:kern w:val="0"/>
          <w:sz w:val="24"/>
        </w:rPr>
        <w:t>截至</w:t>
      </w:r>
      <w:r>
        <w:rPr>
          <w:rFonts w:hint="eastAsia"/>
          <w:color w:val="000000"/>
          <w:kern w:val="0"/>
          <w:sz w:val="24"/>
          <w:lang w:eastAsia="zh-CN"/>
        </w:rPr>
        <w:t>2026年7月31日</w:t>
      </w:r>
      <w:r>
        <w:rPr>
          <w:color w:val="000000"/>
          <w:kern w:val="0"/>
          <w:sz w:val="24"/>
        </w:rPr>
        <w:t>，本基金未持有国债期货。</w:t>
      </w:r>
    </w:p>
    <w:p w14:paraId="125D96D8">
      <w:pPr>
        <w:widowControl/>
        <w:snapToGrid w:val="0"/>
        <w:spacing w:line="360" w:lineRule="auto"/>
        <w:rPr>
          <w:color w:val="000000"/>
          <w:kern w:val="0"/>
          <w:sz w:val="24"/>
          <w:highlight w:val="none"/>
        </w:rPr>
      </w:pPr>
      <w:r>
        <w:rPr>
          <w:color w:val="000000"/>
          <w:kern w:val="0"/>
          <w:sz w:val="24"/>
        </w:rPr>
        <w:t>（十一）投资组合报告附注</w:t>
      </w:r>
    </w:p>
    <w:p w14:paraId="3D3B2F74">
      <w:pPr>
        <w:widowControl/>
        <w:snapToGrid w:val="0"/>
        <w:spacing w:line="360" w:lineRule="auto"/>
        <w:ind w:right="0" w:firstLine="480"/>
        <w:rPr>
          <w:color w:val="000000"/>
          <w:kern w:val="0"/>
          <w:sz w:val="24"/>
          <w:highlight w:val="none"/>
        </w:rPr>
      </w:pPr>
      <w:r>
        <w:rPr>
          <w:color w:val="000000"/>
          <w:kern w:val="0"/>
          <w:sz w:val="24"/>
        </w:rPr>
        <w:t>1、</w:t>
      </w:r>
      <w:r>
        <w:rPr>
          <w:rFonts w:eastAsia="Times New Roman"/>
          <w:color w:val="000000"/>
          <w:kern w:val="0"/>
          <w:sz w:val="24"/>
        </w:rPr>
        <w:t xml:space="preserve"> </w:t>
      </w:r>
      <w:r>
        <w:rPr>
          <w:color w:val="000000"/>
          <w:kern w:val="0"/>
          <w:sz w:val="24"/>
        </w:rPr>
        <w:t>基金投资前十名证券的发行主体被监管部门立案调查或编制日前一年内受到公开谴责、处罚的投资决策程序说明</w:t>
      </w:r>
    </w:p>
    <w:p w14:paraId="748C694F">
      <w:pPr>
        <w:widowControl/>
        <w:snapToGrid w:val="0"/>
        <w:spacing w:line="360" w:lineRule="auto"/>
        <w:ind w:right="0" w:firstLine="480"/>
        <w:rPr>
          <w:rFonts w:hint="eastAsia"/>
          <w:color w:val="000000"/>
          <w:kern w:val="0"/>
          <w:sz w:val="24"/>
        </w:rPr>
      </w:pPr>
      <w:r>
        <w:rPr>
          <w:rFonts w:hint="eastAsia"/>
          <w:color w:val="000000"/>
          <w:kern w:val="0"/>
          <w:sz w:val="24"/>
        </w:rPr>
        <w:t>本基金投资的前十名证券的发行主体中，宁夏宝丰能源集团股份有限公司在报告期内受到宁夏回族自治区宁东能源化工基地管理委员会、宁东镇人民政府的处罚。本基金对上述证券的投资决策程序符合相关法规及公司制度的要求。</w:t>
      </w:r>
    </w:p>
    <w:p w14:paraId="13E44F69">
      <w:pPr>
        <w:widowControl/>
        <w:snapToGrid w:val="0"/>
        <w:spacing w:line="360" w:lineRule="auto"/>
        <w:ind w:right="0" w:firstLine="480"/>
        <w:rPr>
          <w:color w:val="000000"/>
          <w:kern w:val="0"/>
          <w:sz w:val="24"/>
        </w:rPr>
      </w:pPr>
      <w:r>
        <w:rPr>
          <w:rFonts w:hint="eastAsia"/>
          <w:color w:val="000000"/>
          <w:kern w:val="0"/>
          <w:sz w:val="24"/>
        </w:rPr>
        <w:t>除上述主体外，基金管理人未发现本基金投资的前十名证券发行主体出现本期被监管部门立案调查，或在报告编制日前一年受到公开谴责、处罚的情形。</w:t>
      </w:r>
    </w:p>
    <w:p w14:paraId="5EFDDCB5">
      <w:pPr>
        <w:widowControl/>
        <w:snapToGrid w:val="0"/>
        <w:spacing w:line="360" w:lineRule="auto"/>
        <w:ind w:right="0" w:firstLine="480"/>
        <w:rPr>
          <w:color w:val="000000"/>
          <w:kern w:val="0"/>
          <w:sz w:val="24"/>
          <w:highlight w:val="none"/>
        </w:rPr>
      </w:pPr>
      <w:r>
        <w:rPr>
          <w:color w:val="000000"/>
          <w:kern w:val="0"/>
          <w:sz w:val="24"/>
        </w:rPr>
        <w:t>2、本基金前十名股票中，没有投资于超出基金合同规定备选股票库之外的股票。</w:t>
      </w:r>
    </w:p>
    <w:p w14:paraId="1DB4BEEF">
      <w:pPr>
        <w:widowControl/>
        <w:snapToGrid w:val="0"/>
        <w:spacing w:line="360" w:lineRule="auto"/>
        <w:ind w:right="0" w:firstLine="480"/>
        <w:rPr>
          <w:color w:val="000000"/>
          <w:kern w:val="0"/>
          <w:sz w:val="24"/>
          <w:highlight w:val="none"/>
        </w:rPr>
      </w:pPr>
      <w:r>
        <w:rPr>
          <w:color w:val="000000"/>
          <w:kern w:val="0"/>
          <w:sz w:val="24"/>
        </w:rPr>
        <w:t>3、其他资产构成如下：</w:t>
      </w:r>
    </w:p>
    <w:tbl>
      <w:tblPr>
        <w:tblStyle w:val="28"/>
        <w:tblW w:w="7972" w:type="dxa"/>
        <w:tblInd w:w="102" w:type="dxa"/>
        <w:tblLayout w:type="fixed"/>
        <w:tblCellMar>
          <w:top w:w="0" w:type="dxa"/>
          <w:left w:w="108" w:type="dxa"/>
          <w:bottom w:w="0" w:type="dxa"/>
          <w:right w:w="108" w:type="dxa"/>
        </w:tblCellMar>
      </w:tblPr>
      <w:tblGrid>
        <w:gridCol w:w="907"/>
        <w:gridCol w:w="2246"/>
        <w:gridCol w:w="4819"/>
      </w:tblGrid>
      <w:tr w14:paraId="53FB951B">
        <w:tblPrEx>
          <w:tblCellMar>
            <w:top w:w="0" w:type="dxa"/>
            <w:left w:w="108" w:type="dxa"/>
            <w:bottom w:w="0" w:type="dxa"/>
            <w:right w:w="108" w:type="dxa"/>
          </w:tblCellMar>
        </w:tblPrEx>
        <w:trPr>
          <w:trHeight w:val="285" w:hRule="atLeast"/>
        </w:trPr>
        <w:tc>
          <w:tcPr>
            <w:tcW w:w="907" w:type="dxa"/>
            <w:tcBorders>
              <w:top w:val="single" w:color="000000" w:sz="4" w:space="0"/>
              <w:left w:val="single" w:color="000000" w:sz="4" w:space="0"/>
              <w:bottom w:val="single" w:color="000000" w:sz="4" w:space="0"/>
              <w:right w:val="single" w:color="000000" w:sz="4" w:space="0"/>
            </w:tcBorders>
            <w:vAlign w:val="center"/>
          </w:tcPr>
          <w:p w14:paraId="3BC197EE">
            <w:pPr>
              <w:widowControl/>
              <w:snapToGrid w:val="0"/>
              <w:spacing w:line="360" w:lineRule="auto"/>
              <w:jc w:val="center"/>
              <w:rPr>
                <w:color w:val="000000"/>
                <w:kern w:val="0"/>
                <w:szCs w:val="21"/>
                <w:highlight w:val="none"/>
              </w:rPr>
            </w:pPr>
            <w:r>
              <w:rPr>
                <w:color w:val="000000"/>
                <w:kern w:val="0"/>
                <w:szCs w:val="21"/>
              </w:rPr>
              <w:t>序号</w:t>
            </w:r>
          </w:p>
        </w:tc>
        <w:tc>
          <w:tcPr>
            <w:tcW w:w="2246" w:type="dxa"/>
            <w:tcBorders>
              <w:top w:val="single" w:color="000000" w:sz="4" w:space="0"/>
              <w:bottom w:val="single" w:color="000000" w:sz="4" w:space="0"/>
              <w:right w:val="single" w:color="000000" w:sz="4" w:space="0"/>
            </w:tcBorders>
            <w:vAlign w:val="center"/>
          </w:tcPr>
          <w:p w14:paraId="05123E70">
            <w:pPr>
              <w:widowControl/>
              <w:snapToGrid w:val="0"/>
              <w:spacing w:line="360" w:lineRule="auto"/>
              <w:jc w:val="center"/>
              <w:rPr>
                <w:color w:val="000000"/>
                <w:kern w:val="0"/>
                <w:szCs w:val="21"/>
                <w:highlight w:val="none"/>
              </w:rPr>
            </w:pPr>
            <w:r>
              <w:rPr>
                <w:color w:val="000000"/>
                <w:kern w:val="0"/>
                <w:szCs w:val="21"/>
              </w:rPr>
              <w:t>其他资产</w:t>
            </w:r>
          </w:p>
        </w:tc>
        <w:tc>
          <w:tcPr>
            <w:tcW w:w="4819" w:type="dxa"/>
            <w:tcBorders>
              <w:top w:val="single" w:color="000000" w:sz="4" w:space="0"/>
              <w:bottom w:val="single" w:color="000000" w:sz="4" w:space="0"/>
              <w:right w:val="single" w:color="000000" w:sz="4" w:space="0"/>
            </w:tcBorders>
            <w:vAlign w:val="center"/>
          </w:tcPr>
          <w:p w14:paraId="21C1EBF0">
            <w:pPr>
              <w:widowControl/>
              <w:snapToGrid w:val="0"/>
              <w:spacing w:line="360" w:lineRule="auto"/>
              <w:jc w:val="center"/>
              <w:rPr>
                <w:color w:val="000000"/>
                <w:kern w:val="0"/>
                <w:szCs w:val="21"/>
                <w:highlight w:val="none"/>
              </w:rPr>
            </w:pPr>
            <w:r>
              <w:rPr>
                <w:color w:val="000000"/>
                <w:kern w:val="0"/>
                <w:szCs w:val="21"/>
              </w:rPr>
              <w:t>金额（元）</w:t>
            </w:r>
          </w:p>
        </w:tc>
      </w:tr>
      <w:tr w14:paraId="4C5CE37D">
        <w:tblPrEx>
          <w:tblCellMar>
            <w:top w:w="0" w:type="dxa"/>
            <w:left w:w="108" w:type="dxa"/>
            <w:bottom w:w="0" w:type="dxa"/>
            <w:right w:w="108" w:type="dxa"/>
          </w:tblCellMar>
        </w:tblPrEx>
        <w:trPr>
          <w:trHeight w:val="285" w:hRule="atLeast"/>
        </w:trPr>
        <w:tc>
          <w:tcPr>
            <w:tcW w:w="907" w:type="dxa"/>
            <w:tcBorders>
              <w:top w:val="single" w:color="000000" w:sz="4" w:space="0"/>
              <w:left w:val="single" w:color="000000" w:sz="4" w:space="0"/>
              <w:bottom w:val="single" w:color="000000" w:sz="4" w:space="0"/>
              <w:right w:val="single" w:color="000000" w:sz="4" w:space="0"/>
            </w:tcBorders>
            <w:vAlign w:val="center"/>
          </w:tcPr>
          <w:p w14:paraId="095E8AB4">
            <w:pPr>
              <w:widowControl/>
              <w:snapToGrid w:val="0"/>
              <w:spacing w:line="360" w:lineRule="auto"/>
              <w:jc w:val="center"/>
              <w:rPr>
                <w:color w:val="000000"/>
                <w:kern w:val="0"/>
                <w:szCs w:val="21"/>
                <w:highlight w:val="none"/>
              </w:rPr>
            </w:pPr>
            <w:r>
              <w:rPr>
                <w:color w:val="000000"/>
                <w:kern w:val="0"/>
                <w:szCs w:val="21"/>
              </w:rPr>
              <w:t>1</w:t>
            </w:r>
          </w:p>
        </w:tc>
        <w:tc>
          <w:tcPr>
            <w:tcW w:w="2246" w:type="dxa"/>
            <w:tcBorders>
              <w:top w:val="single" w:color="000000" w:sz="4" w:space="0"/>
              <w:bottom w:val="single" w:color="000000" w:sz="4" w:space="0"/>
              <w:right w:val="single" w:color="000000" w:sz="4" w:space="0"/>
            </w:tcBorders>
            <w:vAlign w:val="center"/>
          </w:tcPr>
          <w:p w14:paraId="448EA929">
            <w:pPr>
              <w:widowControl/>
              <w:snapToGrid w:val="0"/>
              <w:spacing w:line="360" w:lineRule="auto"/>
              <w:jc w:val="left"/>
              <w:rPr>
                <w:color w:val="000000"/>
                <w:kern w:val="0"/>
                <w:szCs w:val="21"/>
                <w:highlight w:val="none"/>
              </w:rPr>
            </w:pPr>
            <w:r>
              <w:rPr>
                <w:color w:val="000000"/>
                <w:kern w:val="0"/>
                <w:szCs w:val="21"/>
              </w:rPr>
              <w:t>存出保证金</w:t>
            </w:r>
          </w:p>
        </w:tc>
        <w:tc>
          <w:tcPr>
            <w:tcW w:w="4819" w:type="dxa"/>
            <w:tcBorders>
              <w:top w:val="single" w:color="000000" w:sz="4" w:space="0"/>
              <w:bottom w:val="single" w:color="000000" w:sz="4" w:space="0"/>
              <w:right w:val="single" w:color="000000" w:sz="4" w:space="0"/>
            </w:tcBorders>
            <w:vAlign w:val="center"/>
          </w:tcPr>
          <w:p w14:paraId="393AA145">
            <w:pPr>
              <w:widowControl/>
              <w:ind w:right="0" w:rightChars="0" w:firstLine="420" w:firstLineChars="0"/>
              <w:jc w:val="right"/>
              <w:textAlignment w:val="center"/>
              <w:rPr>
                <w:color w:val="000000"/>
                <w:kern w:val="0"/>
                <w:szCs w:val="21"/>
                <w:highlight w:val="none"/>
              </w:rPr>
            </w:pPr>
            <w:r>
              <w:rPr>
                <w:rFonts w:ascii="宋体" w:hAnsi="宋体" w:cs="宋体"/>
                <w:color w:val="000000"/>
                <w:kern w:val="0"/>
                <w:szCs w:val="21"/>
                <w:lang w:bidi="ar"/>
              </w:rPr>
              <w:t xml:space="preserve">- </w:t>
            </w:r>
          </w:p>
        </w:tc>
      </w:tr>
      <w:tr w14:paraId="71DFFABC">
        <w:tblPrEx>
          <w:tblCellMar>
            <w:top w:w="0" w:type="dxa"/>
            <w:left w:w="108" w:type="dxa"/>
            <w:bottom w:w="0" w:type="dxa"/>
            <w:right w:w="108" w:type="dxa"/>
          </w:tblCellMar>
        </w:tblPrEx>
        <w:trPr>
          <w:trHeight w:val="285" w:hRule="atLeast"/>
        </w:trPr>
        <w:tc>
          <w:tcPr>
            <w:tcW w:w="907" w:type="dxa"/>
            <w:tcBorders>
              <w:top w:val="single" w:color="000000" w:sz="4" w:space="0"/>
              <w:left w:val="single" w:color="000000" w:sz="4" w:space="0"/>
              <w:bottom w:val="single" w:color="000000" w:sz="4" w:space="0"/>
              <w:right w:val="single" w:color="000000" w:sz="4" w:space="0"/>
            </w:tcBorders>
            <w:vAlign w:val="center"/>
          </w:tcPr>
          <w:p w14:paraId="1FDB293E">
            <w:pPr>
              <w:widowControl/>
              <w:snapToGrid w:val="0"/>
              <w:spacing w:line="360" w:lineRule="auto"/>
              <w:jc w:val="center"/>
              <w:rPr>
                <w:color w:val="000000"/>
                <w:kern w:val="0"/>
                <w:szCs w:val="21"/>
                <w:highlight w:val="none"/>
              </w:rPr>
            </w:pPr>
            <w:r>
              <w:rPr>
                <w:color w:val="000000"/>
                <w:kern w:val="0"/>
                <w:szCs w:val="21"/>
              </w:rPr>
              <w:t>2</w:t>
            </w:r>
          </w:p>
        </w:tc>
        <w:tc>
          <w:tcPr>
            <w:tcW w:w="2246" w:type="dxa"/>
            <w:tcBorders>
              <w:top w:val="single" w:color="000000" w:sz="4" w:space="0"/>
              <w:bottom w:val="single" w:color="000000" w:sz="4" w:space="0"/>
              <w:right w:val="single" w:color="000000" w:sz="4" w:space="0"/>
            </w:tcBorders>
          </w:tcPr>
          <w:p w14:paraId="25E4A504">
            <w:pPr>
              <w:widowControl/>
              <w:snapToGrid w:val="0"/>
              <w:spacing w:line="360" w:lineRule="auto"/>
              <w:jc w:val="left"/>
              <w:rPr>
                <w:color w:val="000000"/>
                <w:kern w:val="0"/>
                <w:szCs w:val="21"/>
                <w:highlight w:val="none"/>
              </w:rPr>
            </w:pPr>
            <w:r>
              <w:rPr>
                <w:color w:val="000000"/>
                <w:kern w:val="0"/>
                <w:szCs w:val="21"/>
              </w:rPr>
              <w:t>应收证券清算款</w:t>
            </w:r>
          </w:p>
        </w:tc>
        <w:tc>
          <w:tcPr>
            <w:tcW w:w="4819" w:type="dxa"/>
            <w:tcBorders>
              <w:top w:val="single" w:color="000000" w:sz="4" w:space="0"/>
              <w:bottom w:val="single" w:color="000000" w:sz="4" w:space="0"/>
              <w:right w:val="single" w:color="000000" w:sz="4" w:space="0"/>
            </w:tcBorders>
            <w:vAlign w:val="center"/>
          </w:tcPr>
          <w:p w14:paraId="44181E26">
            <w:pPr>
              <w:widowControl/>
              <w:ind w:right="0" w:rightChars="0" w:firstLine="420" w:firstLineChars="0"/>
              <w:jc w:val="right"/>
              <w:textAlignment w:val="center"/>
              <w:rPr>
                <w:color w:val="000000"/>
                <w:kern w:val="0"/>
                <w:szCs w:val="21"/>
                <w:highlight w:val="none"/>
              </w:rPr>
            </w:pPr>
            <w:r>
              <w:rPr>
                <w:rFonts w:ascii="宋体" w:hAnsi="宋体" w:cs="宋体"/>
                <w:color w:val="000000"/>
                <w:kern w:val="0"/>
                <w:szCs w:val="21"/>
                <w:lang w:bidi="ar"/>
              </w:rPr>
              <w:t xml:space="preserve">- </w:t>
            </w:r>
          </w:p>
        </w:tc>
      </w:tr>
      <w:tr w14:paraId="29BF0817">
        <w:tblPrEx>
          <w:tblCellMar>
            <w:top w:w="0" w:type="dxa"/>
            <w:left w:w="108" w:type="dxa"/>
            <w:bottom w:w="0" w:type="dxa"/>
            <w:right w:w="108" w:type="dxa"/>
          </w:tblCellMar>
        </w:tblPrEx>
        <w:trPr>
          <w:trHeight w:val="285" w:hRule="atLeast"/>
        </w:trPr>
        <w:tc>
          <w:tcPr>
            <w:tcW w:w="907" w:type="dxa"/>
            <w:tcBorders>
              <w:top w:val="single" w:color="000000" w:sz="4" w:space="0"/>
              <w:left w:val="single" w:color="000000" w:sz="4" w:space="0"/>
              <w:bottom w:val="single" w:color="000000" w:sz="4" w:space="0"/>
              <w:right w:val="single" w:color="000000" w:sz="4" w:space="0"/>
            </w:tcBorders>
            <w:vAlign w:val="center"/>
          </w:tcPr>
          <w:p w14:paraId="28C42EAB">
            <w:pPr>
              <w:widowControl/>
              <w:snapToGrid w:val="0"/>
              <w:spacing w:line="360" w:lineRule="auto"/>
              <w:jc w:val="center"/>
              <w:rPr>
                <w:color w:val="000000"/>
                <w:kern w:val="0"/>
                <w:szCs w:val="21"/>
                <w:highlight w:val="none"/>
              </w:rPr>
            </w:pPr>
            <w:r>
              <w:rPr>
                <w:color w:val="000000"/>
                <w:kern w:val="0"/>
                <w:szCs w:val="21"/>
              </w:rPr>
              <w:t>3</w:t>
            </w:r>
          </w:p>
        </w:tc>
        <w:tc>
          <w:tcPr>
            <w:tcW w:w="2246" w:type="dxa"/>
            <w:tcBorders>
              <w:top w:val="single" w:color="000000" w:sz="4" w:space="0"/>
              <w:bottom w:val="single" w:color="000000" w:sz="4" w:space="0"/>
              <w:right w:val="single" w:color="000000" w:sz="4" w:space="0"/>
            </w:tcBorders>
          </w:tcPr>
          <w:p w14:paraId="4EAD5814">
            <w:pPr>
              <w:widowControl/>
              <w:snapToGrid w:val="0"/>
              <w:spacing w:line="360" w:lineRule="auto"/>
              <w:jc w:val="left"/>
              <w:rPr>
                <w:color w:val="000000"/>
                <w:kern w:val="0"/>
                <w:szCs w:val="21"/>
                <w:highlight w:val="none"/>
              </w:rPr>
            </w:pPr>
            <w:r>
              <w:rPr>
                <w:color w:val="000000"/>
                <w:kern w:val="0"/>
                <w:szCs w:val="21"/>
              </w:rPr>
              <w:t>应收利息</w:t>
            </w:r>
          </w:p>
        </w:tc>
        <w:tc>
          <w:tcPr>
            <w:tcW w:w="4819" w:type="dxa"/>
            <w:tcBorders>
              <w:top w:val="single" w:color="000000" w:sz="4" w:space="0"/>
              <w:bottom w:val="single" w:color="000000" w:sz="4" w:space="0"/>
              <w:right w:val="single" w:color="000000" w:sz="4" w:space="0"/>
            </w:tcBorders>
            <w:vAlign w:val="center"/>
          </w:tcPr>
          <w:p w14:paraId="74AE5751">
            <w:pPr>
              <w:widowControl/>
              <w:ind w:right="0" w:rightChars="0" w:firstLine="420" w:firstLineChars="0"/>
              <w:jc w:val="right"/>
              <w:textAlignment w:val="center"/>
              <w:rPr>
                <w:color w:val="000000"/>
                <w:szCs w:val="21"/>
                <w:highlight w:val="none"/>
              </w:rPr>
            </w:pPr>
            <w:r>
              <w:rPr>
                <w:rFonts w:ascii="宋体" w:hAnsi="宋体" w:cs="宋体"/>
                <w:color w:val="000000"/>
                <w:kern w:val="0"/>
                <w:szCs w:val="21"/>
                <w:lang w:bidi="ar"/>
              </w:rPr>
              <w:t xml:space="preserve">- </w:t>
            </w:r>
          </w:p>
        </w:tc>
      </w:tr>
      <w:tr w14:paraId="79B3108E">
        <w:tblPrEx>
          <w:tblCellMar>
            <w:top w:w="0" w:type="dxa"/>
            <w:left w:w="108" w:type="dxa"/>
            <w:bottom w:w="0" w:type="dxa"/>
            <w:right w:w="108" w:type="dxa"/>
          </w:tblCellMar>
        </w:tblPrEx>
        <w:trPr>
          <w:trHeight w:val="285" w:hRule="atLeast"/>
        </w:trPr>
        <w:tc>
          <w:tcPr>
            <w:tcW w:w="907" w:type="dxa"/>
            <w:tcBorders>
              <w:left w:val="single" w:color="000000" w:sz="4" w:space="0"/>
              <w:bottom w:val="single" w:color="000000" w:sz="4" w:space="0"/>
              <w:right w:val="single" w:color="000000" w:sz="4" w:space="0"/>
            </w:tcBorders>
            <w:vAlign w:val="center"/>
          </w:tcPr>
          <w:p w14:paraId="2CBBB143">
            <w:pPr>
              <w:widowControl/>
              <w:snapToGrid w:val="0"/>
              <w:spacing w:line="360" w:lineRule="auto"/>
              <w:jc w:val="center"/>
              <w:rPr>
                <w:color w:val="000000"/>
                <w:kern w:val="0"/>
                <w:szCs w:val="21"/>
                <w:highlight w:val="none"/>
              </w:rPr>
            </w:pPr>
            <w:r>
              <w:rPr>
                <w:color w:val="000000"/>
                <w:kern w:val="0"/>
                <w:szCs w:val="21"/>
              </w:rPr>
              <w:t>4</w:t>
            </w:r>
          </w:p>
        </w:tc>
        <w:tc>
          <w:tcPr>
            <w:tcW w:w="2246" w:type="dxa"/>
            <w:tcBorders>
              <w:bottom w:val="single" w:color="000000" w:sz="4" w:space="0"/>
              <w:right w:val="single" w:color="000000" w:sz="4" w:space="0"/>
            </w:tcBorders>
          </w:tcPr>
          <w:p w14:paraId="6D062813">
            <w:pPr>
              <w:widowControl/>
              <w:snapToGrid w:val="0"/>
              <w:spacing w:line="360" w:lineRule="auto"/>
              <w:jc w:val="left"/>
              <w:rPr>
                <w:color w:val="000000"/>
                <w:kern w:val="0"/>
                <w:szCs w:val="21"/>
                <w:highlight w:val="none"/>
              </w:rPr>
            </w:pPr>
            <w:r>
              <w:rPr>
                <w:color w:val="000000"/>
                <w:kern w:val="0"/>
                <w:szCs w:val="21"/>
              </w:rPr>
              <w:t>待摊费用</w:t>
            </w:r>
          </w:p>
        </w:tc>
        <w:tc>
          <w:tcPr>
            <w:tcW w:w="4819" w:type="dxa"/>
            <w:tcBorders>
              <w:bottom w:val="single" w:color="000000" w:sz="4" w:space="0"/>
              <w:right w:val="single" w:color="000000" w:sz="4" w:space="0"/>
            </w:tcBorders>
            <w:vAlign w:val="center"/>
          </w:tcPr>
          <w:p w14:paraId="61957154">
            <w:pPr>
              <w:widowControl/>
              <w:snapToGrid w:val="0"/>
              <w:ind w:right="0" w:rightChars="0" w:firstLine="420" w:firstLineChars="0"/>
              <w:jc w:val="right"/>
              <w:textAlignment w:val="center"/>
              <w:rPr>
                <w:color w:val="000000"/>
                <w:kern w:val="0"/>
                <w:szCs w:val="21"/>
                <w:highlight w:val="none"/>
              </w:rPr>
            </w:pPr>
            <w:r>
              <w:rPr>
                <w:rFonts w:hint="eastAsia" w:ascii="宋体" w:hAnsi="宋体" w:cs="宋体"/>
                <w:color w:val="000000"/>
                <w:kern w:val="0"/>
                <w:szCs w:val="21"/>
                <w:highlight w:val="none"/>
                <w:lang w:bidi="ar"/>
              </w:rPr>
              <w:t>-</w:t>
            </w:r>
          </w:p>
        </w:tc>
      </w:tr>
      <w:tr w14:paraId="068431D3">
        <w:tblPrEx>
          <w:tblCellMar>
            <w:top w:w="0" w:type="dxa"/>
            <w:left w:w="108" w:type="dxa"/>
            <w:bottom w:w="0" w:type="dxa"/>
            <w:right w:w="108" w:type="dxa"/>
          </w:tblCellMar>
        </w:tblPrEx>
        <w:trPr>
          <w:trHeight w:val="285" w:hRule="atLeast"/>
        </w:trPr>
        <w:tc>
          <w:tcPr>
            <w:tcW w:w="907" w:type="dxa"/>
            <w:tcBorders>
              <w:left w:val="single" w:color="000000" w:sz="4" w:space="0"/>
              <w:bottom w:val="single" w:color="000000" w:sz="4" w:space="0"/>
              <w:right w:val="single" w:color="000000" w:sz="4" w:space="0"/>
            </w:tcBorders>
            <w:vAlign w:val="center"/>
          </w:tcPr>
          <w:p w14:paraId="0014B0AF">
            <w:pPr>
              <w:widowControl/>
              <w:snapToGrid w:val="0"/>
              <w:spacing w:line="360" w:lineRule="auto"/>
              <w:jc w:val="center"/>
              <w:rPr>
                <w:rFonts w:eastAsia="宋体"/>
                <w:color w:val="000000"/>
                <w:kern w:val="0"/>
                <w:szCs w:val="21"/>
                <w:highlight w:val="none"/>
                <w:lang w:val="en-US" w:eastAsia="zh-CN"/>
              </w:rPr>
            </w:pPr>
            <w:r>
              <w:rPr>
                <w:color w:val="000000"/>
                <w:kern w:val="0"/>
                <w:szCs w:val="21"/>
                <w:lang w:val="en-US" w:eastAsia="zh-CN"/>
              </w:rPr>
              <w:t>5</w:t>
            </w:r>
          </w:p>
        </w:tc>
        <w:tc>
          <w:tcPr>
            <w:tcW w:w="2246" w:type="dxa"/>
            <w:tcBorders>
              <w:bottom w:val="single" w:color="000000" w:sz="4" w:space="0"/>
              <w:right w:val="single" w:color="000000" w:sz="4" w:space="0"/>
            </w:tcBorders>
          </w:tcPr>
          <w:p w14:paraId="39E07EF8">
            <w:pPr>
              <w:widowControl/>
              <w:snapToGrid w:val="0"/>
              <w:spacing w:line="360" w:lineRule="auto"/>
              <w:jc w:val="left"/>
              <w:rPr>
                <w:color w:val="000000"/>
                <w:kern w:val="0"/>
                <w:szCs w:val="21"/>
                <w:highlight w:val="none"/>
              </w:rPr>
            </w:pPr>
            <w:r>
              <w:rPr>
                <w:color w:val="000000"/>
                <w:kern w:val="0"/>
                <w:szCs w:val="21"/>
              </w:rPr>
              <w:t>其他</w:t>
            </w:r>
          </w:p>
        </w:tc>
        <w:tc>
          <w:tcPr>
            <w:tcW w:w="4819" w:type="dxa"/>
            <w:tcBorders>
              <w:bottom w:val="single" w:color="000000" w:sz="4" w:space="0"/>
              <w:right w:val="single" w:color="000000" w:sz="4" w:space="0"/>
            </w:tcBorders>
            <w:vAlign w:val="center"/>
          </w:tcPr>
          <w:p w14:paraId="57EA6F84">
            <w:pPr>
              <w:widowControl/>
              <w:snapToGrid w:val="0"/>
              <w:ind w:right="0" w:rightChars="0" w:firstLine="420" w:firstLineChars="0"/>
              <w:jc w:val="right"/>
              <w:textAlignment w:val="center"/>
              <w:rPr>
                <w:color w:val="000000"/>
                <w:kern w:val="0"/>
                <w:szCs w:val="21"/>
                <w:highlight w:val="none"/>
              </w:rPr>
            </w:pPr>
            <w:r>
              <w:rPr>
                <w:rFonts w:hint="eastAsia" w:ascii="宋体" w:hAnsi="宋体" w:cs="宋体"/>
                <w:color w:val="000000"/>
                <w:kern w:val="0"/>
                <w:szCs w:val="21"/>
                <w:highlight w:val="none"/>
                <w:lang w:bidi="ar"/>
              </w:rPr>
              <w:t>-</w:t>
            </w:r>
          </w:p>
        </w:tc>
      </w:tr>
      <w:tr w14:paraId="7F5F0E95">
        <w:tblPrEx>
          <w:tblCellMar>
            <w:top w:w="0" w:type="dxa"/>
            <w:left w:w="108" w:type="dxa"/>
            <w:bottom w:w="0" w:type="dxa"/>
            <w:right w:w="108" w:type="dxa"/>
          </w:tblCellMar>
        </w:tblPrEx>
        <w:trPr>
          <w:trHeight w:val="285" w:hRule="atLeast"/>
        </w:trPr>
        <w:tc>
          <w:tcPr>
            <w:tcW w:w="907" w:type="dxa"/>
            <w:tcBorders>
              <w:top w:val="single" w:color="000000" w:sz="4" w:space="0"/>
              <w:left w:val="single" w:color="000000" w:sz="4" w:space="0"/>
              <w:bottom w:val="single" w:color="000000" w:sz="4" w:space="0"/>
              <w:right w:val="single" w:color="000000" w:sz="4" w:space="0"/>
            </w:tcBorders>
            <w:vAlign w:val="center"/>
          </w:tcPr>
          <w:p w14:paraId="101C9237">
            <w:pPr>
              <w:widowControl/>
              <w:snapToGrid w:val="0"/>
              <w:spacing w:line="360" w:lineRule="auto"/>
              <w:jc w:val="center"/>
              <w:rPr>
                <w:rFonts w:eastAsia="宋体"/>
                <w:color w:val="000000"/>
                <w:kern w:val="0"/>
                <w:szCs w:val="21"/>
                <w:highlight w:val="none"/>
                <w:lang w:eastAsia="zh-CN"/>
              </w:rPr>
            </w:pPr>
            <w:r>
              <w:rPr>
                <w:color w:val="000000"/>
                <w:kern w:val="0"/>
                <w:szCs w:val="21"/>
                <w:lang w:val="en-US" w:eastAsia="zh-CN"/>
              </w:rPr>
              <w:t>6</w:t>
            </w:r>
          </w:p>
        </w:tc>
        <w:tc>
          <w:tcPr>
            <w:tcW w:w="2246" w:type="dxa"/>
            <w:tcBorders>
              <w:top w:val="single" w:color="000000" w:sz="4" w:space="0"/>
              <w:bottom w:val="single" w:color="000000" w:sz="4" w:space="0"/>
              <w:right w:val="single" w:color="000000" w:sz="4" w:space="0"/>
            </w:tcBorders>
          </w:tcPr>
          <w:p w14:paraId="3EED8D04">
            <w:pPr>
              <w:widowControl/>
              <w:snapToGrid w:val="0"/>
              <w:spacing w:line="360" w:lineRule="auto"/>
              <w:jc w:val="left"/>
              <w:rPr>
                <w:color w:val="000000"/>
                <w:kern w:val="0"/>
                <w:szCs w:val="21"/>
                <w:highlight w:val="none"/>
              </w:rPr>
            </w:pPr>
            <w:r>
              <w:rPr>
                <w:color w:val="000000"/>
                <w:kern w:val="0"/>
                <w:szCs w:val="21"/>
              </w:rPr>
              <w:t>合计</w:t>
            </w:r>
          </w:p>
        </w:tc>
        <w:tc>
          <w:tcPr>
            <w:tcW w:w="4819" w:type="dxa"/>
            <w:tcBorders>
              <w:top w:val="single" w:color="000000" w:sz="4" w:space="0"/>
              <w:bottom w:val="single" w:color="000000" w:sz="4" w:space="0"/>
              <w:right w:val="single" w:color="000000" w:sz="4" w:space="0"/>
            </w:tcBorders>
            <w:vAlign w:val="center"/>
          </w:tcPr>
          <w:p w14:paraId="39D61CB5">
            <w:pPr>
              <w:widowControl/>
              <w:snapToGrid w:val="0"/>
              <w:ind w:right="0" w:rightChars="0" w:firstLine="420" w:firstLineChars="0"/>
              <w:jc w:val="right"/>
              <w:textAlignment w:val="center"/>
              <w:rPr>
                <w:color w:val="000000"/>
                <w:kern w:val="0"/>
                <w:szCs w:val="21"/>
                <w:highlight w:val="none"/>
              </w:rPr>
            </w:pPr>
            <w:r>
              <w:rPr>
                <w:rFonts w:hint="eastAsia" w:ascii="宋体" w:hAnsi="宋体" w:cs="宋体"/>
                <w:color w:val="000000"/>
                <w:kern w:val="0"/>
                <w:szCs w:val="21"/>
                <w:highlight w:val="none"/>
                <w:lang w:bidi="ar"/>
              </w:rPr>
              <w:t>-</w:t>
            </w:r>
          </w:p>
        </w:tc>
      </w:tr>
    </w:tbl>
    <w:p w14:paraId="6595A040">
      <w:pPr>
        <w:widowControl/>
        <w:snapToGrid w:val="0"/>
        <w:spacing w:line="360" w:lineRule="auto"/>
        <w:ind w:right="0" w:firstLine="480"/>
        <w:rPr>
          <w:color w:val="000000"/>
          <w:kern w:val="0"/>
          <w:sz w:val="24"/>
          <w:highlight w:val="none"/>
        </w:rPr>
      </w:pPr>
      <w:r>
        <w:rPr>
          <w:color w:val="000000"/>
          <w:kern w:val="0"/>
          <w:sz w:val="24"/>
        </w:rPr>
        <w:t>4、本报告期末持有的处于转股期的可转换债券明细</w:t>
      </w:r>
    </w:p>
    <w:p w14:paraId="3606CC39">
      <w:pPr>
        <w:widowControl/>
        <w:snapToGrid w:val="0"/>
        <w:spacing w:line="360" w:lineRule="auto"/>
        <w:ind w:right="0" w:firstLine="480"/>
        <w:rPr>
          <w:color w:val="000000"/>
          <w:kern w:val="0"/>
          <w:sz w:val="24"/>
          <w:highlight w:val="none"/>
        </w:rPr>
      </w:pPr>
      <w:r>
        <w:rPr>
          <w:color w:val="000000"/>
          <w:kern w:val="0"/>
          <w:sz w:val="24"/>
        </w:rPr>
        <w:t>截至</w:t>
      </w:r>
      <w:r>
        <w:rPr>
          <w:rFonts w:hint="eastAsia"/>
          <w:color w:val="000000"/>
          <w:kern w:val="0"/>
          <w:sz w:val="24"/>
          <w:lang w:eastAsia="zh-CN"/>
        </w:rPr>
        <w:t>2026年7月31日</w:t>
      </w:r>
      <w:r>
        <w:rPr>
          <w:color w:val="000000"/>
          <w:kern w:val="0"/>
          <w:sz w:val="24"/>
        </w:rPr>
        <w:t>，本基金未持有可转换债券。</w:t>
      </w:r>
    </w:p>
    <w:p w14:paraId="4789D47E">
      <w:pPr>
        <w:widowControl/>
        <w:snapToGrid w:val="0"/>
        <w:spacing w:line="360" w:lineRule="auto"/>
        <w:ind w:right="0" w:firstLine="480"/>
        <w:rPr>
          <w:color w:val="000000"/>
          <w:kern w:val="0"/>
          <w:sz w:val="24"/>
          <w:highlight w:val="none"/>
        </w:rPr>
      </w:pPr>
      <w:r>
        <w:rPr>
          <w:color w:val="000000"/>
          <w:kern w:val="0"/>
          <w:sz w:val="24"/>
        </w:rPr>
        <w:t>5、本报告期前十名股票中存在流通受限情况的说明</w:t>
      </w:r>
    </w:p>
    <w:p w14:paraId="075061B6">
      <w:pPr>
        <w:widowControl/>
        <w:snapToGrid w:val="0"/>
        <w:spacing w:line="360" w:lineRule="auto"/>
        <w:ind w:right="0" w:firstLine="480"/>
        <w:rPr>
          <w:color w:val="000000"/>
          <w:kern w:val="0"/>
          <w:sz w:val="24"/>
          <w:highlight w:val="none"/>
        </w:rPr>
      </w:pPr>
      <w:r>
        <w:rPr>
          <w:color w:val="000000"/>
          <w:kern w:val="0"/>
          <w:sz w:val="24"/>
        </w:rPr>
        <w:t>截至</w:t>
      </w:r>
      <w:r>
        <w:rPr>
          <w:rFonts w:hint="eastAsia"/>
          <w:color w:val="000000"/>
          <w:kern w:val="0"/>
          <w:sz w:val="24"/>
          <w:lang w:eastAsia="zh-CN"/>
        </w:rPr>
        <w:t>2026年7月31日</w:t>
      </w:r>
      <w:r>
        <w:rPr>
          <w:color w:val="000000"/>
          <w:kern w:val="0"/>
          <w:sz w:val="24"/>
        </w:rPr>
        <w:t>，本基金前十名股票中不存在流通受限情况。</w:t>
      </w:r>
    </w:p>
    <w:p w14:paraId="2650B551">
      <w:pPr>
        <w:widowControl/>
        <w:snapToGrid w:val="0"/>
        <w:spacing w:line="360" w:lineRule="auto"/>
        <w:ind w:right="0" w:firstLine="480"/>
        <w:rPr>
          <w:color w:val="000000"/>
          <w:kern w:val="0"/>
          <w:sz w:val="24"/>
          <w:highlight w:val="none"/>
        </w:rPr>
      </w:pPr>
      <w:r>
        <w:rPr>
          <w:color w:val="000000"/>
          <w:kern w:val="0"/>
          <w:sz w:val="24"/>
        </w:rPr>
        <w:t>6、投资组合报告附注的其他文字描述部分</w:t>
      </w:r>
    </w:p>
    <w:p w14:paraId="032C8E67">
      <w:pPr>
        <w:widowControl/>
        <w:snapToGrid w:val="0"/>
        <w:spacing w:line="360" w:lineRule="auto"/>
        <w:ind w:right="0" w:firstLine="480"/>
        <w:rPr>
          <w:bCs/>
          <w:color w:val="000000"/>
          <w:sz w:val="24"/>
          <w:highlight w:val="none"/>
        </w:rPr>
      </w:pPr>
      <w:r>
        <w:rPr>
          <w:bCs/>
          <w:color w:val="000000"/>
          <w:sz w:val="24"/>
        </w:rPr>
        <w:t>由于四舍五入的原因，分项之和与合计项之间可能存在尾差。</w:t>
      </w:r>
    </w:p>
    <w:p w14:paraId="15568027">
      <w:pPr>
        <w:widowControl/>
        <w:snapToGrid w:val="0"/>
        <w:spacing w:line="360" w:lineRule="auto"/>
        <w:ind w:right="0" w:firstLine="480"/>
        <w:rPr>
          <w:bCs/>
          <w:color w:val="000000"/>
          <w:kern w:val="0"/>
          <w:sz w:val="24"/>
          <w:highlight w:val="none"/>
        </w:rPr>
      </w:pPr>
    </w:p>
    <w:p w14:paraId="64CC1ACF">
      <w:pPr>
        <w:pStyle w:val="2"/>
        <w:ind w:left="0" w:firstLine="0"/>
        <w:rPr>
          <w:rFonts w:ascii="Times New Roman" w:hAnsi="Times New Roman" w:cs="Times New Roman"/>
          <w:highlight w:val="none"/>
        </w:rPr>
      </w:pPr>
      <w:bookmarkStart w:id="13" w:name="_Toc22567"/>
      <w:r>
        <w:rPr>
          <w:rFonts w:ascii="Times New Roman" w:hAnsi="Times New Roman" w:cs="Times New Roman"/>
        </w:rPr>
        <w:t>九、重大事件揭示</w:t>
      </w:r>
      <w:bookmarkEnd w:id="13"/>
    </w:p>
    <w:p w14:paraId="1AAA9E33">
      <w:pPr>
        <w:widowControl/>
        <w:snapToGrid w:val="0"/>
        <w:spacing w:line="360" w:lineRule="auto"/>
        <w:ind w:right="0" w:firstLine="480"/>
        <w:rPr>
          <w:bCs/>
          <w:color w:val="000000"/>
          <w:sz w:val="24"/>
          <w:highlight w:val="none"/>
        </w:rPr>
      </w:pPr>
      <w:r>
        <w:rPr>
          <w:bCs/>
          <w:color w:val="000000"/>
          <w:sz w:val="24"/>
        </w:rPr>
        <w:t xml:space="preserve">（一） </w:t>
      </w:r>
      <w:r>
        <w:rPr>
          <w:rFonts w:hint="eastAsia"/>
          <w:bCs/>
          <w:color w:val="000000"/>
          <w:sz w:val="24"/>
          <w:lang w:val="en-US" w:eastAsia="zh-CN"/>
        </w:rPr>
        <w:t>2026年7月30日</w:t>
      </w:r>
      <w:r>
        <w:rPr>
          <w:bCs/>
          <w:color w:val="000000"/>
          <w:sz w:val="24"/>
        </w:rPr>
        <w:t>发布《博时中证细分化工产业主题交易型开放式指数证券投资基金基金合同生效公告》。</w:t>
      </w:r>
    </w:p>
    <w:p w14:paraId="5584126F">
      <w:pPr>
        <w:widowControl/>
        <w:snapToGrid w:val="0"/>
        <w:spacing w:line="360" w:lineRule="auto"/>
        <w:rPr>
          <w:bCs/>
          <w:color w:val="000000"/>
          <w:sz w:val="24"/>
          <w:highlight w:val="none"/>
        </w:rPr>
      </w:pPr>
      <w:r>
        <w:rPr>
          <w:rFonts w:eastAsia="Times New Roman"/>
          <w:bCs/>
          <w:color w:val="000000"/>
          <w:sz w:val="24"/>
        </w:rPr>
        <w:t xml:space="preserve">   </w:t>
      </w:r>
    </w:p>
    <w:p w14:paraId="1E697B66">
      <w:pPr>
        <w:pStyle w:val="2"/>
        <w:ind w:left="0" w:firstLine="0"/>
        <w:rPr>
          <w:rFonts w:ascii="Times New Roman" w:hAnsi="Times New Roman" w:cs="Times New Roman"/>
          <w:highlight w:val="none"/>
        </w:rPr>
      </w:pPr>
      <w:bookmarkStart w:id="14" w:name="_Toc28261"/>
      <w:r>
        <w:rPr>
          <w:rFonts w:ascii="Times New Roman" w:hAnsi="Times New Roman" w:cs="Times New Roman"/>
        </w:rPr>
        <w:t>十、基金管理人承诺</w:t>
      </w:r>
      <w:bookmarkEnd w:id="14"/>
    </w:p>
    <w:p w14:paraId="4EFFA36D">
      <w:pPr>
        <w:widowControl/>
        <w:snapToGrid w:val="0"/>
        <w:spacing w:line="360" w:lineRule="auto"/>
        <w:ind w:right="0" w:firstLine="424"/>
        <w:rPr>
          <w:color w:val="000000"/>
          <w:kern w:val="0"/>
          <w:sz w:val="24"/>
          <w:highlight w:val="none"/>
        </w:rPr>
      </w:pPr>
      <w:r>
        <w:rPr>
          <w:color w:val="000000"/>
          <w:kern w:val="0"/>
          <w:sz w:val="24"/>
        </w:rPr>
        <w:t>基金管理人就基金上市交易之后履行管理人职责做出以下承诺：</w:t>
      </w:r>
    </w:p>
    <w:p w14:paraId="11FB39A7">
      <w:pPr>
        <w:widowControl/>
        <w:snapToGrid w:val="0"/>
        <w:spacing w:line="360" w:lineRule="auto"/>
        <w:ind w:right="0" w:firstLine="424"/>
        <w:rPr>
          <w:color w:val="000000"/>
          <w:kern w:val="0"/>
          <w:sz w:val="24"/>
          <w:highlight w:val="none"/>
        </w:rPr>
      </w:pPr>
      <w:r>
        <w:rPr>
          <w:color w:val="000000"/>
          <w:kern w:val="0"/>
          <w:sz w:val="24"/>
        </w:rPr>
        <w:t>（一）严格遵守《基金法》及其他法律法规、基金合同的规定，以诚实信用、勤勉尽责的原则管理和运用基金资产。</w:t>
      </w:r>
    </w:p>
    <w:p w14:paraId="323FCD19">
      <w:pPr>
        <w:widowControl/>
        <w:snapToGrid w:val="0"/>
        <w:spacing w:line="360" w:lineRule="auto"/>
        <w:ind w:right="0" w:firstLine="424"/>
        <w:rPr>
          <w:color w:val="000000"/>
          <w:kern w:val="0"/>
          <w:sz w:val="24"/>
          <w:highlight w:val="none"/>
        </w:rPr>
      </w:pPr>
      <w:r>
        <w:rPr>
          <w:color w:val="000000"/>
          <w:kern w:val="0"/>
          <w:sz w:val="24"/>
        </w:rPr>
        <w:t>（二）真实、准确、完整和及时地披露定期报告等有关信息披露文件，披露所有对基金份额持有人有重大影响的信息，并接受中国证监会、深圳证券交易所的监督管理。</w:t>
      </w:r>
    </w:p>
    <w:p w14:paraId="2CEE9AD7">
      <w:pPr>
        <w:widowControl/>
        <w:snapToGrid w:val="0"/>
        <w:spacing w:line="360" w:lineRule="auto"/>
        <w:ind w:right="0" w:firstLine="424"/>
        <w:rPr>
          <w:color w:val="000000"/>
          <w:kern w:val="0"/>
          <w:sz w:val="24"/>
          <w:highlight w:val="none"/>
        </w:rPr>
      </w:pPr>
      <w:r>
        <w:rPr>
          <w:color w:val="000000"/>
          <w:kern w:val="0"/>
          <w:sz w:val="24"/>
        </w:rPr>
        <w:t>（三）在知悉可能对基金价格产生误导性影响或引起较大波动的任何公共传播媒介中出现的或者在市场上流传的消息后，将及时予以公开澄清。</w:t>
      </w:r>
    </w:p>
    <w:p w14:paraId="246686DA">
      <w:pPr>
        <w:widowControl/>
        <w:snapToGrid w:val="0"/>
        <w:spacing w:line="360" w:lineRule="auto"/>
        <w:ind w:right="0" w:firstLine="371"/>
        <w:rPr>
          <w:color w:val="000000"/>
          <w:kern w:val="0"/>
          <w:sz w:val="24"/>
          <w:szCs w:val="21"/>
          <w:highlight w:val="none"/>
        </w:rPr>
      </w:pPr>
    </w:p>
    <w:p w14:paraId="5D801616">
      <w:pPr>
        <w:pStyle w:val="2"/>
        <w:ind w:left="0" w:firstLine="0"/>
        <w:rPr>
          <w:rFonts w:ascii="Times New Roman" w:hAnsi="Times New Roman" w:cs="Times New Roman"/>
          <w:highlight w:val="none"/>
        </w:rPr>
      </w:pPr>
      <w:bookmarkStart w:id="15" w:name="_Toc27610"/>
      <w:r>
        <w:rPr>
          <w:rFonts w:ascii="Times New Roman" w:hAnsi="Times New Roman" w:cs="Times New Roman"/>
        </w:rPr>
        <w:t>十一、基金托管人承诺</w:t>
      </w:r>
      <w:bookmarkEnd w:id="15"/>
    </w:p>
    <w:p w14:paraId="3AE01D47">
      <w:pPr>
        <w:widowControl/>
        <w:snapToGrid w:val="0"/>
        <w:spacing w:line="360" w:lineRule="auto"/>
        <w:ind w:right="0" w:firstLine="424"/>
        <w:rPr>
          <w:color w:val="000000"/>
          <w:kern w:val="0"/>
          <w:sz w:val="24"/>
          <w:highlight w:val="none"/>
        </w:rPr>
      </w:pPr>
      <w:r>
        <w:rPr>
          <w:color w:val="000000"/>
          <w:kern w:val="0"/>
          <w:sz w:val="24"/>
        </w:rPr>
        <w:t>基金托管人就本基金上市交易后履行托管人职责做出如下承诺：</w:t>
      </w:r>
    </w:p>
    <w:p w14:paraId="13F2827E">
      <w:pPr>
        <w:widowControl/>
        <w:snapToGrid w:val="0"/>
        <w:spacing w:line="360" w:lineRule="auto"/>
        <w:ind w:right="0" w:firstLine="424"/>
        <w:rPr>
          <w:color w:val="000000"/>
          <w:kern w:val="0"/>
          <w:sz w:val="24"/>
          <w:highlight w:val="none"/>
        </w:rPr>
      </w:pPr>
      <w:r>
        <w:rPr>
          <w:color w:val="000000"/>
          <w:kern w:val="0"/>
          <w:sz w:val="24"/>
        </w:rPr>
        <w:t>（一）严格遵守《基金法》、《公开募集证券投资基金运作管理办法》及本基金《基金合同》、《托管协议》的规定，以诚实信用、勤勉尽责的原则托管基金资产。</w:t>
      </w:r>
    </w:p>
    <w:p w14:paraId="51D5CFBB">
      <w:pPr>
        <w:widowControl/>
        <w:snapToGrid w:val="0"/>
        <w:spacing w:line="360" w:lineRule="auto"/>
        <w:ind w:right="0" w:firstLine="424"/>
        <w:rPr>
          <w:color w:val="000000"/>
          <w:kern w:val="0"/>
          <w:sz w:val="24"/>
          <w:highlight w:val="none"/>
        </w:rPr>
      </w:pPr>
      <w:r>
        <w:rPr>
          <w:color w:val="000000"/>
          <w:kern w:val="0"/>
          <w:sz w:val="24"/>
        </w:rPr>
        <w:t>（二）根据《基金法》、《公开募集证券投资基金运作管理办法》及本基金《基金合同》、《托管协议》的规定，对基金的投资范围、基金资产的投资组合比例、基金资产净值的计算、基金份额净值计算进行监督和核查；如发现基金管理人违反《基金法》、《公开募集证券投资基金运作管理办法》及本基金《基金合同》、《托管协议》的规定，将及时通知基金管理人纠正；基金管理人对基金托管人通知的违规事项未能在限期内纠正的，基金托管人将及时向中国证监会报告。</w:t>
      </w:r>
    </w:p>
    <w:p w14:paraId="6C2A3EEC">
      <w:pPr>
        <w:widowControl/>
        <w:snapToGrid w:val="0"/>
        <w:spacing w:line="360" w:lineRule="auto"/>
        <w:ind w:right="0" w:firstLine="371"/>
        <w:rPr>
          <w:color w:val="000000"/>
          <w:kern w:val="0"/>
          <w:sz w:val="24"/>
          <w:szCs w:val="21"/>
          <w:highlight w:val="none"/>
        </w:rPr>
      </w:pPr>
    </w:p>
    <w:p w14:paraId="0B6A2BF4">
      <w:pPr>
        <w:pStyle w:val="2"/>
        <w:ind w:left="0" w:firstLine="0"/>
        <w:rPr>
          <w:rFonts w:ascii="Times New Roman" w:hAnsi="Times New Roman" w:cs="Times New Roman"/>
          <w:highlight w:val="none"/>
        </w:rPr>
      </w:pPr>
      <w:bookmarkStart w:id="16" w:name="OLE_LINK9"/>
      <w:bookmarkStart w:id="17" w:name="_Toc27362"/>
      <w:r>
        <w:rPr>
          <w:rFonts w:ascii="Times New Roman" w:hAnsi="Times New Roman" w:cs="Times New Roman"/>
        </w:rPr>
        <w:t>十二、</w:t>
      </w:r>
      <w:bookmarkEnd w:id="16"/>
      <w:r>
        <w:rPr>
          <w:rFonts w:ascii="Times New Roman" w:hAnsi="Times New Roman" w:cs="Times New Roman"/>
        </w:rPr>
        <w:t>备查文件目录</w:t>
      </w:r>
      <w:bookmarkEnd w:id="17"/>
    </w:p>
    <w:p w14:paraId="0E5D1456">
      <w:pPr>
        <w:snapToGrid w:val="0"/>
        <w:spacing w:line="360" w:lineRule="auto"/>
        <w:ind w:right="0" w:firstLine="480"/>
        <w:jc w:val="left"/>
        <w:rPr>
          <w:kern w:val="0"/>
          <w:sz w:val="24"/>
          <w:highlight w:val="none"/>
        </w:rPr>
      </w:pPr>
      <w:r>
        <w:rPr>
          <w:kern w:val="0"/>
          <w:sz w:val="24"/>
        </w:rPr>
        <w:t>（一）中国证监会准予博时中证细分化工产业主题交易型开放式指数证券投资基金注册的批复文件</w:t>
      </w:r>
    </w:p>
    <w:p w14:paraId="2A8D3C7B">
      <w:pPr>
        <w:snapToGrid w:val="0"/>
        <w:spacing w:line="360" w:lineRule="auto"/>
        <w:ind w:right="0" w:firstLine="480"/>
        <w:jc w:val="left"/>
        <w:rPr>
          <w:kern w:val="0"/>
          <w:sz w:val="24"/>
          <w:highlight w:val="none"/>
        </w:rPr>
      </w:pPr>
      <w:r>
        <w:rPr>
          <w:kern w:val="0"/>
          <w:sz w:val="24"/>
        </w:rPr>
        <w:t>（二）《博时中证细分化工产业主题交易型开放式指数证券投资基金基金合同》</w:t>
      </w:r>
    </w:p>
    <w:p w14:paraId="0795FFDC">
      <w:pPr>
        <w:snapToGrid w:val="0"/>
        <w:spacing w:line="360" w:lineRule="auto"/>
        <w:ind w:right="0" w:firstLine="480"/>
        <w:jc w:val="left"/>
        <w:rPr>
          <w:kern w:val="0"/>
          <w:sz w:val="24"/>
          <w:highlight w:val="none"/>
        </w:rPr>
      </w:pPr>
      <w:r>
        <w:rPr>
          <w:kern w:val="0"/>
          <w:sz w:val="24"/>
        </w:rPr>
        <w:t>（三）《博时中证细分化工产业主题交易型开放式指数证券投资基金托管协议》</w:t>
      </w:r>
    </w:p>
    <w:p w14:paraId="76DB37B3">
      <w:pPr>
        <w:snapToGrid w:val="0"/>
        <w:spacing w:line="360" w:lineRule="auto"/>
        <w:ind w:right="0" w:firstLine="480"/>
        <w:jc w:val="left"/>
        <w:rPr>
          <w:kern w:val="0"/>
          <w:sz w:val="24"/>
          <w:highlight w:val="none"/>
        </w:rPr>
      </w:pPr>
      <w:r>
        <w:rPr>
          <w:kern w:val="0"/>
          <w:sz w:val="24"/>
        </w:rPr>
        <w:t>（四）《博时中证细分化工产业主题交易型开放式指数证券投资基金招募说明书》</w:t>
      </w:r>
    </w:p>
    <w:p w14:paraId="0B8D0DEB">
      <w:pPr>
        <w:snapToGrid w:val="0"/>
        <w:spacing w:line="360" w:lineRule="auto"/>
        <w:ind w:right="0" w:firstLine="480"/>
        <w:jc w:val="left"/>
        <w:rPr>
          <w:kern w:val="0"/>
          <w:sz w:val="24"/>
          <w:highlight w:val="none"/>
        </w:rPr>
      </w:pPr>
      <w:r>
        <w:rPr>
          <w:kern w:val="0"/>
          <w:sz w:val="24"/>
        </w:rPr>
        <w:t>（五）基金管理人业务资格批件、营业执照</w:t>
      </w:r>
    </w:p>
    <w:p w14:paraId="32F3B1C2">
      <w:pPr>
        <w:snapToGrid w:val="0"/>
        <w:spacing w:line="360" w:lineRule="auto"/>
        <w:ind w:right="0" w:firstLine="480"/>
        <w:jc w:val="left"/>
        <w:rPr>
          <w:kern w:val="0"/>
          <w:sz w:val="24"/>
          <w:highlight w:val="none"/>
        </w:rPr>
      </w:pPr>
      <w:r>
        <w:rPr>
          <w:kern w:val="0"/>
          <w:sz w:val="24"/>
        </w:rPr>
        <w:t>（六）基金托管人业务资格批件、营业执照</w:t>
      </w:r>
    </w:p>
    <w:p w14:paraId="6DF7A96E">
      <w:pPr>
        <w:snapToGrid w:val="0"/>
        <w:spacing w:line="360" w:lineRule="auto"/>
        <w:ind w:right="0" w:firstLine="480"/>
        <w:jc w:val="left"/>
        <w:rPr>
          <w:kern w:val="0"/>
          <w:sz w:val="24"/>
          <w:highlight w:val="none"/>
        </w:rPr>
      </w:pPr>
      <w:r>
        <w:rPr>
          <w:kern w:val="0"/>
          <w:sz w:val="24"/>
        </w:rPr>
        <w:t>（七）法律意见书</w:t>
      </w:r>
    </w:p>
    <w:p w14:paraId="6145B6CB">
      <w:pPr>
        <w:snapToGrid w:val="0"/>
        <w:spacing w:line="360" w:lineRule="auto"/>
        <w:ind w:right="0" w:firstLine="480"/>
        <w:jc w:val="left"/>
        <w:rPr>
          <w:kern w:val="0"/>
          <w:sz w:val="24"/>
          <w:highlight w:val="none"/>
        </w:rPr>
      </w:pPr>
      <w:r>
        <w:rPr>
          <w:kern w:val="0"/>
          <w:sz w:val="24"/>
        </w:rPr>
        <w:t>（八）中国证监会要求的其他文件</w:t>
      </w:r>
    </w:p>
    <w:p w14:paraId="02020B5D">
      <w:pPr>
        <w:snapToGrid w:val="0"/>
        <w:spacing w:line="360" w:lineRule="auto"/>
        <w:jc w:val="left"/>
        <w:rPr>
          <w:kern w:val="0"/>
          <w:sz w:val="24"/>
          <w:highlight w:val="none"/>
        </w:rPr>
      </w:pPr>
      <w:r>
        <w:rPr>
          <w:rFonts w:eastAsia="Times New Roman"/>
          <w:kern w:val="0"/>
          <w:sz w:val="24"/>
        </w:rPr>
        <w:t xml:space="preserve">    </w:t>
      </w:r>
      <w:r>
        <w:rPr>
          <w:kern w:val="0"/>
          <w:sz w:val="24"/>
        </w:rPr>
        <w:t>查阅方式：投资者可在营业时间免费查阅，也可按工本费购买复印件。</w:t>
      </w:r>
    </w:p>
    <w:p w14:paraId="70052D03">
      <w:pPr>
        <w:snapToGrid w:val="0"/>
        <w:spacing w:line="360" w:lineRule="auto"/>
        <w:ind w:right="0" w:firstLine="480"/>
        <w:rPr>
          <w:kern w:val="0"/>
          <w:sz w:val="24"/>
          <w:highlight w:val="none"/>
        </w:rPr>
      </w:pPr>
    </w:p>
    <w:p w14:paraId="2C4D8D0A">
      <w:pPr>
        <w:snapToGrid w:val="0"/>
        <w:spacing w:line="360" w:lineRule="auto"/>
        <w:ind w:right="0" w:firstLine="480"/>
        <w:rPr>
          <w:kern w:val="0"/>
          <w:sz w:val="24"/>
          <w:highlight w:val="none"/>
        </w:rPr>
      </w:pPr>
      <w:r>
        <w:rPr>
          <w:kern w:val="0"/>
          <w:sz w:val="24"/>
        </w:rPr>
        <w:t>风险提示：本基金管理人承诺以诚实信用、勤勉尽责的原则管理和运用基金财产，但不保证基金一定盈利，也不保证最低收益。基金的过往业绩并不代表其将来表现。投资有风险，敬请投资人认真阅读基金的</w:t>
      </w:r>
      <w:r>
        <w:rPr>
          <w:rFonts w:hint="default" w:asciiTheme="minorEastAsia" w:hAnsiTheme="minorEastAsia" w:eastAsiaTheme="minorEastAsia"/>
          <w:color w:val="000000"/>
          <w:sz w:val="24"/>
          <w:szCs w:val="24"/>
        </w:rPr>
        <w:t>《基金合同》、《招募说明书》和《产品资料概要》</w:t>
      </w:r>
      <w:r>
        <w:rPr>
          <w:rFonts w:hint="eastAsia" w:asciiTheme="minorEastAsia" w:hAnsiTheme="minorEastAsia"/>
          <w:color w:val="000000"/>
          <w:sz w:val="24"/>
          <w:szCs w:val="24"/>
          <w:lang w:eastAsia="zh-CN"/>
        </w:rPr>
        <w:t>等</w:t>
      </w:r>
      <w:r>
        <w:rPr>
          <w:kern w:val="0"/>
          <w:sz w:val="24"/>
        </w:rPr>
        <w:t>相关法律文件，并选择适合自身风险承受能力的投资品种进行投资。</w:t>
      </w:r>
    </w:p>
    <w:p w14:paraId="2F5998F0">
      <w:pPr>
        <w:widowControl/>
        <w:snapToGrid w:val="0"/>
        <w:spacing w:line="360" w:lineRule="auto"/>
        <w:jc w:val="right"/>
        <w:rPr>
          <w:color w:val="000000"/>
          <w:kern w:val="0"/>
          <w:sz w:val="24"/>
          <w:highlight w:val="none"/>
        </w:rPr>
      </w:pPr>
    </w:p>
    <w:p w14:paraId="2C06A549">
      <w:pPr>
        <w:snapToGrid w:val="0"/>
        <w:spacing w:line="360" w:lineRule="auto"/>
        <w:ind w:right="0" w:firstLine="480"/>
        <w:jc w:val="right"/>
        <w:rPr>
          <w:color w:val="000000"/>
          <w:kern w:val="0"/>
          <w:sz w:val="24"/>
          <w:highlight w:val="none"/>
        </w:rPr>
      </w:pPr>
    </w:p>
    <w:p w14:paraId="74FD1278">
      <w:pPr>
        <w:snapToGrid w:val="0"/>
        <w:spacing w:line="360" w:lineRule="auto"/>
        <w:ind w:right="0" w:firstLine="480"/>
        <w:jc w:val="right"/>
        <w:rPr>
          <w:kern w:val="0"/>
          <w:sz w:val="24"/>
          <w:highlight w:val="none"/>
        </w:rPr>
      </w:pPr>
      <w:r>
        <w:rPr>
          <w:kern w:val="0"/>
          <w:sz w:val="24"/>
        </w:rPr>
        <w:t>博时基金管理有限公司</w:t>
      </w:r>
    </w:p>
    <w:p w14:paraId="01AE896E">
      <w:pPr>
        <w:snapToGrid w:val="0"/>
        <w:spacing w:line="360" w:lineRule="auto"/>
        <w:ind w:right="0" w:firstLine="480"/>
        <w:jc w:val="right"/>
        <w:rPr>
          <w:rFonts w:eastAsia="宋体"/>
          <w:kern w:val="0"/>
          <w:sz w:val="24"/>
          <w:highlight w:val="none"/>
          <w:lang w:eastAsia="zh-CN"/>
        </w:rPr>
      </w:pPr>
      <w:r>
        <w:rPr>
          <w:rFonts w:hint="eastAsia"/>
          <w:kern w:val="0"/>
          <w:sz w:val="24"/>
          <w:lang w:eastAsia="zh-CN"/>
        </w:rPr>
        <w:t>2026年8月4日</w:t>
      </w:r>
    </w:p>
    <w:p w14:paraId="1A04E103">
      <w:pPr>
        <w:rPr>
          <w:rFonts w:ascii="Times New Roman" w:hAnsi="Times New Roman" w:cs="Times New Roman"/>
          <w:highlight w:val="none"/>
        </w:rPr>
      </w:pPr>
      <w:r>
        <w:rPr>
          <w:rFonts w:ascii="Times New Roman" w:hAnsi="Times New Roman" w:cs="Times New Roman"/>
        </w:rPr>
        <w:br w:type="page"/>
      </w:r>
    </w:p>
    <w:p w14:paraId="239264CC">
      <w:pPr>
        <w:pStyle w:val="2"/>
        <w:ind w:left="0" w:firstLine="0"/>
        <w:rPr>
          <w:rFonts w:hint="eastAsia" w:ascii="宋体" w:hAnsi="宋体" w:eastAsia="宋体" w:cs="宋体"/>
          <w:highlight w:val="none"/>
        </w:rPr>
      </w:pPr>
      <w:bookmarkStart w:id="18" w:name="_Toc8128"/>
      <w:r>
        <w:rPr>
          <w:rFonts w:hint="eastAsia" w:ascii="宋体" w:hAnsi="宋体" w:eastAsia="宋体" w:cs="宋体"/>
        </w:rPr>
        <w:t>附件：基金合同摘要</w:t>
      </w:r>
      <w:bookmarkEnd w:id="18"/>
    </w:p>
    <w:p w14:paraId="3A0FEA65">
      <w:pPr>
        <w:adjustRightInd w:val="0"/>
        <w:snapToGrid w:val="0"/>
        <w:spacing w:line="360" w:lineRule="auto"/>
        <w:rPr>
          <w:rFonts w:hint="eastAsia" w:ascii="宋体" w:hAnsi="宋体" w:eastAsia="宋体" w:cs="宋体"/>
          <w:b/>
          <w:color w:val="0C0C0C" w:themeColor="text1" w:themeTint="F2"/>
          <w:sz w:val="24"/>
        </w:rPr>
      </w:pPr>
      <w:bookmarkStart w:id="19" w:name="CTS_4f19456cd08f49bd8fd8446605e1288e"/>
      <w:bookmarkEnd w:id="19"/>
      <w:r>
        <w:rPr>
          <w:rFonts w:hint="eastAsia" w:ascii="宋体" w:hAnsi="宋体" w:eastAsia="宋体" w:cs="宋体"/>
          <w:b/>
          <w:color w:val="0C0C0C" w:themeColor="text1" w:themeTint="F2"/>
          <w:sz w:val="24"/>
        </w:rPr>
        <w:t>一、基金份额持有人、基金管理人和基金托管人的权利、义务</w:t>
      </w:r>
    </w:p>
    <w:p w14:paraId="03B424C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（一）基金份额持有人的权利与义务</w:t>
      </w:r>
    </w:p>
    <w:p w14:paraId="54F8277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756BF41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每份基金份额具有同等的合法权益。</w:t>
      </w:r>
    </w:p>
    <w:p w14:paraId="589EA21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1、根据《基金法》、《运作办法》及其他有关规定，基金份额持有人的权利包括但不限于：</w:t>
      </w:r>
    </w:p>
    <w:p w14:paraId="583B0C5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（1）分享基金财产收益；</w:t>
      </w:r>
    </w:p>
    <w:p w14:paraId="4907254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（2）参与分配清算后的剩余基金财产；</w:t>
      </w:r>
    </w:p>
    <w:p w14:paraId="7948548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（3）依法转让或者申请赎回其持有的基金份额；</w:t>
      </w:r>
    </w:p>
    <w:p w14:paraId="07C78306">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（4）按照规定要求召开基金份额持有人大会或者召集基金份额持有人大会；</w:t>
      </w:r>
    </w:p>
    <w:p w14:paraId="7BBFE1A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（5）出席或者委派代表出席基金份额持有人大会，对基金份额持有人大会审议事项行使表决权；</w:t>
      </w:r>
    </w:p>
    <w:p w14:paraId="5A911076">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（6）查阅或者复制公开披露的基金信息资料；</w:t>
      </w:r>
    </w:p>
    <w:p w14:paraId="4CBA8CA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（7）监督基金管理人的投资运作；</w:t>
      </w:r>
    </w:p>
    <w:p w14:paraId="54DF7934">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（8）对基金管理人、基金托管人、基金服务机构损害其合法权益的行为依法提起诉讼或仲裁；</w:t>
      </w:r>
    </w:p>
    <w:p w14:paraId="5B9E5ED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（9）法律法规及中国证监会规定的和《基金合同》约定的其他权利。</w:t>
      </w:r>
    </w:p>
    <w:p w14:paraId="78D24B2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2、根据《基金法》、《运作办法》及其他有关规定，基金份额持有人的义务包括但不限于：</w:t>
      </w:r>
    </w:p>
    <w:p w14:paraId="4680F2B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（1）认真阅读并遵守《基金合同》、招募说明书及基金产品资料概要等信息披露文件；</w:t>
      </w:r>
    </w:p>
    <w:p w14:paraId="3420893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（2）了解所投资基金产品，了解自身风险承受能力，自主判断基金的投资价值，自主做出投资决策，自行承担投资风险；</w:t>
      </w:r>
    </w:p>
    <w:p w14:paraId="01A4FE7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（3）关注基金信息披露，及时行使权利和履行义务；</w:t>
      </w:r>
    </w:p>
    <w:p w14:paraId="47E9FE12">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（4）交纳基金认购款项和认购股票、申购对价及法律法规和《基金合同》所规定的费用；</w:t>
      </w:r>
    </w:p>
    <w:p w14:paraId="543F13A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（5）在其持有的基金份额范围内，承担基金亏损或者《基金合同》终止的有限责任；</w:t>
      </w:r>
    </w:p>
    <w:p w14:paraId="33A58927">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（6）不从事任何有损基金及其他《基金合同》当事人合法权益的活动；</w:t>
      </w:r>
    </w:p>
    <w:p w14:paraId="780623B5">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（7）执行生效的基金份额持有人大会的决议；</w:t>
      </w:r>
    </w:p>
    <w:p w14:paraId="7395E56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（8）返还在基金交易过程中因任何原因获得的不当得利；</w:t>
      </w:r>
    </w:p>
    <w:p w14:paraId="209F952F">
      <w:pPr>
        <w:spacing w:line="360" w:lineRule="auto"/>
        <w:ind w:firstLine="480" w:firstLineChars="200"/>
        <w:rPr>
          <w:rFonts w:hint="eastAsia" w:ascii="宋体" w:hAnsi="宋体" w:eastAsia="宋体" w:cs="宋体"/>
          <w:sz w:val="24"/>
          <w:szCs w:val="24"/>
        </w:rPr>
      </w:pPr>
      <w:r>
        <w:rPr>
          <w:rFonts w:hint="eastAsia" w:ascii="宋体" w:hAnsi="宋体" w:eastAsia="宋体" w:cs="宋体"/>
          <w:color w:val="0C0C0C" w:themeColor="text1" w:themeTint="F2"/>
          <w:sz w:val="24"/>
          <w:szCs w:val="24"/>
        </w:rPr>
        <w:t>（9）法律法规及中国证监会规定的和《基金合同》约定的其他义务。</w:t>
      </w:r>
    </w:p>
    <w:p w14:paraId="2B2800C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（二）基金管理人的权利与义务</w:t>
      </w:r>
    </w:p>
    <w:p w14:paraId="50829F45">
      <w:pPr>
        <w:adjustRightInd w:val="0"/>
        <w:snapToGrid w:val="0"/>
        <w:spacing w:line="360" w:lineRule="auto"/>
        <w:ind w:firstLine="480" w:firstLineChars="200"/>
        <w:rPr>
          <w:rFonts w:hint="eastAsia" w:ascii="宋体" w:hAnsi="宋体" w:eastAsia="宋体" w:cs="宋体"/>
          <w:color w:val="0C0C0C" w:themeColor="text1" w:themeTint="F2"/>
          <w:sz w:val="24"/>
          <w:szCs w:val="24"/>
        </w:rPr>
      </w:pPr>
      <w:bookmarkStart w:id="20" w:name="OLE_LINK4"/>
      <w:r>
        <w:rPr>
          <w:rFonts w:hint="eastAsia" w:ascii="宋体" w:hAnsi="宋体" w:eastAsia="宋体" w:cs="宋体"/>
          <w:color w:val="0C0C0C" w:themeColor="text1" w:themeTint="F2"/>
          <w:sz w:val="24"/>
          <w:szCs w:val="24"/>
        </w:rPr>
        <w:t>1、根据《基金法》、《运作办法》及其他有关规定，基金管理人的权利包括但不限于：</w:t>
      </w:r>
    </w:p>
    <w:p w14:paraId="01B4683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（1）依法募集资金；</w:t>
      </w:r>
    </w:p>
    <w:p w14:paraId="57A0DE97">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（2）自《基金合同》生效之日起，根据法律法规和《基金合同》独立运用并管理基金财产；</w:t>
      </w:r>
    </w:p>
    <w:p w14:paraId="1C62AE0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（3）依照《基金合同》收取基金管理费以及法律法规规定或中国证监会批准的其他费用；</w:t>
      </w:r>
    </w:p>
    <w:p w14:paraId="4E0E343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（4）销售基金份额；</w:t>
      </w:r>
    </w:p>
    <w:p w14:paraId="03CDEA8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（5）按照规定召集基金份额持有人大会；</w:t>
      </w:r>
    </w:p>
    <w:p w14:paraId="3AD3901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依据《基金合同》及有关法律规定监督基金托管人，如认为基金托管人违反了《基金合同》及国家有关法律规定，应通知基金托管人并呈报中国证监会和其他监管部门，并采取必要措施保护基金投资者的利益；</w:t>
      </w:r>
    </w:p>
    <w:p w14:paraId="5536B3D4">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（7）在基金托管人更换时，提名新的基金托管人；</w:t>
      </w:r>
    </w:p>
    <w:p w14:paraId="30AECB6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（8）选择、更换基金销售机构，对基金销售机构的相关行为进行监督和处理； </w:t>
      </w:r>
    </w:p>
    <w:p w14:paraId="303F887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（9）担任或委托其他符合条件的机构担任基金登记机构办理基金登记业务并获得《基金合同》规定的费用； </w:t>
      </w:r>
    </w:p>
    <w:p w14:paraId="72AF9CD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（10）依据《基金合同》及有关法律规定决定基金收益的分配方案；</w:t>
      </w:r>
      <w:r>
        <w:rPr>
          <w:rFonts w:hint="eastAsia" w:ascii="宋体" w:hAnsi="宋体" w:eastAsia="宋体" w:cs="宋体"/>
          <w:color w:val="0C0C0C" w:themeColor="text1" w:themeTint="F2"/>
          <w:sz w:val="24"/>
          <w:szCs w:val="24"/>
        </w:rPr>
        <w:tab/>
      </w:r>
    </w:p>
    <w:p w14:paraId="4D239C9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（11）在《基金合同》约定的范围内，拒绝或暂停受理申购与赎回申请； </w:t>
      </w:r>
    </w:p>
    <w:p w14:paraId="1958FFE4">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（12）依照法律法规为基金的利益对被投资公司行使股东权利，为基金的利益行使因基金财产投资于证券所产生的权利；</w:t>
      </w:r>
    </w:p>
    <w:p w14:paraId="068A4CB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（13）在法律法规允许的前提下，为基金的利益依法为基金进行融资和转融通证券出借业务；</w:t>
      </w:r>
    </w:p>
    <w:p w14:paraId="1B09305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（14）以基金管理人的名义，代表基金份额持有人的利益行使诉讼权利或者实施其他法律行为；</w:t>
      </w:r>
      <w:r>
        <w:rPr>
          <w:rFonts w:hint="eastAsia" w:ascii="宋体" w:hAnsi="宋体" w:eastAsia="宋体" w:cs="宋体"/>
          <w:color w:val="0C0C0C" w:themeColor="text1" w:themeTint="F2"/>
          <w:sz w:val="24"/>
          <w:szCs w:val="24"/>
        </w:rPr>
        <w:tab/>
      </w:r>
    </w:p>
    <w:p w14:paraId="35F5FF8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（15）选择、更换律师事务所、会计师事务所、证券、期货经纪商或其他为基金提供服务的外部机构；</w:t>
      </w:r>
      <w:r>
        <w:rPr>
          <w:rFonts w:hint="eastAsia" w:ascii="宋体" w:hAnsi="宋体" w:eastAsia="宋体" w:cs="宋体"/>
          <w:color w:val="0C0C0C" w:themeColor="text1" w:themeTint="F2"/>
          <w:sz w:val="24"/>
          <w:szCs w:val="24"/>
        </w:rPr>
        <w:tab/>
      </w:r>
    </w:p>
    <w:p w14:paraId="73C6BEE4">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（16）在符合有关法律、法规的前提下，制订和调整有关基金认购、申购、赎回、非交易过户等业务规则；</w:t>
      </w:r>
    </w:p>
    <w:p w14:paraId="244D9D4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（17）法律法规及中国证监会规定的和《基金合同》约定的其他权利。</w:t>
      </w:r>
    </w:p>
    <w:p w14:paraId="31EBF82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2、根据《基金法》、《运作办法》及其他有关规定，基金管理人的义务包括但不限于：</w:t>
      </w:r>
    </w:p>
    <w:p w14:paraId="12513A6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（1）依法募集资金，办理或者委托经中国证监会认定的其他机构代为办理基金份额的发售、申购、赎回和登记事宜；</w:t>
      </w:r>
    </w:p>
    <w:p w14:paraId="7B67A82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（2）办理基金备案手续；</w:t>
      </w:r>
    </w:p>
    <w:p w14:paraId="353557C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（3）自《基金合同》生效之日起，以诚实信用、谨慎勤勉的原则管理和运用基金财产；</w:t>
      </w:r>
    </w:p>
    <w:p w14:paraId="0174636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（4）配备足够的具有专业资格的人员进行基金投资分析、决策，以专业化的经营方式管理和运作基金财产；</w:t>
      </w:r>
    </w:p>
    <w:p w14:paraId="1CFA16E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（5）建立健全内部风险控制、监察与稽核、财务管理及人事管理等制度，保证所管理的基金财产和基金管理人的财产相互独立，对所管理的不同基金分别管理，分别记账，进行证券投资；</w:t>
      </w:r>
    </w:p>
    <w:p w14:paraId="09056B5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（6）除依据《基金法》、《基金合同》及其他有关规定外，不得利用基金财产为自己及任何第三人谋取利益，不得委托第三人运作基金财产；</w:t>
      </w:r>
    </w:p>
    <w:p w14:paraId="7A49D47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（7）依法接受基金托管人的监督；</w:t>
      </w:r>
    </w:p>
    <w:p w14:paraId="5FDC323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（8）采取适当合理的措施使计算基金份额认购价格、申购对价、赎回对价的方法符合《基金合同》等法律文件的规定，按有关规定计算并公告基金净值信息，确定基金份额申购、赎回对价，编制申购赎回清单；</w:t>
      </w:r>
    </w:p>
    <w:p w14:paraId="22ED511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（9）进行基金会计核算并编制基金财务会计报告；</w:t>
      </w:r>
    </w:p>
    <w:p w14:paraId="7669E27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（10）编制季度报告、中期报告和年度报告；</w:t>
      </w:r>
    </w:p>
    <w:p w14:paraId="3388331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（11）严格按照《基金法》、《基金合同》及其他有关规定，履行信息披露及报告义务；</w:t>
      </w:r>
    </w:p>
    <w:p w14:paraId="68F946D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5E8B8C64">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（13）按《基金合同》的约定确定基金收益分配方案，及时向基金份额持有人分配基金收益；</w:t>
      </w:r>
    </w:p>
    <w:p w14:paraId="1F2B1E5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（14）按规定受理申购与赎回申请，及时、足额支付赎回对价；</w:t>
      </w:r>
    </w:p>
    <w:p w14:paraId="25A68EF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（15）依据《基金法》、《基金合同》及其他有关规定召集基金份额持有人大会或配合基金托管人、基金份额持有人依法召集基金份额持有人大会；</w:t>
      </w:r>
    </w:p>
    <w:p w14:paraId="0039247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（16）按规定保存基金财产管理业务活动的会计账册、报表、记录和其他相关资料，保存期限不低于法定最低期限；</w:t>
      </w:r>
    </w:p>
    <w:p w14:paraId="52728D5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7598C0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（18）组织并参加基金财产清算小组，参与基金财产的保管、清理、估价、变现和分配；</w:t>
      </w:r>
    </w:p>
    <w:p w14:paraId="3E392CB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（19）面临解散、依法被撤销或者被依法宣告破产时，及时报告中国证监会和银行业监督管理机构并通知基金托管人；</w:t>
      </w:r>
    </w:p>
    <w:p w14:paraId="218F6D2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（20）因违反《基金合同》导致基金财产的损失或损害基金份额持有人合法权益时，应当承担赔偿责任，其赔偿责任不因其退任而免除；</w:t>
      </w:r>
    </w:p>
    <w:p w14:paraId="03EF22A6">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（21）监督基金托管人按法律法规和《基金合同》规定履行自己的义务，基金托管人违反《基金合同》造成基金财产损失时，基金管理人应为基金份额持有人利益向基金托管人追偿；</w:t>
      </w:r>
    </w:p>
    <w:p w14:paraId="479E532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（22）当基金管理人将其义务委托第三方处理时，应当对第三方处理有关基金事务的行为承担责任；</w:t>
      </w:r>
    </w:p>
    <w:p w14:paraId="1A40B95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（23）以基金管理人名义，代表基金份额持有人利益行使诉讼权利或实施其他法律行为；</w:t>
      </w:r>
    </w:p>
    <w:p w14:paraId="0734FC96">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w:t>
      </w:r>
    </w:p>
    <w:p w14:paraId="40304CC5">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（25）执行生效的基金份额持有人大会的决议；</w:t>
      </w:r>
    </w:p>
    <w:p w14:paraId="564F919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（26）建立并保存基金份额持有人名册；</w:t>
      </w:r>
    </w:p>
    <w:p w14:paraId="4BE2750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（27）法律法规及中国证监会规定的和《基金合同》约定的其他义务。</w:t>
      </w:r>
    </w:p>
    <w:bookmarkEnd w:id="20"/>
    <w:p w14:paraId="4DFFF8C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w:t>
      </w:r>
      <w:r>
        <w:rPr>
          <w:rFonts w:hint="eastAsia" w:ascii="宋体" w:hAnsi="宋体" w:eastAsia="宋体" w:cs="宋体"/>
          <w:sz w:val="24"/>
          <w:szCs w:val="24"/>
        </w:rPr>
        <w:tab/>
      </w:r>
      <w:r>
        <w:rPr>
          <w:rFonts w:hint="eastAsia" w:ascii="宋体" w:hAnsi="宋体" w:eastAsia="宋体" w:cs="宋体"/>
          <w:sz w:val="24"/>
          <w:szCs w:val="24"/>
        </w:rPr>
        <w:t>基金托管人的权利与义务</w:t>
      </w:r>
    </w:p>
    <w:p w14:paraId="14B33E1C">
      <w:pPr>
        <w:adjustRightInd w:val="0"/>
        <w:snapToGrid w:val="0"/>
        <w:spacing w:line="360" w:lineRule="auto"/>
        <w:ind w:firstLine="480" w:firstLineChars="200"/>
        <w:rPr>
          <w:rFonts w:hint="eastAsia" w:ascii="宋体" w:hAnsi="宋体" w:eastAsia="宋体" w:cs="宋体"/>
          <w:color w:val="0C0C0C" w:themeColor="text1" w:themeTint="F2"/>
          <w:sz w:val="24"/>
          <w:szCs w:val="24"/>
        </w:rPr>
      </w:pPr>
      <w:bookmarkStart w:id="21" w:name="OLE_LINK3"/>
      <w:r>
        <w:rPr>
          <w:rFonts w:hint="eastAsia" w:ascii="宋体" w:hAnsi="宋体" w:eastAsia="宋体" w:cs="宋体"/>
          <w:color w:val="0C0C0C" w:themeColor="text1" w:themeTint="F2"/>
          <w:sz w:val="24"/>
          <w:szCs w:val="24"/>
        </w:rPr>
        <w:t>1、根据《基金法》、《运作办法》及其他有关规定，基金托管人的权利包括但不限于：</w:t>
      </w:r>
    </w:p>
    <w:p w14:paraId="60210CF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（1）自《基金合同》生效之日起，依法律法规和《基金合同》的规定安全保管基金财产；</w:t>
      </w:r>
    </w:p>
    <w:p w14:paraId="5C6AE37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（2）依《基金合同》约定及时、足额获得基金托管费以及法律法规规定或监管部门批准的其他费用；</w:t>
      </w:r>
    </w:p>
    <w:p w14:paraId="6BA6617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监督基金管理人对本基金的投资运作，如发现基金管理人有违反《基金合同》及国家法律法规行为，对基金财产、其他当事人的利益造成重大损失的情形，有权呈报中国证监会，并有权采取必要措施保护基金投资者的利益；</w:t>
      </w:r>
    </w:p>
    <w:p w14:paraId="74242CE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（4）根据相关市场规则，协助基金管理人为基金开设资金账户、证券账户等投资所需账户，根据基金管理人的投资指令，及时办理清算、交割事宜；</w:t>
      </w:r>
    </w:p>
    <w:p w14:paraId="7357D654">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（5）提议召开或召集基金份额持有人大会；</w:t>
      </w:r>
    </w:p>
    <w:p w14:paraId="7CFB6C8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（6）在基金管理人更换时，提名新的基金管理人；</w:t>
      </w:r>
    </w:p>
    <w:p w14:paraId="299AB6F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（7）法律法规及中国证监会规定的和《基金合同》约定的其他权利。</w:t>
      </w:r>
    </w:p>
    <w:p w14:paraId="4E6A426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2、根据《基金法》、《运作办法》及其他有关规定，基金托管人的义务包括但不限于：</w:t>
      </w:r>
    </w:p>
    <w:p w14:paraId="73DD613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（1）以诚实信用、勤勉尽责的原则持有并安全保管基金财产，但对于已根据基金管理人指令划转出托管账户的财产，以及处于基金托管人实际控制之外的财产不承担保管责任；</w:t>
      </w:r>
    </w:p>
    <w:p w14:paraId="1639C4C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（2）设立专门的基金托管部门，具有符合要求的营业场所，配备足够的、合格的熟悉基金托管业务的专职人员，负责基金财产托管事宜；</w:t>
      </w:r>
    </w:p>
    <w:p w14:paraId="276D43A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3BBB933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（4）除依据《基金法》、《基金合同》及其他有关规定外，不得利用基金财产为自己及任何第三人谋取非法利益，不得委托第三人托管基金财产；</w:t>
      </w:r>
    </w:p>
    <w:p w14:paraId="5956F24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（5）保管由基金管理人代表基金签订的与基金有关的重大合同及有关凭证；</w:t>
      </w:r>
    </w:p>
    <w:p w14:paraId="2DFC7F6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（6）按规定协助基金管理人开设基金财产的资金账户、证券账户等投资所需账户，按照《基金合同》的约定，根据基金管理人的投资指令，及时办理清算、交割事宜；</w:t>
      </w:r>
    </w:p>
    <w:p w14:paraId="0CFB35F7">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保守基金商业秘密，除《基金法》、《基金合同》及其他有关规定另有规定外，在基金信息公开披露前予以保密，不得向他人泄露，但根据法律法规规定、因监管机构、司法机关等有权机关或任一方上市的证券交易所要求，或因审计、法律等外部专业顾问提供服务需要提供的情况除外；</w:t>
      </w:r>
    </w:p>
    <w:p w14:paraId="5448CE1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（8）复核、审查基金管理人计算的基金资产净值、基金份额净值、基金份额申购、赎回对价；</w:t>
      </w:r>
    </w:p>
    <w:p w14:paraId="21E8AE9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（9）办理与基金托管业务活动有关的信息披露事项；</w:t>
      </w:r>
    </w:p>
    <w:p w14:paraId="7A7C3E5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209BF77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（11）保存基金托管业务活动的记录、账册、报表和其他相关资料，保存期限不低于法定最低期限；</w:t>
      </w:r>
    </w:p>
    <w:p w14:paraId="5562EDB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（12）从基金管理人或其委托的登记机构处接收并保存基金份额持有人名册；</w:t>
      </w:r>
    </w:p>
    <w:p w14:paraId="1AB7873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（13）按规定制作相关账册并与基金管理人核对；</w:t>
      </w:r>
    </w:p>
    <w:p w14:paraId="72ED931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（14）依据基金管理人的指令或有关规定向基金份额持有人支付基金收益和赎回对价的现金部分；</w:t>
      </w:r>
    </w:p>
    <w:p w14:paraId="0D22C3C6">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（15）依据《基金法》、《基金合同》及其他有关规定，召集基金份额持有人大会或配合基金管理人、基金份额持有人依法召集基金份额持有人大会；</w:t>
      </w:r>
    </w:p>
    <w:p w14:paraId="48062ED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（16）有权按照《基金合同》、《托管协议》的约定监督基金管理人的投资运作，基金托管人不因提供监督服务而对基金管理人的违法违规投资等承担责任；</w:t>
      </w:r>
    </w:p>
    <w:p w14:paraId="35E19FD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（17）参加基金财产清算小组，参与基金财产的保管、清理、估价、变现和分配；</w:t>
      </w:r>
    </w:p>
    <w:p w14:paraId="289F534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（18）面临解散、依法被撤销或者被依法宣告破产时，及时报告中国证监会，并通知基金管理人；</w:t>
      </w:r>
    </w:p>
    <w:p w14:paraId="4D28761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（19）因基金托管人过错违反《基金合同》导致基金财产损失时，应对基金财产的直接经济损失承担赔偿责任，其赔偿责任不因其退任而免除；</w:t>
      </w:r>
    </w:p>
    <w:p w14:paraId="168E2BB6">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（20）有权按《基金合同》、《托管协议》的约定监督基金管理人的投资运作，基金管理人因违反《基金合同》、《托管协议》造成基金财产损失时，有权为基金份额持有人利益向基金管理人追偿；</w:t>
      </w:r>
    </w:p>
    <w:p w14:paraId="24B79F86">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（21）执行生效的基金份额持有人大会的决议；</w:t>
      </w:r>
    </w:p>
    <w:p w14:paraId="2F7AAF38">
      <w:pPr>
        <w:spacing w:line="360" w:lineRule="auto"/>
        <w:ind w:firstLine="480" w:firstLineChars="200"/>
        <w:rPr>
          <w:rFonts w:hint="eastAsia" w:ascii="宋体" w:hAnsi="宋体" w:eastAsia="宋体" w:cs="宋体"/>
          <w:b/>
          <w:sz w:val="24"/>
        </w:rPr>
      </w:pPr>
      <w:r>
        <w:rPr>
          <w:rFonts w:hint="eastAsia" w:ascii="宋体" w:hAnsi="宋体" w:eastAsia="宋体" w:cs="宋体"/>
          <w:color w:val="0C0C0C" w:themeColor="text1" w:themeTint="F2"/>
          <w:sz w:val="24"/>
          <w:szCs w:val="24"/>
        </w:rPr>
        <w:t>（22）法律法规及中国证监会规定的和《基金合同》、《托管协议》约定的其他义务。</w:t>
      </w:r>
      <w:bookmarkEnd w:id="21"/>
    </w:p>
    <w:p w14:paraId="62C37F18">
      <w:pPr>
        <w:spacing w:line="360" w:lineRule="auto"/>
        <w:ind w:firstLine="482" w:firstLineChars="200"/>
        <w:rPr>
          <w:rFonts w:hint="eastAsia" w:ascii="宋体" w:hAnsi="宋体" w:eastAsia="宋体" w:cs="宋体"/>
          <w:b/>
          <w:sz w:val="24"/>
        </w:rPr>
      </w:pPr>
      <w:r>
        <w:rPr>
          <w:rFonts w:hint="eastAsia" w:ascii="宋体" w:hAnsi="宋体" w:eastAsia="宋体" w:cs="宋体"/>
          <w:b/>
          <w:sz w:val="24"/>
        </w:rPr>
        <w:t>二、基金份额持有人大会召集、议事及表决的程序和规则</w:t>
      </w:r>
    </w:p>
    <w:p w14:paraId="1183DBDE">
      <w:pPr>
        <w:adjustRightInd w:val="0"/>
        <w:snapToGrid w:val="0"/>
        <w:spacing w:line="360" w:lineRule="auto"/>
        <w:ind w:firstLine="480" w:firstLineChars="200"/>
        <w:rPr>
          <w:rFonts w:hint="eastAsia" w:ascii="宋体" w:hAnsi="宋体" w:eastAsia="宋体" w:cs="宋体"/>
          <w:color w:val="0C0C0C" w:themeColor="text1" w:themeTint="F2"/>
          <w:sz w:val="24"/>
          <w:szCs w:val="24"/>
        </w:rPr>
      </w:pPr>
      <w:bookmarkStart w:id="22" w:name="OLE_LINK7"/>
      <w:bookmarkStart w:id="23" w:name="OLE_LINK6"/>
      <w:r>
        <w:rPr>
          <w:rFonts w:hint="eastAsia" w:ascii="宋体" w:hAnsi="宋体" w:eastAsia="宋体" w:cs="宋体"/>
          <w:color w:val="0C0C0C" w:themeColor="text1" w:themeTint="F2"/>
          <w:sz w:val="24"/>
          <w:szCs w:val="24"/>
        </w:rPr>
        <w:t>基金份额持有人大会由基金份额持有人组成，基金份额持有人的合法授权代表有权代表基金份额持有人出席会议并表决。基金份额持有人持有的每一基金份额拥有平等的投票权。</w:t>
      </w:r>
    </w:p>
    <w:p w14:paraId="2D517555">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13EE2D3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56F4967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03962BA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法律法规或监管机构对基金份额持有人大会另有规定的，从其规定。</w:t>
      </w:r>
    </w:p>
    <w:p w14:paraId="6FC99FC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本基金份额持有人大会不设日常机构。</w:t>
      </w:r>
    </w:p>
    <w:p w14:paraId="714929A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（一）召开事由</w:t>
      </w:r>
    </w:p>
    <w:p w14:paraId="45EE5A1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1、除法律法规、中国证监会和基金合同另有规定外，当出现或需要决定下列事由之一的，应当召开基金份额持有人大会：</w:t>
      </w:r>
    </w:p>
    <w:p w14:paraId="401F3195">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（1）终止《基金合同》；</w:t>
      </w:r>
    </w:p>
    <w:p w14:paraId="67DE6377">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（2）更换基金管理人；</w:t>
      </w:r>
    </w:p>
    <w:p w14:paraId="26053F6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（3）更换基金托管人；</w:t>
      </w:r>
    </w:p>
    <w:p w14:paraId="1641E637">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（4）转换基金运作方式；</w:t>
      </w:r>
    </w:p>
    <w:p w14:paraId="1AEF5AD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（5）调整基金管理人、基金托管人的报酬标准；</w:t>
      </w:r>
    </w:p>
    <w:p w14:paraId="4772AFC7">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（6）变更基金类别；</w:t>
      </w:r>
    </w:p>
    <w:p w14:paraId="13A43EE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（7）本基金与其他基金的合并；</w:t>
      </w:r>
    </w:p>
    <w:p w14:paraId="0F12A66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（8）变更基金投资目标、范围或策略；</w:t>
      </w:r>
    </w:p>
    <w:p w14:paraId="6832319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（9）变更基金份额持有人大会程序；</w:t>
      </w:r>
    </w:p>
    <w:p w14:paraId="0BCD577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（10）基金管理人或基金托管人要求召开基金份额持有人大会；</w:t>
      </w:r>
    </w:p>
    <w:p w14:paraId="51DEAFB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（11）单独或合计持有本基金总份额10%以上（含10%）基金份额的基金份额持有人（以基金管理人收到提议当日的基金份额计算，下同）就同一事项书面要求召开基金份额持有人大会；</w:t>
      </w:r>
    </w:p>
    <w:p w14:paraId="6D8DB61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（12）对基金合同当事人权利和义务产生重大影响的其他事项；</w:t>
      </w:r>
    </w:p>
    <w:p w14:paraId="115FE5E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（13）终止基金上市，但因基金不再具备上市条件而被深圳证券交易所终止上市的情形除外；</w:t>
      </w:r>
    </w:p>
    <w:p w14:paraId="7890BC0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（14）法律法规、《基金合同》或中国证监会规定的其他应当召开基金份额持有人大会的事项。</w:t>
      </w:r>
    </w:p>
    <w:p w14:paraId="1355D965">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2、在法律法规规定和《基金合同》约定的范围内且对基金份额持有人利益无实质性不利影响的前提下，以下情况可由基金管理人和基金托管人协商后修改，不需召开基金份额持有人大会：</w:t>
      </w:r>
    </w:p>
    <w:p w14:paraId="1E6E58F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（1）法律法规要求增加的基金费用的收取；</w:t>
      </w:r>
    </w:p>
    <w:p w14:paraId="2BBFA24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（2）调整本基金的申购费率、变更收费方式或调整基金份额类别设置、对基金份额分类办法及规则进行调整；</w:t>
      </w:r>
    </w:p>
    <w:p w14:paraId="1DCEF7E5">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（3）因相应的法律法规、深圳证券交易所或者登记机构的相关业务规则发生变动而应当对《基金合同》进行修改；</w:t>
      </w:r>
    </w:p>
    <w:p w14:paraId="1FE48F3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（4）对《基金合同》的修改对基金份额持有人利益无实质性不利影响或修改不涉及《基金合同》当事人权利义务关系发生重大变化；</w:t>
      </w:r>
    </w:p>
    <w:p w14:paraId="441C2C4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（5）基金管理人、相关证券交易所和登记机构等调整有关基金申购、赎回、交易、转托管、非交易过户等业务的规则（包括申购赎回清单的调整、开放时间的调整等）；</w:t>
      </w:r>
    </w:p>
    <w:p w14:paraId="0E50549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（6）经履行相关程序后，基金推出新业务或服务；</w:t>
      </w:r>
    </w:p>
    <w:p w14:paraId="45EFB1E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（7）调整基金的申购赎回方式及申购对价、赎回对价组成；调整申购赎回清单的内容，调整申购赎回清单计算和公告时间或频率；</w:t>
      </w:r>
    </w:p>
    <w:p w14:paraId="01E2A30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（8）按照法律法规和《基金合同》规定不需召开基金份额持有人大会的其他情形。</w:t>
      </w:r>
    </w:p>
    <w:p w14:paraId="6EC0A05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（二）会议召集人及召集方式</w:t>
      </w:r>
    </w:p>
    <w:p w14:paraId="6755DAE7">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1、除法律法规规定或《基金合同》另有约定外，基金份额持有人大会由基金管理人召集。</w:t>
      </w:r>
    </w:p>
    <w:p w14:paraId="383E9CF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2、基金管理人未按规定召集或不能召集时，由基金托管人召集。</w:t>
      </w:r>
    </w:p>
    <w:p w14:paraId="359B944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57341AC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09DEDBA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02EF8F6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6、基金份额持有人会议的召集人负责选择确定开会时间、地点、方式和权益登记日。</w:t>
      </w:r>
    </w:p>
    <w:p w14:paraId="608C548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（三）召开基金份额持有人大会的通知时间、通知内容、通知方式</w:t>
      </w:r>
    </w:p>
    <w:p w14:paraId="528C7D4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1、召开基金份额持有人大会，召集人应于会议召开前30日，在规定媒介公告。基金份额持有人大会通知应至少载明以下内容：</w:t>
      </w:r>
    </w:p>
    <w:p w14:paraId="7EADEF6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（1）会议召开的时间、地点和会议形式；</w:t>
      </w:r>
    </w:p>
    <w:p w14:paraId="1BF9D28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（2）会议拟审议的事项、议事程序和表决方式；</w:t>
      </w:r>
    </w:p>
    <w:p w14:paraId="1491308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（3）有权出席基金份额持有人大会的基金份额持有人的权益登记日；</w:t>
      </w:r>
    </w:p>
    <w:p w14:paraId="0C30F63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（4）授权委托证明的内容要求（包括但不限于代理人身份，代理权限和代理有效期限等）、送达时间和地点；</w:t>
      </w:r>
    </w:p>
    <w:p w14:paraId="5868F79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（5）会务常设联系人姓名及联系电话；</w:t>
      </w:r>
    </w:p>
    <w:p w14:paraId="42C015F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（6）出席会议者必须准备的文件和必须履行的手续；</w:t>
      </w:r>
    </w:p>
    <w:p w14:paraId="6B972CE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（7）召集人需要通知的其他事项。</w:t>
      </w:r>
    </w:p>
    <w:p w14:paraId="623F5FB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2225003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3C4A6296">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（四）基金份额持有人出席会议的方式</w:t>
      </w:r>
    </w:p>
    <w:p w14:paraId="465CB5E4">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基金份额持有人大会可通过现场开会方式、通讯开会方式或法律法规、监管机构允许的其他方式召开，会议的召开方式由会议召集人确定。</w:t>
      </w:r>
    </w:p>
    <w:p w14:paraId="73FB497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7A6BC6B4">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6988995">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754C070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7925248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在同时符合以下条件时，通讯开会的方式视为有效：</w:t>
      </w:r>
    </w:p>
    <w:p w14:paraId="36944BF5">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（1）会议召集人按《基金合同》约定公布会议通知后，在2个工作日内连续公布相关提示性公告；</w:t>
      </w:r>
    </w:p>
    <w:p w14:paraId="6DB7AF1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70CC896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（3）本人直接出具表决意见或授权他人代表出具表决意见的，基金份额持有人所持有的基金份额不小于在权益登记日基金总份额的二分之一（含二分之一）；</w:t>
      </w:r>
    </w:p>
    <w:p w14:paraId="3ED9D374">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5ED4EAF5">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3AFC48A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635E6EB5">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（五）议事内容与程序</w:t>
      </w:r>
    </w:p>
    <w:p w14:paraId="364C5C1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1、议事内容及提案权</w:t>
      </w:r>
    </w:p>
    <w:p w14:paraId="4362F31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41BC7B7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基金份额持有人大会的召集人发出召集会议的通知后，对原有提案的修改应当在基金份额持有人大会召开前及时公告。</w:t>
      </w:r>
    </w:p>
    <w:p w14:paraId="09EC7F6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基金份额持有人大会不得对未事先公告的议事内容进行表决。</w:t>
      </w:r>
    </w:p>
    <w:p w14:paraId="388380F4">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2、议事程序</w:t>
      </w:r>
    </w:p>
    <w:p w14:paraId="5B84C50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（1）现场开会</w:t>
      </w:r>
    </w:p>
    <w:p w14:paraId="1D90C4A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10EFC994">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3ACCFDF7">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（2）通讯开会</w:t>
      </w:r>
    </w:p>
    <w:p w14:paraId="046FBE76">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在通讯开会的情况下，首先由召集人提前30日公布提案，在所通知的表决截止日期后2个工作日内在公证机关监督下由召集人统计全部有效表决，在公证机关监督下形成决议。</w:t>
      </w:r>
    </w:p>
    <w:p w14:paraId="438DF6A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（六）表决</w:t>
      </w:r>
    </w:p>
    <w:p w14:paraId="145A3C3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基金份额持有人所持每份基金份额有一票表决权。</w:t>
      </w:r>
    </w:p>
    <w:p w14:paraId="04E2BE9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基金份额持有人大会决议分为一般决议和特别决议：</w:t>
      </w:r>
    </w:p>
    <w:p w14:paraId="3C633B2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7B3F191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27A2DB3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基金份额持有人大会采取记名方式进行投票表决。</w:t>
      </w:r>
    </w:p>
    <w:p w14:paraId="34E76B1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37AB02D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基金份额持有人大会的各项提案或同一项提案内并列的各项议题应当分开审议、逐项表决。</w:t>
      </w:r>
    </w:p>
    <w:p w14:paraId="34DD670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在上述规则的前提下，具体规则以召集人发布的基金份额持有人大会通知为准。</w:t>
      </w:r>
    </w:p>
    <w:p w14:paraId="1268907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（七）计票</w:t>
      </w:r>
    </w:p>
    <w:p w14:paraId="1C4D9E7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1、现场开会</w:t>
      </w:r>
    </w:p>
    <w:p w14:paraId="4A0D070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6859C7D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（2）监票人应当在基金份额持有人表决后立即进行清点并由大会主持人当场公布计票结果。</w:t>
      </w:r>
    </w:p>
    <w:p w14:paraId="487CEF25">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263EC60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（4）计票过程应由公证机关予以公证，基金管理人或基金托管人拒不出席大会的，不影响计票的效力。</w:t>
      </w:r>
    </w:p>
    <w:p w14:paraId="4755634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2、通讯开会</w:t>
      </w:r>
    </w:p>
    <w:p w14:paraId="6D7DB7E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6DC43FE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（八）生效与公告</w:t>
      </w:r>
    </w:p>
    <w:p w14:paraId="19281D2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基金份额持有人大会的决议，召集人应当自通过之日起5日内报中国证监会备案。</w:t>
      </w:r>
    </w:p>
    <w:p w14:paraId="39E4466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基金份额持有人大会的决议自表决通过之日起生效。</w:t>
      </w:r>
    </w:p>
    <w:p w14:paraId="66E4EF0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基金份额持有人大会决议自生效之日起按规定在规定媒介上公告。如果采用通讯方式进行表决，在公告基金份额持有人大会决议时，必须将公证书全文、公证机构、公证员姓名等一同公告。</w:t>
      </w:r>
    </w:p>
    <w:p w14:paraId="1A05E92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4DD1768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九）本部分关于基金份额持有人大会召开事由、召开条件、议事程序、表决条件等规定，凡是直接引用法律法规或监管规则的部分，如将来法律法规或监管规则修改导致相关内容被取消或变更的，基金管理人与基金托管人协商一致并提前公告后，可直接对本部分内容进行修改和调整，无需召开基金份额持有人大会审议。</w:t>
      </w:r>
    </w:p>
    <w:bookmarkEnd w:id="22"/>
    <w:bookmarkEnd w:id="23"/>
    <w:p w14:paraId="2D3D62AB">
      <w:pPr>
        <w:spacing w:line="360" w:lineRule="auto"/>
        <w:rPr>
          <w:rFonts w:hint="eastAsia" w:ascii="宋体" w:hAnsi="宋体" w:eastAsia="宋体" w:cs="宋体"/>
          <w:b/>
          <w:sz w:val="24"/>
        </w:rPr>
      </w:pPr>
      <w:r>
        <w:rPr>
          <w:rFonts w:hint="eastAsia" w:ascii="宋体" w:hAnsi="宋体" w:eastAsia="宋体" w:cs="宋体"/>
          <w:b/>
          <w:sz w:val="24"/>
        </w:rPr>
        <w:t>三、基金收益分配原则、执行方式</w:t>
      </w:r>
    </w:p>
    <w:p w14:paraId="2620CF9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（一）基金收益分配原则</w:t>
      </w:r>
    </w:p>
    <w:p w14:paraId="05AAA853">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1、本基金基金份额的收益分配方式采用现金分红；</w:t>
      </w:r>
    </w:p>
    <w:p w14:paraId="6486B491">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2、当收益评价日核定的基金份额净值增长率超过标的指数同期增长率达到0.01%以上时，可进行收益分配；</w:t>
      </w:r>
    </w:p>
    <w:p w14:paraId="5C3F24AF">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本基金以使收益分配后基金份额净值增长率尽可能贴近标的指数同期增长率为原则进行收益分配。基于本基金的性质和特点，本基金收益分配不须以弥补亏损为前提，收益分配后有可能使除息后的基金份额净值低于面值；</w:t>
      </w:r>
    </w:p>
    <w:p w14:paraId="1362EEC0">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4、若《基金合同》生效不满3个月可不进行收益分配；</w:t>
      </w:r>
    </w:p>
    <w:p w14:paraId="54BE5A56">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5、每一基金份额享有同等分配权；</w:t>
      </w:r>
    </w:p>
    <w:p w14:paraId="63B88AAA">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6、法律法规或监管机关、证券交易所、登记机构另有规定的，从其规定。</w:t>
      </w:r>
    </w:p>
    <w:p w14:paraId="1F7EF6D0">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在不违反法律法规且对基金份额持有人利益无实质性不利影响的前提下，基金管理人经与基金托管人协商一致后可对基金收益分配原则进行调整，并及时公告。</w:t>
      </w:r>
    </w:p>
    <w:p w14:paraId="0F5E10B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（二）基金收益分配比例及金额的确定原则</w:t>
      </w:r>
    </w:p>
    <w:p w14:paraId="7D2CAD05">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1、在收益评价日，基金管理人计算基金份额净值增长率、标的指数同期增长率。</w:t>
      </w:r>
    </w:p>
    <w:p w14:paraId="51F5654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基金收益评价日本基金相对标的指数的超额收益率＝基金份额净值增长率－标的指数同期增长率。</w:t>
      </w:r>
    </w:p>
    <w:p w14:paraId="68E08B8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361220F5">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期间如发生基金份额折算、拆分或合并，则以基金份额折算、经拆分或合并调整后的基金份额折算日为初始日重新计算上述指标。</w:t>
      </w:r>
    </w:p>
    <w:p w14:paraId="19FD177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收益评价日日期以本基金日后相关公告为准。</w:t>
      </w:r>
    </w:p>
    <w:p w14:paraId="09B36D7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2、根据前述收益分配原则计算截至基金收益评价日本基金的份额可分配收益，并确定收益分配比例。</w:t>
      </w:r>
    </w:p>
    <w:p w14:paraId="709549C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3、根据前述可分配利润及收益分配比例计算收益分配金额。</w:t>
      </w:r>
    </w:p>
    <w:p w14:paraId="28AC8F6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（三）收益分配方案</w:t>
      </w:r>
    </w:p>
    <w:p w14:paraId="19DC025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基金收益分配方案中应载明基金收益分配对象、分配时间、分配数额及比例、分配方式等内容。</w:t>
      </w:r>
    </w:p>
    <w:p w14:paraId="02B7EBC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（四）收益分配方案的确定、公告与实施</w:t>
      </w:r>
    </w:p>
    <w:p w14:paraId="6B9632E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本基金收益分配方案由基金管理人拟定，并由基金托管人复核，依照《信息披露办法》的有关规定在规定媒介公告。</w:t>
      </w:r>
    </w:p>
    <w:p w14:paraId="315549C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（五）基金收益分配中发生的费用</w:t>
      </w:r>
    </w:p>
    <w:p w14:paraId="5864573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基金收益分配时所发生的银行转账或其他手续费用由投资者自行承担。</w:t>
      </w:r>
    </w:p>
    <w:p w14:paraId="5A97E96F">
      <w:pPr>
        <w:spacing w:line="360" w:lineRule="auto"/>
        <w:rPr>
          <w:rFonts w:hint="eastAsia" w:ascii="宋体" w:hAnsi="宋体" w:eastAsia="宋体" w:cs="宋体"/>
          <w:b/>
          <w:sz w:val="24"/>
        </w:rPr>
      </w:pPr>
      <w:r>
        <w:rPr>
          <w:rFonts w:hint="eastAsia" w:ascii="宋体" w:hAnsi="宋体" w:eastAsia="宋体" w:cs="宋体"/>
          <w:b/>
          <w:sz w:val="24"/>
        </w:rPr>
        <w:t>四、与基金财产管理、运作有关费用的提取、支付方式与比例</w:t>
      </w:r>
    </w:p>
    <w:p w14:paraId="213B3F1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（一）基金费用的种类</w:t>
      </w:r>
    </w:p>
    <w:p w14:paraId="3E543AB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1、基金管理人的管理费；</w:t>
      </w:r>
    </w:p>
    <w:p w14:paraId="392EFA57">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2、基金托管人的托管费；</w:t>
      </w:r>
    </w:p>
    <w:p w14:paraId="75DB76D5">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3、基金的证券、期货、期权交易费用；</w:t>
      </w:r>
    </w:p>
    <w:p w14:paraId="06A886D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4、《基金合同》生效后与基金相关的信息披露费用，但法律法规、中国证监会另有规定的除外；</w:t>
      </w:r>
    </w:p>
    <w:p w14:paraId="687E586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5、《基金合同》生效后与基金相关的公证费、会计师费、审计费、律师费、仲裁费和诉讼费；</w:t>
      </w:r>
    </w:p>
    <w:p w14:paraId="282168C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6、基金份额持有人大会费用；</w:t>
      </w:r>
    </w:p>
    <w:p w14:paraId="093D481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7、基金银行汇划费用、账户开户及维护费用、场内注册登记费用、IOPV计算与发布费用、收益分配中发生的费用（银行转账或其他手续费用除外）；</w:t>
      </w:r>
    </w:p>
    <w:p w14:paraId="61F8B52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8、基金上市初费及年费；</w:t>
      </w:r>
    </w:p>
    <w:p w14:paraId="402751B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9、按照国家有关规定和《基金合同》约定，可以在基金财产中列支的其他费用。</w:t>
      </w:r>
    </w:p>
    <w:p w14:paraId="5015A06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（二）基金费用计提方法、计提标准和支付方式</w:t>
      </w:r>
    </w:p>
    <w:p w14:paraId="41FCDF2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1、基金管理人的管理费</w:t>
      </w:r>
    </w:p>
    <w:p w14:paraId="3D58006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本基金的管理费按前一日基金资产净值的0.50%年费率计提。管理费的计算方法如下：</w:t>
      </w:r>
    </w:p>
    <w:p w14:paraId="07190E2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H＝E×0.50%÷当年天数</w:t>
      </w:r>
    </w:p>
    <w:p w14:paraId="1CBCEE3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H为每日应计提的基金管理费</w:t>
      </w:r>
    </w:p>
    <w:p w14:paraId="156D9BA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E为前一日的基金资产净值</w:t>
      </w:r>
    </w:p>
    <w:p w14:paraId="63EED82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管理费每日计提，按月支付。基金管理人与基金托管人双方核对无误后，基金托管人按照与基金管理人协商一致的方式于次月首日起5个工作日内从基金财产中一次性支付给基金管理人。若遇法定节假日、公休假或不可抗力等致使无法按时支付的，支付日期顺延至最近一个工作日 。</w:t>
      </w:r>
    </w:p>
    <w:p w14:paraId="675AD0D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2、基金托管人的托管费</w:t>
      </w:r>
    </w:p>
    <w:p w14:paraId="6A49326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本基金的托管费按前一日基金资产净值的0.10%年费率计提。托管费的计算方法如下：</w:t>
      </w:r>
    </w:p>
    <w:p w14:paraId="5149675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H＝E×0.10%÷当年天数</w:t>
      </w:r>
    </w:p>
    <w:p w14:paraId="4EF3666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H为每日应计提的基金托管费</w:t>
      </w:r>
    </w:p>
    <w:p w14:paraId="237AE62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E为前一日的基金资产净值</w:t>
      </w:r>
    </w:p>
    <w:p w14:paraId="23C6D07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托管费每日计提，按月支付。基金管理人与基金托管人双方核对无误后，基金托管人按照与基金管理人协商一致的方式于次月首日起5个工作日内从基金财产中一次性支取。若遇法定节假日、公休假或不可抗力等致使无法按时支付的，支付日期顺延至最近一个工作日 。</w:t>
      </w:r>
    </w:p>
    <w:p w14:paraId="117DF46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上述“（一）基金费用的种类”中第3－9项费用，根据有关法规及相应协议规定，按费用实际支出金额列入当期费用，由基金托管人从基金财产中支付。</w:t>
      </w:r>
    </w:p>
    <w:p w14:paraId="56C9BBA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（三）不列入基金费用的项目</w:t>
      </w:r>
    </w:p>
    <w:p w14:paraId="32381E8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1、基金管理人和基金托管人因未履行或未完全履行义务导致的费用支出或基金财产的损失；</w:t>
      </w:r>
    </w:p>
    <w:p w14:paraId="446A189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2、基金管理人和基金托管人处理与基金运作无关的事项发生的费用；</w:t>
      </w:r>
    </w:p>
    <w:p w14:paraId="4A76789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3、《基金合同》生效前的相关费用；</w:t>
      </w:r>
    </w:p>
    <w:p w14:paraId="62D7CB8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4、指数许可使用费；</w:t>
      </w:r>
    </w:p>
    <w:p w14:paraId="636B180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5、其他根据相关法律法规及中国证监会的有关规定不得列入基金费用的项目。</w:t>
      </w:r>
    </w:p>
    <w:p w14:paraId="0A65622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（四）基金税收</w:t>
      </w:r>
    </w:p>
    <w:p w14:paraId="1801D102">
      <w:pPr>
        <w:spacing w:line="360" w:lineRule="auto"/>
        <w:ind w:firstLine="480" w:firstLineChars="200"/>
        <w:rPr>
          <w:rFonts w:hint="eastAsia" w:ascii="宋体" w:hAnsi="宋体" w:eastAsia="宋体" w:cs="宋体"/>
          <w:b/>
          <w:sz w:val="24"/>
        </w:rPr>
      </w:pPr>
      <w:r>
        <w:rPr>
          <w:rFonts w:hint="eastAsia" w:ascii="宋体" w:hAnsi="宋体" w:eastAsia="宋体" w:cs="宋体"/>
          <w:color w:val="0C0C0C" w:themeColor="text1" w:themeTint="F2"/>
          <w:sz w:val="24"/>
          <w:szCs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1CC0E1A8">
      <w:pPr>
        <w:spacing w:line="360" w:lineRule="auto"/>
        <w:rPr>
          <w:rFonts w:hint="eastAsia" w:ascii="宋体" w:hAnsi="宋体" w:eastAsia="宋体" w:cs="宋体"/>
          <w:b/>
          <w:color w:val="0C0C0C" w:themeColor="text1" w:themeTint="F2"/>
          <w:sz w:val="24"/>
        </w:rPr>
      </w:pPr>
      <w:r>
        <w:rPr>
          <w:rFonts w:hint="eastAsia" w:ascii="宋体" w:hAnsi="宋体" w:eastAsia="宋体" w:cs="宋体"/>
          <w:b/>
          <w:color w:val="0C0C0C" w:themeColor="text1" w:themeTint="F2"/>
          <w:sz w:val="24"/>
        </w:rPr>
        <w:t>五、基金资产的投资范围和投资限制</w:t>
      </w:r>
    </w:p>
    <w:p w14:paraId="30376288">
      <w:pPr>
        <w:spacing w:line="360" w:lineRule="auto"/>
        <w:ind w:firstLine="480" w:firstLineChars="200"/>
        <w:rPr>
          <w:rFonts w:hint="eastAsia" w:ascii="宋体" w:hAnsi="宋体" w:eastAsia="宋体" w:cs="宋体"/>
          <w:color w:val="0C0C0C" w:themeColor="text1" w:themeTint="F2"/>
          <w:sz w:val="24"/>
        </w:rPr>
      </w:pPr>
      <w:r>
        <w:rPr>
          <w:rFonts w:hint="eastAsia" w:ascii="宋体" w:hAnsi="宋体" w:eastAsia="宋体" w:cs="宋体"/>
          <w:color w:val="0C0C0C" w:themeColor="text1" w:themeTint="F2"/>
          <w:sz w:val="24"/>
        </w:rPr>
        <w:t>（一）投资范围</w:t>
      </w:r>
    </w:p>
    <w:p w14:paraId="5D35A4B4">
      <w:pPr>
        <w:adjustRightInd w:val="0"/>
        <w:snapToGrid w:val="0"/>
        <w:spacing w:line="360" w:lineRule="auto"/>
        <w:ind w:firstLine="480" w:firstLineChars="200"/>
        <w:rPr>
          <w:rFonts w:hint="eastAsia" w:ascii="宋体" w:hAnsi="宋体" w:eastAsia="宋体" w:cs="宋体"/>
          <w:color w:val="0C0C0C" w:themeColor="text1" w:themeTint="F2"/>
          <w:sz w:val="24"/>
          <w:szCs w:val="24"/>
        </w:rPr>
      </w:pPr>
      <w:bookmarkStart w:id="24" w:name="OLE_LINK8"/>
      <w:r>
        <w:rPr>
          <w:rFonts w:hint="eastAsia" w:ascii="宋体" w:hAnsi="宋体" w:eastAsia="宋体" w:cs="宋体"/>
          <w:color w:val="0C0C0C" w:themeColor="text1" w:themeTint="F2"/>
          <w:sz w:val="24"/>
          <w:szCs w:val="24"/>
        </w:rPr>
        <w:t>本基金主要投资于标的指数成份股和备选成份股(含存托凭证)。</w:t>
      </w:r>
    </w:p>
    <w:p w14:paraId="42F7A75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为更好地实现基金的投资目标，本基金可能会少量投资于依法发行上市的非成份股（包括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754ECB6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本基金可根据法律法规的规定参与融资和转融通证券出借业务。未来在法律法规允许的前提下，本基金可根据相关法律法规规定参与融券业务。</w:t>
      </w:r>
    </w:p>
    <w:p w14:paraId="0B3F90B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如法律法规或中国证监会以后允许基金投资其他品种，本基金管理人在履行适当程序后，可以将其纳入本基金的投资范围。</w:t>
      </w:r>
    </w:p>
    <w:p w14:paraId="406FF04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4F1486D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若法律法规的相关规定发生变更或监管机构允许，本基金管理人在履行适当程序并与基金托管人协商一致后，可对上述资产配置比例进行调整。</w:t>
      </w:r>
    </w:p>
    <w:bookmarkEnd w:id="24"/>
    <w:p w14:paraId="208D0E21">
      <w:pPr>
        <w:spacing w:line="360" w:lineRule="auto"/>
        <w:ind w:firstLine="480" w:firstLineChars="200"/>
        <w:rPr>
          <w:rFonts w:hint="eastAsia" w:ascii="宋体" w:hAnsi="宋体" w:eastAsia="宋体" w:cs="宋体"/>
          <w:color w:val="0C0C0C" w:themeColor="text1" w:themeTint="F2"/>
          <w:sz w:val="24"/>
        </w:rPr>
      </w:pPr>
      <w:r>
        <w:rPr>
          <w:rFonts w:hint="eastAsia" w:ascii="宋体" w:hAnsi="宋体" w:eastAsia="宋体" w:cs="宋体"/>
          <w:color w:val="0C0C0C" w:themeColor="text1" w:themeTint="F2"/>
          <w:sz w:val="24"/>
        </w:rPr>
        <w:t>（二）投资组合限制</w:t>
      </w:r>
    </w:p>
    <w:p w14:paraId="13347AE7">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1、组合限制 </w:t>
      </w:r>
    </w:p>
    <w:p w14:paraId="6E01156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基金的投资组合应遵循以下限制： </w:t>
      </w:r>
    </w:p>
    <w:p w14:paraId="15E97CA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（1）本基金投资于标的指数成份股和备选成份股（含存托凭证）的资产比例不低于基金资产净值的90%，且不低于非现金基金资产的80%； </w:t>
      </w:r>
    </w:p>
    <w:p w14:paraId="7179B30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（2）每个交易日日终在扣除股指期货、股票期权和国债期货合约需缴纳的交易保证金后，本基金应当保持不低于交易保证金一倍的现金，其中现金不包括结算备付金、存出保证金和应收申购款等； </w:t>
      </w:r>
    </w:p>
    <w:p w14:paraId="1ABF0B5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（3）本基金参与股指期货和国债期货交易，需遵守下列投资比例限制： </w:t>
      </w:r>
    </w:p>
    <w:p w14:paraId="0B193D56">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1）本基金在任何交易日日终，持有的买入股指期货合约价值，不得超过基金资产净值的10%；在任何交易日日终，持有的买入国债期货合约价值，不得超过基金资产净值的15%； </w:t>
      </w:r>
    </w:p>
    <w:p w14:paraId="13A7C93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 </w:t>
      </w:r>
    </w:p>
    <w:p w14:paraId="4601397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3）本基金在任何交易日日终，持有的卖出股指期货合约价值不得超过基金持有的股票总市值的20%；在任何交易日日终，持有的卖出国债期货合约价值不得超过基金持有的债券总市值的30%； </w:t>
      </w:r>
    </w:p>
    <w:p w14:paraId="2CB3CE96">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4）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5F2C3556">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 </w:t>
      </w:r>
    </w:p>
    <w:p w14:paraId="01BFB98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（4）本基金投资于同一原始权益人的各类资产支持证券的比例，不得超过基金资产净值的10％； </w:t>
      </w:r>
    </w:p>
    <w:p w14:paraId="052D733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（5）本基金持有的全部资产支持证券，其市值不得超过基金资产净值的20％； </w:t>
      </w:r>
    </w:p>
    <w:p w14:paraId="35309F9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（6）本基金持有的同一(指同一信用级别)资产支持证券的比例，不得超过该资产支持证券规模的10％； </w:t>
      </w:r>
    </w:p>
    <w:p w14:paraId="16C9839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（7）本基金管理人管理的全部基金投资于同一原始权益人的各类资产支持证券，不得超过其各类资产支持证券合计规模的10％； </w:t>
      </w:r>
    </w:p>
    <w:p w14:paraId="53B61AC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（8）本基金应投资于信用级别评级为BBB以上(含BBB)的资产支持证券。基金持有资产支持证券期间，如果其信用等级下降、不再符合投资标准，应在评级报告发布之日起3个月内予以全部卖出； </w:t>
      </w:r>
    </w:p>
    <w:p w14:paraId="43555B2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（9）基金财产参与股票发行申购，本基金所申报的金额不超过本基金的总资产，本基金所申报的股票数量不超过拟发行股票公司本次发行股票的总量； </w:t>
      </w:r>
    </w:p>
    <w:p w14:paraId="297109B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（10）本基金参与融资的，在任何交易日日终，本基金持有的融资买入股票与其他有价证券市值之和，不得超过基金资产净值的95%； </w:t>
      </w:r>
    </w:p>
    <w:p w14:paraId="0D3BFB7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（11）本基金参与转融通证券出借业务，需遵守下列投资限制： </w:t>
      </w:r>
    </w:p>
    <w:p w14:paraId="427BA826">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1）出借证券资产不得超过基金资产净值的30%，出借期限在10个交易日以上的出借证券应纳入《流动性风险管理规定》所述流动性受限证券的范围； </w:t>
      </w:r>
    </w:p>
    <w:p w14:paraId="6B6775E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2）参与出借业务的单只证券不得超过本基金持有该证券总量的30%； </w:t>
      </w:r>
    </w:p>
    <w:p w14:paraId="10481CF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3）最近6个月内日均基金资产净值不得低于2亿元； </w:t>
      </w:r>
    </w:p>
    <w:p w14:paraId="75AC10B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4）证券出借的平均剩余期限不得超过30天，平均剩余期限按照市值加权平均计算； </w:t>
      </w:r>
    </w:p>
    <w:p w14:paraId="3337A03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因证券、期货市场波动、证券发行人合并、基金规模变动等基金管理人之外的因素致使基金投资不符合上述规定的，基金管理人不得新增出借业务； </w:t>
      </w:r>
    </w:p>
    <w:p w14:paraId="2494C4F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（12）本基金投资股票期权应当符合以下要求： </w:t>
      </w:r>
    </w:p>
    <w:p w14:paraId="457552A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7462423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 </w:t>
      </w:r>
    </w:p>
    <w:p w14:paraId="3D607714">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（14）基金管理人承诺本基金与私募类证券资管产品及中国证监会认定的其他主体为交易对手开展逆回购交易的，可接受质押品的资质要求应当与本基金合同约定的投资范围保持一致； </w:t>
      </w:r>
    </w:p>
    <w:p w14:paraId="1B92794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（15）本基金资产总值不得超过基金资产净值的140%； </w:t>
      </w:r>
    </w:p>
    <w:p w14:paraId="0DE3FDB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（16）本基金投资存托凭证的比例限制依照境内上市交易的股票执行； </w:t>
      </w:r>
    </w:p>
    <w:p w14:paraId="5BD9CD3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（17）法律法规及中国证监会规定的和《基金合同》约定的其他投资限制。 </w:t>
      </w:r>
    </w:p>
    <w:p w14:paraId="6DD25B3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除上述（2）、（8）、（11）、（13）、（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14:paraId="2A58C2B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基金托管人不因提供监督而对基金管理人的违法违规、违反基金合同约定投资等承担责任。  </w:t>
      </w:r>
    </w:p>
    <w:p w14:paraId="5192E16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 xml:space="preserve">法律法规或监管部门取消或调整上述限制，如适用于本基金，基金管理人在与基金托管人协商一致并履行适当程序后，则本基金投资不再受相关限制或按照调整后的规定执行。 </w:t>
      </w:r>
    </w:p>
    <w:p w14:paraId="1D63DBD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2、禁止行为</w:t>
      </w:r>
    </w:p>
    <w:p w14:paraId="396F1254">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为维护基金份额持有人的合法权益，基金财产不得用于下列投资或者活动：</w:t>
      </w:r>
    </w:p>
    <w:p w14:paraId="640D8D1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（1）承销证券；</w:t>
      </w:r>
    </w:p>
    <w:p w14:paraId="690E4273">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（2）违反规定向他人贷款或者提供担保；</w:t>
      </w:r>
    </w:p>
    <w:p w14:paraId="66720BE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（3）从事承担无限责任的投资；</w:t>
      </w:r>
    </w:p>
    <w:p w14:paraId="673E304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（4）买卖其他基金份额，但是中国证监会另有规定的除外；</w:t>
      </w:r>
    </w:p>
    <w:p w14:paraId="1737C6B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（5）向其基金管理人、基金托管人出资；</w:t>
      </w:r>
    </w:p>
    <w:p w14:paraId="1CE19502">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（6）从事内幕交易、操纵证券交易价格及其他不正当的证券交易活动；</w:t>
      </w:r>
    </w:p>
    <w:p w14:paraId="3C7F62DD">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（7）法律、行政法规和中国证监会规定禁止的其他活动。</w:t>
      </w:r>
    </w:p>
    <w:p w14:paraId="0A61C0C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基金托管人不对基金管理人的违法违规投资等上述事项和由此造成的损失承担责任。</w:t>
      </w:r>
    </w:p>
    <w:p w14:paraId="60F98C7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法律、行政法规或监管部门取消或调整上述限制，如适用于本基金，基金管理人在履行适当程序并与基金托管人协商一致后，则本基金投资不再受相关限制或按照调整后的规定执行。</w:t>
      </w:r>
    </w:p>
    <w:p w14:paraId="7E5E8F98">
      <w:pPr>
        <w:snapToGrid w:val="0"/>
        <w:spacing w:line="360" w:lineRule="auto"/>
        <w:ind w:firstLine="482" w:firstLineChars="200"/>
        <w:rPr>
          <w:rFonts w:hint="eastAsia" w:ascii="宋体" w:hAnsi="宋体" w:eastAsia="宋体" w:cs="宋体"/>
          <w:b/>
          <w:sz w:val="24"/>
        </w:rPr>
      </w:pPr>
      <w:r>
        <w:rPr>
          <w:rFonts w:hint="eastAsia" w:ascii="宋体" w:hAnsi="宋体" w:eastAsia="宋体" w:cs="宋体"/>
          <w:b/>
          <w:sz w:val="24"/>
        </w:rPr>
        <w:t>六、基金资产净值的计算方法和公告方式</w:t>
      </w:r>
    </w:p>
    <w:p w14:paraId="0F3ACAE3">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（一）基金资产净值的计算方式</w:t>
      </w:r>
    </w:p>
    <w:p w14:paraId="6758E880">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交易所上市或挂牌转让的有价证券（包括股票等，本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4021ACAB">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2、对于已上市或已挂牌转让的不含权固定收益品种，选取估值日第三方估值基准服务机构提供的相应品种当日的估值全价进行估值。</w:t>
      </w:r>
    </w:p>
    <w:p w14:paraId="7AF3287E">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3、对于已上市或已挂牌转让的含权固定收益品种，选取估值日第三方估值基准服务机构提供的相应品种当日的唯一估值全价或推荐估值全价进行估值。</w:t>
      </w:r>
    </w:p>
    <w:p w14:paraId="11A7477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3A88D3EC">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1A085D3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5、对于未上市或未挂牌转让且不存在活跃市场的固定收益品种，应采用在当前情况下适用并且有足够可利用数据和其他信息支持的估值技术确定其公允价值。</w:t>
      </w:r>
    </w:p>
    <w:p w14:paraId="60616184">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6、处于未上市期间的有价证券应区分如下情况处理：</w:t>
      </w:r>
    </w:p>
    <w:p w14:paraId="1101531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（1）送股、转增股、配股和公开增发的新股，按估值日在证券交易所挂牌的同一股票的估值方法估值；该日无交易的，以最近一日的市价（收盘价）估值；</w:t>
      </w:r>
    </w:p>
    <w:p w14:paraId="6E67504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（2）首次公开发行未上市的股票，采用估值技术确定公允价值；</w:t>
      </w:r>
    </w:p>
    <w:p w14:paraId="23170E9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12A61C14">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7、本基金投资存托凭证的估值核算，依照境内上市交易的股票执行。</w:t>
      </w:r>
    </w:p>
    <w:p w14:paraId="0BD8A7CF">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8、同一证券同时在两个或两个以上市场交易的，按证券所处的市场分别估值。</w:t>
      </w:r>
    </w:p>
    <w:p w14:paraId="6628FBC7">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9、本基金参与股指期货、国债期货合约交易，一般以估值当日结算价确定公允价值，估值当日无结算价的，且最近交易日后未发生影响公允价值计量的重大事件的，采用最近交易日结算价估值。</w:t>
      </w:r>
    </w:p>
    <w:p w14:paraId="4891C598">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10、本基金投资股票期权，根据相关法律法规以及监管部门的规定估值。</w:t>
      </w:r>
    </w:p>
    <w:p w14:paraId="171EF815">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11、本基金参与融资及转融通证券出借业务的，应参照法律法规及行业协会的相关规定进行估值。</w:t>
      </w:r>
    </w:p>
    <w:p w14:paraId="7431C351">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12、银行存款、回购等固定收益工具按照约定利率在持有期内逐日确认利息收入，在利息到账日以实收利息入账。</w:t>
      </w:r>
    </w:p>
    <w:p w14:paraId="7123F689">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13、如有确凿证据表明按上述方法进行估值不能客观反映其公允价值的，基金管理人可根据具体情况与基金托管人商定后，按最能反映公允价值的方法估值。</w:t>
      </w:r>
    </w:p>
    <w:p w14:paraId="392913EA">
      <w:pPr>
        <w:adjustRightInd w:val="0"/>
        <w:snapToGrid w:val="0"/>
        <w:spacing w:line="360" w:lineRule="auto"/>
        <w:ind w:firstLine="480" w:firstLineChars="200"/>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14、相关法律法规以及监管部门有强制规定的，从其规定。如有新增事项，按国家最新规定估值。如基金管理人或基金托管人发现基金估值违反基金合同订明的估值方法、程序及相关法律法规的规定或者未能充分维护基金份额持有人利益时，应立即通知对方，共同查明原因，双方协商解决。</w:t>
      </w:r>
    </w:p>
    <w:p w14:paraId="109C9B17">
      <w:pPr>
        <w:widowControl/>
        <w:adjustRightInd w:val="0"/>
        <w:snapToGrid w:val="0"/>
        <w:spacing w:line="360" w:lineRule="auto"/>
        <w:ind w:firstLine="480" w:firstLineChars="200"/>
        <w:jc w:val="left"/>
        <w:rPr>
          <w:rFonts w:hint="eastAsia" w:ascii="宋体" w:hAnsi="宋体" w:eastAsia="宋体" w:cs="宋体"/>
          <w:color w:val="0C0C0C" w:themeColor="text1" w:themeTint="F2"/>
          <w:sz w:val="24"/>
          <w:szCs w:val="24"/>
        </w:rPr>
      </w:pPr>
      <w:r>
        <w:rPr>
          <w:rFonts w:hint="eastAsia" w:ascii="宋体" w:hAnsi="宋体" w:eastAsia="宋体" w:cs="宋体"/>
          <w:color w:val="0C0C0C" w:themeColor="text1" w:themeTint="F2"/>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基金托管人不承担由此引致的任何责任和损失。</w:t>
      </w:r>
    </w:p>
    <w:p w14:paraId="0F13611D">
      <w:pPr>
        <w:widowControl/>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（二）基金净值信息</w:t>
      </w:r>
    </w:p>
    <w:p w14:paraId="7D7C7888">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《基金合同》生效后，在基金份额上市交易或者开始办理基金份额申购或者赎回前，基金管理人应当至少每周在规定网站披露一次基金份额净值和基金份额累计净值。</w:t>
      </w:r>
    </w:p>
    <w:p w14:paraId="31C63E2C">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317D13FC">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基金管理人应当在不晚于半年度和年度最后一日的次日，在规定网站披露半年度和年度最后一日的基金份额净值和基金份额累计净值。</w:t>
      </w:r>
    </w:p>
    <w:p w14:paraId="2C2A281D">
      <w:pPr>
        <w:snapToGrid w:val="0"/>
        <w:spacing w:line="360" w:lineRule="auto"/>
        <w:ind w:firstLine="482" w:firstLineChars="200"/>
        <w:rPr>
          <w:rFonts w:hint="eastAsia" w:ascii="宋体" w:hAnsi="宋体" w:eastAsia="宋体" w:cs="宋体"/>
          <w:b/>
          <w:sz w:val="24"/>
        </w:rPr>
      </w:pPr>
      <w:r>
        <w:rPr>
          <w:rFonts w:hint="eastAsia" w:ascii="宋体" w:hAnsi="宋体" w:eastAsia="宋体" w:cs="宋体"/>
          <w:b/>
          <w:sz w:val="24"/>
        </w:rPr>
        <w:t>七、基金合同的变更、终止与基金财产的清算</w:t>
      </w:r>
    </w:p>
    <w:p w14:paraId="63E14B6A">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（一）《基金合同》的变更</w:t>
      </w:r>
    </w:p>
    <w:p w14:paraId="1B1F609C">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1ECB5753">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2、关于《基金合同》变更的基金份额持有人大会决议自生效后方可执行，自决议生效后按规定在规定媒介公告。</w:t>
      </w:r>
    </w:p>
    <w:p w14:paraId="2E97EFD8">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（二）《基金合同》的终止事由</w:t>
      </w:r>
    </w:p>
    <w:p w14:paraId="4EB3C143">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有下列情形之一的，经履行相关程序后，《基金合同》应当终止：</w:t>
      </w:r>
    </w:p>
    <w:p w14:paraId="1A9BFDFA">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1、基金份额持有人大会决定终止的；</w:t>
      </w:r>
    </w:p>
    <w:p w14:paraId="0AE79C58">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2、基金管理人、基金托管人职责终止，在6个月内没有新基金管理人、新基金托管人承接的；</w:t>
      </w:r>
    </w:p>
    <w:p w14:paraId="5D54FFE0">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rPr>
        <w:t>3、</w:t>
      </w:r>
      <w:r>
        <w:rPr>
          <w:rFonts w:hint="eastAsia" w:ascii="宋体" w:hAnsi="宋体" w:eastAsia="宋体" w:cs="宋体"/>
          <w:sz w:val="24"/>
          <w:szCs w:val="24"/>
        </w:rPr>
        <w:t>《基金合同》约定的其他情形；</w:t>
      </w:r>
    </w:p>
    <w:p w14:paraId="50F12868">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4、相关法律法规和中国证监会规定的其他情况。</w:t>
      </w:r>
    </w:p>
    <w:p w14:paraId="4035E3FD">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（三）基金财产的清算</w:t>
      </w:r>
    </w:p>
    <w:p w14:paraId="63BBE5E1">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1、基金财产清算小组：自出现《基金合同》终止事由之日起30个工作日内成立基金财产清算小组，基金管理人组织基金财产清算小组并在中国证监会的监督下进行基金清算。</w:t>
      </w:r>
    </w:p>
    <w:p w14:paraId="0E8B2A6E">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2、在基金财产清算小组接管基金财产之前，基金管理人和基金托管人应按照《基金合同》和托管协议的规定继续履行保护基金财产安全的职责。</w:t>
      </w:r>
    </w:p>
    <w:p w14:paraId="540723A7">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0A1382E0">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4、基金财产清算小组职责：基金财产清算小组负责基金财产的保管、清理、估价、变现和分配。基金财产清算小组可以依法进行必要的民事活动。</w:t>
      </w:r>
    </w:p>
    <w:p w14:paraId="516B3A4E">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5、基金财产清算程序：</w:t>
      </w:r>
    </w:p>
    <w:p w14:paraId="0D8E83AC">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（1）《基金合同》终止情形出现时，由基金财产清算小组统一接管基金；</w:t>
      </w:r>
    </w:p>
    <w:p w14:paraId="716E162A">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（2）对基金财产和债权债务进行清理和确认；</w:t>
      </w:r>
    </w:p>
    <w:p w14:paraId="0E98DB65">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（3）对基金财产进行估值和变现；</w:t>
      </w:r>
    </w:p>
    <w:p w14:paraId="4A86A0A2">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（4）制作清算报告；</w:t>
      </w:r>
    </w:p>
    <w:p w14:paraId="2E6F3CD4">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（5）聘请会计师事务所对清算报告进行外部审计，聘请律师事务所对清算报告出具法律意见书；</w:t>
      </w:r>
    </w:p>
    <w:p w14:paraId="7F55D9D2">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（6）将清算报告报中国证监会备案并公告；</w:t>
      </w:r>
    </w:p>
    <w:p w14:paraId="4735B3BD">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（7）对基金剩余财产进行分配。</w:t>
      </w:r>
    </w:p>
    <w:p w14:paraId="180DAEBE">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6、基金财产清算的期限为6个月，但因本基金所持证券的流动性受到限制而不能及时变现的，清算期限相应顺延。</w:t>
      </w:r>
    </w:p>
    <w:p w14:paraId="1767EE0C">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（四）清算费用</w:t>
      </w:r>
    </w:p>
    <w:p w14:paraId="1F29721B">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清算费用是指基金财产清算小组在进行基金财产清算过程中发生的所有合理费用，清算费用由基金财产清算小组优先从基金剩余财产中支付。</w:t>
      </w:r>
    </w:p>
    <w:p w14:paraId="6B06CBA4">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（五）基金财产清算剩余资产的分配</w:t>
      </w:r>
    </w:p>
    <w:p w14:paraId="6941370A">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依据基金财产清算的分配方案，将基金财产清算后的全部剩余资产扣除基金财产清算费用、交纳所欠税款并清偿基金债务后，按基金份额持有人持有的基金份额比例进行分配。</w:t>
      </w:r>
    </w:p>
    <w:p w14:paraId="1D2905E1">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（六）基金财产清算的公告</w:t>
      </w:r>
    </w:p>
    <w:p w14:paraId="68F9789E">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05426B07">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（七）基金财产清算账册及文件的保存</w:t>
      </w:r>
    </w:p>
    <w:p w14:paraId="22B54FCD">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基金财产清算账册及有关文件由基金托管人保存，保存期限不低于法定最低期限。</w:t>
      </w:r>
    </w:p>
    <w:p w14:paraId="735A1299">
      <w:pPr>
        <w:snapToGrid w:val="0"/>
        <w:spacing w:line="360" w:lineRule="auto"/>
        <w:ind w:firstLine="482" w:firstLineChars="200"/>
        <w:rPr>
          <w:rFonts w:hint="eastAsia" w:ascii="宋体" w:hAnsi="宋体" w:eastAsia="宋体" w:cs="宋体"/>
          <w:b/>
          <w:sz w:val="24"/>
        </w:rPr>
      </w:pPr>
      <w:r>
        <w:rPr>
          <w:rFonts w:hint="eastAsia" w:ascii="宋体" w:hAnsi="宋体" w:eastAsia="宋体" w:cs="宋体"/>
          <w:b/>
          <w:sz w:val="24"/>
        </w:rPr>
        <w:t>八、争议的处理</w:t>
      </w:r>
    </w:p>
    <w:p w14:paraId="5FEC7433">
      <w:pPr>
        <w:adjustRightInd w:val="0"/>
        <w:snapToGrid w:val="0"/>
        <w:spacing w:line="360" w:lineRule="auto"/>
        <w:ind w:firstLine="420"/>
        <w:rPr>
          <w:rFonts w:hint="eastAsia" w:ascii="宋体" w:hAnsi="宋体" w:eastAsia="宋体" w:cs="宋体"/>
          <w:b/>
          <w:i/>
          <w:sz w:val="24"/>
          <w:szCs w:val="24"/>
        </w:rPr>
      </w:pPr>
      <w:r>
        <w:rPr>
          <w:rFonts w:hint="eastAsia" w:ascii="宋体" w:hAnsi="宋体" w:eastAsia="宋体" w:cs="宋体"/>
          <w:b/>
          <w:i/>
          <w:sz w:val="24"/>
          <w:szCs w:val="24"/>
        </w:rPr>
        <w:t>各方当事人同意，因《基金合同》而产生的或与《基金合同》有关的一切争议，如不愿或者不能通过协商、调解解决的，应将争议提交中国国际经济贸易仲裁委员会，按照中国国际经济贸易仲裁委员会届时有效的仲裁规则进行仲裁。仲裁地点为北京市。仲裁裁决是终局的，对各方当事人均有约束力。除非仲裁裁决另有规定，仲裁费用由败诉方承担。</w:t>
      </w:r>
    </w:p>
    <w:p w14:paraId="342EC00B">
      <w:pPr>
        <w:adjustRightInd w:val="0"/>
        <w:snapToGrid w:val="0"/>
        <w:spacing w:line="360" w:lineRule="auto"/>
        <w:ind w:firstLine="420"/>
        <w:rPr>
          <w:rFonts w:hint="eastAsia" w:ascii="宋体" w:hAnsi="宋体" w:eastAsia="宋体" w:cs="宋体"/>
          <w:b/>
          <w:i/>
          <w:sz w:val="24"/>
          <w:szCs w:val="24"/>
        </w:rPr>
      </w:pPr>
      <w:r>
        <w:rPr>
          <w:rFonts w:hint="eastAsia" w:ascii="宋体" w:hAnsi="宋体" w:eastAsia="宋体" w:cs="宋体"/>
          <w:b/>
          <w:i/>
          <w:sz w:val="24"/>
          <w:szCs w:val="24"/>
        </w:rPr>
        <w:t>争议处理期间，基金管理人、基金托管人应恪守基金管理人和基金托管人的职责，各自继续忠实、勤勉、尽责地履行基金合同和基金托管协议规定的义务，维护基金份额持有人的合法权益。</w:t>
      </w:r>
    </w:p>
    <w:p w14:paraId="296F826B">
      <w:pPr>
        <w:adjustRightInd w:val="0"/>
        <w:snapToGrid w:val="0"/>
        <w:spacing w:line="360" w:lineRule="auto"/>
        <w:ind w:firstLine="420"/>
        <w:rPr>
          <w:rFonts w:hint="eastAsia" w:ascii="宋体" w:hAnsi="宋体" w:eastAsia="宋体" w:cs="宋体"/>
          <w:b/>
          <w:i/>
          <w:sz w:val="24"/>
          <w:szCs w:val="24"/>
        </w:rPr>
      </w:pPr>
      <w:r>
        <w:rPr>
          <w:rFonts w:hint="eastAsia" w:ascii="宋体" w:hAnsi="宋体" w:eastAsia="宋体" w:cs="宋体"/>
          <w:b/>
          <w:i/>
          <w:sz w:val="24"/>
          <w:szCs w:val="24"/>
        </w:rPr>
        <w:t>《基金合同》受中国法律（为本基金合同之目的，在此不包括香港特别行政区、澳门特别行政区法律和台湾地区的有关规定）管辖并从其解释。</w:t>
      </w:r>
    </w:p>
    <w:p w14:paraId="56EE6750">
      <w:pPr>
        <w:snapToGrid w:val="0"/>
        <w:spacing w:line="360" w:lineRule="auto"/>
        <w:ind w:firstLine="482" w:firstLineChars="200"/>
        <w:rPr>
          <w:rFonts w:hint="eastAsia" w:ascii="宋体" w:hAnsi="宋体" w:eastAsia="宋体" w:cs="宋体"/>
          <w:b/>
          <w:sz w:val="24"/>
        </w:rPr>
      </w:pPr>
      <w:r>
        <w:rPr>
          <w:rFonts w:hint="eastAsia" w:ascii="宋体" w:hAnsi="宋体" w:eastAsia="宋体" w:cs="宋体"/>
          <w:b/>
          <w:sz w:val="24"/>
        </w:rPr>
        <w:t>九、基金合同存放地和投资者取得合同的方式</w:t>
      </w:r>
    </w:p>
    <w:p w14:paraId="72891888">
      <w:pPr>
        <w:spacing w:line="360" w:lineRule="auto"/>
        <w:ind w:firstLine="480" w:firstLineChars="200"/>
        <w:rPr>
          <w:rFonts w:hint="eastAsia" w:ascii="宋体" w:hAnsi="宋体" w:eastAsia="宋体" w:cs="宋体"/>
          <w:sz w:val="24"/>
        </w:rPr>
      </w:pPr>
      <w:r>
        <w:rPr>
          <w:rFonts w:hint="eastAsia" w:ascii="宋体" w:hAnsi="宋体" w:eastAsia="宋体" w:cs="宋体"/>
          <w:sz w:val="24"/>
          <w:szCs w:val="24"/>
        </w:rPr>
        <w:t>本基金合同可印制成册，供投资人在基金管理人、基金托管人、代销机构的办公场所查阅。</w:t>
      </w:r>
    </w:p>
    <w:p w14:paraId="778CAC51">
      <w:pPr>
        <w:spacing w:line="360" w:lineRule="auto"/>
        <w:ind w:firstLine="480" w:firstLineChars="200"/>
        <w:rPr>
          <w:rFonts w:hint="eastAsia" w:ascii="宋体" w:hAnsi="宋体" w:eastAsia="宋体" w:cs="宋体"/>
          <w:sz w:val="24"/>
        </w:rPr>
      </w:pPr>
    </w:p>
    <w:sectPr>
      <w:footerReference r:id="rId3" w:type="default"/>
      <w:pgSz w:w="11906" w:h="16838"/>
      <w:pgMar w:top="1440" w:right="1800" w:bottom="1440" w:left="1800" w:header="0" w:footer="992" w:gutter="0"/>
      <w:pgNumType w:fmt="decimal" w:start="1"/>
      <w:cols w:space="720" w:num="1"/>
      <w:formProt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reeSans">
    <w:altName w:val="Segoe Print"/>
    <w:panose1 w:val="00000000000000000000"/>
    <w:charset w:val="00"/>
    <w:family w:val="auto"/>
    <w:pitch w:val="default"/>
    <w:sig w:usb0="00000000" w:usb1="00000000" w:usb2="00000000" w:usb3="00000000" w:csb0="00000000" w:csb1="00000000"/>
  </w:font>
  <w:font w:name="Liberation Serif">
    <w:altName w:val="Times New Roman"/>
    <w:panose1 w:val="00000000000000000000"/>
    <w:charset w:val="01"/>
    <w:family w:val="roman"/>
    <w:pitch w:val="default"/>
    <w:sig w:usb0="00000000" w:usb1="00000000" w:usb2="00000000" w:usb3="00000000" w:csb0="00000000" w:csb1="00000000"/>
  </w:font>
  <w:font w:name="Noto Serif CJK SC">
    <w:altName w:val="宋体"/>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仿宋_GB2312;仿宋">
    <w:altName w:val="仿宋"/>
    <w:panose1 w:val="00000000000000000000"/>
    <w:charset w:val="00"/>
    <w:family w:val="auto"/>
    <w:pitch w:val="default"/>
    <w:sig w:usb0="00000000" w:usb1="00000000" w:usb2="00000000" w:usb3="00000000" w:csb0="00000000" w:csb1="00000000"/>
  </w:font>
  <w:font w:name="Arial Unicode MS;宋体">
    <w:altName w:val="宋体"/>
    <w:panose1 w:val="00000000000000000000"/>
    <w:charset w:val="00"/>
    <w:family w:val="auto"/>
    <w:pitch w:val="default"/>
    <w:sig w:usb0="00000000" w:usb1="00000000" w:usb2="00000000" w:usb3="00000000" w:csb0="00000000" w:csb1="00000000"/>
  </w:font>
  <w:font w:name="DejaVu 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6DDE1">
    <w:pPr>
      <w:pStyle w:val="19"/>
      <w:jc w:val="center"/>
      <w:rPr>
        <w:rFonts w:ascii="Arial" w:hAnsi="Arial" w:cs="Arial"/>
      </w:rP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Pr>
        <w:rFonts w:ascii="Arial" w:hAnsi="Arial" w:cs="Arial"/>
      </w:rPr>
      <w:t>52</w:t>
    </w:r>
    <w:r>
      <w:rPr>
        <w:rFonts w:ascii="Arial" w:hAnsi="Arial" w:cs="Arial"/>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none"/>
      <w:pStyle w:val="2"/>
      <w:suff w:val="nothing"/>
      <w:lvlText w:val=""/>
      <w:lvlJc w:val="left"/>
      <w:pPr>
        <w:tabs>
          <w:tab w:val="left" w:pos="0"/>
        </w:tabs>
        <w:ind w:left="0" w:firstLine="0"/>
      </w:pPr>
    </w:lvl>
    <w:lvl w:ilvl="1" w:tentative="0">
      <w:start w:val="1"/>
      <w:numFmt w:val="none"/>
      <w:pStyle w:val="3"/>
      <w:suff w:val="nothing"/>
      <w:lvlText w:val=""/>
      <w:lvlJc w:val="left"/>
      <w:pPr>
        <w:tabs>
          <w:tab w:val="left" w:pos="0"/>
        </w:tabs>
        <w:ind w:left="0" w:firstLine="0"/>
      </w:pPr>
    </w:lvl>
    <w:lvl w:ilvl="2" w:tentative="0">
      <w:start w:val="1"/>
      <w:numFmt w:val="none"/>
      <w:pStyle w:val="4"/>
      <w:suff w:val="nothing"/>
      <w:lvlText w:val=""/>
      <w:lvlJc w:val="left"/>
      <w:pPr>
        <w:tabs>
          <w:tab w:val="left" w:pos="0"/>
        </w:tabs>
        <w:ind w:left="0" w:firstLine="0"/>
      </w:pPr>
    </w:lvl>
    <w:lvl w:ilvl="3" w:tentative="0">
      <w:start w:val="1"/>
      <w:numFmt w:val="none"/>
      <w:pStyle w:val="5"/>
      <w:suff w:val="nothing"/>
      <w:lvlText w:val=""/>
      <w:lvlJc w:val="left"/>
      <w:pPr>
        <w:tabs>
          <w:tab w:val="left" w:pos="0"/>
        </w:tabs>
        <w:ind w:left="0" w:firstLine="0"/>
      </w:pPr>
    </w:lvl>
    <w:lvl w:ilvl="4" w:tentative="0">
      <w:start w:val="1"/>
      <w:numFmt w:val="none"/>
      <w:pStyle w:val="6"/>
      <w:suff w:val="nothing"/>
      <w:lvlText w:val=""/>
      <w:lvlJc w:val="left"/>
      <w:pPr>
        <w:tabs>
          <w:tab w:val="left" w:pos="0"/>
        </w:tabs>
        <w:ind w:left="0" w:firstLine="0"/>
      </w:pPr>
    </w:lvl>
    <w:lvl w:ilvl="5" w:tentative="0">
      <w:start w:val="1"/>
      <w:numFmt w:val="none"/>
      <w:pStyle w:val="7"/>
      <w:suff w:val="nothing"/>
      <w:lvlText w:val=""/>
      <w:lvlJc w:val="left"/>
      <w:pPr>
        <w:tabs>
          <w:tab w:val="left" w:pos="0"/>
        </w:tabs>
        <w:ind w:left="0" w:firstLine="0"/>
      </w:pPr>
    </w:lvl>
    <w:lvl w:ilvl="6" w:tentative="0">
      <w:start w:val="1"/>
      <w:numFmt w:val="none"/>
      <w:pStyle w:val="8"/>
      <w:suff w:val="nothing"/>
      <w:lvlText w:val=""/>
      <w:lvlJc w:val="left"/>
      <w:pPr>
        <w:tabs>
          <w:tab w:val="left" w:pos="0"/>
        </w:tabs>
        <w:ind w:left="0" w:firstLine="0"/>
      </w:pPr>
    </w:lvl>
    <w:lvl w:ilvl="7" w:tentative="0">
      <w:start w:val="1"/>
      <w:numFmt w:val="none"/>
      <w:pStyle w:val="9"/>
      <w:suff w:val="nothing"/>
      <w:lvlText w:val=""/>
      <w:lvlJc w:val="left"/>
      <w:pPr>
        <w:tabs>
          <w:tab w:val="left" w:pos="0"/>
        </w:tabs>
        <w:ind w:left="0" w:firstLine="0"/>
      </w:pPr>
    </w:lvl>
    <w:lvl w:ilvl="8" w:tentative="0">
      <w:start w:val="1"/>
      <w:numFmt w:val="none"/>
      <w:pStyle w:val="10"/>
      <w:suff w:val="nothing"/>
      <w:lvlText w:val=""/>
      <w:lvlJc w:val="left"/>
      <w:pPr>
        <w:tabs>
          <w:tab w:val="left" w:pos="0"/>
        </w:tabs>
        <w:ind w:left="0" w:firstLine="0"/>
      </w:pPr>
    </w:lvl>
  </w:abstractNum>
  <w:abstractNum w:abstractNumId="1">
    <w:nsid w:val="59ADCABA"/>
    <w:multiLevelType w:val="singleLevel"/>
    <w:tmpl w:val="59ADCABA"/>
    <w:lvl w:ilvl="0" w:tentative="0">
      <w:start w:val="1"/>
      <w:numFmt w:val="decimal"/>
      <w:pStyle w:val="80"/>
      <w:lvlText w:val="(%1)"/>
      <w:lvlJc w:val="left"/>
      <w:pPr>
        <w:tabs>
          <w:tab w:val="left" w:pos="0"/>
        </w:tabs>
        <w:ind w:left="0" w:firstLine="0"/>
      </w:pPr>
    </w:lvl>
  </w:abstractNum>
  <w:abstractNum w:abstractNumId="2">
    <w:nsid w:val="6B235C0D"/>
    <w:multiLevelType w:val="singleLevel"/>
    <w:tmpl w:val="6B235C0D"/>
    <w:lvl w:ilvl="0" w:tentative="0">
      <w:start w:val="3"/>
      <w:numFmt w:val="chineseCountingThousand"/>
      <w:suff w:val="nothing"/>
      <w:lvlText w:val="（%1）"/>
      <w:lvlJc w:val="left"/>
      <w:pPr>
        <w:tabs>
          <w:tab w:val="left"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oNotDisplayPageBoundaries w:val="1"/>
  <w:bordersDoNotSurroundHeader w:val="0"/>
  <w:bordersDoNotSurroundFooter w:val="0"/>
  <w:documentProtection w:enforcement="0"/>
  <w:defaultTabStop w:val="420"/>
  <w:autoHyphenation/>
  <w:displayHorizontalDrawingGridEvery w:val="1"/>
  <w:displayVerticalDrawingGridEvery w:val="1"/>
  <w:noPunctuationKerning w:val="1"/>
  <w:compat>
    <w:noLeading/>
    <w:doNotExpandShiftReturn/>
    <w:doNotWrapTextWithPunct/>
    <w:doNotUseEastAsianBreakRules/>
    <w:useFELayout/>
    <w:doNotUseIndentAsNumberingTabStop/>
    <w:useAltKinsokuLineBreakRules/>
    <w:compatSetting w:name="compatibilityMode" w:uri="http://schemas.microsoft.com/office/word" w:val="11"/>
  </w:compat>
  <w:rsids>
    <w:rsidRoot w:val="00000000"/>
    <w:rsid w:val="04DB338A"/>
    <w:rsid w:val="0983767B"/>
    <w:rsid w:val="0AE81B50"/>
    <w:rsid w:val="0B152D74"/>
    <w:rsid w:val="0F75098A"/>
    <w:rsid w:val="19F42B32"/>
    <w:rsid w:val="1B0B1998"/>
    <w:rsid w:val="1B392D5C"/>
    <w:rsid w:val="1D950E34"/>
    <w:rsid w:val="253B6259"/>
    <w:rsid w:val="26DB7863"/>
    <w:rsid w:val="2A351E7D"/>
    <w:rsid w:val="2C414528"/>
    <w:rsid w:val="393A5334"/>
    <w:rsid w:val="39671F84"/>
    <w:rsid w:val="3D2E3810"/>
    <w:rsid w:val="3E644CDD"/>
    <w:rsid w:val="487B1482"/>
    <w:rsid w:val="58D464E9"/>
    <w:rsid w:val="5D0C7357"/>
    <w:rsid w:val="5D614E3F"/>
    <w:rsid w:val="5E17116A"/>
    <w:rsid w:val="635B67CE"/>
    <w:rsid w:val="69EB2BE4"/>
    <w:rsid w:val="745D56A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bidi w:val="0"/>
      <w:jc w:val="both"/>
    </w:pPr>
    <w:rPr>
      <w:rFonts w:ascii="Times New Roman" w:hAnsi="Times New Roman" w:eastAsia="宋体" w:cs="Times New Roman"/>
      <w:color w:val="auto"/>
      <w:kern w:val="2"/>
      <w:sz w:val="21"/>
      <w:szCs w:val="24"/>
      <w:lang w:val="en-US" w:eastAsia="zh-CN" w:bidi="ar-SA"/>
    </w:rPr>
  </w:style>
  <w:style w:type="paragraph" w:styleId="2">
    <w:name w:val="heading 1"/>
    <w:basedOn w:val="1"/>
    <w:next w:val="1"/>
    <w:qFormat/>
    <w:uiPriority w:val="0"/>
    <w:pPr>
      <w:keepNext/>
      <w:keepLines/>
      <w:numPr>
        <w:ilvl w:val="0"/>
        <w:numId w:val="1"/>
      </w:numPr>
      <w:snapToGrid w:val="0"/>
      <w:spacing w:before="240" w:after="0" w:line="360" w:lineRule="auto"/>
      <w:jc w:val="center"/>
      <w:outlineLvl w:val="0"/>
    </w:pPr>
    <w:rPr>
      <w:rFonts w:ascii="Arial" w:hAnsi="Arial" w:cs="Arial"/>
      <w:b/>
      <w:kern w:val="0"/>
      <w:sz w:val="30"/>
      <w:szCs w:val="30"/>
    </w:rPr>
  </w:style>
  <w:style w:type="paragraph" w:styleId="3">
    <w:name w:val="heading 2"/>
    <w:basedOn w:val="1"/>
    <w:next w:val="1"/>
    <w:qFormat/>
    <w:uiPriority w:val="0"/>
    <w:pPr>
      <w:keepNext/>
      <w:keepLines/>
      <w:numPr>
        <w:ilvl w:val="1"/>
        <w:numId w:val="1"/>
      </w:numPr>
      <w:spacing w:before="260" w:after="260" w:line="415" w:lineRule="auto"/>
      <w:outlineLvl w:val="1"/>
    </w:pPr>
    <w:rPr>
      <w:rFonts w:ascii="Cambria" w:hAnsi="Cambria" w:eastAsia="宋体" w:cs="Times New Roman"/>
      <w:b/>
      <w:bCs/>
      <w:sz w:val="32"/>
      <w:szCs w:val="32"/>
    </w:rPr>
  </w:style>
  <w:style w:type="paragraph" w:styleId="4">
    <w:name w:val="heading 3"/>
    <w:basedOn w:val="1"/>
    <w:next w:val="1"/>
    <w:qFormat/>
    <w:uiPriority w:val="0"/>
    <w:pPr>
      <w:numPr>
        <w:ilvl w:val="2"/>
        <w:numId w:val="1"/>
      </w:numPr>
      <w:spacing w:before="120" w:after="120" w:line="360" w:lineRule="auto"/>
      <w:outlineLvl w:val="2"/>
    </w:pPr>
    <w:rPr>
      <w:rFonts w:ascii="宋体" w:hAnsi="宋体"/>
      <w:b/>
      <w:szCs w:val="20"/>
    </w:rPr>
  </w:style>
  <w:style w:type="paragraph" w:styleId="5">
    <w:name w:val="heading 4"/>
    <w:basedOn w:val="1"/>
    <w:next w:val="1"/>
    <w:qFormat/>
    <w:uiPriority w:val="0"/>
    <w:pPr>
      <w:keepNext/>
      <w:keepLines/>
      <w:numPr>
        <w:ilvl w:val="3"/>
        <w:numId w:val="1"/>
      </w:numPr>
      <w:spacing w:line="360" w:lineRule="auto"/>
      <w:outlineLvl w:val="3"/>
    </w:pPr>
    <w:rPr>
      <w:rFonts w:ascii="Arial" w:hAnsi="Arial" w:cs="Arial"/>
      <w:szCs w:val="20"/>
    </w:rPr>
  </w:style>
  <w:style w:type="paragraph" w:styleId="6">
    <w:name w:val="heading 5"/>
    <w:basedOn w:val="1"/>
    <w:next w:val="1"/>
    <w:qFormat/>
    <w:uiPriority w:val="0"/>
    <w:pPr>
      <w:keepNext/>
      <w:keepLines/>
      <w:numPr>
        <w:ilvl w:val="4"/>
        <w:numId w:val="1"/>
      </w:numPr>
      <w:snapToGrid w:val="0"/>
      <w:spacing w:line="360" w:lineRule="auto"/>
      <w:outlineLvl w:val="4"/>
    </w:pPr>
    <w:rPr>
      <w:szCs w:val="20"/>
    </w:rPr>
  </w:style>
  <w:style w:type="paragraph" w:styleId="7">
    <w:name w:val="heading 6"/>
    <w:basedOn w:val="1"/>
    <w:next w:val="1"/>
    <w:qFormat/>
    <w:uiPriority w:val="0"/>
    <w:pPr>
      <w:keepNext/>
      <w:keepLines/>
      <w:numPr>
        <w:ilvl w:val="5"/>
        <w:numId w:val="1"/>
      </w:numPr>
      <w:spacing w:before="240" w:after="64" w:line="319" w:lineRule="auto"/>
      <w:outlineLvl w:val="5"/>
    </w:pPr>
    <w:rPr>
      <w:rFonts w:ascii="Arial" w:hAnsi="Arial" w:eastAsia="黑体" w:cs="Arial"/>
      <w:b/>
      <w:sz w:val="24"/>
      <w:szCs w:val="20"/>
    </w:rPr>
  </w:style>
  <w:style w:type="paragraph" w:styleId="8">
    <w:name w:val="heading 7"/>
    <w:basedOn w:val="1"/>
    <w:next w:val="1"/>
    <w:qFormat/>
    <w:uiPriority w:val="0"/>
    <w:pPr>
      <w:keepNext/>
      <w:keepLines/>
      <w:numPr>
        <w:ilvl w:val="6"/>
        <w:numId w:val="1"/>
      </w:numPr>
      <w:spacing w:before="240" w:after="64" w:line="319" w:lineRule="auto"/>
      <w:outlineLvl w:val="6"/>
    </w:pPr>
    <w:rPr>
      <w:b/>
      <w:sz w:val="24"/>
      <w:szCs w:val="20"/>
    </w:rPr>
  </w:style>
  <w:style w:type="paragraph" w:styleId="9">
    <w:name w:val="heading 8"/>
    <w:basedOn w:val="1"/>
    <w:next w:val="1"/>
    <w:qFormat/>
    <w:uiPriority w:val="0"/>
    <w:pPr>
      <w:keepNext/>
      <w:keepLines/>
      <w:numPr>
        <w:ilvl w:val="7"/>
        <w:numId w:val="1"/>
      </w:numPr>
      <w:spacing w:before="240" w:after="64" w:line="319" w:lineRule="auto"/>
      <w:outlineLvl w:val="7"/>
    </w:pPr>
    <w:rPr>
      <w:rFonts w:ascii="Arial" w:hAnsi="Arial" w:eastAsia="黑体" w:cs="Arial"/>
      <w:sz w:val="24"/>
      <w:szCs w:val="20"/>
    </w:rPr>
  </w:style>
  <w:style w:type="paragraph" w:styleId="10">
    <w:name w:val="heading 9"/>
    <w:basedOn w:val="1"/>
    <w:next w:val="1"/>
    <w:qFormat/>
    <w:uiPriority w:val="0"/>
    <w:pPr>
      <w:keepNext/>
      <w:keepLines/>
      <w:numPr>
        <w:ilvl w:val="8"/>
        <w:numId w:val="1"/>
      </w:numPr>
      <w:spacing w:before="240" w:after="64" w:line="319" w:lineRule="auto"/>
      <w:outlineLvl w:val="8"/>
    </w:pPr>
    <w:rPr>
      <w:rFonts w:ascii="Arial" w:hAnsi="Arial" w:eastAsia="黑体" w:cs="Arial"/>
      <w:szCs w:val="20"/>
    </w:rPr>
  </w:style>
  <w:style w:type="character" w:default="1" w:styleId="29">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11">
    <w:name w:val="toc 7"/>
    <w:basedOn w:val="1"/>
    <w:next w:val="1"/>
    <w:qFormat/>
    <w:uiPriority w:val="0"/>
    <w:pPr>
      <w:ind w:left="1260" w:right="0" w:firstLine="0"/>
      <w:jc w:val="left"/>
    </w:pPr>
    <w:rPr>
      <w:rFonts w:ascii="Calibri" w:hAnsi="Calibri" w:cs="Calibri"/>
      <w:sz w:val="18"/>
      <w:szCs w:val="18"/>
    </w:rPr>
  </w:style>
  <w:style w:type="paragraph" w:styleId="12">
    <w:name w:val="caption"/>
    <w:basedOn w:val="1"/>
    <w:qFormat/>
    <w:uiPriority w:val="0"/>
    <w:pPr>
      <w:suppressLineNumbers/>
      <w:spacing w:before="120" w:after="120"/>
    </w:pPr>
    <w:rPr>
      <w:rFonts w:cs="FreeSans"/>
      <w:i/>
      <w:iCs/>
      <w:sz w:val="24"/>
      <w:szCs w:val="24"/>
    </w:rPr>
  </w:style>
  <w:style w:type="paragraph" w:styleId="13">
    <w:name w:val="annotation text"/>
    <w:basedOn w:val="1"/>
    <w:qFormat/>
    <w:uiPriority w:val="0"/>
    <w:pPr>
      <w:jc w:val="left"/>
    </w:pPr>
  </w:style>
  <w:style w:type="paragraph" w:styleId="14">
    <w:name w:val="Body Text"/>
    <w:basedOn w:val="1"/>
    <w:qFormat/>
    <w:uiPriority w:val="0"/>
    <w:pPr>
      <w:spacing w:line="360" w:lineRule="auto"/>
    </w:pPr>
    <w:rPr>
      <w:rFonts w:ascii="仿宋_GB2312;仿宋" w:hAnsi="仿宋_GB2312;仿宋" w:eastAsia="仿宋_GB2312;仿宋"/>
      <w:sz w:val="24"/>
    </w:rPr>
  </w:style>
  <w:style w:type="paragraph" w:styleId="15">
    <w:name w:val="Body Text Indent"/>
    <w:basedOn w:val="1"/>
    <w:qFormat/>
    <w:uiPriority w:val="0"/>
    <w:pPr>
      <w:autoSpaceDE w:val="0"/>
      <w:spacing w:line="360" w:lineRule="auto"/>
      <w:ind w:left="0" w:right="0" w:firstLine="425"/>
      <w:textAlignment w:val="bottom"/>
    </w:pPr>
    <w:rPr>
      <w:rFonts w:ascii="宋体" w:hAnsi="宋体"/>
      <w:color w:val="FF0000"/>
      <w:szCs w:val="20"/>
    </w:rPr>
  </w:style>
  <w:style w:type="paragraph" w:styleId="16">
    <w:name w:val="toc 5"/>
    <w:basedOn w:val="1"/>
    <w:next w:val="1"/>
    <w:qFormat/>
    <w:uiPriority w:val="0"/>
    <w:pPr>
      <w:ind w:left="840" w:right="0" w:firstLine="0"/>
      <w:jc w:val="left"/>
    </w:pPr>
    <w:rPr>
      <w:rFonts w:ascii="Calibri" w:hAnsi="Calibri" w:cs="Calibri"/>
      <w:sz w:val="18"/>
      <w:szCs w:val="18"/>
    </w:rPr>
  </w:style>
  <w:style w:type="paragraph" w:styleId="17">
    <w:name w:val="toc 3"/>
    <w:basedOn w:val="1"/>
    <w:next w:val="1"/>
    <w:qFormat/>
    <w:uiPriority w:val="0"/>
    <w:pPr>
      <w:ind w:left="420" w:right="0" w:firstLine="0"/>
      <w:jc w:val="left"/>
    </w:pPr>
    <w:rPr>
      <w:rFonts w:ascii="Calibri" w:hAnsi="Calibri" w:cs="Calibri"/>
      <w:i/>
      <w:iCs/>
      <w:sz w:val="20"/>
      <w:szCs w:val="20"/>
    </w:rPr>
  </w:style>
  <w:style w:type="paragraph" w:styleId="18">
    <w:name w:val="toc 8"/>
    <w:basedOn w:val="1"/>
    <w:next w:val="1"/>
    <w:qFormat/>
    <w:uiPriority w:val="0"/>
    <w:pPr>
      <w:ind w:left="1470" w:right="0" w:firstLine="0"/>
      <w:jc w:val="left"/>
    </w:pPr>
    <w:rPr>
      <w:rFonts w:ascii="Calibri" w:hAnsi="Calibri" w:cs="Calibri"/>
      <w:sz w:val="18"/>
      <w:szCs w:val="18"/>
    </w:r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styleId="21">
    <w:name w:val="toc 1"/>
    <w:basedOn w:val="1"/>
    <w:next w:val="1"/>
    <w:qFormat/>
    <w:uiPriority w:val="0"/>
    <w:pPr>
      <w:tabs>
        <w:tab w:val="right" w:leader="dot" w:pos="8296"/>
      </w:tabs>
      <w:spacing w:before="120" w:after="120" w:line="360" w:lineRule="auto"/>
      <w:jc w:val="left"/>
    </w:pPr>
    <w:rPr>
      <w:rFonts w:ascii="Calibri" w:hAnsi="Calibri" w:cs="Calibri"/>
      <w:b/>
      <w:bCs/>
      <w:caps/>
      <w:sz w:val="20"/>
      <w:szCs w:val="20"/>
    </w:rPr>
  </w:style>
  <w:style w:type="paragraph" w:styleId="22">
    <w:name w:val="toc 4"/>
    <w:basedOn w:val="1"/>
    <w:next w:val="1"/>
    <w:qFormat/>
    <w:uiPriority w:val="0"/>
    <w:pPr>
      <w:ind w:left="630" w:right="0" w:firstLine="0"/>
      <w:jc w:val="left"/>
    </w:pPr>
    <w:rPr>
      <w:rFonts w:ascii="Calibri" w:hAnsi="Calibri" w:cs="Calibri"/>
      <w:sz w:val="18"/>
      <w:szCs w:val="18"/>
    </w:rPr>
  </w:style>
  <w:style w:type="paragraph" w:styleId="23">
    <w:name w:val="List"/>
    <w:basedOn w:val="14"/>
    <w:qFormat/>
    <w:uiPriority w:val="0"/>
    <w:rPr>
      <w:rFonts w:cs="FreeSans"/>
    </w:rPr>
  </w:style>
  <w:style w:type="paragraph" w:styleId="24">
    <w:name w:val="toc 6"/>
    <w:basedOn w:val="1"/>
    <w:next w:val="1"/>
    <w:qFormat/>
    <w:uiPriority w:val="0"/>
    <w:pPr>
      <w:ind w:left="1050" w:right="0" w:firstLine="0"/>
      <w:jc w:val="left"/>
    </w:pPr>
    <w:rPr>
      <w:rFonts w:ascii="Calibri" w:hAnsi="Calibri" w:cs="Calibri"/>
      <w:sz w:val="18"/>
      <w:szCs w:val="18"/>
    </w:rPr>
  </w:style>
  <w:style w:type="paragraph" w:styleId="25">
    <w:name w:val="toc 2"/>
    <w:basedOn w:val="1"/>
    <w:next w:val="1"/>
    <w:qFormat/>
    <w:uiPriority w:val="0"/>
    <w:pPr>
      <w:ind w:left="210" w:right="0" w:firstLine="0"/>
      <w:jc w:val="left"/>
    </w:pPr>
    <w:rPr>
      <w:rFonts w:ascii="Calibri" w:hAnsi="Calibri" w:cs="Calibri"/>
      <w:smallCaps/>
      <w:sz w:val="20"/>
      <w:szCs w:val="20"/>
    </w:rPr>
  </w:style>
  <w:style w:type="paragraph" w:styleId="26">
    <w:name w:val="toc 9"/>
    <w:basedOn w:val="1"/>
    <w:next w:val="1"/>
    <w:qFormat/>
    <w:uiPriority w:val="0"/>
    <w:pPr>
      <w:ind w:left="1680" w:right="0" w:firstLine="0"/>
      <w:jc w:val="left"/>
    </w:pPr>
    <w:rPr>
      <w:rFonts w:ascii="Calibri" w:hAnsi="Calibri" w:cs="Calibri"/>
      <w:sz w:val="18"/>
      <w:szCs w:val="18"/>
    </w:rPr>
  </w:style>
  <w:style w:type="paragraph" w:styleId="2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30">
    <w:name w:val="Strong"/>
    <w:basedOn w:val="31"/>
    <w:qFormat/>
    <w:uiPriority w:val="0"/>
    <w:rPr>
      <w:b/>
      <w:bCs/>
    </w:rPr>
  </w:style>
  <w:style w:type="character" w:customStyle="1" w:styleId="31">
    <w:name w:val="默认段落字体1"/>
    <w:qFormat/>
    <w:uiPriority w:val="0"/>
  </w:style>
  <w:style w:type="character" w:styleId="32">
    <w:name w:val="page number"/>
    <w:basedOn w:val="31"/>
    <w:qFormat/>
    <w:uiPriority w:val="0"/>
  </w:style>
  <w:style w:type="character" w:styleId="33">
    <w:name w:val="FollowedHyperlink"/>
    <w:qFormat/>
    <w:uiPriority w:val="0"/>
    <w:rPr>
      <w:color w:val="800080"/>
      <w:u w:val="single"/>
    </w:rPr>
  </w:style>
  <w:style w:type="character" w:styleId="34">
    <w:name w:val="Hyperlink"/>
    <w:qFormat/>
    <w:uiPriority w:val="0"/>
    <w:rPr>
      <w:color w:val="0000FF"/>
      <w:u w:val="single"/>
    </w:rPr>
  </w:style>
  <w:style w:type="character" w:customStyle="1" w:styleId="35">
    <w:name w:val="WW8Num2z0"/>
    <w:qFormat/>
    <w:uiPriority w:val="0"/>
  </w:style>
  <w:style w:type="character" w:customStyle="1" w:styleId="36">
    <w:name w:val="WW8Num3z0"/>
    <w:qFormat/>
    <w:uiPriority w:val="0"/>
  </w:style>
  <w:style w:type="character" w:customStyle="1" w:styleId="37">
    <w:name w:val="标题 1 Char"/>
    <w:qFormat/>
    <w:uiPriority w:val="0"/>
    <w:rPr>
      <w:rFonts w:ascii="Arial" w:hAnsi="Arial" w:cs="Arial"/>
      <w:b/>
      <w:sz w:val="30"/>
      <w:szCs w:val="30"/>
    </w:rPr>
  </w:style>
  <w:style w:type="character" w:customStyle="1" w:styleId="38">
    <w:name w:val="标题 2 Char"/>
    <w:qFormat/>
    <w:uiPriority w:val="0"/>
    <w:rPr>
      <w:rFonts w:ascii="Cambria" w:hAnsi="Cambria" w:eastAsia="宋体" w:cs="Times New Roman"/>
      <w:b/>
      <w:bCs/>
      <w:kern w:val="2"/>
      <w:sz w:val="32"/>
      <w:szCs w:val="32"/>
    </w:rPr>
  </w:style>
  <w:style w:type="character" w:customStyle="1" w:styleId="39">
    <w:name w:val="标题 3 Char"/>
    <w:qFormat/>
    <w:uiPriority w:val="0"/>
    <w:rPr>
      <w:rFonts w:ascii="宋体" w:hAnsi="宋体" w:cs="Times New Roman"/>
      <w:b/>
      <w:kern w:val="2"/>
      <w:sz w:val="21"/>
    </w:rPr>
  </w:style>
  <w:style w:type="character" w:customStyle="1" w:styleId="40">
    <w:name w:val="标题 4 Char"/>
    <w:qFormat/>
    <w:uiPriority w:val="0"/>
    <w:rPr>
      <w:rFonts w:ascii="Arial" w:hAnsi="Arial" w:cs="Arial"/>
      <w:kern w:val="2"/>
      <w:sz w:val="21"/>
    </w:rPr>
  </w:style>
  <w:style w:type="character" w:customStyle="1" w:styleId="41">
    <w:name w:val="标题 5 Char"/>
    <w:qFormat/>
    <w:uiPriority w:val="0"/>
    <w:rPr>
      <w:rFonts w:ascii="Times New Roman" w:hAnsi="Times New Roman" w:cs="Times New Roman"/>
      <w:kern w:val="2"/>
      <w:sz w:val="21"/>
    </w:rPr>
  </w:style>
  <w:style w:type="character" w:customStyle="1" w:styleId="42">
    <w:name w:val="标题 6 Char"/>
    <w:qFormat/>
    <w:uiPriority w:val="0"/>
    <w:rPr>
      <w:rFonts w:ascii="Arial" w:hAnsi="Arial" w:eastAsia="黑体" w:cs="Arial"/>
      <w:b/>
      <w:kern w:val="2"/>
      <w:sz w:val="24"/>
    </w:rPr>
  </w:style>
  <w:style w:type="character" w:customStyle="1" w:styleId="43">
    <w:name w:val="标题 7 Char"/>
    <w:qFormat/>
    <w:uiPriority w:val="0"/>
    <w:rPr>
      <w:rFonts w:ascii="Times New Roman" w:hAnsi="Times New Roman" w:cs="Times New Roman"/>
      <w:b/>
      <w:kern w:val="2"/>
      <w:sz w:val="24"/>
    </w:rPr>
  </w:style>
  <w:style w:type="character" w:customStyle="1" w:styleId="44">
    <w:name w:val="标题 8 Char"/>
    <w:qFormat/>
    <w:uiPriority w:val="0"/>
    <w:rPr>
      <w:rFonts w:ascii="Arial" w:hAnsi="Arial" w:eastAsia="黑体" w:cs="Arial"/>
      <w:kern w:val="2"/>
      <w:sz w:val="24"/>
    </w:rPr>
  </w:style>
  <w:style w:type="character" w:customStyle="1" w:styleId="45">
    <w:name w:val="标题 9 Char"/>
    <w:qFormat/>
    <w:uiPriority w:val="0"/>
    <w:rPr>
      <w:rFonts w:ascii="Arial" w:hAnsi="Arial" w:eastAsia="黑体" w:cs="Arial"/>
      <w:kern w:val="2"/>
      <w:sz w:val="21"/>
    </w:rPr>
  </w:style>
  <w:style w:type="character" w:customStyle="1" w:styleId="46">
    <w:name w:val="批注文字 Char"/>
    <w:qFormat/>
    <w:uiPriority w:val="0"/>
    <w:rPr>
      <w:rFonts w:ascii="Times New Roman" w:hAnsi="Times New Roman" w:eastAsia="宋体" w:cs="Times New Roman"/>
      <w:szCs w:val="24"/>
    </w:rPr>
  </w:style>
  <w:style w:type="character" w:customStyle="1" w:styleId="47">
    <w:name w:val="正文文本 Char"/>
    <w:qFormat/>
    <w:uiPriority w:val="0"/>
    <w:rPr>
      <w:rFonts w:ascii="仿宋_GB2312;仿宋" w:hAnsi="仿宋_GB2312;仿宋" w:eastAsia="仿宋_GB2312;仿宋" w:cs="Times New Roman"/>
      <w:kern w:val="2"/>
      <w:sz w:val="24"/>
      <w:szCs w:val="24"/>
    </w:rPr>
  </w:style>
  <w:style w:type="character" w:customStyle="1" w:styleId="48">
    <w:name w:val="正文文本缩进 Char"/>
    <w:qFormat/>
    <w:uiPriority w:val="0"/>
    <w:rPr>
      <w:rFonts w:ascii="宋体" w:hAnsi="宋体" w:cs="Times New Roman"/>
      <w:color w:val="FF0000"/>
      <w:kern w:val="2"/>
      <w:sz w:val="21"/>
    </w:rPr>
  </w:style>
  <w:style w:type="character" w:customStyle="1" w:styleId="49">
    <w:name w:val="纯文本 Char"/>
    <w:qFormat/>
    <w:uiPriority w:val="0"/>
    <w:rPr>
      <w:rFonts w:cs="Courier New"/>
      <w:kern w:val="2"/>
      <w:sz w:val="21"/>
      <w:szCs w:val="21"/>
    </w:rPr>
  </w:style>
  <w:style w:type="character" w:customStyle="1" w:styleId="50">
    <w:name w:val="正文文本缩进 2 Char"/>
    <w:qFormat/>
    <w:uiPriority w:val="0"/>
    <w:rPr>
      <w:rFonts w:ascii="仿宋_GB2312;仿宋" w:hAnsi="仿宋_GB2312;仿宋" w:eastAsia="仿宋_GB2312;仿宋" w:cs="Times New Roman"/>
      <w:kern w:val="2"/>
      <w:sz w:val="24"/>
      <w:szCs w:val="24"/>
    </w:rPr>
  </w:style>
  <w:style w:type="character" w:customStyle="1" w:styleId="51">
    <w:name w:val="批注框文本 Char"/>
    <w:qFormat/>
    <w:uiPriority w:val="0"/>
    <w:rPr>
      <w:rFonts w:ascii="Times New Roman" w:hAnsi="Times New Roman" w:eastAsia="宋体" w:cs="Times New Roman"/>
      <w:sz w:val="18"/>
      <w:szCs w:val="18"/>
    </w:rPr>
  </w:style>
  <w:style w:type="character" w:customStyle="1" w:styleId="52">
    <w:name w:val="页脚 Char"/>
    <w:qFormat/>
    <w:uiPriority w:val="0"/>
    <w:rPr>
      <w:rFonts w:ascii="Times New Roman" w:hAnsi="Times New Roman" w:eastAsia="宋体" w:cs="Times New Roman"/>
      <w:sz w:val="18"/>
      <w:szCs w:val="18"/>
    </w:rPr>
  </w:style>
  <w:style w:type="character" w:customStyle="1" w:styleId="53">
    <w:name w:val="页眉 Char"/>
    <w:qFormat/>
    <w:uiPriority w:val="0"/>
    <w:rPr>
      <w:rFonts w:ascii="Times New Roman" w:hAnsi="Times New Roman" w:eastAsia="宋体" w:cs="Times New Roman"/>
      <w:sz w:val="18"/>
      <w:szCs w:val="18"/>
    </w:rPr>
  </w:style>
  <w:style w:type="character" w:customStyle="1" w:styleId="54">
    <w:name w:val="正文文本缩进 3 Char"/>
    <w:qFormat/>
    <w:uiPriority w:val="0"/>
    <w:rPr>
      <w:rFonts w:ascii="仿宋_GB2312;仿宋" w:hAnsi="仿宋_GB2312;仿宋" w:eastAsia="仿宋_GB2312;仿宋" w:cs="Times New Roman"/>
      <w:color w:val="FF0000"/>
      <w:kern w:val="2"/>
      <w:sz w:val="24"/>
      <w:szCs w:val="18"/>
    </w:rPr>
  </w:style>
  <w:style w:type="character" w:customStyle="1" w:styleId="55">
    <w:name w:val="正文文本 2 Char"/>
    <w:qFormat/>
    <w:uiPriority w:val="0"/>
    <w:rPr>
      <w:rFonts w:ascii="仿宋_GB2312;仿宋" w:hAnsi="仿宋_GB2312;仿宋" w:eastAsia="仿宋_GB2312;仿宋" w:cs="Times New Roman"/>
      <w:color w:val="000000"/>
      <w:kern w:val="2"/>
      <w:sz w:val="21"/>
      <w:szCs w:val="24"/>
    </w:rPr>
  </w:style>
  <w:style w:type="character" w:customStyle="1" w:styleId="56">
    <w:name w:val="标题 Char"/>
    <w:qFormat/>
    <w:uiPriority w:val="0"/>
    <w:rPr>
      <w:rFonts w:ascii="Arial" w:hAnsi="Arial" w:cs="Arial"/>
      <w:b/>
      <w:bCs/>
      <w:kern w:val="2"/>
      <w:sz w:val="32"/>
      <w:szCs w:val="32"/>
    </w:rPr>
  </w:style>
  <w:style w:type="character" w:customStyle="1" w:styleId="57">
    <w:name w:val="批注主题 Char"/>
    <w:qFormat/>
    <w:uiPriority w:val="0"/>
    <w:rPr>
      <w:rFonts w:ascii="Times New Roman" w:hAnsi="Times New Roman" w:eastAsia="宋体" w:cs="Times New Roman"/>
      <w:b/>
      <w:bCs/>
      <w:szCs w:val="24"/>
    </w:rPr>
  </w:style>
  <w:style w:type="character" w:customStyle="1" w:styleId="58">
    <w:name w:val="正文首行缩进 Char"/>
    <w:qFormat/>
    <w:uiPriority w:val="0"/>
    <w:rPr>
      <w:rFonts w:ascii="Times New Roman" w:hAnsi="Times New Roman" w:eastAsia="仿宋_GB2312;仿宋" w:cs="Times New Roman"/>
      <w:kern w:val="2"/>
      <w:sz w:val="21"/>
      <w:szCs w:val="24"/>
    </w:rPr>
  </w:style>
  <w:style w:type="character" w:customStyle="1" w:styleId="59">
    <w:name w:val="批注引用1"/>
    <w:qFormat/>
    <w:uiPriority w:val="0"/>
    <w:rPr>
      <w:sz w:val="21"/>
      <w:szCs w:val="21"/>
    </w:rPr>
  </w:style>
  <w:style w:type="character" w:customStyle="1" w:styleId="60">
    <w:name w:val="read"/>
    <w:basedOn w:val="31"/>
    <w:qFormat/>
    <w:uiPriority w:val="0"/>
  </w:style>
  <w:style w:type="character" w:customStyle="1" w:styleId="61">
    <w:name w:val="unnamed11"/>
    <w:qFormat/>
    <w:uiPriority w:val="0"/>
    <w:rPr>
      <w:rFonts w:ascii="宋体" w:hAnsi="宋体" w:eastAsia="宋体" w:cs="宋体"/>
      <w:sz w:val="18"/>
      <w:szCs w:val="18"/>
    </w:rPr>
  </w:style>
  <w:style w:type="character" w:customStyle="1" w:styleId="62">
    <w:name w:val="无间隔 Char"/>
    <w:qFormat/>
    <w:uiPriority w:val="0"/>
    <w:rPr>
      <w:kern w:val="2"/>
      <w:sz w:val="21"/>
      <w:szCs w:val="21"/>
    </w:rPr>
  </w:style>
  <w:style w:type="character" w:customStyle="1" w:styleId="63">
    <w:name w:val="批注文字 字符"/>
    <w:qFormat/>
    <w:uiPriority w:val="0"/>
    <w:rPr>
      <w:rFonts w:ascii="Times New Roman" w:hAnsi="Times New Roman" w:eastAsia="宋体" w:cs="Times New Roman"/>
      <w:szCs w:val="24"/>
    </w:rPr>
  </w:style>
  <w:style w:type="character" w:customStyle="1" w:styleId="64">
    <w:name w:val="Index Link"/>
    <w:qFormat/>
    <w:uiPriority w:val="0"/>
  </w:style>
  <w:style w:type="paragraph" w:customStyle="1" w:styleId="65">
    <w:name w:val="Heading"/>
    <w:basedOn w:val="1"/>
    <w:next w:val="14"/>
    <w:qFormat/>
    <w:uiPriority w:val="0"/>
    <w:pPr>
      <w:spacing w:before="240" w:after="60"/>
      <w:jc w:val="center"/>
      <w:outlineLvl w:val="0"/>
    </w:pPr>
    <w:rPr>
      <w:rFonts w:ascii="Arial" w:hAnsi="Arial" w:cs="Arial"/>
      <w:b/>
      <w:bCs/>
      <w:sz w:val="32"/>
      <w:szCs w:val="32"/>
    </w:rPr>
  </w:style>
  <w:style w:type="paragraph" w:customStyle="1" w:styleId="66">
    <w:name w:val="Index"/>
    <w:basedOn w:val="1"/>
    <w:qFormat/>
    <w:uiPriority w:val="0"/>
    <w:pPr>
      <w:suppressLineNumbers/>
    </w:pPr>
    <w:rPr>
      <w:rFonts w:cs="FreeSans"/>
    </w:rPr>
  </w:style>
  <w:style w:type="paragraph" w:customStyle="1" w:styleId="67">
    <w:name w:val="正文缩进1"/>
    <w:basedOn w:val="1"/>
    <w:qFormat/>
    <w:uiPriority w:val="0"/>
    <w:pPr>
      <w:snapToGrid w:val="0"/>
      <w:spacing w:line="360" w:lineRule="auto"/>
      <w:ind w:left="0" w:right="0" w:firstLine="420"/>
    </w:pPr>
    <w:rPr>
      <w:sz w:val="28"/>
      <w:szCs w:val="20"/>
    </w:rPr>
  </w:style>
  <w:style w:type="paragraph" w:customStyle="1" w:styleId="68">
    <w:name w:val="批注文字1"/>
    <w:basedOn w:val="1"/>
    <w:qFormat/>
    <w:uiPriority w:val="0"/>
    <w:pPr>
      <w:jc w:val="left"/>
    </w:pPr>
  </w:style>
  <w:style w:type="paragraph" w:customStyle="1" w:styleId="69">
    <w:name w:val="纯文本1"/>
    <w:basedOn w:val="1"/>
    <w:qFormat/>
    <w:uiPriority w:val="0"/>
    <w:pPr>
      <w:jc w:val="left"/>
    </w:pPr>
    <w:rPr>
      <w:rFonts w:ascii="Calibri" w:hAnsi="Calibri" w:cs="Courier New"/>
      <w:szCs w:val="21"/>
    </w:rPr>
  </w:style>
  <w:style w:type="paragraph" w:customStyle="1" w:styleId="70">
    <w:name w:val="正文文本缩进 21"/>
    <w:basedOn w:val="1"/>
    <w:qFormat/>
    <w:uiPriority w:val="0"/>
    <w:pPr>
      <w:spacing w:line="360" w:lineRule="auto"/>
      <w:ind w:left="0" w:right="0" w:firstLine="480"/>
    </w:pPr>
    <w:rPr>
      <w:rFonts w:ascii="仿宋_GB2312;仿宋" w:hAnsi="仿宋_GB2312;仿宋" w:eastAsia="仿宋_GB2312;仿宋"/>
      <w:sz w:val="24"/>
    </w:rPr>
  </w:style>
  <w:style w:type="paragraph" w:customStyle="1" w:styleId="71">
    <w:name w:val="批注框文本1"/>
    <w:basedOn w:val="1"/>
    <w:qFormat/>
    <w:uiPriority w:val="0"/>
    <w:rPr>
      <w:sz w:val="18"/>
      <w:szCs w:val="18"/>
    </w:rPr>
  </w:style>
  <w:style w:type="paragraph" w:customStyle="1" w:styleId="72">
    <w:name w:val="Header and Footer"/>
    <w:basedOn w:val="1"/>
    <w:qFormat/>
    <w:uiPriority w:val="0"/>
    <w:pPr>
      <w:suppressLineNumbers/>
      <w:tabs>
        <w:tab w:val="center" w:pos="4819"/>
        <w:tab w:val="right" w:pos="9638"/>
      </w:tabs>
    </w:pPr>
  </w:style>
  <w:style w:type="paragraph" w:customStyle="1" w:styleId="73">
    <w:name w:val="正文文本缩进 31"/>
    <w:basedOn w:val="1"/>
    <w:qFormat/>
    <w:uiPriority w:val="0"/>
    <w:pPr>
      <w:spacing w:line="360" w:lineRule="auto"/>
      <w:ind w:left="0" w:right="0" w:firstLine="480"/>
    </w:pPr>
    <w:rPr>
      <w:rFonts w:ascii="仿宋_GB2312;仿宋" w:hAnsi="仿宋_GB2312;仿宋" w:eastAsia="仿宋_GB2312;仿宋"/>
      <w:color w:val="FF0000"/>
      <w:sz w:val="24"/>
      <w:szCs w:val="18"/>
    </w:rPr>
  </w:style>
  <w:style w:type="paragraph" w:customStyle="1" w:styleId="74">
    <w:name w:val="正文文本 21"/>
    <w:basedOn w:val="1"/>
    <w:qFormat/>
    <w:uiPriority w:val="0"/>
    <w:pPr>
      <w:spacing w:line="360" w:lineRule="auto"/>
    </w:pPr>
    <w:rPr>
      <w:rFonts w:ascii="仿宋_GB2312;仿宋" w:hAnsi="仿宋_GB2312;仿宋" w:eastAsia="仿宋_GB2312;仿宋"/>
      <w:color w:val="000000"/>
    </w:rPr>
  </w:style>
  <w:style w:type="paragraph" w:customStyle="1" w:styleId="75">
    <w:name w:val="普通(网站)1"/>
    <w:basedOn w:val="1"/>
    <w:qFormat/>
    <w:uiPriority w:val="0"/>
    <w:pPr>
      <w:widowControl/>
      <w:spacing w:before="100" w:after="100"/>
      <w:jc w:val="left"/>
    </w:pPr>
    <w:rPr>
      <w:rFonts w:ascii="Arial Unicode MS;宋体" w:hAnsi="Arial Unicode MS;宋体" w:eastAsia="Arial Unicode MS;宋体" w:cs="Arial Unicode MS;宋体"/>
      <w:kern w:val="0"/>
      <w:sz w:val="24"/>
    </w:rPr>
  </w:style>
  <w:style w:type="paragraph" w:customStyle="1" w:styleId="76">
    <w:name w:val="批注主题1"/>
    <w:basedOn w:val="68"/>
    <w:next w:val="68"/>
    <w:qFormat/>
    <w:uiPriority w:val="0"/>
    <w:rPr>
      <w:b/>
      <w:bCs/>
    </w:rPr>
  </w:style>
  <w:style w:type="paragraph" w:customStyle="1" w:styleId="77">
    <w:name w:val="正文首行缩进1"/>
    <w:basedOn w:val="14"/>
    <w:qFormat/>
    <w:uiPriority w:val="0"/>
    <w:pPr>
      <w:spacing w:before="0" w:after="120" w:line="240" w:lineRule="auto"/>
      <w:ind w:left="0" w:right="0" w:firstLine="420"/>
    </w:pPr>
    <w:rPr>
      <w:rFonts w:ascii="Times New Roman" w:hAnsi="Times New Roman" w:eastAsia="宋体"/>
      <w:sz w:val="21"/>
    </w:rPr>
  </w:style>
  <w:style w:type="paragraph" w:customStyle="1" w:styleId="78">
    <w:name w:val="TOC 标题"/>
    <w:basedOn w:val="2"/>
    <w:next w:val="1"/>
    <w:qFormat/>
    <w:uiPriority w:val="0"/>
    <w:pPr>
      <w:widowControl/>
      <w:numPr>
        <w:ilvl w:val="0"/>
        <w:numId w:val="0"/>
      </w:numPr>
      <w:spacing w:before="480" w:after="0" w:line="276" w:lineRule="auto"/>
      <w:jc w:val="left"/>
      <w:outlineLvl w:val="9"/>
    </w:pPr>
    <w:rPr>
      <w:rFonts w:ascii="Cambria" w:hAnsi="Cambria" w:eastAsia="宋体" w:cs="Times New Roman"/>
      <w:color w:val="365F91"/>
      <w:kern w:val="0"/>
      <w:sz w:val="28"/>
      <w:szCs w:val="28"/>
    </w:rPr>
  </w:style>
  <w:style w:type="paragraph" w:customStyle="1" w:styleId="79">
    <w:name w:val="unnamed1"/>
    <w:basedOn w:val="1"/>
    <w:qFormat/>
    <w:uiPriority w:val="0"/>
    <w:pPr>
      <w:widowControl/>
      <w:spacing w:before="60" w:after="60"/>
      <w:ind w:left="15" w:right="15" w:firstLine="0"/>
      <w:jc w:val="left"/>
    </w:pPr>
    <w:rPr>
      <w:rFonts w:ascii="宋体" w:hAnsi="宋体" w:cs="宋体"/>
      <w:color w:val="000000"/>
      <w:kern w:val="0"/>
      <w:sz w:val="18"/>
      <w:szCs w:val="18"/>
    </w:rPr>
  </w:style>
  <w:style w:type="paragraph" w:customStyle="1" w:styleId="80">
    <w:name w:val="列表2"/>
    <w:basedOn w:val="1"/>
    <w:next w:val="65"/>
    <w:qFormat/>
    <w:uiPriority w:val="0"/>
    <w:pPr>
      <w:numPr>
        <w:ilvl w:val="0"/>
        <w:numId w:val="2"/>
      </w:numPr>
      <w:tabs>
        <w:tab w:val="left" w:pos="360"/>
      </w:tabs>
      <w:spacing w:line="360" w:lineRule="auto"/>
    </w:pPr>
    <w:rPr>
      <w:rFonts w:ascii="宋体" w:hAnsi="宋体"/>
      <w:szCs w:val="20"/>
    </w:rPr>
  </w:style>
  <w:style w:type="paragraph" w:customStyle="1" w:styleId="81">
    <w:name w:val="列表1"/>
    <w:basedOn w:val="1"/>
    <w:next w:val="1"/>
    <w:qFormat/>
    <w:uiPriority w:val="0"/>
    <w:pPr>
      <w:tabs>
        <w:tab w:val="left" w:pos="644"/>
      </w:tabs>
      <w:spacing w:line="360" w:lineRule="auto"/>
      <w:ind w:left="567" w:right="0" w:hanging="283"/>
    </w:pPr>
    <w:rPr>
      <w:szCs w:val="20"/>
    </w:rPr>
  </w:style>
  <w:style w:type="paragraph" w:customStyle="1" w:styleId="82">
    <w:name w:val="Char"/>
    <w:basedOn w:val="1"/>
    <w:qFormat/>
    <w:uiPriority w:val="0"/>
  </w:style>
  <w:style w:type="paragraph" w:customStyle="1" w:styleId="83">
    <w:name w:val="Char Char Char"/>
    <w:basedOn w:val="1"/>
    <w:qFormat/>
    <w:uiPriority w:val="0"/>
  </w:style>
  <w:style w:type="paragraph" w:customStyle="1" w:styleId="84">
    <w:name w:val="默认段落字体 Para Char"/>
    <w:basedOn w:val="1"/>
    <w:qFormat/>
    <w:uiPriority w:val="0"/>
    <w:pPr>
      <w:tabs>
        <w:tab w:val="left" w:pos="360"/>
      </w:tabs>
    </w:pPr>
    <w:rPr>
      <w:sz w:val="24"/>
    </w:rPr>
  </w:style>
  <w:style w:type="paragraph" w:customStyle="1" w:styleId="85">
    <w:name w:val="修订"/>
    <w:qFormat/>
    <w:uiPriority w:val="0"/>
    <w:pPr>
      <w:widowControl/>
      <w:suppressAutoHyphens/>
      <w:bidi w:val="0"/>
    </w:pPr>
    <w:rPr>
      <w:rFonts w:ascii="Times New Roman" w:hAnsi="Times New Roman" w:eastAsia="宋体" w:cs="Times New Roman"/>
      <w:color w:val="auto"/>
      <w:kern w:val="2"/>
      <w:sz w:val="21"/>
      <w:szCs w:val="24"/>
      <w:lang w:val="en-US" w:eastAsia="zh-CN" w:bidi="ar-SA"/>
    </w:rPr>
  </w:style>
  <w:style w:type="paragraph" w:customStyle="1" w:styleId="86">
    <w:name w:val="无间隔"/>
    <w:basedOn w:val="1"/>
    <w:qFormat/>
    <w:uiPriority w:val="0"/>
    <w:pPr>
      <w:widowControl/>
      <w:jc w:val="left"/>
    </w:pPr>
    <w:rPr>
      <w:rFonts w:ascii="Calibri" w:hAnsi="Calibri" w:cs="Calibri"/>
      <w:szCs w:val="21"/>
    </w:rPr>
  </w:style>
  <w:style w:type="paragraph" w:customStyle="1" w:styleId="87">
    <w:name w:val="列出段落"/>
    <w:basedOn w:val="1"/>
    <w:qFormat/>
    <w:uiPriority w:val="0"/>
    <w:pPr>
      <w:widowControl/>
      <w:ind w:left="0" w:right="0" w:firstLine="420"/>
    </w:pPr>
    <w:rPr>
      <w:rFonts w:ascii="Calibri" w:hAnsi="Calibri" w:cs="宋体"/>
      <w:kern w:val="0"/>
      <w:szCs w:val="21"/>
    </w:rPr>
  </w:style>
  <w:style w:type="paragraph" w:customStyle="1" w:styleId="88">
    <w:name w:val="Table Contents"/>
    <w:basedOn w:val="1"/>
    <w:qFormat/>
    <w:uiPriority w:val="0"/>
    <w:pPr>
      <w:widowControl w:val="0"/>
      <w:suppressLineNumbers/>
    </w:pPr>
  </w:style>
  <w:style w:type="paragraph" w:customStyle="1" w:styleId="89">
    <w:name w:val="Table Heading"/>
    <w:basedOn w:val="88"/>
    <w:qFormat/>
    <w:uiPriority w:val="0"/>
    <w:pPr>
      <w:suppressLineNumbers/>
      <w:jc w:val="center"/>
    </w:pPr>
    <w:rPr>
      <w:b/>
      <w:bCs/>
    </w:rPr>
  </w:style>
  <w:style w:type="paragraph" w:customStyle="1" w:styleId="90">
    <w:name w:val="Frame Contents"/>
    <w:basedOn w:val="1"/>
    <w:qFormat/>
    <w:uiPriority w:val="0"/>
  </w:style>
  <w:style w:type="paragraph" w:customStyle="1" w:styleId="91">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na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49</Pages>
  <TotalTime>4</TotalTime>
  <ScaleCrop>false</ScaleCrop>
  <LinksUpToDate>false</LinksUpToDate>
  <Application>WPS Office_12.8.2.19795_F1E327BC-269C-435d-A152-05C5408002CA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2020-04-16T06:55:00Z</dcterms:created>
  <dc:creator>孙静</dc:creator>
  <cp:lastModifiedBy>xiaolw1</cp:lastModifiedBy>
  <cp:lastPrinted>2020-04-16T15:02:00Z</cp:lastPrinted>
  <dcterms:modified xsi:type="dcterms:W3CDTF">2026-08-03T07:09:12Z</dcterms:modified>
  <dc:title>上证超级大盘交易型开放式指数证券投资基金</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416BD6A00D7248A78666DF8207BAC99A_13</vt:lpwstr>
  </property>
  <property fmtid="{D5CDD505-2E9C-101B-9397-08002B2CF9AE}" pid="3" name="KSOProductBuildVer">
    <vt:lpwstr>2052-12.8.2.19795</vt:lpwstr>
  </property>
</Properties>
</file>