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341FC5">
      <w:pPr>
        <w:rPr>
          <w:rFonts w:ascii="宋体" w:hAnsi="宋体"/>
          <w:sz w:val="24"/>
        </w:rPr>
      </w:pPr>
    </w:p>
    <w:p w14:paraId="2AB392D2">
      <w:pPr>
        <w:ind w:right="-17" w:rightChars="-8"/>
        <w:rPr>
          <w:rFonts w:eastAsia="黑体"/>
          <w:sz w:val="32"/>
          <w:szCs w:val="32"/>
        </w:rPr>
      </w:pPr>
    </w:p>
    <w:p w14:paraId="46145C5A">
      <w:pPr>
        <w:rPr>
          <w:rFonts w:eastAsia="黑体"/>
          <w:sz w:val="52"/>
          <w:szCs w:val="52"/>
        </w:rPr>
      </w:pPr>
    </w:p>
    <w:p w14:paraId="1627CF46">
      <w:pPr>
        <w:tabs>
          <w:tab w:val="left" w:pos="3495"/>
        </w:tabs>
        <w:rPr>
          <w:rFonts w:eastAsia="黑体"/>
          <w:sz w:val="52"/>
          <w:szCs w:val="52"/>
        </w:rPr>
      </w:pPr>
    </w:p>
    <w:p w14:paraId="10477D76">
      <w:pPr>
        <w:tabs>
          <w:tab w:val="center" w:pos="4164"/>
          <w:tab w:val="left" w:pos="5455"/>
        </w:tabs>
        <w:ind w:right="-17" w:rightChars="-8"/>
        <w:jc w:val="center"/>
        <w:rPr>
          <w:rFonts w:eastAsia="黑体"/>
          <w:sz w:val="52"/>
          <w:szCs w:val="52"/>
        </w:rPr>
      </w:pPr>
    </w:p>
    <w:p w14:paraId="21A4C0DB">
      <w:pPr>
        <w:tabs>
          <w:tab w:val="center" w:pos="4164"/>
          <w:tab w:val="left" w:pos="5455"/>
        </w:tabs>
        <w:ind w:right="-17" w:rightChars="-8"/>
        <w:jc w:val="center"/>
        <w:rPr>
          <w:rFonts w:eastAsia="黑体"/>
          <w:sz w:val="52"/>
          <w:szCs w:val="52"/>
        </w:rPr>
      </w:pPr>
    </w:p>
    <w:p w14:paraId="488752BF">
      <w:pPr>
        <w:jc w:val="center"/>
        <w:rPr>
          <w:rFonts w:ascii="宋体" w:hAnsi="宋体"/>
          <w:sz w:val="24"/>
        </w:rPr>
      </w:pPr>
      <w:r>
        <w:rPr>
          <w:rFonts w:eastAsia="黑体"/>
          <w:sz w:val="32"/>
          <w:szCs w:val="32"/>
        </w:rPr>
        <w:pict>
          <v:shape id="_x0000_i1025" o:spt="75" alt="说明: 浦发银行标识标准型" type="#_x0000_t75" style="height:76.7pt;width:230.55pt;" filled="f" o:preferrelative="t" stroked="f" coordsize="21600,21600">
            <v:path/>
            <v:fill on="f" focussize="0,0"/>
            <v:stroke on="f" joinstyle="miter"/>
            <v:imagedata r:id="rId25" o:title="浦发银行标识标准型"/>
            <o:lock v:ext="edit" aspectratio="t"/>
            <w10:wrap type="none"/>
            <w10:anchorlock/>
          </v:shape>
        </w:pict>
      </w:r>
    </w:p>
    <w:p w14:paraId="0A7E4447">
      <w:pPr>
        <w:jc w:val="center"/>
        <w:rPr>
          <w:b/>
          <w:sz w:val="52"/>
          <w:szCs w:val="52"/>
        </w:rPr>
      </w:pPr>
    </w:p>
    <w:p w14:paraId="290E17EF">
      <w:pPr>
        <w:jc w:val="center"/>
        <w:rPr>
          <w:rFonts w:ascii="仿宋_GB2312" w:eastAsia="仿宋_GB2312"/>
          <w:b/>
          <w:sz w:val="32"/>
          <w:szCs w:val="32"/>
        </w:rPr>
      </w:pPr>
    </w:p>
    <w:p w14:paraId="1CB8F1E2">
      <w:pPr>
        <w:jc w:val="center"/>
        <w:rPr>
          <w:rFonts w:ascii="黑体" w:hAnsi="黑体" w:eastAsia="黑体"/>
          <w:b/>
          <w:sz w:val="44"/>
          <w:szCs w:val="44"/>
        </w:rPr>
      </w:pPr>
      <w:r>
        <w:rPr>
          <w:rFonts w:hint="eastAsia" w:ascii="黑体" w:hAnsi="黑体" w:eastAsia="黑体"/>
          <w:b/>
          <w:sz w:val="44"/>
          <w:szCs w:val="44"/>
        </w:rPr>
        <w:t>博时稳欣39个月定期开放债券型</w:t>
      </w:r>
    </w:p>
    <w:p w14:paraId="7E243E91">
      <w:pPr>
        <w:jc w:val="center"/>
        <w:rPr>
          <w:rFonts w:ascii="黑体" w:hAnsi="黑体" w:eastAsia="黑体"/>
          <w:b/>
          <w:sz w:val="44"/>
          <w:szCs w:val="44"/>
        </w:rPr>
      </w:pPr>
      <w:r>
        <w:rPr>
          <w:rFonts w:hint="eastAsia" w:ascii="黑体" w:hAnsi="黑体" w:eastAsia="黑体"/>
          <w:b/>
          <w:sz w:val="44"/>
          <w:szCs w:val="44"/>
        </w:rPr>
        <w:t>证券投资基金托管协议</w:t>
      </w:r>
    </w:p>
    <w:p w14:paraId="4F814E37">
      <w:pPr>
        <w:jc w:val="center"/>
        <w:rPr>
          <w:rFonts w:ascii="黑体" w:hAnsi="黑体" w:eastAsia="黑体"/>
          <w:b/>
          <w:sz w:val="44"/>
          <w:szCs w:val="44"/>
        </w:rPr>
      </w:pPr>
    </w:p>
    <w:p w14:paraId="2EA27277">
      <w:pPr>
        <w:jc w:val="center"/>
        <w:rPr>
          <w:rFonts w:ascii="宋体" w:hAnsi="宋体"/>
          <w:sz w:val="44"/>
          <w:szCs w:val="44"/>
        </w:rPr>
      </w:pPr>
    </w:p>
    <w:p w14:paraId="290E1AF2">
      <w:pPr>
        <w:rPr>
          <w:rFonts w:ascii="宋体"/>
          <w:sz w:val="30"/>
        </w:rPr>
      </w:pPr>
    </w:p>
    <w:p w14:paraId="1D2C75FB">
      <w:pPr>
        <w:spacing w:line="360" w:lineRule="auto"/>
        <w:ind w:right="26" w:firstLine="1280" w:firstLineChars="400"/>
        <w:outlineLvl w:val="0"/>
        <w:rPr>
          <w:rFonts w:ascii="宋体" w:hAnsi="宋体"/>
          <w:sz w:val="32"/>
          <w:szCs w:val="32"/>
        </w:rPr>
      </w:pPr>
      <w:bookmarkStart w:id="0" w:name="_Toc382818591"/>
      <w:bookmarkStart w:id="1" w:name="_Toc382819065"/>
      <w:bookmarkStart w:id="2" w:name="_Toc1720869"/>
      <w:r>
        <w:rPr>
          <w:rFonts w:hint="eastAsia" w:ascii="宋体" w:hAnsi="宋体"/>
          <w:sz w:val="32"/>
          <w:szCs w:val="32"/>
        </w:rPr>
        <w:t>基金管理人：</w:t>
      </w:r>
      <w:bookmarkEnd w:id="0"/>
      <w:bookmarkEnd w:id="1"/>
      <w:r>
        <w:rPr>
          <w:rFonts w:ascii="宋体" w:hAnsi="宋体"/>
          <w:sz w:val="32"/>
          <w:szCs w:val="32"/>
        </w:rPr>
        <w:t xml:space="preserve"> </w:t>
      </w:r>
      <w:r>
        <w:rPr>
          <w:rFonts w:hint="eastAsia" w:ascii="宋体" w:hAnsi="宋体"/>
          <w:sz w:val="32"/>
          <w:szCs w:val="32"/>
        </w:rPr>
        <w:t>博时基金管理有限公司</w:t>
      </w:r>
      <w:bookmarkEnd w:id="2"/>
      <w:r>
        <w:rPr>
          <w:rFonts w:ascii="宋体" w:hAnsi="宋体"/>
          <w:sz w:val="32"/>
          <w:szCs w:val="32"/>
        </w:rPr>
        <w:t xml:space="preserve">            </w:t>
      </w:r>
      <w:r>
        <w:rPr>
          <w:rFonts w:hint="eastAsia" w:ascii="宋体" w:hAnsi="宋体"/>
          <w:sz w:val="32"/>
          <w:szCs w:val="32"/>
          <w:u w:val="single"/>
        </w:rPr>
        <w:t xml:space="preserve">               </w:t>
      </w:r>
    </w:p>
    <w:p w14:paraId="4DB6DD46">
      <w:pPr>
        <w:spacing w:line="360" w:lineRule="auto"/>
        <w:ind w:right="26" w:firstLine="1280" w:firstLineChars="400"/>
        <w:outlineLvl w:val="0"/>
        <w:rPr>
          <w:rFonts w:ascii="宋体" w:hAnsi="宋体"/>
          <w:sz w:val="32"/>
          <w:szCs w:val="32"/>
        </w:rPr>
      </w:pPr>
      <w:bookmarkStart w:id="3" w:name="_Toc382819066"/>
      <w:bookmarkStart w:id="4" w:name="_Toc382818592"/>
      <w:bookmarkStart w:id="5" w:name="_Toc1720870"/>
      <w:r>
        <w:rPr>
          <w:rFonts w:hint="eastAsia" w:ascii="宋体" w:hAnsi="宋体"/>
          <w:sz w:val="32"/>
          <w:szCs w:val="32"/>
        </w:rPr>
        <w:t>基金托管人：上海浦东发展银行股份有限公司</w:t>
      </w:r>
      <w:bookmarkEnd w:id="3"/>
      <w:bookmarkEnd w:id="4"/>
      <w:bookmarkEnd w:id="5"/>
    </w:p>
    <w:p w14:paraId="7B539E04">
      <w:pPr>
        <w:spacing w:line="500" w:lineRule="atLeast"/>
        <w:ind w:left="2698" w:hanging="2699" w:hangingChars="896"/>
        <w:jc w:val="center"/>
        <w:outlineLvl w:val="0"/>
        <w:rPr>
          <w:rFonts w:ascii="宋体" w:hAnsi="宋体"/>
          <w:b/>
          <w:sz w:val="30"/>
          <w:szCs w:val="30"/>
        </w:rPr>
      </w:pPr>
    </w:p>
    <w:p w14:paraId="51E20C9E">
      <w:pPr>
        <w:spacing w:line="500" w:lineRule="atLeast"/>
        <w:ind w:left="2519" w:hanging="2519" w:hangingChars="896"/>
        <w:jc w:val="center"/>
        <w:outlineLvl w:val="0"/>
        <w:rPr>
          <w:rFonts w:ascii="黑体" w:hAnsi="宋体" w:eastAsia="黑体"/>
          <w:b/>
          <w:sz w:val="28"/>
          <w:szCs w:val="28"/>
        </w:rPr>
      </w:pPr>
    </w:p>
    <w:p w14:paraId="5E0ACE4C">
      <w:pPr>
        <w:spacing w:line="500" w:lineRule="atLeast"/>
        <w:jc w:val="center"/>
        <w:outlineLvl w:val="0"/>
        <w:rPr>
          <w:rFonts w:ascii="黑体" w:hAnsi="宋体" w:eastAsia="黑体"/>
          <w:b/>
          <w:sz w:val="28"/>
          <w:szCs w:val="28"/>
        </w:rPr>
        <w:sectPr>
          <w:footerReference r:id="rId3" w:type="default"/>
          <w:pgSz w:w="11906" w:h="16838"/>
          <w:pgMar w:top="1440" w:right="1800" w:bottom="1440" w:left="1800" w:header="851" w:footer="992" w:gutter="0"/>
          <w:pgNumType w:start="1"/>
          <w:cols w:space="720" w:num="1"/>
          <w:docGrid w:type="lines" w:linePitch="312" w:charSpace="0"/>
        </w:sectPr>
      </w:pPr>
      <w:bookmarkStart w:id="6" w:name="_Toc382818593"/>
      <w:bookmarkStart w:id="7" w:name="_Toc382819067"/>
    </w:p>
    <w:p w14:paraId="05F2DEDE">
      <w:pPr>
        <w:spacing w:line="500" w:lineRule="atLeast"/>
        <w:jc w:val="center"/>
        <w:outlineLvl w:val="0"/>
        <w:rPr>
          <w:rFonts w:ascii="宋体" w:hAnsi="宋体"/>
          <w:b/>
          <w:sz w:val="36"/>
          <w:szCs w:val="28"/>
        </w:rPr>
      </w:pPr>
      <w:bookmarkStart w:id="8" w:name="_Toc1720871"/>
      <w:r>
        <w:rPr>
          <w:rFonts w:hint="eastAsia" w:ascii="宋体" w:hAnsi="宋体"/>
          <w:b/>
          <w:sz w:val="32"/>
          <w:szCs w:val="28"/>
        </w:rPr>
        <w:t>目 录</w:t>
      </w:r>
      <w:bookmarkEnd w:id="6"/>
      <w:bookmarkEnd w:id="7"/>
      <w:bookmarkEnd w:id="8"/>
    </w:p>
    <w:p w14:paraId="515CACF6">
      <w:pPr>
        <w:pStyle w:val="16"/>
        <w:tabs>
          <w:tab w:val="right" w:leader="dot" w:pos="8296"/>
        </w:tabs>
        <w:spacing w:line="360" w:lineRule="auto"/>
        <w:rPr>
          <w:rFonts w:ascii="Calibri" w:hAnsi="Calibri"/>
          <w:szCs w:val="22"/>
        </w:rPr>
      </w:pPr>
      <w:r>
        <w:rPr>
          <w:rFonts w:ascii="宋体" w:hAnsi="宋体"/>
          <w:sz w:val="20"/>
          <w:szCs w:val="21"/>
        </w:rPr>
        <w:fldChar w:fldCharType="begin"/>
      </w:r>
      <w:r>
        <w:rPr>
          <w:rFonts w:ascii="宋体" w:hAnsi="宋体"/>
          <w:sz w:val="20"/>
          <w:szCs w:val="21"/>
        </w:rPr>
        <w:instrText xml:space="preserve"> </w:instrText>
      </w:r>
      <w:r>
        <w:rPr>
          <w:rFonts w:hint="eastAsia" w:ascii="宋体" w:hAnsi="宋体"/>
          <w:sz w:val="20"/>
          <w:szCs w:val="21"/>
        </w:rPr>
        <w:instrText xml:space="preserve">TOC \o "1-3" \h \z \u</w:instrText>
      </w:r>
      <w:r>
        <w:rPr>
          <w:rFonts w:ascii="宋体" w:hAnsi="宋体"/>
          <w:sz w:val="20"/>
          <w:szCs w:val="21"/>
        </w:rPr>
        <w:instrText xml:space="preserve"> </w:instrText>
      </w:r>
      <w:r>
        <w:rPr>
          <w:rFonts w:ascii="宋体" w:hAnsi="宋体"/>
          <w:sz w:val="20"/>
          <w:szCs w:val="21"/>
        </w:rPr>
        <w:fldChar w:fldCharType="separate"/>
      </w:r>
    </w:p>
    <w:p w14:paraId="6B6429B0">
      <w:pPr>
        <w:pStyle w:val="16"/>
        <w:tabs>
          <w:tab w:val="right" w:leader="dot" w:pos="8296"/>
        </w:tabs>
        <w:spacing w:line="360" w:lineRule="auto"/>
        <w:rPr>
          <w:rFonts w:ascii="Calibri" w:hAnsi="Calibri"/>
          <w:szCs w:val="22"/>
        </w:rPr>
      </w:pPr>
      <w:r>
        <w:fldChar w:fldCharType="begin"/>
      </w:r>
      <w:r>
        <w:instrText xml:space="preserve"> HYPERLINK \l "_Toc1720873" </w:instrText>
      </w:r>
      <w:r>
        <w:fldChar w:fldCharType="separate"/>
      </w:r>
      <w:r>
        <w:rPr>
          <w:rStyle w:val="21"/>
          <w:rFonts w:hint="eastAsia" w:ascii="宋体" w:hAnsi="宋体" w:cs="Arial"/>
        </w:rPr>
        <w:t>一、 基金托管协议的依据、目的、原则和解释</w:t>
      </w:r>
      <w:r>
        <w:tab/>
      </w:r>
      <w:r>
        <w:rPr>
          <w:rFonts w:hint="eastAsia"/>
        </w:rPr>
        <w:t>1-</w:t>
      </w:r>
      <w:r>
        <w:fldChar w:fldCharType="begin"/>
      </w:r>
      <w:r>
        <w:instrText xml:space="preserve"> PAGEREF _Toc1720873 \h </w:instrText>
      </w:r>
      <w:r>
        <w:fldChar w:fldCharType="separate"/>
      </w:r>
      <w:r>
        <w:t>1</w:t>
      </w:r>
      <w:r>
        <w:fldChar w:fldCharType="end"/>
      </w:r>
      <w:r>
        <w:fldChar w:fldCharType="end"/>
      </w:r>
    </w:p>
    <w:p w14:paraId="7CA03A59">
      <w:pPr>
        <w:pStyle w:val="16"/>
        <w:tabs>
          <w:tab w:val="right" w:leader="dot" w:pos="8296"/>
        </w:tabs>
        <w:spacing w:line="360" w:lineRule="auto"/>
        <w:rPr>
          <w:rFonts w:ascii="Calibri" w:hAnsi="Calibri"/>
          <w:szCs w:val="22"/>
        </w:rPr>
      </w:pPr>
      <w:r>
        <w:fldChar w:fldCharType="begin"/>
      </w:r>
      <w:r>
        <w:instrText xml:space="preserve"> HYPERLINK \l "_Toc1720874" </w:instrText>
      </w:r>
      <w:r>
        <w:fldChar w:fldCharType="separate"/>
      </w:r>
      <w:r>
        <w:rPr>
          <w:rStyle w:val="21"/>
          <w:rFonts w:hint="eastAsia" w:ascii="宋体" w:hAnsi="宋体" w:cs="Arial"/>
        </w:rPr>
        <w:t>二、 基金托管人对基金管理人的业务监督和核查</w:t>
      </w:r>
      <w:r>
        <w:tab/>
      </w:r>
      <w:r>
        <w:rPr>
          <w:rFonts w:hint="eastAsia"/>
        </w:rPr>
        <w:t>2-</w:t>
      </w:r>
      <w:r>
        <w:fldChar w:fldCharType="begin"/>
      </w:r>
      <w:r>
        <w:instrText xml:space="preserve"> PAGEREF _Toc1720874 \h </w:instrText>
      </w:r>
      <w:r>
        <w:fldChar w:fldCharType="separate"/>
      </w:r>
      <w:r>
        <w:t>1</w:t>
      </w:r>
      <w:r>
        <w:fldChar w:fldCharType="end"/>
      </w:r>
      <w:r>
        <w:fldChar w:fldCharType="end"/>
      </w:r>
    </w:p>
    <w:p w14:paraId="29EB5A73">
      <w:pPr>
        <w:pStyle w:val="16"/>
        <w:tabs>
          <w:tab w:val="right" w:leader="dot" w:pos="8296"/>
        </w:tabs>
        <w:spacing w:line="360" w:lineRule="auto"/>
        <w:rPr>
          <w:rFonts w:ascii="Calibri" w:hAnsi="Calibri"/>
          <w:szCs w:val="22"/>
        </w:rPr>
      </w:pPr>
      <w:r>
        <w:fldChar w:fldCharType="begin"/>
      </w:r>
      <w:r>
        <w:instrText xml:space="preserve"> HYPERLINK \l "_Toc1720875" </w:instrText>
      </w:r>
      <w:r>
        <w:fldChar w:fldCharType="separate"/>
      </w:r>
      <w:r>
        <w:rPr>
          <w:rStyle w:val="21"/>
          <w:rFonts w:hint="eastAsia" w:ascii="宋体" w:hAnsi="宋体" w:cs="Arial"/>
        </w:rPr>
        <w:t>三、 基金管理人对基金托管人的业务核查</w:t>
      </w:r>
      <w:r>
        <w:tab/>
      </w:r>
      <w:r>
        <w:rPr>
          <w:rFonts w:hint="eastAsia"/>
        </w:rPr>
        <w:t>3-</w:t>
      </w:r>
      <w:r>
        <w:fldChar w:fldCharType="begin"/>
      </w:r>
      <w:r>
        <w:instrText xml:space="preserve"> PAGEREF _Toc1720875 \h </w:instrText>
      </w:r>
      <w:r>
        <w:fldChar w:fldCharType="separate"/>
      </w:r>
      <w:r>
        <w:t>1</w:t>
      </w:r>
      <w:r>
        <w:fldChar w:fldCharType="end"/>
      </w:r>
      <w:r>
        <w:fldChar w:fldCharType="end"/>
      </w:r>
    </w:p>
    <w:p w14:paraId="44F9B9D4">
      <w:pPr>
        <w:pStyle w:val="16"/>
        <w:tabs>
          <w:tab w:val="right" w:leader="dot" w:pos="8296"/>
        </w:tabs>
        <w:spacing w:line="360" w:lineRule="auto"/>
        <w:rPr>
          <w:rFonts w:ascii="Calibri" w:hAnsi="Calibri"/>
          <w:szCs w:val="22"/>
        </w:rPr>
      </w:pPr>
      <w:r>
        <w:fldChar w:fldCharType="begin"/>
      </w:r>
      <w:r>
        <w:instrText xml:space="preserve"> HYPERLINK \l "_Toc1720876" </w:instrText>
      </w:r>
      <w:r>
        <w:fldChar w:fldCharType="separate"/>
      </w:r>
      <w:r>
        <w:rPr>
          <w:rStyle w:val="21"/>
          <w:rFonts w:hint="eastAsia" w:ascii="宋体" w:hAnsi="宋体" w:cs="Arial"/>
        </w:rPr>
        <w:t>四、 基金财产保管</w:t>
      </w:r>
      <w:r>
        <w:tab/>
      </w:r>
      <w:r>
        <w:rPr>
          <w:rFonts w:hint="eastAsia"/>
        </w:rPr>
        <w:t>4-</w:t>
      </w:r>
      <w:r>
        <w:fldChar w:fldCharType="begin"/>
      </w:r>
      <w:r>
        <w:instrText xml:space="preserve"> PAGEREF _Toc1720876 \h </w:instrText>
      </w:r>
      <w:r>
        <w:fldChar w:fldCharType="separate"/>
      </w:r>
      <w:r>
        <w:t>1</w:t>
      </w:r>
      <w:r>
        <w:fldChar w:fldCharType="end"/>
      </w:r>
      <w:r>
        <w:fldChar w:fldCharType="end"/>
      </w:r>
    </w:p>
    <w:p w14:paraId="3B5AE1DE">
      <w:pPr>
        <w:pStyle w:val="16"/>
        <w:tabs>
          <w:tab w:val="right" w:leader="dot" w:pos="8296"/>
        </w:tabs>
        <w:spacing w:line="360" w:lineRule="auto"/>
        <w:rPr>
          <w:rFonts w:ascii="Calibri" w:hAnsi="Calibri"/>
          <w:szCs w:val="22"/>
        </w:rPr>
      </w:pPr>
      <w:r>
        <w:fldChar w:fldCharType="begin"/>
      </w:r>
      <w:r>
        <w:instrText xml:space="preserve"> HYPERLINK \l "_Toc1720885" </w:instrText>
      </w:r>
      <w:r>
        <w:fldChar w:fldCharType="separate"/>
      </w:r>
      <w:r>
        <w:rPr>
          <w:rStyle w:val="21"/>
          <w:rFonts w:hint="eastAsia" w:ascii="宋体" w:hAnsi="宋体" w:cs="Arial"/>
        </w:rPr>
        <w:t>五、 指令的发送、确认和执行</w:t>
      </w:r>
      <w:r>
        <w:tab/>
      </w:r>
      <w:r>
        <w:rPr>
          <w:rFonts w:hint="eastAsia"/>
        </w:rPr>
        <w:t>5-</w:t>
      </w:r>
      <w:r>
        <w:fldChar w:fldCharType="begin"/>
      </w:r>
      <w:r>
        <w:instrText xml:space="preserve"> PAGEREF _Toc1720885 \h </w:instrText>
      </w:r>
      <w:r>
        <w:fldChar w:fldCharType="separate"/>
      </w:r>
      <w:r>
        <w:t>1</w:t>
      </w:r>
      <w:r>
        <w:fldChar w:fldCharType="end"/>
      </w:r>
      <w:r>
        <w:fldChar w:fldCharType="end"/>
      </w:r>
    </w:p>
    <w:p w14:paraId="2897D20C">
      <w:pPr>
        <w:pStyle w:val="16"/>
        <w:tabs>
          <w:tab w:val="right" w:leader="dot" w:pos="8296"/>
        </w:tabs>
        <w:spacing w:line="360" w:lineRule="auto"/>
        <w:rPr>
          <w:rFonts w:ascii="Calibri" w:hAnsi="Calibri"/>
          <w:szCs w:val="22"/>
        </w:rPr>
      </w:pPr>
      <w:r>
        <w:fldChar w:fldCharType="begin"/>
      </w:r>
      <w:r>
        <w:instrText xml:space="preserve"> HYPERLINK \l "_Toc1720894" </w:instrText>
      </w:r>
      <w:r>
        <w:fldChar w:fldCharType="separate"/>
      </w:r>
      <w:r>
        <w:rPr>
          <w:rStyle w:val="21"/>
          <w:rFonts w:hint="eastAsia" w:ascii="宋体" w:hAnsi="宋体" w:cs="Arial"/>
        </w:rPr>
        <w:t>六、 交易及清算交收安排</w:t>
      </w:r>
      <w:r>
        <w:tab/>
      </w:r>
      <w:r>
        <w:rPr>
          <w:rFonts w:hint="eastAsia"/>
        </w:rPr>
        <w:t>6-</w:t>
      </w:r>
      <w:r>
        <w:fldChar w:fldCharType="begin"/>
      </w:r>
      <w:r>
        <w:instrText xml:space="preserve"> PAGEREF _Toc1720894 \h </w:instrText>
      </w:r>
      <w:r>
        <w:fldChar w:fldCharType="separate"/>
      </w:r>
      <w:r>
        <w:t>1</w:t>
      </w:r>
      <w:r>
        <w:fldChar w:fldCharType="end"/>
      </w:r>
      <w:r>
        <w:fldChar w:fldCharType="end"/>
      </w:r>
    </w:p>
    <w:p w14:paraId="6361EC60">
      <w:pPr>
        <w:pStyle w:val="16"/>
        <w:tabs>
          <w:tab w:val="right" w:leader="dot" w:pos="8296"/>
        </w:tabs>
        <w:spacing w:line="360" w:lineRule="auto"/>
        <w:rPr>
          <w:rFonts w:ascii="Calibri" w:hAnsi="Calibri"/>
          <w:szCs w:val="22"/>
        </w:rPr>
      </w:pPr>
      <w:r>
        <w:fldChar w:fldCharType="begin"/>
      </w:r>
      <w:r>
        <w:instrText xml:space="preserve"> HYPERLINK \l "_Toc1720898" </w:instrText>
      </w:r>
      <w:r>
        <w:fldChar w:fldCharType="separate"/>
      </w:r>
      <w:r>
        <w:rPr>
          <w:rStyle w:val="21"/>
          <w:rFonts w:hint="eastAsia" w:ascii="宋体" w:hAnsi="宋体" w:cs="Arial"/>
        </w:rPr>
        <w:t>七、 基金资产净值计算和会计核算</w:t>
      </w:r>
      <w:r>
        <w:tab/>
      </w:r>
      <w:r>
        <w:rPr>
          <w:rFonts w:hint="eastAsia"/>
        </w:rPr>
        <w:t>7-</w:t>
      </w:r>
      <w:r>
        <w:fldChar w:fldCharType="begin"/>
      </w:r>
      <w:r>
        <w:instrText xml:space="preserve"> PAGEREF _Toc1720898 \h </w:instrText>
      </w:r>
      <w:r>
        <w:fldChar w:fldCharType="separate"/>
      </w:r>
      <w:r>
        <w:t>1</w:t>
      </w:r>
      <w:r>
        <w:fldChar w:fldCharType="end"/>
      </w:r>
      <w:r>
        <w:fldChar w:fldCharType="end"/>
      </w:r>
    </w:p>
    <w:p w14:paraId="3EB60CCC">
      <w:pPr>
        <w:pStyle w:val="16"/>
        <w:tabs>
          <w:tab w:val="right" w:leader="dot" w:pos="8296"/>
        </w:tabs>
        <w:spacing w:line="360" w:lineRule="auto"/>
        <w:rPr>
          <w:rFonts w:ascii="Calibri" w:hAnsi="Calibri"/>
          <w:szCs w:val="22"/>
        </w:rPr>
      </w:pPr>
      <w:r>
        <w:fldChar w:fldCharType="begin"/>
      </w:r>
      <w:r>
        <w:instrText xml:space="preserve"> HYPERLINK \l "_Toc1720912" </w:instrText>
      </w:r>
      <w:r>
        <w:fldChar w:fldCharType="separate"/>
      </w:r>
      <w:r>
        <w:rPr>
          <w:rStyle w:val="21"/>
          <w:rFonts w:hint="eastAsia" w:ascii="宋体" w:hAnsi="宋体" w:cs="Arial"/>
        </w:rPr>
        <w:t>八、 基金收益分配</w:t>
      </w:r>
      <w:r>
        <w:tab/>
      </w:r>
      <w:r>
        <w:rPr>
          <w:rFonts w:hint="eastAsia"/>
        </w:rPr>
        <w:t>8-</w:t>
      </w:r>
      <w:r>
        <w:fldChar w:fldCharType="begin"/>
      </w:r>
      <w:r>
        <w:instrText xml:space="preserve"> PAGEREF _Toc1720912 \h </w:instrText>
      </w:r>
      <w:r>
        <w:fldChar w:fldCharType="separate"/>
      </w:r>
      <w:r>
        <w:t>1</w:t>
      </w:r>
      <w:r>
        <w:fldChar w:fldCharType="end"/>
      </w:r>
      <w:r>
        <w:fldChar w:fldCharType="end"/>
      </w:r>
    </w:p>
    <w:p w14:paraId="6915B37E">
      <w:pPr>
        <w:pStyle w:val="16"/>
        <w:tabs>
          <w:tab w:val="right" w:leader="dot" w:pos="8296"/>
        </w:tabs>
        <w:spacing w:line="360" w:lineRule="auto"/>
        <w:rPr>
          <w:rFonts w:ascii="Calibri" w:hAnsi="Calibri"/>
          <w:szCs w:val="22"/>
        </w:rPr>
      </w:pPr>
      <w:r>
        <w:fldChar w:fldCharType="begin"/>
      </w:r>
      <w:r>
        <w:instrText xml:space="preserve"> HYPERLINK \l "_Toc1720915" </w:instrText>
      </w:r>
      <w:r>
        <w:fldChar w:fldCharType="separate"/>
      </w:r>
      <w:r>
        <w:rPr>
          <w:rStyle w:val="21"/>
          <w:rFonts w:hint="eastAsia" w:ascii="宋体" w:hAnsi="宋体" w:cs="Arial"/>
        </w:rPr>
        <w:t>九、 信息披露</w:t>
      </w:r>
      <w:r>
        <w:tab/>
      </w:r>
      <w:r>
        <w:rPr>
          <w:rFonts w:hint="eastAsia"/>
        </w:rPr>
        <w:t>9-</w:t>
      </w:r>
      <w:r>
        <w:fldChar w:fldCharType="begin"/>
      </w:r>
      <w:r>
        <w:instrText xml:space="preserve"> PAGEREF _Toc1720915 \h </w:instrText>
      </w:r>
      <w:r>
        <w:fldChar w:fldCharType="separate"/>
      </w:r>
      <w:r>
        <w:t>1</w:t>
      </w:r>
      <w:r>
        <w:fldChar w:fldCharType="end"/>
      </w:r>
      <w:r>
        <w:fldChar w:fldCharType="end"/>
      </w:r>
    </w:p>
    <w:p w14:paraId="0093CA42">
      <w:pPr>
        <w:pStyle w:val="16"/>
        <w:tabs>
          <w:tab w:val="right" w:leader="dot" w:pos="8296"/>
        </w:tabs>
        <w:spacing w:line="360" w:lineRule="auto"/>
        <w:rPr>
          <w:rFonts w:ascii="Calibri" w:hAnsi="Calibri"/>
          <w:szCs w:val="22"/>
        </w:rPr>
      </w:pPr>
      <w:r>
        <w:fldChar w:fldCharType="begin"/>
      </w:r>
      <w:r>
        <w:instrText xml:space="preserve"> HYPERLINK \l "_Toc1720919" </w:instrText>
      </w:r>
      <w:r>
        <w:fldChar w:fldCharType="separate"/>
      </w:r>
      <w:r>
        <w:rPr>
          <w:rStyle w:val="21"/>
          <w:rFonts w:hint="eastAsia" w:ascii="宋体" w:hAnsi="宋体" w:cs="Arial"/>
        </w:rPr>
        <w:t>十、 托管费用</w:t>
      </w:r>
      <w:r>
        <w:tab/>
      </w:r>
      <w:r>
        <w:rPr>
          <w:rFonts w:hint="eastAsia"/>
        </w:rPr>
        <w:t>10-</w:t>
      </w:r>
      <w:r>
        <w:fldChar w:fldCharType="begin"/>
      </w:r>
      <w:r>
        <w:instrText xml:space="preserve"> PAGEREF _Toc1720919 \h </w:instrText>
      </w:r>
      <w:r>
        <w:fldChar w:fldCharType="separate"/>
      </w:r>
      <w:r>
        <w:t>1</w:t>
      </w:r>
      <w:r>
        <w:fldChar w:fldCharType="end"/>
      </w:r>
      <w:r>
        <w:fldChar w:fldCharType="end"/>
      </w:r>
    </w:p>
    <w:p w14:paraId="40C30584">
      <w:pPr>
        <w:pStyle w:val="16"/>
        <w:tabs>
          <w:tab w:val="right" w:leader="dot" w:pos="8296"/>
        </w:tabs>
        <w:spacing w:line="360" w:lineRule="auto"/>
        <w:rPr>
          <w:rFonts w:ascii="Calibri" w:hAnsi="Calibri"/>
          <w:szCs w:val="22"/>
        </w:rPr>
      </w:pPr>
      <w:r>
        <w:fldChar w:fldCharType="begin"/>
      </w:r>
      <w:r>
        <w:instrText xml:space="preserve"> HYPERLINK \l "_Toc1720920" </w:instrText>
      </w:r>
      <w:r>
        <w:fldChar w:fldCharType="separate"/>
      </w:r>
      <w:r>
        <w:rPr>
          <w:rStyle w:val="21"/>
          <w:rFonts w:hint="eastAsia" w:ascii="宋体" w:hAnsi="宋体" w:cs="Arial"/>
        </w:rPr>
        <w:t>十一、 基金份额持有人名册的保管</w:t>
      </w:r>
      <w:r>
        <w:tab/>
      </w:r>
      <w:r>
        <w:rPr>
          <w:rFonts w:hint="eastAsia"/>
        </w:rPr>
        <w:t>11-</w:t>
      </w:r>
      <w:r>
        <w:fldChar w:fldCharType="begin"/>
      </w:r>
      <w:r>
        <w:instrText xml:space="preserve"> PAGEREF _Toc1720920 \h </w:instrText>
      </w:r>
      <w:r>
        <w:fldChar w:fldCharType="separate"/>
      </w:r>
      <w:r>
        <w:t>1</w:t>
      </w:r>
      <w:r>
        <w:fldChar w:fldCharType="end"/>
      </w:r>
      <w:r>
        <w:fldChar w:fldCharType="end"/>
      </w:r>
    </w:p>
    <w:p w14:paraId="14B773FF">
      <w:pPr>
        <w:pStyle w:val="16"/>
        <w:tabs>
          <w:tab w:val="right" w:leader="dot" w:pos="8296"/>
        </w:tabs>
        <w:spacing w:line="360" w:lineRule="auto"/>
        <w:rPr>
          <w:rFonts w:ascii="Calibri" w:hAnsi="Calibri"/>
          <w:szCs w:val="22"/>
        </w:rPr>
      </w:pPr>
      <w:r>
        <w:fldChar w:fldCharType="begin"/>
      </w:r>
      <w:r>
        <w:instrText xml:space="preserve"> HYPERLINK \l "_Toc1720921" </w:instrText>
      </w:r>
      <w:r>
        <w:fldChar w:fldCharType="separate"/>
      </w:r>
      <w:r>
        <w:rPr>
          <w:rStyle w:val="21"/>
          <w:rFonts w:hint="eastAsia" w:ascii="宋体" w:hAnsi="宋体" w:cs="Arial"/>
        </w:rPr>
        <w:t>十二、 基金有关文件和档案的保存</w:t>
      </w:r>
      <w:r>
        <w:tab/>
      </w:r>
      <w:r>
        <w:rPr>
          <w:rFonts w:hint="eastAsia"/>
        </w:rPr>
        <w:t>12-</w:t>
      </w:r>
      <w:r>
        <w:fldChar w:fldCharType="begin"/>
      </w:r>
      <w:r>
        <w:instrText xml:space="preserve"> PAGEREF _Toc1720921 \h </w:instrText>
      </w:r>
      <w:r>
        <w:fldChar w:fldCharType="separate"/>
      </w:r>
      <w:r>
        <w:t>1</w:t>
      </w:r>
      <w:r>
        <w:fldChar w:fldCharType="end"/>
      </w:r>
      <w:r>
        <w:fldChar w:fldCharType="end"/>
      </w:r>
    </w:p>
    <w:p w14:paraId="5CE9B0D0">
      <w:pPr>
        <w:pStyle w:val="16"/>
        <w:tabs>
          <w:tab w:val="right" w:leader="dot" w:pos="8296"/>
        </w:tabs>
        <w:spacing w:line="360" w:lineRule="auto"/>
        <w:rPr>
          <w:rFonts w:ascii="Calibri" w:hAnsi="Calibri"/>
          <w:szCs w:val="22"/>
        </w:rPr>
      </w:pPr>
      <w:r>
        <w:fldChar w:fldCharType="begin"/>
      </w:r>
      <w:r>
        <w:instrText xml:space="preserve"> HYPERLINK \l "_Toc1720922" </w:instrText>
      </w:r>
      <w:r>
        <w:fldChar w:fldCharType="separate"/>
      </w:r>
      <w:r>
        <w:rPr>
          <w:rStyle w:val="21"/>
          <w:rFonts w:hint="eastAsia" w:ascii="宋体" w:hAnsi="宋体" w:cs="Arial"/>
        </w:rPr>
        <w:t>十三、 基金管理人和基金托管人的更换</w:t>
      </w:r>
      <w:r>
        <w:tab/>
      </w:r>
      <w:r>
        <w:rPr>
          <w:rFonts w:hint="eastAsia"/>
        </w:rPr>
        <w:t>13-</w:t>
      </w:r>
      <w:r>
        <w:fldChar w:fldCharType="begin"/>
      </w:r>
      <w:r>
        <w:instrText xml:space="preserve"> PAGEREF _Toc1720922 \h </w:instrText>
      </w:r>
      <w:r>
        <w:fldChar w:fldCharType="separate"/>
      </w:r>
      <w:r>
        <w:t>1</w:t>
      </w:r>
      <w:r>
        <w:fldChar w:fldCharType="end"/>
      </w:r>
      <w:r>
        <w:fldChar w:fldCharType="end"/>
      </w:r>
    </w:p>
    <w:p w14:paraId="0C30F7BA">
      <w:pPr>
        <w:pStyle w:val="16"/>
        <w:tabs>
          <w:tab w:val="right" w:leader="dot" w:pos="8296"/>
        </w:tabs>
        <w:spacing w:line="360" w:lineRule="auto"/>
        <w:rPr>
          <w:rFonts w:ascii="Calibri" w:hAnsi="Calibri"/>
          <w:szCs w:val="22"/>
        </w:rPr>
      </w:pPr>
      <w:r>
        <w:fldChar w:fldCharType="begin"/>
      </w:r>
      <w:r>
        <w:instrText xml:space="preserve"> HYPERLINK \l "_Toc1720925" </w:instrText>
      </w:r>
      <w:r>
        <w:fldChar w:fldCharType="separate"/>
      </w:r>
      <w:r>
        <w:rPr>
          <w:rStyle w:val="21"/>
          <w:rFonts w:hint="eastAsia" w:ascii="宋体" w:hAnsi="宋体" w:cs="Arial"/>
        </w:rPr>
        <w:t>十四、 禁止行为</w:t>
      </w:r>
      <w:r>
        <w:tab/>
      </w:r>
      <w:r>
        <w:rPr>
          <w:rFonts w:hint="eastAsia"/>
        </w:rPr>
        <w:t>14-</w:t>
      </w:r>
      <w:r>
        <w:fldChar w:fldCharType="begin"/>
      </w:r>
      <w:r>
        <w:instrText xml:space="preserve"> PAGEREF _Toc1720925 \h </w:instrText>
      </w:r>
      <w:r>
        <w:fldChar w:fldCharType="separate"/>
      </w:r>
      <w:r>
        <w:t>1</w:t>
      </w:r>
      <w:r>
        <w:fldChar w:fldCharType="end"/>
      </w:r>
      <w:r>
        <w:fldChar w:fldCharType="end"/>
      </w:r>
    </w:p>
    <w:p w14:paraId="4D9C5E15">
      <w:pPr>
        <w:pStyle w:val="16"/>
        <w:tabs>
          <w:tab w:val="right" w:leader="dot" w:pos="8296"/>
        </w:tabs>
        <w:spacing w:line="360" w:lineRule="auto"/>
        <w:rPr>
          <w:rFonts w:ascii="Calibri" w:hAnsi="Calibri"/>
          <w:szCs w:val="22"/>
        </w:rPr>
      </w:pPr>
      <w:r>
        <w:fldChar w:fldCharType="begin"/>
      </w:r>
      <w:r>
        <w:instrText xml:space="preserve"> HYPERLINK \l "_Toc1720926" </w:instrText>
      </w:r>
      <w:r>
        <w:fldChar w:fldCharType="separate"/>
      </w:r>
      <w:r>
        <w:rPr>
          <w:rStyle w:val="21"/>
          <w:rFonts w:hint="eastAsia" w:ascii="宋体" w:hAnsi="宋体" w:cs="Arial"/>
        </w:rPr>
        <w:t>十五、 基金托管协议的变更、终止与基金财产的清算</w:t>
      </w:r>
      <w:r>
        <w:tab/>
      </w:r>
      <w:r>
        <w:rPr>
          <w:rFonts w:hint="eastAsia"/>
        </w:rPr>
        <w:t>15-</w:t>
      </w:r>
      <w:r>
        <w:fldChar w:fldCharType="begin"/>
      </w:r>
      <w:r>
        <w:instrText xml:space="preserve"> PAGEREF _Toc1720926 \h </w:instrText>
      </w:r>
      <w:r>
        <w:fldChar w:fldCharType="separate"/>
      </w:r>
      <w:r>
        <w:t>1</w:t>
      </w:r>
      <w:r>
        <w:fldChar w:fldCharType="end"/>
      </w:r>
      <w:r>
        <w:fldChar w:fldCharType="end"/>
      </w:r>
    </w:p>
    <w:p w14:paraId="02D2185C">
      <w:pPr>
        <w:pStyle w:val="16"/>
        <w:tabs>
          <w:tab w:val="right" w:leader="dot" w:pos="8296"/>
        </w:tabs>
        <w:spacing w:line="360" w:lineRule="auto"/>
        <w:rPr>
          <w:rFonts w:ascii="Calibri" w:hAnsi="Calibri"/>
          <w:szCs w:val="22"/>
        </w:rPr>
      </w:pPr>
      <w:r>
        <w:fldChar w:fldCharType="begin"/>
      </w:r>
      <w:r>
        <w:instrText xml:space="preserve"> HYPERLINK \l "_Toc1720927" </w:instrText>
      </w:r>
      <w:r>
        <w:fldChar w:fldCharType="separate"/>
      </w:r>
      <w:r>
        <w:rPr>
          <w:rStyle w:val="21"/>
          <w:rFonts w:hint="eastAsia" w:ascii="宋体" w:hAnsi="宋体" w:cs="Arial"/>
        </w:rPr>
        <w:t>十六、 违约责任</w:t>
      </w:r>
      <w:r>
        <w:tab/>
      </w:r>
      <w:r>
        <w:rPr>
          <w:rFonts w:hint="eastAsia"/>
        </w:rPr>
        <w:t>16-</w:t>
      </w:r>
      <w:r>
        <w:fldChar w:fldCharType="begin"/>
      </w:r>
      <w:r>
        <w:instrText xml:space="preserve"> PAGEREF _Toc1720927 \h </w:instrText>
      </w:r>
      <w:r>
        <w:fldChar w:fldCharType="separate"/>
      </w:r>
      <w:r>
        <w:t>1</w:t>
      </w:r>
      <w:r>
        <w:fldChar w:fldCharType="end"/>
      </w:r>
      <w:r>
        <w:fldChar w:fldCharType="end"/>
      </w:r>
    </w:p>
    <w:p w14:paraId="50FD34E6">
      <w:pPr>
        <w:pStyle w:val="16"/>
        <w:tabs>
          <w:tab w:val="right" w:leader="dot" w:pos="8296"/>
        </w:tabs>
        <w:spacing w:line="360" w:lineRule="auto"/>
        <w:rPr>
          <w:rFonts w:ascii="Calibri" w:hAnsi="Calibri"/>
          <w:szCs w:val="22"/>
        </w:rPr>
      </w:pPr>
      <w:r>
        <w:fldChar w:fldCharType="begin"/>
      </w:r>
      <w:r>
        <w:instrText xml:space="preserve"> HYPERLINK \l "_Toc1720928" </w:instrText>
      </w:r>
      <w:r>
        <w:fldChar w:fldCharType="separate"/>
      </w:r>
      <w:r>
        <w:rPr>
          <w:rStyle w:val="21"/>
          <w:rFonts w:hint="eastAsia" w:ascii="宋体" w:hAnsi="宋体" w:cs="Arial"/>
        </w:rPr>
        <w:t>十七、 适用法律及争议解决方式</w:t>
      </w:r>
      <w:r>
        <w:tab/>
      </w:r>
      <w:r>
        <w:rPr>
          <w:rFonts w:hint="eastAsia"/>
        </w:rPr>
        <w:t>17-</w:t>
      </w:r>
      <w:r>
        <w:fldChar w:fldCharType="begin"/>
      </w:r>
      <w:r>
        <w:instrText xml:space="preserve"> PAGEREF _Toc1720928 \h </w:instrText>
      </w:r>
      <w:r>
        <w:fldChar w:fldCharType="separate"/>
      </w:r>
      <w:r>
        <w:t>1</w:t>
      </w:r>
      <w:r>
        <w:fldChar w:fldCharType="end"/>
      </w:r>
      <w:r>
        <w:fldChar w:fldCharType="end"/>
      </w:r>
    </w:p>
    <w:p w14:paraId="1CE32D3B">
      <w:pPr>
        <w:pStyle w:val="16"/>
        <w:tabs>
          <w:tab w:val="right" w:leader="dot" w:pos="8296"/>
        </w:tabs>
        <w:spacing w:line="360" w:lineRule="auto"/>
        <w:rPr>
          <w:rFonts w:ascii="Calibri" w:hAnsi="Calibri"/>
          <w:szCs w:val="22"/>
        </w:rPr>
      </w:pPr>
      <w:r>
        <w:fldChar w:fldCharType="begin"/>
      </w:r>
      <w:r>
        <w:instrText xml:space="preserve"> HYPERLINK \l "_Toc1720929" </w:instrText>
      </w:r>
      <w:r>
        <w:fldChar w:fldCharType="separate"/>
      </w:r>
      <w:r>
        <w:rPr>
          <w:rStyle w:val="21"/>
          <w:rFonts w:hint="eastAsia" w:ascii="宋体" w:hAnsi="宋体" w:cs="Arial"/>
        </w:rPr>
        <w:t>十八、 基金托管协议的效力和文本</w:t>
      </w:r>
      <w:r>
        <w:tab/>
      </w:r>
      <w:r>
        <w:rPr>
          <w:rFonts w:hint="eastAsia"/>
        </w:rPr>
        <w:t>18-</w:t>
      </w:r>
      <w:r>
        <w:fldChar w:fldCharType="begin"/>
      </w:r>
      <w:r>
        <w:instrText xml:space="preserve"> PAGEREF _Toc1720929 \h </w:instrText>
      </w:r>
      <w:r>
        <w:fldChar w:fldCharType="separate"/>
      </w:r>
      <w:r>
        <w:t>1</w:t>
      </w:r>
      <w:r>
        <w:fldChar w:fldCharType="end"/>
      </w:r>
      <w:r>
        <w:fldChar w:fldCharType="end"/>
      </w:r>
    </w:p>
    <w:p w14:paraId="524AFA76">
      <w:pPr>
        <w:pStyle w:val="16"/>
        <w:tabs>
          <w:tab w:val="right" w:leader="dot" w:pos="8296"/>
        </w:tabs>
        <w:spacing w:line="360" w:lineRule="auto"/>
        <w:rPr>
          <w:rFonts w:ascii="Calibri" w:hAnsi="Calibri"/>
          <w:szCs w:val="22"/>
        </w:rPr>
      </w:pPr>
      <w:r>
        <w:fldChar w:fldCharType="begin"/>
      </w:r>
      <w:r>
        <w:instrText xml:space="preserve"> HYPERLINK \l "_Toc1720930" </w:instrText>
      </w:r>
      <w:r>
        <w:fldChar w:fldCharType="separate"/>
      </w:r>
      <w:r>
        <w:rPr>
          <w:rStyle w:val="21"/>
          <w:rFonts w:hint="eastAsia" w:ascii="宋体" w:hAnsi="宋体" w:cs="Arial"/>
        </w:rPr>
        <w:t>十九、 其他事项</w:t>
      </w:r>
      <w:r>
        <w:tab/>
      </w:r>
      <w:r>
        <w:rPr>
          <w:rFonts w:hint="eastAsia"/>
        </w:rPr>
        <w:t>19-</w:t>
      </w:r>
      <w:r>
        <w:fldChar w:fldCharType="begin"/>
      </w:r>
      <w:r>
        <w:instrText xml:space="preserve"> PAGEREF _Toc1720930 \h </w:instrText>
      </w:r>
      <w:r>
        <w:fldChar w:fldCharType="separate"/>
      </w:r>
      <w:r>
        <w:t>1</w:t>
      </w:r>
      <w:r>
        <w:fldChar w:fldCharType="end"/>
      </w:r>
      <w:r>
        <w:fldChar w:fldCharType="end"/>
      </w:r>
    </w:p>
    <w:p w14:paraId="21776C64">
      <w:pPr>
        <w:pStyle w:val="17"/>
        <w:tabs>
          <w:tab w:val="right" w:leader="dot" w:pos="8296"/>
        </w:tabs>
        <w:spacing w:line="360" w:lineRule="auto"/>
        <w:ind w:left="0" w:leftChars="0"/>
        <w:jc w:val="center"/>
        <w:rPr>
          <w:rFonts w:ascii="Calibri" w:hAnsi="Calibri"/>
          <w:szCs w:val="22"/>
        </w:rPr>
      </w:pPr>
      <w:r>
        <w:fldChar w:fldCharType="begin"/>
      </w:r>
      <w:r>
        <w:instrText xml:space="preserve"> HYPERLINK \l "_Toc1720931" </w:instrText>
      </w:r>
      <w:r>
        <w:fldChar w:fldCharType="separate"/>
      </w:r>
      <w:r>
        <w:rPr>
          <w:rStyle w:val="21"/>
          <w:rFonts w:hint="eastAsia" w:ascii="彩虹粗仿宋" w:eastAsia="彩虹粗仿宋"/>
        </w:rPr>
        <w:t>二十、托管协议的签订</w:t>
      </w:r>
      <w:r>
        <w:tab/>
      </w:r>
      <w:r>
        <w:rPr>
          <w:rFonts w:hint="eastAsia"/>
        </w:rPr>
        <w:t>20-</w:t>
      </w:r>
      <w:r>
        <w:fldChar w:fldCharType="begin"/>
      </w:r>
      <w:r>
        <w:instrText xml:space="preserve"> PAGEREF _Toc1720931 \h </w:instrText>
      </w:r>
      <w:r>
        <w:fldChar w:fldCharType="separate"/>
      </w:r>
      <w:r>
        <w:t>1</w:t>
      </w:r>
      <w:r>
        <w:fldChar w:fldCharType="end"/>
      </w:r>
      <w:r>
        <w:fldChar w:fldCharType="end"/>
      </w:r>
    </w:p>
    <w:p w14:paraId="7D8604E7">
      <w:pPr>
        <w:spacing w:line="360" w:lineRule="auto"/>
        <w:rPr>
          <w:rFonts w:ascii="仿宋_GB2312" w:eastAsia="仿宋_GB2312"/>
          <w:sz w:val="24"/>
        </w:rPr>
      </w:pPr>
      <w:r>
        <w:rPr>
          <w:rFonts w:ascii="宋体" w:hAnsi="宋体"/>
          <w:sz w:val="20"/>
          <w:szCs w:val="21"/>
        </w:rPr>
        <w:fldChar w:fldCharType="end"/>
      </w:r>
    </w:p>
    <w:p w14:paraId="17BDCBDA">
      <w:pPr>
        <w:widowControl/>
        <w:jc w:val="left"/>
        <w:rPr>
          <w:rFonts w:ascii="仿宋_GB2312" w:eastAsia="仿宋_GB2312"/>
          <w:sz w:val="24"/>
        </w:rPr>
        <w:sectPr>
          <w:pgSz w:w="11906" w:h="16838"/>
          <w:pgMar w:top="1440" w:right="1800" w:bottom="1440" w:left="1800" w:header="851" w:footer="992" w:gutter="0"/>
          <w:pgNumType w:start="1"/>
          <w:cols w:space="720" w:num="1"/>
          <w:docGrid w:type="lines" w:linePitch="312" w:charSpace="0"/>
        </w:sectPr>
      </w:pPr>
    </w:p>
    <w:p w14:paraId="05E85911">
      <w:pPr>
        <w:pStyle w:val="2"/>
        <w:keepNext w:val="0"/>
        <w:keepLines w:val="0"/>
        <w:numPr>
          <w:ilvl w:val="0"/>
          <w:numId w:val="0"/>
        </w:numPr>
        <w:tabs>
          <w:tab w:val="left" w:pos="420"/>
        </w:tabs>
        <w:autoSpaceDE w:val="0"/>
        <w:autoSpaceDN w:val="0"/>
        <w:adjustRightInd w:val="0"/>
        <w:spacing w:before="360" w:after="360"/>
        <w:textAlignment w:val="baseline"/>
        <w:rPr>
          <w:rFonts w:hAnsi="黑体"/>
          <w:b w:val="0"/>
          <w:szCs w:val="32"/>
        </w:rPr>
      </w:pPr>
      <w:bookmarkStart w:id="9" w:name="_Toc382819068"/>
      <w:bookmarkStart w:id="10" w:name="_Toc1720872"/>
      <w:bookmarkStart w:id="11" w:name="_Toc382818594"/>
      <w:r>
        <w:rPr>
          <w:rFonts w:hint="eastAsia" w:hAnsi="黑体"/>
          <w:b w:val="0"/>
          <w:szCs w:val="32"/>
        </w:rPr>
        <w:t>博时稳欣39个月定期开放债券型证券投资基金托管协议</w:t>
      </w:r>
      <w:bookmarkEnd w:id="9"/>
      <w:bookmarkEnd w:id="10"/>
      <w:bookmarkEnd w:id="11"/>
    </w:p>
    <w:p w14:paraId="3DAD9A6C"/>
    <w:p w14:paraId="4809F262"/>
    <w:p w14:paraId="40A46894">
      <w:pPr>
        <w:spacing w:line="360" w:lineRule="auto"/>
        <w:ind w:firstLine="420" w:firstLineChars="200"/>
        <w:rPr>
          <w:rFonts w:ascii="宋体" w:hAnsi="宋体"/>
          <w:kern w:val="0"/>
          <w:szCs w:val="21"/>
        </w:rPr>
      </w:pPr>
      <w:bookmarkStart w:id="12" w:name="_Toc382819069"/>
      <w:r>
        <w:rPr>
          <w:rFonts w:hint="eastAsia" w:ascii="宋体" w:hAnsi="宋体"/>
          <w:kern w:val="0"/>
          <w:szCs w:val="21"/>
        </w:rPr>
        <w:t>基金管理人</w:t>
      </w:r>
    </w:p>
    <w:p w14:paraId="7E4CBA79">
      <w:pPr>
        <w:spacing w:line="360" w:lineRule="auto"/>
        <w:ind w:firstLine="420" w:firstLineChars="200"/>
        <w:rPr>
          <w:rFonts w:ascii="宋体" w:hAnsi="宋体"/>
          <w:kern w:val="0"/>
          <w:szCs w:val="21"/>
        </w:rPr>
      </w:pPr>
      <w:r>
        <w:rPr>
          <w:rFonts w:hint="eastAsia" w:ascii="宋体" w:hAnsi="宋体"/>
          <w:kern w:val="0"/>
          <w:szCs w:val="21"/>
        </w:rPr>
        <w:t>名称：</w:t>
      </w:r>
      <w:bookmarkEnd w:id="12"/>
      <w:r>
        <w:rPr>
          <w:rFonts w:hint="eastAsia" w:ascii="宋体" w:hAnsi="宋体"/>
          <w:kern w:val="0"/>
          <w:szCs w:val="21"/>
        </w:rPr>
        <w:t>博时基金管理有限公司</w:t>
      </w:r>
      <w:r>
        <w:rPr>
          <w:rFonts w:ascii="宋体" w:hAnsi="宋体"/>
          <w:kern w:val="0"/>
          <w:szCs w:val="21"/>
        </w:rPr>
        <w:t xml:space="preserve">                              </w:t>
      </w:r>
    </w:p>
    <w:p w14:paraId="609AA373">
      <w:pPr>
        <w:spacing w:line="360" w:lineRule="auto"/>
        <w:ind w:firstLine="420" w:firstLineChars="200"/>
        <w:rPr>
          <w:rFonts w:ascii="宋体" w:hAnsi="宋体"/>
          <w:kern w:val="0"/>
          <w:szCs w:val="21"/>
        </w:rPr>
      </w:pPr>
      <w:r>
        <w:rPr>
          <w:rFonts w:hint="eastAsia" w:ascii="宋体" w:hAnsi="宋体"/>
          <w:kern w:val="0"/>
          <w:szCs w:val="21"/>
        </w:rPr>
        <w:t>住所：深圳市福田区莲花街道福新社区益田路5999号基金大厦21层</w:t>
      </w:r>
    </w:p>
    <w:p w14:paraId="277D5768">
      <w:pPr>
        <w:spacing w:line="360" w:lineRule="auto"/>
        <w:ind w:firstLine="420" w:firstLineChars="200"/>
        <w:rPr>
          <w:rFonts w:hint="eastAsia" w:ascii="宋体" w:hAnsi="宋体" w:eastAsia="宋体"/>
          <w:kern w:val="0"/>
          <w:szCs w:val="21"/>
          <w:lang w:eastAsia="zh-CN"/>
        </w:rPr>
      </w:pPr>
      <w:r>
        <w:rPr>
          <w:rFonts w:hint="eastAsia" w:ascii="宋体" w:hAnsi="宋体"/>
          <w:kern w:val="0"/>
          <w:szCs w:val="21"/>
        </w:rPr>
        <w:t>法定代表人：</w:t>
      </w:r>
      <w:r>
        <w:rPr>
          <w:rFonts w:hint="eastAsia" w:ascii="宋体" w:hAnsi="宋体"/>
          <w:kern w:val="0"/>
          <w:szCs w:val="21"/>
          <w:lang w:eastAsia="zh-CN"/>
        </w:rPr>
        <w:t>张东</w:t>
      </w:r>
    </w:p>
    <w:p w14:paraId="0E8F0873">
      <w:pPr>
        <w:spacing w:line="360" w:lineRule="auto"/>
        <w:ind w:firstLine="420" w:firstLineChars="200"/>
        <w:rPr>
          <w:rFonts w:ascii="宋体" w:hAnsi="宋体"/>
          <w:kern w:val="0"/>
          <w:szCs w:val="21"/>
        </w:rPr>
      </w:pPr>
      <w:r>
        <w:rPr>
          <w:rFonts w:hint="eastAsia" w:ascii="宋体" w:hAnsi="宋体"/>
          <w:kern w:val="0"/>
          <w:szCs w:val="21"/>
        </w:rPr>
        <w:t>成立时间：1998年7月13日</w:t>
      </w:r>
    </w:p>
    <w:p w14:paraId="2043EB30">
      <w:pPr>
        <w:spacing w:line="360" w:lineRule="auto"/>
        <w:ind w:firstLine="420" w:firstLineChars="200"/>
        <w:rPr>
          <w:rFonts w:ascii="宋体" w:hAnsi="宋体"/>
          <w:kern w:val="0"/>
          <w:szCs w:val="21"/>
        </w:rPr>
      </w:pPr>
      <w:r>
        <w:rPr>
          <w:rFonts w:hint="eastAsia" w:ascii="宋体" w:hAnsi="宋体"/>
          <w:kern w:val="0"/>
          <w:szCs w:val="21"/>
        </w:rPr>
        <w:t>批准设立机关及批准设立文号：中国证监会证监基字【1998】26号</w:t>
      </w:r>
    </w:p>
    <w:p w14:paraId="68A247E2">
      <w:pPr>
        <w:spacing w:line="360" w:lineRule="auto"/>
        <w:ind w:firstLine="420" w:firstLineChars="200"/>
        <w:rPr>
          <w:rFonts w:ascii="宋体" w:hAnsi="宋体"/>
          <w:kern w:val="0"/>
          <w:szCs w:val="21"/>
        </w:rPr>
      </w:pPr>
      <w:r>
        <w:rPr>
          <w:rFonts w:hint="eastAsia" w:ascii="宋体" w:hAnsi="宋体"/>
          <w:kern w:val="0"/>
          <w:szCs w:val="21"/>
        </w:rPr>
        <w:t>注册资本：2.5亿元人民币</w:t>
      </w:r>
    </w:p>
    <w:p w14:paraId="34AC92D4">
      <w:pPr>
        <w:spacing w:line="360" w:lineRule="auto"/>
        <w:ind w:firstLine="420" w:firstLineChars="200"/>
        <w:rPr>
          <w:rFonts w:ascii="宋体" w:hAnsi="宋体"/>
          <w:kern w:val="0"/>
          <w:szCs w:val="21"/>
        </w:rPr>
      </w:pPr>
      <w:r>
        <w:rPr>
          <w:rFonts w:hint="eastAsia" w:ascii="宋体" w:hAnsi="宋体"/>
          <w:kern w:val="0"/>
          <w:szCs w:val="21"/>
        </w:rPr>
        <w:t>组织形式: 有限责任公司</w:t>
      </w:r>
    </w:p>
    <w:p w14:paraId="5B898DCE">
      <w:pPr>
        <w:spacing w:line="360" w:lineRule="auto"/>
        <w:ind w:firstLine="420" w:firstLineChars="200"/>
        <w:rPr>
          <w:rFonts w:ascii="宋体" w:hAnsi="宋体"/>
          <w:kern w:val="0"/>
          <w:szCs w:val="21"/>
        </w:rPr>
      </w:pPr>
      <w:r>
        <w:rPr>
          <w:rFonts w:hint="eastAsia" w:ascii="宋体" w:hAnsi="宋体"/>
          <w:kern w:val="0"/>
          <w:szCs w:val="21"/>
        </w:rPr>
        <w:t>存续期间：持续经营</w:t>
      </w:r>
    </w:p>
    <w:p w14:paraId="4711F9EB">
      <w:pPr>
        <w:tabs>
          <w:tab w:val="left" w:pos="1320"/>
        </w:tabs>
        <w:spacing w:line="360" w:lineRule="auto"/>
        <w:ind w:firstLine="420" w:firstLineChars="200"/>
        <w:rPr>
          <w:rFonts w:ascii="宋体" w:hAnsi="宋体"/>
          <w:kern w:val="0"/>
          <w:szCs w:val="21"/>
        </w:rPr>
      </w:pPr>
      <w:r>
        <w:rPr>
          <w:rFonts w:hint="eastAsia" w:ascii="宋体" w:hAnsi="宋体"/>
          <w:kern w:val="0"/>
          <w:szCs w:val="21"/>
        </w:rPr>
        <w:t>电话：</w:t>
      </w:r>
      <w:r>
        <w:rPr>
          <w:rFonts w:hint="eastAsia" w:ascii="宋体" w:hAnsi="宋体"/>
          <w:kern w:val="0"/>
          <w:szCs w:val="21"/>
        </w:rPr>
        <w:tab/>
      </w:r>
      <w:r>
        <w:rPr>
          <w:rFonts w:ascii="宋体" w:hAnsi="宋体"/>
          <w:kern w:val="0"/>
          <w:szCs w:val="21"/>
        </w:rPr>
        <w:t>0755-83169999</w:t>
      </w:r>
    </w:p>
    <w:p w14:paraId="17AD7D4C">
      <w:pPr>
        <w:ind w:firstLine="630"/>
        <w:rPr>
          <w:rFonts w:ascii="宋体" w:hAnsi="宋体"/>
          <w:kern w:val="0"/>
          <w:szCs w:val="21"/>
        </w:rPr>
      </w:pPr>
    </w:p>
    <w:p w14:paraId="75AC86AD">
      <w:pPr>
        <w:ind w:firstLine="630"/>
        <w:rPr>
          <w:rFonts w:ascii="宋体" w:hAnsi="宋体"/>
          <w:kern w:val="0"/>
          <w:szCs w:val="21"/>
        </w:rPr>
      </w:pPr>
    </w:p>
    <w:p w14:paraId="76B79248">
      <w:pPr>
        <w:ind w:firstLine="630"/>
        <w:rPr>
          <w:rFonts w:ascii="宋体" w:hAnsi="宋体"/>
          <w:kern w:val="0"/>
          <w:szCs w:val="21"/>
        </w:rPr>
      </w:pPr>
    </w:p>
    <w:p w14:paraId="7B73C2AC">
      <w:pPr>
        <w:spacing w:line="360" w:lineRule="auto"/>
        <w:ind w:firstLine="420" w:firstLineChars="200"/>
        <w:rPr>
          <w:rFonts w:ascii="宋体" w:hAnsi="宋体"/>
          <w:kern w:val="0"/>
          <w:szCs w:val="21"/>
        </w:rPr>
      </w:pPr>
      <w:r>
        <w:rPr>
          <w:rFonts w:hint="eastAsia" w:ascii="宋体" w:hAnsi="宋体"/>
          <w:kern w:val="0"/>
          <w:szCs w:val="21"/>
        </w:rPr>
        <w:t>基金</w:t>
      </w:r>
      <w:r>
        <w:rPr>
          <w:rFonts w:ascii="宋体" w:hAnsi="宋体"/>
          <w:kern w:val="0"/>
          <w:szCs w:val="21"/>
        </w:rPr>
        <w:t>托管人</w:t>
      </w:r>
    </w:p>
    <w:p w14:paraId="23003DB1">
      <w:pPr>
        <w:spacing w:line="360" w:lineRule="auto"/>
        <w:ind w:firstLine="420" w:firstLineChars="200"/>
        <w:rPr>
          <w:rFonts w:ascii="宋体" w:hAnsi="宋体"/>
          <w:kern w:val="0"/>
          <w:szCs w:val="21"/>
        </w:rPr>
      </w:pPr>
      <w:r>
        <w:rPr>
          <w:rFonts w:hint="eastAsia" w:ascii="宋体" w:hAnsi="宋体"/>
          <w:kern w:val="0"/>
          <w:szCs w:val="21"/>
        </w:rPr>
        <w:t>名称：上海浦东发展银行股份有限公司</w:t>
      </w:r>
    </w:p>
    <w:p w14:paraId="5B4B76DB">
      <w:pPr>
        <w:spacing w:line="360" w:lineRule="auto"/>
        <w:ind w:firstLine="420" w:firstLineChars="200"/>
        <w:rPr>
          <w:rFonts w:ascii="宋体" w:hAnsi="宋体"/>
          <w:kern w:val="0"/>
          <w:szCs w:val="21"/>
        </w:rPr>
      </w:pPr>
      <w:r>
        <w:rPr>
          <w:rFonts w:hint="eastAsia" w:ascii="宋体" w:hAnsi="宋体"/>
          <w:kern w:val="0"/>
          <w:szCs w:val="21"/>
        </w:rPr>
        <w:t>办公地址：上海市中山东一路12号</w:t>
      </w:r>
    </w:p>
    <w:p w14:paraId="791B9B4D">
      <w:pPr>
        <w:spacing w:line="360" w:lineRule="auto"/>
        <w:ind w:firstLine="420" w:firstLineChars="200"/>
        <w:rPr>
          <w:rFonts w:ascii="宋体" w:hAnsi="宋体"/>
          <w:kern w:val="0"/>
          <w:szCs w:val="21"/>
        </w:rPr>
      </w:pPr>
      <w:r>
        <w:rPr>
          <w:rFonts w:hint="eastAsia" w:ascii="宋体" w:hAnsi="宋体"/>
          <w:kern w:val="0"/>
          <w:szCs w:val="21"/>
        </w:rPr>
        <w:t>法定代表人：张为忠</w:t>
      </w:r>
    </w:p>
    <w:p w14:paraId="3321E0D2">
      <w:pPr>
        <w:spacing w:line="360" w:lineRule="auto"/>
        <w:ind w:firstLine="420" w:firstLineChars="200"/>
        <w:rPr>
          <w:rFonts w:ascii="宋体" w:hAnsi="宋体"/>
          <w:kern w:val="0"/>
          <w:szCs w:val="21"/>
        </w:rPr>
      </w:pPr>
      <w:r>
        <w:rPr>
          <w:rFonts w:hint="eastAsia" w:ascii="宋体" w:hAnsi="宋体"/>
          <w:kern w:val="0"/>
          <w:szCs w:val="21"/>
        </w:rPr>
        <w:t>成立日期：1992年10月19日</w:t>
      </w:r>
    </w:p>
    <w:p w14:paraId="35BA97E7">
      <w:pPr>
        <w:spacing w:line="360" w:lineRule="auto"/>
        <w:ind w:firstLine="420" w:firstLineChars="200"/>
        <w:rPr>
          <w:rFonts w:ascii="宋体" w:hAnsi="宋体"/>
          <w:kern w:val="0"/>
          <w:szCs w:val="21"/>
        </w:rPr>
      </w:pPr>
      <w:r>
        <w:rPr>
          <w:rFonts w:hint="eastAsia" w:ascii="宋体" w:hAnsi="宋体"/>
          <w:kern w:val="0"/>
          <w:szCs w:val="21"/>
        </w:rPr>
        <w:t>基金托管业务资格批准机关：中国证监会</w:t>
      </w:r>
    </w:p>
    <w:p w14:paraId="52625AEC">
      <w:pPr>
        <w:spacing w:line="360" w:lineRule="auto"/>
        <w:ind w:firstLine="420" w:firstLineChars="200"/>
        <w:rPr>
          <w:rFonts w:ascii="宋体" w:hAnsi="宋体"/>
          <w:kern w:val="0"/>
          <w:szCs w:val="21"/>
        </w:rPr>
      </w:pPr>
      <w:r>
        <w:rPr>
          <w:rFonts w:hint="eastAsia" w:ascii="宋体" w:hAnsi="宋体"/>
          <w:kern w:val="0"/>
          <w:szCs w:val="21"/>
        </w:rPr>
        <w:t>基金托管业务资格文号：证监基金字[2003]105号</w:t>
      </w:r>
    </w:p>
    <w:p w14:paraId="2247000E">
      <w:pPr>
        <w:spacing w:line="360" w:lineRule="auto"/>
        <w:ind w:firstLine="420" w:firstLineChars="200"/>
        <w:rPr>
          <w:rFonts w:ascii="宋体" w:hAnsi="宋体"/>
          <w:kern w:val="0"/>
          <w:szCs w:val="21"/>
        </w:rPr>
      </w:pPr>
      <w:r>
        <w:rPr>
          <w:rFonts w:hint="eastAsia" w:ascii="宋体" w:hAnsi="宋体"/>
          <w:kern w:val="0"/>
          <w:szCs w:val="21"/>
        </w:rPr>
        <w:t>组织形式：股份有限公司（上市）</w:t>
      </w:r>
    </w:p>
    <w:p w14:paraId="18D9D747">
      <w:pPr>
        <w:spacing w:line="360" w:lineRule="auto"/>
        <w:ind w:firstLine="420" w:firstLineChars="200"/>
        <w:rPr>
          <w:rFonts w:ascii="宋体" w:hAnsi="宋体"/>
          <w:kern w:val="0"/>
          <w:szCs w:val="21"/>
        </w:rPr>
      </w:pPr>
      <w:r>
        <w:rPr>
          <w:rFonts w:hint="eastAsia" w:ascii="宋体" w:hAnsi="宋体"/>
          <w:kern w:val="0"/>
          <w:szCs w:val="21"/>
        </w:rPr>
        <w:t>注册资本：人民币293.52亿元</w:t>
      </w:r>
    </w:p>
    <w:p w14:paraId="78248F7D">
      <w:pPr>
        <w:spacing w:line="360" w:lineRule="auto"/>
        <w:ind w:firstLine="420" w:firstLineChars="200"/>
        <w:rPr>
          <w:rFonts w:ascii="宋体" w:hAnsi="宋体"/>
          <w:kern w:val="0"/>
          <w:szCs w:val="21"/>
        </w:rPr>
      </w:pPr>
      <w:r>
        <w:rPr>
          <w:rFonts w:hint="eastAsia" w:ascii="宋体" w:hAnsi="宋体"/>
          <w:kern w:val="0"/>
          <w:szCs w:val="21"/>
        </w:rPr>
        <w:t>经营期限：永久存续</w:t>
      </w:r>
    </w:p>
    <w:p w14:paraId="2DA1A04D">
      <w:pPr>
        <w:autoSpaceDE w:val="0"/>
        <w:autoSpaceDN w:val="0"/>
        <w:adjustRightInd w:val="0"/>
        <w:spacing w:line="360" w:lineRule="auto"/>
        <w:ind w:firstLine="504" w:firstLineChars="200"/>
        <w:rPr>
          <w:rFonts w:ascii="宋体" w:hAnsi="宋体" w:cs="Arial"/>
          <w:color w:val="000000"/>
          <w:spacing w:val="6"/>
          <w:sz w:val="24"/>
        </w:rPr>
      </w:pPr>
    </w:p>
    <w:p w14:paraId="363CB0A8">
      <w:pPr>
        <w:autoSpaceDE w:val="0"/>
        <w:autoSpaceDN w:val="0"/>
        <w:adjustRightInd w:val="0"/>
        <w:spacing w:line="360" w:lineRule="auto"/>
        <w:ind w:firstLine="504" w:firstLineChars="200"/>
        <w:rPr>
          <w:rFonts w:ascii="宋体" w:hAnsi="宋体" w:cs="Arial"/>
          <w:color w:val="000000"/>
          <w:spacing w:val="6"/>
          <w:sz w:val="24"/>
        </w:rPr>
        <w:sectPr>
          <w:footerReference r:id="rId4" w:type="default"/>
          <w:pgSz w:w="11906" w:h="16838"/>
          <w:pgMar w:top="1440" w:right="1800" w:bottom="1440" w:left="1800" w:header="851" w:footer="992" w:gutter="0"/>
          <w:pgNumType w:start="1"/>
          <w:cols w:space="720" w:num="1"/>
          <w:docGrid w:type="lines" w:linePitch="312" w:charSpace="0"/>
        </w:sectPr>
      </w:pPr>
    </w:p>
    <w:p w14:paraId="194A8E08">
      <w:pPr>
        <w:pStyle w:val="2"/>
        <w:keepNext w:val="0"/>
        <w:keepLines w:val="0"/>
        <w:numPr>
          <w:ilvl w:val="0"/>
          <w:numId w:val="2"/>
        </w:numPr>
        <w:tabs>
          <w:tab w:val="left" w:pos="420"/>
        </w:tabs>
        <w:autoSpaceDE w:val="0"/>
        <w:autoSpaceDN w:val="0"/>
        <w:adjustRightInd w:val="0"/>
        <w:spacing w:before="360" w:after="360"/>
        <w:ind w:firstLine="0"/>
        <w:textAlignment w:val="baseline"/>
        <w:rPr>
          <w:rFonts w:ascii="宋体" w:hAnsi="宋体" w:eastAsia="宋体" w:cs="Arial"/>
          <w:sz w:val="21"/>
          <w:szCs w:val="21"/>
        </w:rPr>
      </w:pPr>
      <w:bookmarkStart w:id="13" w:name="_Toc1720873"/>
      <w:r>
        <w:rPr>
          <w:rFonts w:hint="eastAsia" w:ascii="宋体" w:hAnsi="宋体" w:eastAsia="宋体" w:cs="Arial"/>
          <w:sz w:val="21"/>
          <w:szCs w:val="21"/>
        </w:rPr>
        <w:t>基金托管协议的依据、目的、原则和解释</w:t>
      </w:r>
      <w:bookmarkEnd w:id="13"/>
    </w:p>
    <w:p w14:paraId="5C3775F0">
      <w:pPr>
        <w:widowControl/>
        <w:spacing w:line="324" w:lineRule="auto"/>
        <w:ind w:firstLine="420" w:firstLineChars="200"/>
        <w:jc w:val="left"/>
        <w:rPr>
          <w:rFonts w:ascii="宋体" w:hAnsi="宋体"/>
          <w:kern w:val="0"/>
          <w:szCs w:val="21"/>
        </w:rPr>
      </w:pPr>
      <w:r>
        <w:rPr>
          <w:rFonts w:hint="eastAsia" w:ascii="宋体" w:hAnsi="宋体"/>
          <w:kern w:val="0"/>
          <w:szCs w:val="21"/>
        </w:rPr>
        <w:t>（一）依据</w:t>
      </w:r>
    </w:p>
    <w:p w14:paraId="56B45865">
      <w:pPr>
        <w:widowControl/>
        <w:spacing w:line="324" w:lineRule="auto"/>
        <w:ind w:firstLine="420" w:firstLineChars="200"/>
        <w:jc w:val="left"/>
        <w:rPr>
          <w:rFonts w:ascii="宋体" w:hAnsi="宋体"/>
          <w:kern w:val="0"/>
          <w:szCs w:val="21"/>
        </w:rPr>
      </w:pPr>
      <w:r>
        <w:rPr>
          <w:rFonts w:hint="eastAsia" w:ascii="宋体" w:hAnsi="宋体"/>
          <w:kern w:val="0"/>
          <w:szCs w:val="21"/>
        </w:rPr>
        <w:t>本协议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证券投资基金托管业务管理办法》、《证券投资基金信息披露内容与格式准则第7号〈托管协议的内容与格式〉》、《博时稳欣39个月定期开放债券型证券投资基金基金合同》（以下简称《基金合同》）及其他有关法律、法规制定。</w:t>
      </w:r>
    </w:p>
    <w:p w14:paraId="5FAFFD38">
      <w:pPr>
        <w:widowControl/>
        <w:spacing w:line="324" w:lineRule="auto"/>
        <w:ind w:firstLine="420" w:firstLineChars="200"/>
        <w:jc w:val="left"/>
        <w:rPr>
          <w:rFonts w:ascii="宋体" w:hAnsi="宋体"/>
          <w:kern w:val="0"/>
          <w:szCs w:val="21"/>
        </w:rPr>
      </w:pPr>
      <w:r>
        <w:rPr>
          <w:rFonts w:hint="eastAsia" w:ascii="宋体" w:hAnsi="宋体"/>
          <w:kern w:val="0"/>
          <w:szCs w:val="21"/>
        </w:rPr>
        <w:t>（二）目的</w:t>
      </w:r>
    </w:p>
    <w:p w14:paraId="7D924813">
      <w:pPr>
        <w:widowControl/>
        <w:spacing w:line="324" w:lineRule="auto"/>
        <w:ind w:firstLine="420" w:firstLineChars="200"/>
        <w:jc w:val="left"/>
        <w:rPr>
          <w:rFonts w:ascii="宋体" w:hAnsi="宋体"/>
          <w:kern w:val="0"/>
          <w:szCs w:val="21"/>
        </w:rPr>
      </w:pPr>
      <w:r>
        <w:rPr>
          <w:rFonts w:hint="eastAsia" w:ascii="宋体" w:hAnsi="宋体"/>
          <w:kern w:val="0"/>
          <w:szCs w:val="21"/>
        </w:rPr>
        <w:t>本协议的目的是明确基金托管人与基金管理人之间在基金财产的保管、投资运作、净值计算、收益分配、信息披露及相互监督等有关事宜中的权利、义务及职责，确保基金财产的安全，保护基金份额持有人的合法权益。</w:t>
      </w:r>
    </w:p>
    <w:p w14:paraId="6FE3EEF8">
      <w:pPr>
        <w:widowControl/>
        <w:spacing w:line="324" w:lineRule="auto"/>
        <w:ind w:firstLine="420" w:firstLineChars="200"/>
        <w:jc w:val="left"/>
        <w:rPr>
          <w:rFonts w:ascii="宋体" w:hAnsi="宋体"/>
          <w:kern w:val="0"/>
          <w:szCs w:val="21"/>
        </w:rPr>
      </w:pPr>
      <w:r>
        <w:rPr>
          <w:rFonts w:hint="eastAsia" w:ascii="宋体" w:hAnsi="宋体"/>
          <w:kern w:val="0"/>
          <w:szCs w:val="21"/>
        </w:rPr>
        <w:t>（三）原则</w:t>
      </w:r>
    </w:p>
    <w:p w14:paraId="165399DB">
      <w:pPr>
        <w:widowControl/>
        <w:spacing w:line="324" w:lineRule="auto"/>
        <w:ind w:firstLine="420" w:firstLineChars="200"/>
        <w:jc w:val="left"/>
        <w:rPr>
          <w:rFonts w:ascii="宋体" w:hAnsi="宋体"/>
          <w:kern w:val="0"/>
          <w:szCs w:val="21"/>
        </w:rPr>
      </w:pPr>
      <w:r>
        <w:rPr>
          <w:rFonts w:hint="eastAsia" w:ascii="宋体" w:hAnsi="宋体"/>
          <w:kern w:val="0"/>
          <w:szCs w:val="21"/>
        </w:rPr>
        <w:t>基金管理人和基金托管人本着平等自愿、诚实信用、充分保护基金份额持有人合法权益的原则，经协商一致，签订本协议。</w:t>
      </w:r>
    </w:p>
    <w:p w14:paraId="2042207B">
      <w:pPr>
        <w:widowControl/>
        <w:spacing w:line="324" w:lineRule="auto"/>
        <w:ind w:firstLine="420" w:firstLineChars="200"/>
        <w:jc w:val="left"/>
        <w:rPr>
          <w:rFonts w:ascii="宋体" w:hAnsi="宋体"/>
          <w:kern w:val="0"/>
          <w:szCs w:val="21"/>
        </w:rPr>
      </w:pPr>
      <w:r>
        <w:rPr>
          <w:rFonts w:hint="eastAsia" w:ascii="宋体" w:hAnsi="宋体"/>
          <w:kern w:val="0"/>
          <w:szCs w:val="21"/>
        </w:rPr>
        <w:t>（四）解释</w:t>
      </w:r>
    </w:p>
    <w:p w14:paraId="23E4D1D2">
      <w:pPr>
        <w:widowControl/>
        <w:spacing w:line="324" w:lineRule="auto"/>
        <w:ind w:firstLine="420" w:firstLineChars="200"/>
        <w:jc w:val="left"/>
        <w:rPr>
          <w:rFonts w:ascii="宋体" w:hAnsi="宋体"/>
          <w:kern w:val="0"/>
          <w:szCs w:val="21"/>
        </w:rPr>
      </w:pPr>
      <w:r>
        <w:rPr>
          <w:rFonts w:hint="eastAsia" w:ascii="宋体" w:hAnsi="宋体"/>
          <w:kern w:val="0"/>
          <w:szCs w:val="21"/>
        </w:rPr>
        <w:t>除非本协议另有约定，本协议所有术语与《基金合同》的相应术语具有相同含义。若有抵触，应以《基金合同》为准。若有抵触应以《基金合同》为准，并依其条款解释。</w:t>
      </w:r>
    </w:p>
    <w:p w14:paraId="39489397">
      <w:pPr>
        <w:widowControl/>
        <w:spacing w:line="324" w:lineRule="auto"/>
        <w:ind w:firstLine="420" w:firstLineChars="200"/>
        <w:jc w:val="left"/>
        <w:rPr>
          <w:rFonts w:ascii="宋体" w:hAnsi="宋体"/>
          <w:kern w:val="0"/>
          <w:szCs w:val="21"/>
        </w:rPr>
      </w:pPr>
      <w:r>
        <w:rPr>
          <w:rFonts w:hint="eastAsia" w:ascii="宋体" w:hAnsi="宋体"/>
          <w:kern w:val="0"/>
          <w:szCs w:val="21"/>
        </w:rPr>
        <w:t>（五）若本基金实施侧袋机制的，侧袋机制实施期间的相关安排见基金合同和招募说明书的规定。</w:t>
      </w:r>
    </w:p>
    <w:p w14:paraId="1C52358A">
      <w:pPr>
        <w:widowControl/>
        <w:spacing w:line="324" w:lineRule="auto"/>
        <w:ind w:firstLine="420" w:firstLineChars="200"/>
        <w:jc w:val="left"/>
        <w:rPr>
          <w:rFonts w:ascii="宋体" w:hAnsi="宋体"/>
          <w:kern w:val="0"/>
          <w:szCs w:val="21"/>
        </w:rPr>
      </w:pPr>
    </w:p>
    <w:p w14:paraId="5F57B68B">
      <w:pPr>
        <w:widowControl/>
        <w:spacing w:line="324" w:lineRule="auto"/>
        <w:ind w:firstLine="420" w:firstLineChars="200"/>
        <w:jc w:val="left"/>
        <w:rPr>
          <w:rFonts w:ascii="宋体" w:hAnsi="宋体"/>
          <w:kern w:val="0"/>
          <w:szCs w:val="21"/>
        </w:rPr>
        <w:sectPr>
          <w:footerReference r:id="rId5" w:type="default"/>
          <w:pgSz w:w="11906" w:h="16838"/>
          <w:pgMar w:top="1440" w:right="1800" w:bottom="1440" w:left="1800" w:header="851" w:footer="992" w:gutter="0"/>
          <w:pgNumType w:start="1"/>
          <w:cols w:space="720" w:num="1"/>
          <w:docGrid w:type="lines" w:linePitch="312" w:charSpace="0"/>
        </w:sectPr>
      </w:pPr>
    </w:p>
    <w:p w14:paraId="666D88C7">
      <w:pPr>
        <w:pStyle w:val="2"/>
        <w:keepNext w:val="0"/>
        <w:keepLines w:val="0"/>
        <w:numPr>
          <w:ilvl w:val="0"/>
          <w:numId w:val="2"/>
        </w:numPr>
        <w:tabs>
          <w:tab w:val="left" w:pos="420"/>
        </w:tabs>
        <w:autoSpaceDE w:val="0"/>
        <w:autoSpaceDN w:val="0"/>
        <w:adjustRightInd w:val="0"/>
        <w:spacing w:before="360" w:after="360"/>
        <w:ind w:firstLine="0"/>
        <w:textAlignment w:val="baseline"/>
        <w:rPr>
          <w:rFonts w:ascii="宋体" w:hAnsi="宋体" w:eastAsia="宋体" w:cs="Arial"/>
          <w:sz w:val="21"/>
          <w:szCs w:val="21"/>
        </w:rPr>
      </w:pPr>
      <w:bookmarkStart w:id="14" w:name="_Toc1720874"/>
      <w:r>
        <w:rPr>
          <w:rFonts w:hint="eastAsia" w:ascii="宋体" w:hAnsi="宋体" w:eastAsia="宋体" w:cs="Arial"/>
          <w:sz w:val="21"/>
          <w:szCs w:val="21"/>
        </w:rPr>
        <w:t>基金托管人对基金管理人的业务监督和核查</w:t>
      </w:r>
      <w:bookmarkEnd w:id="14"/>
    </w:p>
    <w:p w14:paraId="1325254B">
      <w:pPr>
        <w:widowControl/>
        <w:spacing w:line="324" w:lineRule="auto"/>
        <w:ind w:firstLine="420" w:firstLineChars="200"/>
        <w:jc w:val="left"/>
        <w:rPr>
          <w:rFonts w:ascii="宋体" w:hAnsi="宋体"/>
          <w:kern w:val="0"/>
          <w:szCs w:val="21"/>
        </w:rPr>
      </w:pPr>
      <w:bookmarkStart w:id="15" w:name="_Toc382819073"/>
      <w:r>
        <w:rPr>
          <w:rFonts w:hint="eastAsia" w:ascii="宋体" w:hAnsi="宋体"/>
          <w:kern w:val="0"/>
          <w:szCs w:val="21"/>
        </w:rPr>
        <w:t>（一）基金托管人对基金管理人的投资行为行使监督权</w:t>
      </w:r>
      <w:bookmarkEnd w:id="15"/>
    </w:p>
    <w:p w14:paraId="13147069">
      <w:pPr>
        <w:widowControl/>
        <w:spacing w:line="324" w:lineRule="auto"/>
        <w:ind w:firstLine="420" w:firstLineChars="200"/>
        <w:jc w:val="left"/>
        <w:rPr>
          <w:rFonts w:ascii="宋体" w:hAnsi="宋体"/>
          <w:kern w:val="0"/>
          <w:szCs w:val="21"/>
        </w:rPr>
      </w:pPr>
      <w:r>
        <w:rPr>
          <w:rFonts w:hint="eastAsia" w:ascii="宋体" w:hAnsi="宋体"/>
          <w:kern w:val="0"/>
          <w:szCs w:val="21"/>
        </w:rPr>
        <w:t>1.基金托管人根据有关法律法规的规定和《基金合同》的约定，对下述基金投资范围、投资对象进行监督。</w:t>
      </w:r>
      <w:bookmarkStart w:id="114" w:name="_GoBack"/>
      <w:bookmarkEnd w:id="114"/>
    </w:p>
    <w:p w14:paraId="12292E89">
      <w:pPr>
        <w:widowControl/>
        <w:spacing w:line="324" w:lineRule="auto"/>
        <w:ind w:firstLine="420" w:firstLineChars="200"/>
        <w:jc w:val="left"/>
        <w:rPr>
          <w:rFonts w:ascii="宋体" w:hAnsi="宋体"/>
          <w:kern w:val="0"/>
          <w:szCs w:val="21"/>
        </w:rPr>
      </w:pPr>
      <w:r>
        <w:rPr>
          <w:rFonts w:hint="eastAsia" w:ascii="宋体" w:hAnsi="宋体"/>
          <w:kern w:val="0"/>
          <w:szCs w:val="21"/>
        </w:rPr>
        <w:t>本基金将投资于以下金融工具：</w:t>
      </w:r>
    </w:p>
    <w:p w14:paraId="50EAEEB2">
      <w:pPr>
        <w:widowControl/>
        <w:spacing w:line="324" w:lineRule="auto"/>
        <w:ind w:firstLine="420" w:firstLineChars="200"/>
        <w:jc w:val="left"/>
        <w:rPr>
          <w:rFonts w:ascii="宋体" w:hAnsi="宋体"/>
          <w:kern w:val="0"/>
          <w:szCs w:val="21"/>
        </w:rPr>
      </w:pPr>
      <w:r>
        <w:rPr>
          <w:rFonts w:hint="eastAsia" w:ascii="宋体" w:hAnsi="宋体"/>
          <w:kern w:val="0"/>
          <w:szCs w:val="21"/>
        </w:rPr>
        <w:t>本基金的投资范围为具有良好流动性的金融工具，包括债券（国债、金融债、企业债、公司债、地方政府债、央行票据、中期票据、短期融资券、超短期融资券、次级债、可分离交易可转债的纯债部分）、资产支持证券、债券回购、同业存单、银行存款等法律法规或中国证监会允许基金投资的其他金融工具（但须符合中国证监会的相关规定）。</w:t>
      </w:r>
    </w:p>
    <w:p w14:paraId="5FD413F4">
      <w:pPr>
        <w:widowControl/>
        <w:spacing w:line="324" w:lineRule="auto"/>
        <w:ind w:firstLine="420" w:firstLineChars="200"/>
        <w:jc w:val="left"/>
        <w:rPr>
          <w:rFonts w:ascii="宋体" w:hAnsi="宋体"/>
          <w:kern w:val="0"/>
          <w:szCs w:val="21"/>
        </w:rPr>
      </w:pPr>
      <w:r>
        <w:rPr>
          <w:rFonts w:hint="eastAsia" w:ascii="宋体" w:hAnsi="宋体"/>
          <w:kern w:val="0"/>
          <w:szCs w:val="21"/>
        </w:rPr>
        <w:t>本基金不投资于股票等资产，也不投资于可转换债券（可分离交易可转债的纯债部分除外）、可交换债券。</w:t>
      </w:r>
    </w:p>
    <w:p w14:paraId="660E6A0E">
      <w:pPr>
        <w:widowControl/>
        <w:spacing w:line="324" w:lineRule="auto"/>
        <w:ind w:firstLine="420" w:firstLineChars="200"/>
        <w:jc w:val="left"/>
        <w:rPr>
          <w:rFonts w:ascii="宋体" w:hAnsi="宋体"/>
          <w:szCs w:val="21"/>
        </w:rPr>
      </w:pPr>
      <w:r>
        <w:rPr>
          <w:rFonts w:hint="eastAsia" w:ascii="宋体" w:hAnsi="宋体"/>
          <w:kern w:val="0"/>
          <w:szCs w:val="21"/>
        </w:rPr>
        <w:t>如法律法规或监管机构以后允许基金投资其他品种，基金管理人在履行适当程序后，可以将其纳入投资范围。</w:t>
      </w:r>
    </w:p>
    <w:p w14:paraId="520782F0">
      <w:pPr>
        <w:widowControl/>
        <w:spacing w:line="324" w:lineRule="auto"/>
        <w:ind w:firstLine="420" w:firstLineChars="200"/>
        <w:jc w:val="left"/>
        <w:rPr>
          <w:rFonts w:ascii="宋体" w:hAnsi="宋体"/>
          <w:kern w:val="0"/>
          <w:szCs w:val="21"/>
        </w:rPr>
      </w:pPr>
      <w:r>
        <w:rPr>
          <w:rFonts w:hint="eastAsia" w:ascii="宋体" w:hAnsi="宋体"/>
          <w:kern w:val="0"/>
          <w:szCs w:val="21"/>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14:paraId="05370197">
      <w:pPr>
        <w:widowControl/>
        <w:spacing w:line="324" w:lineRule="auto"/>
        <w:ind w:firstLine="420" w:firstLineChars="200"/>
        <w:jc w:val="left"/>
        <w:rPr>
          <w:rFonts w:ascii="宋体" w:hAnsi="宋体"/>
          <w:kern w:val="0"/>
          <w:szCs w:val="21"/>
        </w:rPr>
      </w:pPr>
      <w:r>
        <w:rPr>
          <w:rFonts w:hint="eastAsia" w:ascii="宋体" w:hAnsi="宋体"/>
          <w:kern w:val="0"/>
          <w:szCs w:val="21"/>
        </w:rPr>
        <w:t>本基金不得投资于相关法律、法规、部门规章及《基金合同》禁止投资的投资工具。</w:t>
      </w:r>
    </w:p>
    <w:p w14:paraId="2A44AD83">
      <w:pPr>
        <w:spacing w:after="120" w:line="324" w:lineRule="auto"/>
        <w:ind w:firstLine="420" w:firstLineChars="200"/>
        <w:rPr>
          <w:rFonts w:ascii="宋体" w:hAnsi="宋体"/>
          <w:szCs w:val="21"/>
        </w:rPr>
      </w:pPr>
      <w:r>
        <w:rPr>
          <w:rFonts w:hint="eastAsia" w:ascii="宋体" w:hAnsi="宋体"/>
          <w:szCs w:val="21"/>
        </w:rPr>
        <w:t>2.基金托管人根据有关法律法规的规定及《基金合同》的约定对下述基金投融资比例进行监督：</w:t>
      </w:r>
    </w:p>
    <w:p w14:paraId="27C14226">
      <w:pPr>
        <w:spacing w:line="360" w:lineRule="auto"/>
        <w:ind w:firstLine="420"/>
        <w:rPr>
          <w:rFonts w:ascii="宋体" w:hAnsi="宋体"/>
          <w:szCs w:val="21"/>
        </w:rPr>
      </w:pPr>
      <w:r>
        <w:rPr>
          <w:rFonts w:hint="eastAsia" w:ascii="宋体" w:hAnsi="宋体"/>
          <w:szCs w:val="21"/>
        </w:rPr>
        <w:t>（1）按法律法规的规定及《基金合同》的约定，本基金的投资资产配置比例为：</w:t>
      </w:r>
    </w:p>
    <w:p w14:paraId="3C137130">
      <w:pPr>
        <w:spacing w:line="360" w:lineRule="auto"/>
        <w:ind w:firstLine="420"/>
        <w:rPr>
          <w:rFonts w:ascii="宋体" w:hAnsi="宋体"/>
          <w:szCs w:val="21"/>
        </w:rPr>
      </w:pPr>
      <w:r>
        <w:rPr>
          <w:rFonts w:hint="eastAsia" w:ascii="宋体" w:hAnsi="宋体"/>
          <w:szCs w:val="21"/>
        </w:rPr>
        <w:t>本基金对债券的投资比例不低于基金资产的80％，但应开放期流动性需要，为保护基金份额持有人利益，在每次开放期开始前</w:t>
      </w:r>
      <w:r>
        <w:rPr>
          <w:rFonts w:hint="eastAsia" w:ascii="宋体" w:hAnsi="宋体" w:cs="Arial"/>
          <w:color w:val="000000"/>
          <w:kern w:val="0"/>
          <w:szCs w:val="21"/>
        </w:rPr>
        <w:t>三</w:t>
      </w:r>
      <w:r>
        <w:rPr>
          <w:rFonts w:hint="eastAsia" w:ascii="宋体" w:hAnsi="宋体"/>
          <w:szCs w:val="21"/>
        </w:rPr>
        <w:t>个月、开放期及开放期结束后</w:t>
      </w:r>
      <w:r>
        <w:rPr>
          <w:rFonts w:hint="eastAsia" w:ascii="宋体" w:hAnsi="宋体" w:cs="Arial"/>
          <w:color w:val="000000"/>
          <w:kern w:val="0"/>
          <w:szCs w:val="21"/>
        </w:rPr>
        <w:t>三</w:t>
      </w:r>
      <w:r>
        <w:rPr>
          <w:rFonts w:hint="eastAsia" w:ascii="宋体" w:hAnsi="宋体"/>
          <w:szCs w:val="21"/>
        </w:rPr>
        <w:t>个月的期间内，基金投资不受上述比例限制。开放期内现金或者到期日在一年以内的政府债券不低于基金资产净值的5%，在封闭期内，本基金不受上述5%的限制；前述现金不包括结算备付金、存出保证金、应收申购款等。</w:t>
      </w:r>
    </w:p>
    <w:p w14:paraId="50EA1FEB">
      <w:pPr>
        <w:spacing w:line="360" w:lineRule="auto"/>
        <w:ind w:firstLine="420"/>
        <w:rPr>
          <w:rFonts w:ascii="宋体" w:hAnsi="宋体"/>
          <w:szCs w:val="21"/>
        </w:rPr>
      </w:pPr>
      <w:r>
        <w:rPr>
          <w:rFonts w:hint="eastAsia" w:ascii="宋体" w:hAnsi="宋体"/>
          <w:szCs w:val="21"/>
        </w:rPr>
        <w:t>如法律法规的相关规定发生变更或监管机构允许，本基金管理人在履行适当程序后，可对上述资产配置比例进行调整。</w:t>
      </w:r>
    </w:p>
    <w:p w14:paraId="40D76046">
      <w:pPr>
        <w:spacing w:line="360" w:lineRule="auto"/>
        <w:ind w:firstLine="420"/>
        <w:rPr>
          <w:rFonts w:ascii="宋体" w:hAnsi="宋体"/>
          <w:szCs w:val="21"/>
        </w:rPr>
      </w:pPr>
      <w:r>
        <w:rPr>
          <w:rFonts w:hint="eastAsia" w:ascii="宋体" w:hAnsi="宋体"/>
          <w:szCs w:val="21"/>
        </w:rPr>
        <w:t>（2）根据法律法规的规定及《基金合同》的约定，本基金投资组合遵循以下投资限制：</w:t>
      </w:r>
    </w:p>
    <w:p w14:paraId="21953878">
      <w:pPr>
        <w:spacing w:line="360" w:lineRule="auto"/>
        <w:ind w:firstLine="525"/>
        <w:rPr>
          <w:rFonts w:ascii="宋体" w:hAnsi="宋体"/>
          <w:szCs w:val="21"/>
        </w:rPr>
      </w:pPr>
      <w:r>
        <w:rPr>
          <w:rFonts w:hint="eastAsia" w:ascii="宋体" w:hAnsi="宋体"/>
          <w:szCs w:val="21"/>
        </w:rPr>
        <w:t>1）本基金投资于债券资产比例不低于基金资产的80%，但应开放期流动性需要，为保护基金份额持有人利益，在每次开放期开始前</w:t>
      </w:r>
      <w:r>
        <w:rPr>
          <w:rFonts w:hint="eastAsia" w:ascii="宋体" w:hAnsi="宋体" w:cs="Arial"/>
          <w:color w:val="000000"/>
          <w:kern w:val="0"/>
          <w:szCs w:val="21"/>
        </w:rPr>
        <w:t>三</w:t>
      </w:r>
      <w:r>
        <w:rPr>
          <w:rFonts w:hint="eastAsia" w:ascii="宋体" w:hAnsi="宋体"/>
          <w:szCs w:val="21"/>
        </w:rPr>
        <w:t>个月、开放期及开放期结束后</w:t>
      </w:r>
      <w:r>
        <w:rPr>
          <w:rFonts w:hint="eastAsia" w:ascii="宋体" w:hAnsi="宋体" w:cs="Arial"/>
          <w:color w:val="000000"/>
          <w:kern w:val="0"/>
          <w:szCs w:val="21"/>
        </w:rPr>
        <w:t>三</w:t>
      </w:r>
      <w:r>
        <w:rPr>
          <w:rFonts w:hint="eastAsia" w:ascii="宋体" w:hAnsi="宋体"/>
          <w:szCs w:val="21"/>
        </w:rPr>
        <w:t>个月的期间内，基金投资不受上述比例限制；</w:t>
      </w:r>
    </w:p>
    <w:p w14:paraId="74A421AB">
      <w:pPr>
        <w:spacing w:line="360" w:lineRule="auto"/>
        <w:ind w:firstLine="525"/>
        <w:rPr>
          <w:rFonts w:ascii="宋体" w:hAnsi="宋体"/>
          <w:szCs w:val="21"/>
        </w:rPr>
      </w:pPr>
      <w:r>
        <w:rPr>
          <w:rFonts w:hint="eastAsia" w:ascii="宋体" w:hAnsi="宋体"/>
          <w:szCs w:val="21"/>
        </w:rPr>
        <w:t>2）开放期内，本基金持有现金或者到期日在一年以内的政府债券投资比例合计不低于基金资产净值的5%；在封闭期内，本基金不受上述5%的限制；其中，现金不包括结算备付金、存出保证金、应收申购款等；</w:t>
      </w:r>
    </w:p>
    <w:p w14:paraId="57AC814D">
      <w:pPr>
        <w:spacing w:line="360" w:lineRule="auto"/>
        <w:ind w:firstLine="525"/>
        <w:rPr>
          <w:rFonts w:ascii="宋体" w:hAnsi="宋体"/>
          <w:szCs w:val="21"/>
        </w:rPr>
      </w:pPr>
      <w:r>
        <w:rPr>
          <w:rFonts w:hint="eastAsia" w:ascii="宋体" w:hAnsi="宋体"/>
          <w:szCs w:val="21"/>
        </w:rPr>
        <w:t>3）本基金持有一家公司发行的证券，其市值不超过基金资产净值的10％；</w:t>
      </w:r>
    </w:p>
    <w:p w14:paraId="0FE93B45">
      <w:pPr>
        <w:spacing w:line="360" w:lineRule="auto"/>
        <w:ind w:firstLine="525"/>
        <w:rPr>
          <w:rFonts w:ascii="宋体" w:hAnsi="宋体"/>
          <w:szCs w:val="21"/>
        </w:rPr>
      </w:pPr>
      <w:r>
        <w:rPr>
          <w:rFonts w:hint="eastAsia" w:ascii="宋体" w:hAnsi="宋体"/>
          <w:szCs w:val="21"/>
        </w:rPr>
        <w:t>4）本基金管理人管理的全部基金持有一家公司发行的证券，不超过该证券的10％；</w:t>
      </w:r>
    </w:p>
    <w:p w14:paraId="13A76448">
      <w:pPr>
        <w:spacing w:line="360" w:lineRule="auto"/>
        <w:ind w:firstLine="525"/>
        <w:rPr>
          <w:rFonts w:ascii="宋体" w:hAnsi="宋体"/>
          <w:szCs w:val="21"/>
        </w:rPr>
      </w:pPr>
      <w:r>
        <w:rPr>
          <w:rFonts w:hint="eastAsia" w:ascii="宋体" w:hAnsi="宋体"/>
          <w:szCs w:val="21"/>
          <w:lang w:val="en-US" w:eastAsia="zh-CN"/>
        </w:rPr>
        <w:t>5</w:t>
      </w:r>
      <w:r>
        <w:rPr>
          <w:rFonts w:hint="eastAsia" w:ascii="宋体" w:hAnsi="宋体"/>
          <w:szCs w:val="21"/>
        </w:rPr>
        <w:t>）本基金投资于同一原始权益人的各类资产支持证券的比例，不得超过基金资产净值的10％；</w:t>
      </w:r>
    </w:p>
    <w:p w14:paraId="17BED0A9">
      <w:pPr>
        <w:spacing w:line="360" w:lineRule="auto"/>
        <w:ind w:firstLine="525"/>
        <w:rPr>
          <w:rFonts w:ascii="宋体" w:hAnsi="宋体"/>
          <w:szCs w:val="21"/>
        </w:rPr>
      </w:pPr>
      <w:r>
        <w:rPr>
          <w:rFonts w:hint="eastAsia" w:ascii="宋体" w:hAnsi="宋体"/>
          <w:szCs w:val="21"/>
          <w:lang w:val="en-US" w:eastAsia="zh-CN"/>
        </w:rPr>
        <w:t>6</w:t>
      </w:r>
      <w:r>
        <w:rPr>
          <w:rFonts w:hint="eastAsia" w:ascii="宋体" w:hAnsi="宋体"/>
          <w:szCs w:val="21"/>
        </w:rPr>
        <w:t>）本基金持有的全部资产支持证券，其市值不得超过基金资产净值的20％；</w:t>
      </w:r>
    </w:p>
    <w:p w14:paraId="0E57B2B6">
      <w:pPr>
        <w:spacing w:line="360" w:lineRule="auto"/>
        <w:ind w:firstLine="525"/>
        <w:rPr>
          <w:rFonts w:ascii="宋体" w:hAnsi="宋体"/>
          <w:szCs w:val="21"/>
        </w:rPr>
      </w:pPr>
      <w:r>
        <w:rPr>
          <w:rFonts w:hint="eastAsia" w:ascii="宋体" w:hAnsi="宋体"/>
          <w:szCs w:val="21"/>
          <w:lang w:val="en-US" w:eastAsia="zh-CN"/>
        </w:rPr>
        <w:t>7</w:t>
      </w:r>
      <w:r>
        <w:rPr>
          <w:rFonts w:hint="eastAsia" w:ascii="宋体" w:hAnsi="宋体"/>
          <w:szCs w:val="21"/>
        </w:rPr>
        <w:t>）本基金持有的同一(指同一信用级别)资产支持证券的比例，不得超过该资产支持证券规模的10％；</w:t>
      </w:r>
    </w:p>
    <w:p w14:paraId="556F9AA3">
      <w:pPr>
        <w:spacing w:line="360" w:lineRule="auto"/>
        <w:ind w:firstLine="525"/>
        <w:rPr>
          <w:rFonts w:ascii="宋体" w:hAnsi="宋体"/>
          <w:szCs w:val="21"/>
        </w:rPr>
      </w:pPr>
      <w:r>
        <w:rPr>
          <w:rFonts w:hint="eastAsia" w:ascii="宋体" w:hAnsi="宋体"/>
          <w:szCs w:val="21"/>
          <w:lang w:val="en-US" w:eastAsia="zh-CN"/>
        </w:rPr>
        <w:t>8</w:t>
      </w:r>
      <w:r>
        <w:rPr>
          <w:rFonts w:hint="eastAsia" w:ascii="宋体" w:hAnsi="宋体"/>
          <w:szCs w:val="21"/>
        </w:rPr>
        <w:t>）本基金管理人管理的全部基金投资于同一原始权益人的各类资产支持证券，不得超过其各类资产支持证券合计规模的10％；</w:t>
      </w:r>
    </w:p>
    <w:p w14:paraId="358C4F59">
      <w:pPr>
        <w:spacing w:line="360" w:lineRule="auto"/>
        <w:ind w:firstLine="525"/>
        <w:rPr>
          <w:rFonts w:ascii="宋体" w:hAnsi="宋体"/>
          <w:szCs w:val="21"/>
        </w:rPr>
      </w:pPr>
      <w:r>
        <w:rPr>
          <w:rFonts w:hint="eastAsia" w:ascii="宋体" w:hAnsi="宋体"/>
          <w:szCs w:val="21"/>
          <w:lang w:val="en-US" w:eastAsia="zh-CN"/>
        </w:rPr>
        <w:t>9</w:t>
      </w:r>
      <w:r>
        <w:rPr>
          <w:rFonts w:hint="eastAsia" w:ascii="宋体" w:hAnsi="宋体"/>
          <w:szCs w:val="21"/>
        </w:rPr>
        <w:t>）本基金应投资于信用级别评级为BBB以上(含BBB)的资产支持证券。基金持有资产支持证券期间，如果其信用等级下降、不再符合投资标准，应在评级报告发布之日起3个月内予以全部卖出；</w:t>
      </w:r>
    </w:p>
    <w:p w14:paraId="65542D46">
      <w:pPr>
        <w:spacing w:line="360" w:lineRule="auto"/>
        <w:ind w:firstLine="525"/>
        <w:rPr>
          <w:rFonts w:ascii="宋体" w:hAnsi="宋体"/>
          <w:szCs w:val="21"/>
        </w:rPr>
      </w:pPr>
      <w:r>
        <w:rPr>
          <w:rFonts w:hint="eastAsia" w:ascii="宋体" w:hAnsi="宋体"/>
          <w:szCs w:val="21"/>
          <w:lang w:val="en-US" w:eastAsia="zh-CN"/>
        </w:rPr>
        <w:t>10</w:t>
      </w:r>
      <w:r>
        <w:rPr>
          <w:rFonts w:hint="eastAsia" w:ascii="宋体" w:hAnsi="宋体"/>
          <w:szCs w:val="21"/>
        </w:rPr>
        <w:t>）开放期内，本基金资产总值不得超过基金资产净值的140%；封闭期内，本基金资产总值不得超过基金资产净值的200%；</w:t>
      </w:r>
    </w:p>
    <w:p w14:paraId="6959B224">
      <w:pPr>
        <w:spacing w:line="360" w:lineRule="auto"/>
        <w:ind w:firstLine="525"/>
        <w:rPr>
          <w:rFonts w:ascii="宋体" w:hAnsi="宋体"/>
          <w:szCs w:val="21"/>
        </w:rPr>
      </w:pPr>
      <w:r>
        <w:rPr>
          <w:rFonts w:hint="eastAsia" w:ascii="宋体" w:hAnsi="宋体"/>
          <w:szCs w:val="21"/>
          <w:lang w:val="en-US" w:eastAsia="zh-CN"/>
        </w:rPr>
        <w:t>11</w:t>
      </w:r>
      <w:r>
        <w:rPr>
          <w:rFonts w:hint="eastAsia" w:ascii="宋体" w:hAnsi="宋体"/>
          <w:szCs w:val="21"/>
        </w:rPr>
        <w:t>）开放期内，本基金主动投资于流动性受限资产的市值合计不得超过本基金资产净值的15%；封闭期内不受此限；因证券市场波动、基金规模变动等基金管理人之外的因素致使基金不符合该比例限制的，基金管理人不得主动新增流动性受限资产的投资；</w:t>
      </w:r>
    </w:p>
    <w:p w14:paraId="3113F582">
      <w:pPr>
        <w:spacing w:line="360" w:lineRule="auto"/>
        <w:ind w:firstLine="525"/>
        <w:rPr>
          <w:rFonts w:ascii="宋体" w:hAnsi="宋体"/>
          <w:szCs w:val="21"/>
        </w:rPr>
      </w:pPr>
      <w:r>
        <w:rPr>
          <w:rFonts w:hint="eastAsia" w:ascii="宋体" w:hAnsi="宋体"/>
          <w:szCs w:val="21"/>
          <w:lang w:val="en-US" w:eastAsia="zh-CN"/>
        </w:rPr>
        <w:t>12</w:t>
      </w:r>
      <w:r>
        <w:rPr>
          <w:rFonts w:hint="eastAsia" w:ascii="宋体" w:hAnsi="宋体"/>
          <w:szCs w:val="21"/>
        </w:rPr>
        <w:t xml:space="preserve">）本基金与私募类证券资管产品及中国证监会认定的其他主体为交易对手开展逆回购交易的，可接受质押品的资质要求应当与基金合同约定的投资范围保持一致； </w:t>
      </w:r>
    </w:p>
    <w:p w14:paraId="65BE3B50">
      <w:pPr>
        <w:spacing w:line="360" w:lineRule="auto"/>
        <w:ind w:firstLine="525"/>
        <w:rPr>
          <w:rFonts w:ascii="宋体" w:hAnsi="宋体"/>
          <w:szCs w:val="21"/>
        </w:rPr>
      </w:pPr>
      <w:r>
        <w:rPr>
          <w:rFonts w:hint="eastAsia" w:ascii="宋体" w:hAnsi="宋体"/>
          <w:szCs w:val="21"/>
          <w:lang w:val="en-US" w:eastAsia="zh-CN"/>
        </w:rPr>
        <w:t>13</w:t>
      </w:r>
      <w:r>
        <w:rPr>
          <w:rFonts w:hint="eastAsia" w:ascii="宋体" w:hAnsi="宋体"/>
          <w:szCs w:val="21"/>
        </w:rPr>
        <w:t>）法律法规及中国证监会规定的和《基金合同》约定的其他投资限制。</w:t>
      </w:r>
    </w:p>
    <w:p w14:paraId="4DF66A04">
      <w:pPr>
        <w:spacing w:line="360" w:lineRule="auto"/>
        <w:ind w:firstLine="420" w:firstLineChars="200"/>
        <w:rPr>
          <w:rFonts w:ascii="宋体" w:hAnsi="宋体" w:cs="宋体"/>
          <w:kern w:val="0"/>
          <w:szCs w:val="21"/>
        </w:rPr>
      </w:pPr>
      <w:r>
        <w:rPr>
          <w:rFonts w:hint="eastAsia" w:ascii="宋体" w:hAnsi="宋体" w:cs="宋体"/>
          <w:kern w:val="0"/>
          <w:szCs w:val="21"/>
        </w:rPr>
        <w:t>托管人对上述指标的监督义务，仅限于监督由基金管理人管理且由托管人托管的全部公募基金是否符合上述比例限制。法律法规或监管部门取消或调整上述限制，如适用于本基金，基金管理人在履行适当程序后，则本基金投资不再受相关限制或按调整后的规定执行。</w:t>
      </w:r>
    </w:p>
    <w:p w14:paraId="014E0242">
      <w:pPr>
        <w:spacing w:line="440" w:lineRule="atLeast"/>
        <w:ind w:firstLine="420" w:firstLineChars="200"/>
        <w:rPr>
          <w:rFonts w:ascii="宋体" w:hAnsi="宋体"/>
          <w:szCs w:val="21"/>
        </w:rPr>
      </w:pPr>
      <w:r>
        <w:rPr>
          <w:rFonts w:hint="eastAsia" w:ascii="宋体" w:hAnsi="宋体"/>
          <w:szCs w:val="21"/>
        </w:rPr>
        <w:t>（</w:t>
      </w:r>
      <w:r>
        <w:rPr>
          <w:rFonts w:ascii="宋体" w:hAnsi="宋体"/>
          <w:szCs w:val="21"/>
        </w:rPr>
        <w:t>3）法律法规允许的基金投资比例调整期限</w:t>
      </w:r>
    </w:p>
    <w:p w14:paraId="28B9598C">
      <w:pPr>
        <w:spacing w:line="440" w:lineRule="atLeast"/>
        <w:ind w:right="28" w:firstLine="420" w:firstLineChars="200"/>
        <w:rPr>
          <w:rFonts w:ascii="宋体" w:hAnsi="宋体"/>
          <w:szCs w:val="21"/>
        </w:rPr>
      </w:pPr>
      <w:r>
        <w:rPr>
          <w:rFonts w:hint="eastAsia" w:ascii="宋体" w:hAnsi="宋体"/>
          <w:szCs w:val="21"/>
        </w:rPr>
        <w:t>除上述2）、</w:t>
      </w:r>
      <w:r>
        <w:rPr>
          <w:rFonts w:hint="eastAsia" w:ascii="宋体" w:hAnsi="宋体"/>
          <w:szCs w:val="21"/>
          <w:lang w:val="en-US" w:eastAsia="zh-CN"/>
        </w:rPr>
        <w:t>9</w:t>
      </w:r>
      <w:r>
        <w:rPr>
          <w:rFonts w:hint="eastAsia" w:ascii="宋体" w:hAnsi="宋体"/>
          <w:szCs w:val="21"/>
        </w:rPr>
        <w:t>）、</w:t>
      </w:r>
      <w:r>
        <w:rPr>
          <w:rFonts w:hint="eastAsia" w:ascii="宋体" w:hAnsi="宋体"/>
          <w:szCs w:val="21"/>
          <w:lang w:val="en-US" w:eastAsia="zh-CN"/>
        </w:rPr>
        <w:t>11</w:t>
      </w:r>
      <w:r>
        <w:rPr>
          <w:rFonts w:hint="eastAsia" w:ascii="宋体" w:hAnsi="宋体"/>
          <w:szCs w:val="21"/>
        </w:rPr>
        <w:t>）、</w:t>
      </w:r>
      <w:r>
        <w:rPr>
          <w:rFonts w:hint="eastAsia" w:ascii="宋体" w:hAnsi="宋体"/>
          <w:szCs w:val="21"/>
          <w:lang w:val="en-US" w:eastAsia="zh-CN"/>
        </w:rPr>
        <w:t>12</w:t>
      </w:r>
      <w:r>
        <w:rPr>
          <w:rFonts w:hint="eastAsia" w:ascii="宋体" w:hAnsi="宋体"/>
          <w:szCs w:val="21"/>
        </w:rPr>
        <w:t>）情形之外，因证券市场波动、证券发行人合并、基金规模变动等基金管理人之外的因素致使基金投资比例不符合上述规定投资比例的，基金管理人应当在10个交易日内进行调整，但中国证监会规定的特殊情形除外。</w:t>
      </w:r>
    </w:p>
    <w:p w14:paraId="69AD12D8">
      <w:pPr>
        <w:spacing w:line="440" w:lineRule="atLeast"/>
        <w:ind w:right="28" w:firstLine="420" w:firstLineChars="200"/>
        <w:rPr>
          <w:rFonts w:ascii="宋体" w:hAnsi="宋体"/>
          <w:szCs w:val="21"/>
        </w:rPr>
      </w:pPr>
      <w:r>
        <w:rPr>
          <w:rFonts w:hint="eastAsia" w:ascii="宋体" w:hAnsi="宋体"/>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2FB8DCA5">
      <w:pPr>
        <w:widowControl/>
        <w:spacing w:line="440" w:lineRule="atLeast"/>
        <w:ind w:firstLine="420" w:firstLineChars="200"/>
        <w:jc w:val="left"/>
        <w:rPr>
          <w:rFonts w:ascii="宋体" w:hAnsi="宋体" w:cs="宋体"/>
          <w:kern w:val="0"/>
          <w:szCs w:val="21"/>
        </w:rPr>
      </w:pPr>
      <w:r>
        <w:rPr>
          <w:rFonts w:hint="eastAsia" w:ascii="宋体" w:hAnsi="宋体" w:cs="宋体"/>
          <w:kern w:val="0"/>
          <w:szCs w:val="21"/>
        </w:rPr>
        <w:t>（</w:t>
      </w:r>
      <w:r>
        <w:rPr>
          <w:rFonts w:ascii="宋体" w:hAnsi="宋体" w:cs="宋体"/>
          <w:kern w:val="0"/>
          <w:szCs w:val="21"/>
        </w:rPr>
        <w:t>4</w:t>
      </w:r>
      <w:r>
        <w:rPr>
          <w:rFonts w:hint="eastAsia" w:ascii="宋体" w:hAnsi="宋体" w:cs="宋体"/>
          <w:kern w:val="0"/>
          <w:szCs w:val="21"/>
        </w:rPr>
        <w:t>）相关法律、法规或部门规章规定的其他比例限制。</w:t>
      </w:r>
    </w:p>
    <w:p w14:paraId="61F584F3">
      <w:pPr>
        <w:spacing w:after="120" w:line="440" w:lineRule="exact"/>
        <w:ind w:firstLine="420" w:firstLineChars="200"/>
        <w:rPr>
          <w:rFonts w:ascii="宋体" w:hAnsi="宋体"/>
          <w:szCs w:val="21"/>
        </w:rPr>
      </w:pPr>
      <w:r>
        <w:rPr>
          <w:rFonts w:ascii="宋体" w:hAnsi="宋体"/>
          <w:szCs w:val="21"/>
        </w:rPr>
        <w:t xml:space="preserve">3.基金托管人根据有关法律法规的规定及《基金合同》的约定对下述基金投资禁止行为进行监督： </w:t>
      </w:r>
    </w:p>
    <w:p w14:paraId="22FA4468">
      <w:pPr>
        <w:spacing w:line="360" w:lineRule="auto"/>
        <w:ind w:left="1" w:firstLine="472" w:firstLineChars="225"/>
        <w:rPr>
          <w:rFonts w:ascii="宋体" w:hAnsi="宋体"/>
          <w:szCs w:val="21"/>
        </w:rPr>
      </w:pPr>
      <w:r>
        <w:rPr>
          <w:rFonts w:hint="eastAsia" w:ascii="宋体" w:hAnsi="宋体"/>
          <w:szCs w:val="21"/>
        </w:rPr>
        <w:t>根据法律法规的规定及《基金合同》的约定，本基金禁止从事下列行为：</w:t>
      </w:r>
    </w:p>
    <w:p w14:paraId="761F135C">
      <w:pPr>
        <w:spacing w:after="120" w:line="440" w:lineRule="exact"/>
        <w:ind w:firstLine="420" w:firstLineChars="200"/>
        <w:rPr>
          <w:rFonts w:ascii="宋体" w:hAnsi="宋体"/>
          <w:szCs w:val="21"/>
        </w:rPr>
      </w:pPr>
      <w:r>
        <w:rPr>
          <w:rFonts w:hint="eastAsia" w:ascii="宋体" w:hAnsi="宋体"/>
          <w:szCs w:val="21"/>
        </w:rPr>
        <w:t>（</w:t>
      </w:r>
      <w:r>
        <w:rPr>
          <w:rFonts w:ascii="宋体" w:hAnsi="宋体"/>
          <w:szCs w:val="21"/>
        </w:rPr>
        <w:t>1）承销证券；</w:t>
      </w:r>
    </w:p>
    <w:p w14:paraId="21369880">
      <w:pPr>
        <w:spacing w:after="120" w:line="440" w:lineRule="exact"/>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）违反规定向他人贷款或者提供担保；</w:t>
      </w:r>
    </w:p>
    <w:p w14:paraId="46852584">
      <w:pPr>
        <w:spacing w:after="120" w:line="440" w:lineRule="exact"/>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）从事承担无限责任的投资；</w:t>
      </w:r>
    </w:p>
    <w:p w14:paraId="7CFD0993">
      <w:pPr>
        <w:spacing w:after="120" w:line="440" w:lineRule="exact"/>
        <w:ind w:firstLine="420" w:firstLineChars="200"/>
        <w:rPr>
          <w:rFonts w:ascii="宋体" w:hAnsi="宋体"/>
          <w:szCs w:val="21"/>
        </w:rPr>
      </w:pPr>
      <w:r>
        <w:rPr>
          <w:rFonts w:hint="eastAsia" w:ascii="宋体" w:hAnsi="宋体"/>
          <w:szCs w:val="21"/>
        </w:rPr>
        <w:t>（4）买卖其他基金份额，但是中国证监会另有规定的除外；</w:t>
      </w:r>
    </w:p>
    <w:p w14:paraId="12653754">
      <w:pPr>
        <w:spacing w:after="120" w:line="440" w:lineRule="exact"/>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）向其基金管理人、基金托管人出资；</w:t>
      </w:r>
    </w:p>
    <w:p w14:paraId="50084CC9">
      <w:pPr>
        <w:spacing w:after="120" w:line="440" w:lineRule="exact"/>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）从事内幕交易、操纵证券交易价格及其他不正当的证券交易活动；</w:t>
      </w:r>
    </w:p>
    <w:p w14:paraId="6976887E">
      <w:pPr>
        <w:spacing w:after="120" w:line="440" w:lineRule="exact"/>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）法律、行政法规和中国证监会规定禁止的其他活动。</w:t>
      </w:r>
    </w:p>
    <w:p w14:paraId="035F42F0">
      <w:pPr>
        <w:spacing w:line="360" w:lineRule="auto"/>
        <w:ind w:firstLine="420" w:firstLineChars="200"/>
        <w:rPr>
          <w:rFonts w:ascii="宋体" w:hAnsi="宋体"/>
          <w:szCs w:val="21"/>
        </w:rPr>
      </w:pPr>
      <w:r>
        <w:rPr>
          <w:rFonts w:hint="eastAsia" w:ascii="宋体" w:hAnsi="宋体"/>
          <w:szCs w:val="21"/>
        </w:rPr>
        <w:t>法律、行政法规或监管部门取消或变更上述禁止性规定，如适用于本基金，基金管理人在履行适当程序后，则本基金投资不再受相关限制或按变更后的规定执行。</w:t>
      </w:r>
    </w:p>
    <w:p w14:paraId="789799A5">
      <w:pPr>
        <w:spacing w:line="440" w:lineRule="exact"/>
        <w:ind w:firstLine="420" w:firstLineChars="200"/>
        <w:rPr>
          <w:rFonts w:ascii="宋体" w:hAnsi="宋体" w:cs="宋体"/>
          <w:kern w:val="0"/>
          <w:szCs w:val="21"/>
        </w:rPr>
      </w:pPr>
      <w:r>
        <w:rPr>
          <w:rFonts w:hint="eastAsia" w:ascii="宋体" w:hAnsi="宋体" w:cs="宋体"/>
          <w:kern w:val="0"/>
          <w:szCs w:val="21"/>
        </w:rPr>
        <w:t>4.基金托管人依据有关法律法规的规定和《基金合同》的约定对于基金关联投资限制进行监督。</w:t>
      </w:r>
    </w:p>
    <w:p w14:paraId="6AEE5270">
      <w:pPr>
        <w:spacing w:line="440" w:lineRule="exact"/>
        <w:ind w:firstLine="420" w:firstLineChars="200"/>
        <w:rPr>
          <w:rFonts w:ascii="宋体" w:hAnsi="宋体" w:cs="宋体"/>
          <w:kern w:val="0"/>
          <w:szCs w:val="21"/>
        </w:rPr>
      </w:pPr>
      <w:r>
        <w:rPr>
          <w:rFonts w:hint="eastAsia" w:ascii="宋体" w:hAnsi="宋体" w:cs="宋体"/>
          <w:kern w:val="0"/>
          <w:szCs w:val="21"/>
        </w:rPr>
        <w:t>基金管理人运用基金财产买卖基金管理人、基金托管人及其控股股东、实际控制人或者与其</w:t>
      </w:r>
      <w:r>
        <w:rPr>
          <w:rFonts w:ascii="宋体" w:hAnsi="宋体" w:cs="宋体"/>
          <w:kern w:val="0"/>
          <w:szCs w:val="21"/>
        </w:rPr>
        <w:t>有</w:t>
      </w:r>
      <w:r>
        <w:rPr>
          <w:rFonts w:hint="eastAsia" w:ascii="宋体" w:hAnsi="宋体" w:cs="宋体"/>
          <w:kern w:val="0"/>
          <w:szCs w:val="21"/>
        </w:rPr>
        <w:t>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3DD8A7F">
      <w:pPr>
        <w:spacing w:line="440" w:lineRule="exact"/>
        <w:ind w:firstLine="420" w:firstLineChars="200"/>
        <w:rPr>
          <w:rFonts w:ascii="宋体" w:hAnsi="宋体" w:cs="宋体"/>
          <w:kern w:val="0"/>
          <w:szCs w:val="21"/>
        </w:rPr>
      </w:pPr>
      <w:r>
        <w:rPr>
          <w:rFonts w:hint="eastAsia" w:ascii="宋体" w:hAnsi="宋体" w:cs="宋体"/>
          <w:kern w:val="0"/>
          <w:szCs w:val="21"/>
        </w:rPr>
        <w:t>如法律、法规或《基金合同》有关于基金从事关联交易的规定，基金管理人和基金托管人事先相互提供与本机构有控股关系的股东、与本机构有重大利害关系的公司名单及有关关联方发行的证券清单, 加盖公章并书面提交。基金管理人、基金托管人有责任确保关联交易名单的真实性、准确性、完整性，并负责及时将更新后的名单发送给对方。名单变更后基金管理人、基金托管人应及时发送对方，经基金管理人、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14:paraId="7517150E">
      <w:pPr>
        <w:spacing w:line="440" w:lineRule="exact"/>
        <w:ind w:firstLine="420" w:firstLineChars="200"/>
        <w:rPr>
          <w:rFonts w:ascii="宋体" w:hAnsi="宋体" w:cs="宋体"/>
          <w:kern w:val="0"/>
          <w:szCs w:val="21"/>
        </w:rPr>
      </w:pPr>
      <w:r>
        <w:rPr>
          <w:rFonts w:hint="eastAsia" w:ascii="宋体" w:hAnsi="宋体" w:cs="宋体"/>
          <w:kern w:val="0"/>
          <w:szCs w:val="21"/>
        </w:rPr>
        <w:t>5.基金托管人依据有关法律法规的规定和《基金合同》的约定对基金管理人参与银行间债券市场进行监督。</w:t>
      </w:r>
    </w:p>
    <w:p w14:paraId="118FC202">
      <w:pPr>
        <w:spacing w:line="440" w:lineRule="exact"/>
        <w:ind w:firstLine="420" w:firstLineChars="200"/>
        <w:rPr>
          <w:rFonts w:ascii="宋体" w:hAnsi="宋体" w:cs="宋体"/>
          <w:kern w:val="0"/>
          <w:szCs w:val="21"/>
        </w:rPr>
      </w:pPr>
      <w:r>
        <w:rPr>
          <w:rFonts w:hint="eastAsia" w:ascii="宋体" w:hAnsi="宋体" w:cs="宋体"/>
          <w:kern w:val="0"/>
          <w:szCs w:val="21"/>
        </w:rPr>
        <w:t>基金托管人根据基金管理人提供的银行间债券市场交易对手名单进行监督。基金管理人有责任控制交易对手的资信风险，由于交易对手的资信风险引起的损失，基金管理人应当负责向相关责任人追偿。</w:t>
      </w:r>
    </w:p>
    <w:p w14:paraId="53128D62">
      <w:pPr>
        <w:spacing w:line="440" w:lineRule="exact"/>
        <w:ind w:firstLine="420" w:firstLineChars="200"/>
        <w:rPr>
          <w:rFonts w:ascii="宋体" w:hAnsi="宋体" w:cs="宋体"/>
          <w:kern w:val="0"/>
          <w:szCs w:val="21"/>
        </w:rPr>
      </w:pPr>
      <w:r>
        <w:rPr>
          <w:rFonts w:hint="eastAsia" w:ascii="宋体" w:hAnsi="宋体" w:cs="宋体"/>
          <w:kern w:val="0"/>
          <w:szCs w:val="21"/>
        </w:rPr>
        <w:t>6. 基金托管人依据有关法律法规的规定和《基金合同》的约定，对基金银行存款业务进行监督。</w:t>
      </w:r>
    </w:p>
    <w:p w14:paraId="09C6CD75">
      <w:pPr>
        <w:spacing w:line="440" w:lineRule="exact"/>
        <w:ind w:firstLine="420" w:firstLineChars="200"/>
        <w:rPr>
          <w:rFonts w:ascii="宋体" w:hAnsi="宋体" w:cs="宋体"/>
          <w:kern w:val="0"/>
          <w:szCs w:val="21"/>
        </w:rPr>
      </w:pPr>
      <w:r>
        <w:rPr>
          <w:rFonts w:hint="eastAsia" w:ascii="宋体" w:hAnsi="宋体" w:cs="宋体"/>
          <w:kern w:val="0"/>
          <w:szCs w:val="21"/>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先由基金管理人负责赔偿，之后有权要求相关责任人进行赔偿。如果基金托管人在运作过程中遵循有关法律法规的规定和《基金合同》的约定监督流程，则对于由于存款银行信用风险引起的损失，不承担赔偿责任。</w:t>
      </w:r>
    </w:p>
    <w:p w14:paraId="42EC5D9D">
      <w:pPr>
        <w:spacing w:line="440" w:lineRule="exact"/>
        <w:ind w:firstLine="420" w:firstLineChars="200"/>
        <w:rPr>
          <w:rFonts w:ascii="宋体" w:hAnsi="宋体" w:cs="宋体"/>
          <w:kern w:val="0"/>
          <w:szCs w:val="21"/>
        </w:rPr>
      </w:pPr>
      <w:r>
        <w:rPr>
          <w:rFonts w:hint="eastAsia" w:ascii="宋体" w:hAnsi="宋体" w:cs="宋体"/>
          <w:kern w:val="0"/>
          <w:szCs w:val="21"/>
        </w:rPr>
        <w:t>（二）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14:paraId="00D02F33">
      <w:pPr>
        <w:spacing w:line="440" w:lineRule="exact"/>
        <w:ind w:firstLine="420" w:firstLineChars="200"/>
        <w:rPr>
          <w:rFonts w:ascii="宋体" w:hAnsi="宋体" w:cs="宋体"/>
          <w:kern w:val="0"/>
          <w:szCs w:val="21"/>
        </w:rPr>
      </w:pPr>
      <w:r>
        <w:rPr>
          <w:rFonts w:hint="eastAsia" w:ascii="宋体" w:hAnsi="宋体" w:cs="宋体"/>
          <w:kern w:val="0"/>
          <w:szCs w:val="21"/>
        </w:rPr>
        <w:t>（三）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14:paraId="4DAF5EDD">
      <w:pPr>
        <w:spacing w:line="440" w:lineRule="exact"/>
        <w:ind w:firstLine="420" w:firstLineChars="200"/>
        <w:rPr>
          <w:rFonts w:ascii="宋体" w:hAnsi="宋体" w:cs="宋体"/>
          <w:kern w:val="0"/>
          <w:szCs w:val="21"/>
        </w:rPr>
      </w:pPr>
      <w:r>
        <w:rPr>
          <w:rFonts w:hint="eastAsia" w:ascii="宋体" w:hAnsi="宋体" w:cs="宋体"/>
          <w:kern w:val="0"/>
          <w:szCs w:val="21"/>
        </w:rPr>
        <w:t>在限期内，基金托管人有权随时对通知事项进行复查，督促基金管理人改正。基金管理人对基金托管人通知的违规事项未能在限期内纠正的，基金托管人应报告中国证监会。</w:t>
      </w:r>
    </w:p>
    <w:p w14:paraId="5BD72BFC">
      <w:pPr>
        <w:spacing w:line="440" w:lineRule="exact"/>
        <w:ind w:firstLine="420" w:firstLineChars="200"/>
        <w:rPr>
          <w:rFonts w:ascii="宋体" w:hAnsi="宋体" w:cs="宋体"/>
          <w:kern w:val="0"/>
          <w:szCs w:val="21"/>
        </w:rPr>
      </w:pPr>
      <w:r>
        <w:rPr>
          <w:rFonts w:hint="eastAsia" w:ascii="宋体" w:hAnsi="宋体" w:cs="宋体"/>
          <w:kern w:val="0"/>
          <w:szCs w:val="21"/>
        </w:rPr>
        <w:t>基金管理人应积极配合和协助基金托管人依照法律法规、《基金合同》和本托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14:paraId="68BF56D5">
      <w:pPr>
        <w:spacing w:line="440" w:lineRule="exact"/>
        <w:ind w:firstLine="420" w:firstLineChars="200"/>
        <w:rPr>
          <w:rFonts w:ascii="宋体" w:hAnsi="宋体" w:cs="宋体"/>
          <w:kern w:val="0"/>
          <w:szCs w:val="21"/>
        </w:rPr>
      </w:pPr>
      <w:r>
        <w:rPr>
          <w:rFonts w:hint="eastAsia" w:ascii="宋体" w:hAnsi="宋体" w:cs="宋体"/>
          <w:kern w:val="0"/>
          <w:szCs w:val="21"/>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14:paraId="0F7325FD">
      <w:pPr>
        <w:spacing w:line="440" w:lineRule="exact"/>
        <w:ind w:firstLine="420" w:firstLineChars="200"/>
        <w:rPr>
          <w:rFonts w:ascii="宋体" w:hAnsi="宋体" w:cs="宋体"/>
          <w:kern w:val="0"/>
          <w:szCs w:val="21"/>
        </w:rPr>
      </w:pPr>
      <w:r>
        <w:rPr>
          <w:rFonts w:hint="eastAsia" w:ascii="宋体" w:hAnsi="宋体" w:cs="宋体"/>
          <w:kern w:val="0"/>
          <w:szCs w:val="21"/>
        </w:rPr>
        <w:t>对于必须于估值完成后方可获知的监控指标或依据交易程序已经成交的投资指令，基金托管人发现该投资指令违反法律法规或者违反《基金合同》约定的，应当立即通知基金管理人，并报告中国证监会。</w:t>
      </w:r>
    </w:p>
    <w:p w14:paraId="4F851102">
      <w:pPr>
        <w:spacing w:line="440" w:lineRule="exact"/>
        <w:ind w:firstLine="420" w:firstLineChars="200"/>
        <w:rPr>
          <w:rFonts w:ascii="宋体" w:hAnsi="宋体" w:cs="宋体"/>
          <w:kern w:val="0"/>
          <w:szCs w:val="21"/>
        </w:rPr>
      </w:pPr>
      <w:r>
        <w:rPr>
          <w:rFonts w:hint="eastAsia" w:ascii="宋体" w:hAnsi="宋体" w:cs="宋体"/>
          <w:kern w:val="0"/>
          <w:szCs w:val="21"/>
        </w:rPr>
        <w:t>基金托管人发现基金管理人有重大违规行为，应立即报告中国证监会，同时通知基金管理人限期纠正。</w:t>
      </w:r>
    </w:p>
    <w:p w14:paraId="3EEA591C">
      <w:pPr>
        <w:spacing w:line="440" w:lineRule="exact"/>
        <w:ind w:firstLine="420" w:firstLineChars="200"/>
        <w:rPr>
          <w:rFonts w:ascii="宋体" w:hAnsi="宋体" w:cs="宋体"/>
          <w:kern w:val="0"/>
          <w:szCs w:val="21"/>
        </w:rPr>
      </w:pPr>
      <w:r>
        <w:rPr>
          <w:rFonts w:hint="eastAsia" w:ascii="宋体" w:hAnsi="宋体" w:cs="宋体"/>
          <w:kern w:val="0"/>
          <w:szCs w:val="21"/>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14:paraId="7969778F">
      <w:pPr>
        <w:spacing w:line="440" w:lineRule="exact"/>
        <w:ind w:firstLine="420" w:firstLineChars="200"/>
        <w:rPr>
          <w:rFonts w:ascii="宋体" w:hAnsi="宋体"/>
          <w:szCs w:val="21"/>
        </w:rPr>
      </w:pPr>
      <w:r>
        <w:rPr>
          <w:rFonts w:hint="eastAsia" w:ascii="宋体" w:hAnsi="宋体"/>
          <w:szCs w:val="21"/>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7713AB55">
      <w:pPr>
        <w:spacing w:line="440" w:lineRule="exact"/>
        <w:ind w:firstLine="420" w:firstLineChars="200"/>
        <w:rPr>
          <w:rFonts w:ascii="宋体" w:hAnsi="宋体"/>
          <w:szCs w:val="21"/>
        </w:rPr>
      </w:pPr>
      <w:r>
        <w:rPr>
          <w:rFonts w:hint="eastAsia" w:ascii="宋体" w:hAnsi="宋体"/>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3F6969C7">
      <w:pPr>
        <w:spacing w:line="440" w:lineRule="exact"/>
        <w:ind w:firstLine="420" w:firstLineChars="200"/>
        <w:rPr>
          <w:rFonts w:ascii="宋体" w:hAnsi="宋体"/>
          <w:szCs w:val="21"/>
        </w:rPr>
      </w:pPr>
    </w:p>
    <w:p w14:paraId="10110676">
      <w:pPr>
        <w:spacing w:line="440" w:lineRule="exact"/>
        <w:ind w:firstLine="420" w:firstLineChars="200"/>
        <w:rPr>
          <w:rFonts w:ascii="宋体" w:hAnsi="宋体"/>
          <w:szCs w:val="21"/>
        </w:rPr>
        <w:sectPr>
          <w:footerReference r:id="rId6" w:type="default"/>
          <w:pgSz w:w="11906" w:h="16838"/>
          <w:pgMar w:top="1440" w:right="1800" w:bottom="1440" w:left="1800" w:header="851" w:footer="992" w:gutter="0"/>
          <w:pgNumType w:start="1"/>
          <w:cols w:space="720" w:num="1"/>
          <w:docGrid w:type="lines" w:linePitch="312" w:charSpace="0"/>
        </w:sectPr>
      </w:pPr>
    </w:p>
    <w:p w14:paraId="429C5470">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6" w:name="_Toc1720875"/>
      <w:r>
        <w:rPr>
          <w:rFonts w:hint="eastAsia" w:ascii="宋体" w:hAnsi="宋体" w:eastAsia="宋体" w:cs="Arial"/>
          <w:sz w:val="21"/>
          <w:szCs w:val="21"/>
        </w:rPr>
        <w:t>基金管理人对基金托管人的业务核查</w:t>
      </w:r>
      <w:bookmarkEnd w:id="16"/>
    </w:p>
    <w:p w14:paraId="02602063">
      <w:pPr>
        <w:spacing w:line="360" w:lineRule="auto"/>
        <w:ind w:firstLine="288"/>
        <w:rPr>
          <w:rFonts w:ascii="宋体" w:hAnsi="宋体"/>
          <w:szCs w:val="21"/>
        </w:rPr>
      </w:pPr>
      <w:r>
        <w:rPr>
          <w:rFonts w:hint="eastAsia" w:ascii="宋体" w:hAnsi="宋体"/>
          <w:szCs w:val="21"/>
        </w:rPr>
        <w:t>基金管理人对基金托管人履行托管职责情况进行核查，核查事项包括但不限于基金托管人是否安全保管基金财产、是否分别开设基金财产的资金账户、证券账户及投资所需其他账、是否复核基金管理人计算的基金资产净值和基金份额净值、是否根据基金管理人指令办理清算交收、进行相关信息披露和监督基金投资运作等行为。</w:t>
      </w:r>
    </w:p>
    <w:p w14:paraId="3CC72552">
      <w:pPr>
        <w:spacing w:line="360" w:lineRule="auto"/>
        <w:ind w:firstLine="288"/>
        <w:rPr>
          <w:rFonts w:ascii="宋体" w:hAnsi="宋体"/>
          <w:szCs w:val="21"/>
        </w:rPr>
      </w:pPr>
      <w:r>
        <w:rPr>
          <w:rFonts w:hint="eastAsia" w:ascii="宋体" w:hAnsi="宋体"/>
          <w:szCs w:val="21"/>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14:paraId="3EEF8CD7">
      <w:pPr>
        <w:spacing w:line="360" w:lineRule="auto"/>
        <w:ind w:firstLine="288"/>
        <w:rPr>
          <w:rFonts w:ascii="宋体" w:hAnsi="宋体"/>
          <w:szCs w:val="21"/>
        </w:rPr>
      </w:pPr>
      <w:r>
        <w:rPr>
          <w:rFonts w:hint="eastAsia" w:ascii="宋体" w:hAnsi="宋体"/>
          <w:szCs w:val="21"/>
        </w:rPr>
        <w:t>基金托管人应积极配合基金管理人的核查行为，包括但不限于：提交相关资料以供基金管理人核查托管财产的完整性和真实性，在规定时间内答复基金管理人并改正。</w:t>
      </w:r>
    </w:p>
    <w:p w14:paraId="06FADA9E">
      <w:pPr>
        <w:spacing w:line="360" w:lineRule="auto"/>
        <w:ind w:firstLine="288"/>
        <w:rPr>
          <w:rFonts w:ascii="宋体" w:hAnsi="宋体"/>
          <w:szCs w:val="21"/>
        </w:rPr>
      </w:pPr>
      <w:bookmarkStart w:id="17" w:name="_Toc382818598"/>
      <w:bookmarkStart w:id="18" w:name="_Toc382819077"/>
      <w:r>
        <w:rPr>
          <w:rFonts w:hint="eastAsia" w:ascii="宋体" w:hAnsi="宋体"/>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w:t>
      </w:r>
      <w:bookmarkEnd w:id="17"/>
      <w:bookmarkEnd w:id="18"/>
    </w:p>
    <w:p w14:paraId="60A18FF3">
      <w:pPr>
        <w:pStyle w:val="12"/>
        <w:rPr>
          <w:rFonts w:ascii="宋体" w:hAnsi="宋体" w:eastAsia="宋体"/>
          <w:sz w:val="21"/>
          <w:szCs w:val="21"/>
        </w:rPr>
      </w:pPr>
    </w:p>
    <w:p w14:paraId="6627AC77">
      <w:pPr>
        <w:pStyle w:val="12"/>
        <w:rPr>
          <w:rFonts w:ascii="宋体" w:hAnsi="宋体" w:eastAsia="宋体"/>
          <w:sz w:val="21"/>
          <w:szCs w:val="21"/>
        </w:rPr>
        <w:sectPr>
          <w:footerReference r:id="rId7" w:type="default"/>
          <w:pgSz w:w="11906" w:h="16838"/>
          <w:pgMar w:top="1440" w:right="1800" w:bottom="1440" w:left="1800" w:header="851" w:footer="992" w:gutter="0"/>
          <w:pgNumType w:start="1"/>
          <w:cols w:space="720" w:num="1"/>
          <w:docGrid w:type="lines" w:linePitch="312" w:charSpace="0"/>
        </w:sectPr>
      </w:pPr>
    </w:p>
    <w:p w14:paraId="26861D04">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9" w:name="_Toc1720876"/>
      <w:r>
        <w:rPr>
          <w:rFonts w:hint="eastAsia" w:ascii="宋体" w:hAnsi="宋体" w:eastAsia="宋体" w:cs="Arial"/>
          <w:sz w:val="21"/>
          <w:szCs w:val="21"/>
        </w:rPr>
        <w:t>基金财产保管</w:t>
      </w:r>
      <w:bookmarkEnd w:id="19"/>
    </w:p>
    <w:p w14:paraId="0213E212">
      <w:pPr>
        <w:pStyle w:val="3"/>
        <w:keepNext w:val="0"/>
        <w:keepLines w:val="0"/>
        <w:autoSpaceDE w:val="0"/>
        <w:autoSpaceDN w:val="0"/>
        <w:adjustRightInd w:val="0"/>
        <w:spacing w:before="0" w:after="0" w:line="360" w:lineRule="auto"/>
        <w:ind w:firstLine="315" w:firstLineChars="150"/>
        <w:textAlignment w:val="baseline"/>
        <w:rPr>
          <w:rFonts w:ascii="宋体" w:hAnsi="宋体" w:eastAsia="宋体"/>
          <w:b w:val="0"/>
          <w:bCs w:val="0"/>
          <w:sz w:val="21"/>
          <w:szCs w:val="21"/>
        </w:rPr>
      </w:pPr>
      <w:bookmarkStart w:id="20" w:name="_Toc382819079"/>
      <w:bookmarkStart w:id="21" w:name="_Toc1720877"/>
      <w:r>
        <w:rPr>
          <w:rFonts w:hint="eastAsia" w:ascii="宋体" w:hAnsi="宋体" w:eastAsia="宋体"/>
          <w:b w:val="0"/>
          <w:bCs w:val="0"/>
          <w:sz w:val="21"/>
          <w:szCs w:val="21"/>
        </w:rPr>
        <w:t>（一）基金财产保管的原则</w:t>
      </w:r>
      <w:bookmarkEnd w:id="20"/>
      <w:bookmarkEnd w:id="21"/>
    </w:p>
    <w:p w14:paraId="4FD4882E">
      <w:pPr>
        <w:spacing w:line="360" w:lineRule="auto"/>
        <w:ind w:firstLine="420" w:firstLineChars="200"/>
        <w:rPr>
          <w:rFonts w:ascii="宋体" w:hAnsi="宋体"/>
          <w:szCs w:val="21"/>
        </w:rPr>
      </w:pPr>
      <w:r>
        <w:rPr>
          <w:rFonts w:ascii="宋体" w:hAnsi="宋体"/>
          <w:szCs w:val="21"/>
        </w:rPr>
        <w:t>1.基金财产应独立于基金管理人、基金托管人的固有财产。</w:t>
      </w:r>
    </w:p>
    <w:p w14:paraId="27793D08">
      <w:pPr>
        <w:spacing w:line="360" w:lineRule="auto"/>
        <w:ind w:firstLine="420" w:firstLineChars="200"/>
        <w:rPr>
          <w:rFonts w:ascii="宋体" w:hAnsi="宋体"/>
          <w:szCs w:val="21"/>
        </w:rPr>
      </w:pPr>
      <w:r>
        <w:rPr>
          <w:rFonts w:ascii="宋体" w:hAnsi="宋体"/>
          <w:szCs w:val="21"/>
        </w:rPr>
        <w:t>2.基金托管人应按本协议规定安全保管托管财产。未经基金管理人的指令，不得自行运用、处分、分配基金的任何财产（托管人主动扣收的</w:t>
      </w:r>
      <w:r>
        <w:rPr>
          <w:rFonts w:hint="eastAsia" w:ascii="宋体" w:hAnsi="宋体"/>
          <w:szCs w:val="21"/>
        </w:rPr>
        <w:t>汇划费除外）。托管人不对处于自身实际控制之外的账户及财产承担责任。</w:t>
      </w:r>
    </w:p>
    <w:p w14:paraId="71273119">
      <w:pPr>
        <w:spacing w:line="360" w:lineRule="auto"/>
        <w:ind w:firstLine="420" w:firstLineChars="200"/>
        <w:rPr>
          <w:rFonts w:ascii="宋体" w:hAnsi="宋体"/>
          <w:szCs w:val="21"/>
        </w:rPr>
      </w:pPr>
      <w:r>
        <w:rPr>
          <w:rFonts w:ascii="宋体" w:hAnsi="宋体"/>
          <w:szCs w:val="21"/>
        </w:rPr>
        <w:t>3.基金托管人按照规定为托管的基金财产开设资金账户</w:t>
      </w:r>
      <w:r>
        <w:rPr>
          <w:rFonts w:hint="eastAsia" w:ascii="宋体" w:hAnsi="宋体"/>
          <w:szCs w:val="21"/>
        </w:rPr>
        <w:t>、</w:t>
      </w:r>
      <w:r>
        <w:rPr>
          <w:rFonts w:ascii="宋体" w:hAnsi="宋体"/>
          <w:szCs w:val="21"/>
        </w:rPr>
        <w:t>证券账户</w:t>
      </w:r>
      <w:r>
        <w:rPr>
          <w:rFonts w:hint="eastAsia" w:ascii="宋体" w:hAnsi="宋体"/>
          <w:szCs w:val="21"/>
        </w:rPr>
        <w:t>以及投资所需的其他专用账户。</w:t>
      </w:r>
    </w:p>
    <w:p w14:paraId="07937A15">
      <w:pPr>
        <w:spacing w:line="360" w:lineRule="auto"/>
        <w:ind w:firstLine="420" w:firstLineChars="200"/>
        <w:rPr>
          <w:rFonts w:ascii="宋体" w:hAnsi="宋体"/>
          <w:szCs w:val="21"/>
        </w:rPr>
      </w:pPr>
      <w:r>
        <w:rPr>
          <w:rFonts w:ascii="宋体" w:hAnsi="宋体"/>
          <w:szCs w:val="21"/>
        </w:rPr>
        <w:t>4.基金托管人对所托管的不同基金财产分别设置账户，与基金托管人的其他业务和其他基金的托管业务实行严格的分账管理，确保基金财产的完整与独立。</w:t>
      </w:r>
    </w:p>
    <w:p w14:paraId="3FBF1D9E">
      <w:pPr>
        <w:spacing w:line="360" w:lineRule="auto"/>
        <w:ind w:firstLine="420" w:firstLineChars="200"/>
        <w:rPr>
          <w:rFonts w:ascii="宋体" w:hAnsi="宋体"/>
          <w:szCs w:val="21"/>
        </w:rPr>
      </w:pPr>
      <w:r>
        <w:rPr>
          <w:rFonts w:ascii="宋体" w:hAnsi="宋体"/>
          <w:szCs w:val="21"/>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w:t>
      </w:r>
      <w:r>
        <w:rPr>
          <w:rFonts w:hint="eastAsia" w:ascii="宋体" w:hAnsi="宋体"/>
          <w:szCs w:val="21"/>
        </w:rPr>
        <w:t>对基金管理人的追偿行为应予以必要的协助与配合，但对基金财产的损失不承担责任。</w:t>
      </w:r>
    </w:p>
    <w:p w14:paraId="21E013C3">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22" w:name="_Toc382819080"/>
      <w:bookmarkStart w:id="23" w:name="_Toc1720878"/>
      <w:r>
        <w:rPr>
          <w:rFonts w:hint="eastAsia" w:ascii="宋体" w:hAnsi="宋体" w:eastAsia="宋体"/>
          <w:b w:val="0"/>
          <w:bCs w:val="0"/>
          <w:sz w:val="21"/>
          <w:szCs w:val="21"/>
        </w:rPr>
        <w:t>（二）募集资金的验证</w:t>
      </w:r>
      <w:bookmarkEnd w:id="22"/>
      <w:bookmarkEnd w:id="23"/>
    </w:p>
    <w:p w14:paraId="2C62DFC1">
      <w:pPr>
        <w:spacing w:line="360" w:lineRule="auto"/>
        <w:ind w:firstLine="420" w:firstLineChars="200"/>
        <w:rPr>
          <w:rFonts w:ascii="宋体" w:hAnsi="宋体"/>
          <w:szCs w:val="21"/>
        </w:rPr>
      </w:pPr>
      <w:r>
        <w:rPr>
          <w:rFonts w:hint="eastAsia" w:ascii="宋体" w:hAnsi="宋体"/>
          <w:szCs w:val="21"/>
        </w:rPr>
        <w:t>募集期内销售机构按销售与服务代理协议的约定，将认购资金划入基金管理人在具有托管资格的商业银行开设的博时稳欣39个月定期开放债券型证券投资基金认购专户。该账户由基金管理人开立并管理。基金募集期满或基金停止募集时，募集的基金份额总额、基金募集金额、基金份额持有人人数符合《基金法》、《运作办法》等有关规定后，由基金管理人聘请具有从事证券业务资格的会计师事务所进行验资，出具验资报告。出具的验资报告应由参加验资的</w:t>
      </w:r>
      <w:r>
        <w:rPr>
          <w:rFonts w:ascii="宋体" w:hAnsi="宋体"/>
          <w:szCs w:val="21"/>
        </w:rPr>
        <w:t>2名以上（含2名）中国注册会计师签字方为有效。验资完成，基金管理人应将募集的属于本基金</w:t>
      </w:r>
      <w:r>
        <w:rPr>
          <w:rFonts w:hint="eastAsia" w:ascii="宋体" w:hAnsi="宋体"/>
          <w:szCs w:val="21"/>
        </w:rPr>
        <w:t>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14:paraId="682EC6A1">
      <w:pPr>
        <w:spacing w:line="360" w:lineRule="auto"/>
        <w:ind w:firstLine="420" w:firstLineChars="200"/>
        <w:rPr>
          <w:rFonts w:ascii="宋体" w:hAnsi="宋体" w:cs="Arial"/>
          <w:szCs w:val="21"/>
        </w:rPr>
      </w:pPr>
      <w:r>
        <w:rPr>
          <w:rFonts w:hint="eastAsia" w:ascii="宋体" w:hAnsi="宋体" w:cs="Arial"/>
          <w:szCs w:val="21"/>
        </w:rPr>
        <w:t>若基金募集期限届满或基金停止募集时，未能达到《基金合同》备案的条件，由基金管理人按规定办理退款事宜。</w:t>
      </w:r>
    </w:p>
    <w:p w14:paraId="6586EE52">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24" w:name="_Toc1720879"/>
      <w:bookmarkStart w:id="25" w:name="_Toc382819081"/>
      <w:r>
        <w:rPr>
          <w:rFonts w:hint="eastAsia" w:ascii="宋体" w:hAnsi="宋体" w:eastAsia="宋体"/>
          <w:b w:val="0"/>
          <w:bCs w:val="0"/>
          <w:sz w:val="21"/>
          <w:szCs w:val="21"/>
        </w:rPr>
        <w:t>（三）基金资产托管专户的开立和管理</w:t>
      </w:r>
      <w:bookmarkEnd w:id="24"/>
      <w:bookmarkEnd w:id="25"/>
    </w:p>
    <w:p w14:paraId="0471A5D8">
      <w:pPr>
        <w:spacing w:line="360" w:lineRule="auto"/>
        <w:ind w:firstLine="420" w:firstLineChars="200"/>
        <w:rPr>
          <w:rFonts w:ascii="宋体" w:hAnsi="宋体"/>
          <w:szCs w:val="21"/>
        </w:rPr>
      </w:pPr>
      <w:r>
        <w:rPr>
          <w:rFonts w:hint="eastAsia" w:ascii="宋体" w:hAnsi="宋体"/>
          <w:szCs w:val="21"/>
        </w:rPr>
        <w:t>基金托管人以基金托管人的名义或以基金的名义在其营业机构开设资产托管专户，并根据基金管理人合法合规的有效指令办理资金收付。基金管理人应根据法律法规及托管行的相关要求，提供开户所需的资料并提供其他必要协助。本基金的资产托管专户的预留印鉴的印章由基金托管人保管和使用，预留印鉴由管理人刻制在托管账户开立前移交托管人。</w:t>
      </w:r>
      <w:r>
        <w:rPr>
          <w:rFonts w:ascii="宋体" w:hAnsi="宋体"/>
          <w:szCs w:val="21"/>
        </w:rPr>
        <w:t xml:space="preserve"> </w:t>
      </w:r>
    </w:p>
    <w:p w14:paraId="16F41215">
      <w:pPr>
        <w:spacing w:line="360" w:lineRule="auto"/>
        <w:ind w:firstLine="420" w:firstLineChars="200"/>
        <w:rPr>
          <w:rFonts w:ascii="宋体" w:hAnsi="宋体"/>
          <w:szCs w:val="21"/>
        </w:rPr>
      </w:pPr>
      <w:r>
        <w:rPr>
          <w:rFonts w:hint="eastAsia" w:ascii="宋体" w:hAnsi="宋体"/>
          <w:szCs w:val="21"/>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14:paraId="2C667577">
      <w:pPr>
        <w:spacing w:line="360" w:lineRule="auto"/>
        <w:ind w:firstLine="420" w:firstLineChars="200"/>
        <w:rPr>
          <w:rFonts w:ascii="宋体" w:hAnsi="宋体"/>
          <w:szCs w:val="21"/>
        </w:rPr>
      </w:pPr>
      <w:r>
        <w:rPr>
          <w:rFonts w:hint="eastAsia" w:ascii="宋体" w:hAnsi="宋体"/>
          <w:szCs w:val="21"/>
        </w:rPr>
        <w:t>资产托管专户的管理应符合《人民币银行结算账户管理办法》、《现金管理暂行条例》、《人民币利率管理规定》、《利率管理暂行规定》、《支付结算办法》以及银行业监督管理机构的其他有关规定。</w:t>
      </w:r>
    </w:p>
    <w:p w14:paraId="71B514CB">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26" w:name="_Toc1720880"/>
      <w:bookmarkStart w:id="27" w:name="_Toc382819082"/>
      <w:r>
        <w:rPr>
          <w:rFonts w:hint="eastAsia" w:ascii="宋体" w:hAnsi="宋体" w:eastAsia="宋体"/>
          <w:b w:val="0"/>
          <w:bCs w:val="0"/>
          <w:sz w:val="21"/>
          <w:szCs w:val="21"/>
        </w:rPr>
        <w:t>（四）基金证券账户与证券交易资金账户的开设和管理</w:t>
      </w:r>
      <w:bookmarkEnd w:id="26"/>
      <w:bookmarkEnd w:id="27"/>
    </w:p>
    <w:p w14:paraId="4AEBA349">
      <w:pPr>
        <w:tabs>
          <w:tab w:val="left" w:pos="4680"/>
        </w:tabs>
        <w:spacing w:line="360" w:lineRule="auto"/>
        <w:ind w:firstLine="420" w:firstLineChars="200"/>
        <w:rPr>
          <w:rFonts w:ascii="宋体" w:hAnsi="宋体"/>
          <w:szCs w:val="21"/>
        </w:rPr>
      </w:pPr>
      <w:r>
        <w:rPr>
          <w:rFonts w:hint="eastAsia" w:ascii="宋体" w:hAnsi="宋体"/>
          <w:szCs w:val="21"/>
        </w:rPr>
        <w:t>基金托管人以基金托管人和本基金联名的方式在中国证券登记结算有限责任公司上海分公司</w:t>
      </w:r>
      <w:r>
        <w:rPr>
          <w:rFonts w:ascii="宋体" w:hAnsi="宋体"/>
          <w:szCs w:val="21"/>
        </w:rPr>
        <w:t>/深圳分公司开立专门的证券账户。</w:t>
      </w:r>
    </w:p>
    <w:p w14:paraId="4CE404F4">
      <w:pPr>
        <w:spacing w:line="360" w:lineRule="auto"/>
        <w:ind w:firstLine="420" w:firstLineChars="200"/>
        <w:rPr>
          <w:rFonts w:ascii="宋体" w:hAnsi="宋体"/>
          <w:szCs w:val="21"/>
        </w:rPr>
      </w:pPr>
      <w:r>
        <w:rPr>
          <w:rFonts w:hint="eastAsia" w:ascii="宋体" w:hAnsi="宋体"/>
          <w:szCs w:val="21"/>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14:paraId="629EF1E2">
      <w:pPr>
        <w:spacing w:line="360" w:lineRule="auto"/>
        <w:ind w:firstLine="420" w:firstLineChars="200"/>
        <w:rPr>
          <w:rFonts w:ascii="宋体" w:hAnsi="宋体"/>
          <w:szCs w:val="21"/>
        </w:rPr>
      </w:pPr>
      <w:r>
        <w:rPr>
          <w:rFonts w:hint="eastAsia" w:ascii="宋体" w:hAnsi="宋体"/>
          <w:szCs w:val="21"/>
        </w:rPr>
        <w:t>基金证券账户的开立由基金托管人负责，管理和运用由基金管理人负责。</w:t>
      </w:r>
    </w:p>
    <w:p w14:paraId="06B264DD">
      <w:pPr>
        <w:spacing w:line="360" w:lineRule="auto"/>
        <w:ind w:firstLine="420" w:firstLineChars="200"/>
        <w:rPr>
          <w:rFonts w:ascii="宋体" w:hAnsi="宋体"/>
          <w:szCs w:val="21"/>
        </w:rPr>
      </w:pPr>
      <w:r>
        <w:rPr>
          <w:rFonts w:hint="eastAsia" w:ascii="宋体" w:hAnsi="宋体"/>
          <w:szCs w:val="21"/>
        </w:rPr>
        <w:t>基金托管人保管证券账户卡原件。</w:t>
      </w:r>
    </w:p>
    <w:p w14:paraId="04D42C22">
      <w:pPr>
        <w:spacing w:line="360" w:lineRule="auto"/>
        <w:ind w:firstLine="420" w:firstLineChars="200"/>
        <w:rPr>
          <w:rFonts w:ascii="宋体" w:hAnsi="宋体"/>
          <w:szCs w:val="21"/>
        </w:rPr>
      </w:pPr>
      <w:r>
        <w:rPr>
          <w:rFonts w:hint="eastAsia" w:ascii="宋体" w:hAnsi="宋体"/>
          <w:szCs w:val="21"/>
        </w:rPr>
        <w:t>基金托管人以基金托管人的名义在中国证券登记结算有限责任公司上海分公司</w:t>
      </w:r>
      <w:r>
        <w:rPr>
          <w:rFonts w:ascii="宋体" w:hAnsi="宋体"/>
          <w:szCs w:val="21"/>
        </w:rPr>
        <w:t>/深圳分公司开立结算备付金账户，基金托管人代表所托管的基金完成与中国证券登记结算有限责任公司的一级法人清算工作，基金管理人应予以积极协助。结算备付金、</w:t>
      </w:r>
      <w:r>
        <w:rPr>
          <w:rFonts w:hint="eastAsia" w:ascii="宋体" w:hAnsi="宋体"/>
          <w:szCs w:val="21"/>
        </w:rPr>
        <w:t>证券结算保证金等的收取按照中国证券登记结算有限责任公司的规定和基金托管人为履行结算参与人的义务所制定的业务规则执行。</w:t>
      </w:r>
    </w:p>
    <w:p w14:paraId="5AADD085">
      <w:pPr>
        <w:ind w:firstLine="315" w:firstLineChars="150"/>
        <w:rPr>
          <w:b/>
          <w:bCs/>
        </w:rPr>
      </w:pPr>
      <w:bookmarkStart w:id="28" w:name="_Toc382819083"/>
      <w:r>
        <w:rPr>
          <w:rFonts w:hint="eastAsia"/>
        </w:rPr>
        <w:t>（五）银行间市场债券托管和资金结算专户的开立和管理及市场准入备案</w:t>
      </w:r>
      <w:bookmarkEnd w:id="28"/>
    </w:p>
    <w:p w14:paraId="592552AF">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29" w:name="_Toc1720881"/>
      <w:bookmarkStart w:id="30" w:name="_Toc382819084"/>
      <w:r>
        <w:rPr>
          <w:rFonts w:hint="eastAsia" w:ascii="宋体" w:hAnsi="宋体" w:eastAsia="宋体"/>
          <w:b w:val="0"/>
          <w:bCs w:val="0"/>
          <w:sz w:val="21"/>
          <w:szCs w:val="21"/>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管理人和基金托管人应共同负责完成银行间债券市场准入备案。</w:t>
      </w:r>
      <w:bookmarkEnd w:id="29"/>
      <w:bookmarkEnd w:id="30"/>
    </w:p>
    <w:p w14:paraId="07E1F1A6">
      <w:pPr>
        <w:spacing w:line="360" w:lineRule="auto"/>
        <w:ind w:firstLine="420" w:firstLineChars="200"/>
        <w:rPr>
          <w:rFonts w:ascii="宋体" w:hAnsi="宋体"/>
          <w:szCs w:val="21"/>
        </w:rPr>
      </w:pPr>
      <w:r>
        <w:rPr>
          <w:rFonts w:hint="eastAsia" w:ascii="宋体" w:hAnsi="宋体"/>
          <w:szCs w:val="21"/>
        </w:rPr>
        <w:t>（六）其他账户的开设和管理</w:t>
      </w:r>
    </w:p>
    <w:p w14:paraId="02001A44">
      <w:pPr>
        <w:tabs>
          <w:tab w:val="left" w:pos="4680"/>
        </w:tabs>
        <w:spacing w:line="360" w:lineRule="auto"/>
        <w:ind w:firstLine="420" w:firstLineChars="200"/>
        <w:rPr>
          <w:rFonts w:ascii="宋体" w:hAnsi="宋体"/>
          <w:szCs w:val="21"/>
        </w:rPr>
      </w:pPr>
      <w:r>
        <w:rPr>
          <w:rFonts w:ascii="宋体" w:hAnsi="宋体"/>
          <w:szCs w:val="21"/>
        </w:rPr>
        <w:t>1、因业务发展而需要开立的其它账户，可以根据《基金合同》或有关法律法规的规定，经基金管理人和基金托管人协商一致后，由基金托管人负责为基金开立。新账户按有关规则使用并管理。</w:t>
      </w:r>
    </w:p>
    <w:p w14:paraId="58FC5594">
      <w:pPr>
        <w:tabs>
          <w:tab w:val="left" w:pos="4680"/>
        </w:tabs>
        <w:spacing w:line="360" w:lineRule="auto"/>
        <w:ind w:firstLine="420" w:firstLineChars="200"/>
        <w:rPr>
          <w:rFonts w:ascii="宋体" w:hAnsi="宋体"/>
          <w:szCs w:val="21"/>
        </w:rPr>
      </w:pPr>
      <w:r>
        <w:rPr>
          <w:rFonts w:ascii="宋体" w:hAnsi="宋体"/>
          <w:szCs w:val="21"/>
        </w:rPr>
        <w:t>2、法律、法规等有关规定对相关账户的开立和管理另有规定的，从其规定办理。</w:t>
      </w:r>
    </w:p>
    <w:p w14:paraId="636BF56B">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31" w:name="_Toc1720882"/>
      <w:bookmarkStart w:id="32" w:name="_Toc382819085"/>
      <w:r>
        <w:rPr>
          <w:rFonts w:hint="eastAsia" w:ascii="宋体" w:hAnsi="宋体" w:eastAsia="宋体"/>
          <w:b w:val="0"/>
          <w:bCs w:val="0"/>
          <w:sz w:val="21"/>
          <w:szCs w:val="21"/>
        </w:rPr>
        <w:t>（七）基金投资银行存款账户的开立和管理</w:t>
      </w:r>
      <w:bookmarkEnd w:id="31"/>
      <w:bookmarkEnd w:id="32"/>
    </w:p>
    <w:p w14:paraId="3FB2F4DE">
      <w:pPr>
        <w:tabs>
          <w:tab w:val="left" w:pos="4680"/>
        </w:tabs>
        <w:spacing w:line="360" w:lineRule="auto"/>
        <w:ind w:firstLine="420" w:firstLineChars="200"/>
        <w:rPr>
          <w:rFonts w:ascii="宋体" w:hAnsi="宋体"/>
          <w:szCs w:val="21"/>
        </w:rPr>
      </w:pPr>
      <w:r>
        <w:rPr>
          <w:rFonts w:hint="eastAsia" w:ascii="宋体" w:hAnsi="宋体"/>
          <w:szCs w:val="21"/>
        </w:rPr>
        <w:t>基金投资银行定期存款，基金管理人与基金托管人应比照证监会相关规定，就本基金投资银行存款业务签订书面协议。</w:t>
      </w:r>
    </w:p>
    <w:p w14:paraId="4F68D12C">
      <w:pPr>
        <w:tabs>
          <w:tab w:val="left" w:pos="4680"/>
        </w:tabs>
        <w:spacing w:line="360" w:lineRule="auto"/>
        <w:ind w:firstLine="420" w:firstLineChars="200"/>
        <w:rPr>
          <w:rFonts w:ascii="宋体" w:hAnsi="宋体"/>
          <w:szCs w:val="21"/>
        </w:rPr>
      </w:pPr>
      <w:r>
        <w:rPr>
          <w:rFonts w:hint="eastAsia" w:ascii="宋体" w:hAnsi="宋体"/>
          <w:szCs w:val="21"/>
        </w:rPr>
        <w:t>基金投资银行定期存款应由基金管理人与存款银行总行或其授权分行签订总体合作协议，并将资金存放于存款银行总行或其授权分行指定的分支机构。</w:t>
      </w:r>
    </w:p>
    <w:p w14:paraId="032D6DBD">
      <w:pPr>
        <w:tabs>
          <w:tab w:val="left" w:pos="4680"/>
        </w:tabs>
        <w:spacing w:line="360" w:lineRule="auto"/>
        <w:ind w:firstLine="420" w:firstLineChars="200"/>
        <w:rPr>
          <w:rFonts w:ascii="宋体" w:hAnsi="宋体"/>
          <w:szCs w:val="21"/>
        </w:rPr>
      </w:pPr>
      <w:r>
        <w:rPr>
          <w:rFonts w:hint="eastAsia" w:ascii="宋体" w:hAnsi="宋体"/>
          <w:szCs w:val="21"/>
        </w:rPr>
        <w:t>存款账户必须以基金名义开立，账户名称为基金名称，存款账户开户文件上加盖预留印鉴及基金管理人公章。</w:t>
      </w:r>
    </w:p>
    <w:p w14:paraId="00D79C98">
      <w:pPr>
        <w:tabs>
          <w:tab w:val="left" w:pos="4680"/>
        </w:tabs>
        <w:spacing w:line="360" w:lineRule="auto"/>
        <w:ind w:firstLine="420" w:firstLineChars="200"/>
        <w:rPr>
          <w:rFonts w:ascii="宋体" w:hAnsi="宋体"/>
          <w:szCs w:val="21"/>
        </w:rPr>
      </w:pPr>
      <w:r>
        <w:rPr>
          <w:rFonts w:hint="eastAsia" w:ascii="宋体" w:hAnsi="宋体"/>
          <w:szCs w:val="21"/>
        </w:rPr>
        <w:t>本基金投资银行存款时，基金管理人应当与存款银行签订具体存款协议，明确存款的类型、期限、利率、金额、账号、对账方式、支取方式、账户管理等细则。</w:t>
      </w:r>
    </w:p>
    <w:p w14:paraId="6A9F17C9">
      <w:pPr>
        <w:tabs>
          <w:tab w:val="left" w:pos="4680"/>
        </w:tabs>
        <w:spacing w:line="360" w:lineRule="auto"/>
        <w:ind w:firstLine="420" w:firstLineChars="200"/>
        <w:rPr>
          <w:rFonts w:ascii="宋体" w:hAnsi="宋体"/>
          <w:szCs w:val="21"/>
        </w:rPr>
      </w:pPr>
      <w:r>
        <w:rPr>
          <w:rFonts w:hint="eastAsia" w:ascii="宋体" w:hAnsi="宋体"/>
          <w:szCs w:val="21"/>
        </w:rPr>
        <w:t>为防范特殊情况下的流动性风险，定期存款协议中应当约定提前支取条款。</w:t>
      </w:r>
    </w:p>
    <w:p w14:paraId="74605D11">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33" w:name="_Toc1720883"/>
      <w:bookmarkStart w:id="34" w:name="_Toc382819086"/>
      <w:r>
        <w:rPr>
          <w:rFonts w:hint="eastAsia" w:ascii="宋体" w:hAnsi="宋体" w:eastAsia="宋体"/>
          <w:b w:val="0"/>
          <w:bCs w:val="0"/>
          <w:sz w:val="21"/>
          <w:szCs w:val="21"/>
        </w:rPr>
        <w:t>基金所投资定期存款存续期间，基金管理人、基金托管人应当与存款银行建立定期对账机制，确保基金银行存款业务账目及核对的真实、准确。</w:t>
      </w:r>
      <w:bookmarkEnd w:id="33"/>
      <w:bookmarkEnd w:id="34"/>
    </w:p>
    <w:p w14:paraId="2FDF4738">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35" w:name="_Toc1720884"/>
      <w:bookmarkStart w:id="36" w:name="_Toc382819087"/>
      <w:r>
        <w:rPr>
          <w:rFonts w:hint="eastAsia" w:ascii="宋体" w:hAnsi="宋体" w:eastAsia="宋体"/>
          <w:b w:val="0"/>
          <w:bCs w:val="0"/>
          <w:sz w:val="21"/>
          <w:szCs w:val="21"/>
        </w:rPr>
        <w:t>（八）基金财产投资的有关实物证券、银行定期存款存单等有价凭证的保管</w:t>
      </w:r>
      <w:bookmarkEnd w:id="35"/>
      <w:bookmarkEnd w:id="36"/>
    </w:p>
    <w:p w14:paraId="23BBF481">
      <w:pPr>
        <w:spacing w:line="360" w:lineRule="auto"/>
        <w:ind w:firstLine="420" w:firstLineChars="200"/>
        <w:rPr>
          <w:rFonts w:ascii="宋体" w:hAnsi="宋体"/>
          <w:szCs w:val="21"/>
        </w:rPr>
      </w:pPr>
      <w:r>
        <w:rPr>
          <w:rFonts w:hint="eastAsia" w:ascii="宋体" w:hAnsi="宋体"/>
          <w:szCs w:val="21"/>
        </w:rPr>
        <w:t>基金财产投资的有关实物证券由基金托管人存放于基金托管人的保管库；其中实物证券也可存入中央国债登记结算有限责任公司或中国证券登记结算有限责任公司上海分公司</w:t>
      </w:r>
      <w:r>
        <w:rPr>
          <w:rFonts w:ascii="宋体" w:hAnsi="宋体"/>
          <w:szCs w:val="21"/>
        </w:rPr>
        <w:t>/深圳分公司</w:t>
      </w:r>
      <w:r>
        <w:rPr>
          <w:rFonts w:hint="eastAsia" w:ascii="宋体" w:hAnsi="宋体"/>
          <w:szCs w:val="21"/>
        </w:rPr>
        <w:t>、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14:paraId="7C9FC570">
      <w:pPr>
        <w:spacing w:line="360" w:lineRule="auto"/>
        <w:ind w:firstLine="420" w:firstLineChars="200"/>
        <w:rPr>
          <w:rFonts w:ascii="宋体" w:hAnsi="宋体"/>
          <w:bCs/>
          <w:szCs w:val="21"/>
        </w:rPr>
      </w:pPr>
      <w:r>
        <w:rPr>
          <w:rFonts w:hint="eastAsia" w:ascii="宋体" w:hAnsi="宋体"/>
          <w:bCs/>
          <w:szCs w:val="21"/>
        </w:rPr>
        <w:t>（九）与基金财产有关的重大合同的保管</w:t>
      </w:r>
    </w:p>
    <w:p w14:paraId="18664BF5">
      <w:pPr>
        <w:spacing w:line="360" w:lineRule="auto"/>
        <w:ind w:firstLine="420" w:firstLineChars="200"/>
        <w:rPr>
          <w:rFonts w:ascii="宋体" w:hAnsi="宋体"/>
          <w:szCs w:val="21"/>
        </w:rPr>
      </w:pPr>
      <w:r>
        <w:rPr>
          <w:rFonts w:hint="eastAsia" w:ascii="宋体" w:hAnsi="宋体"/>
          <w:szCs w:val="21"/>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w:t>
      </w:r>
      <w:r>
        <w:rPr>
          <w:rFonts w:ascii="宋体" w:hAnsi="宋体"/>
          <w:szCs w:val="21"/>
        </w:rPr>
        <w:t>5个工作日内通过专人送达、挂号邮寄等安全方式将合同原件送达基金托管人处。合同原件应存放于基金管理人和基金托管人各自文件保管部门15年以上</w:t>
      </w:r>
      <w:r>
        <w:rPr>
          <w:rFonts w:hint="eastAsia" w:ascii="宋体" w:hAnsi="宋体"/>
          <w:szCs w:val="21"/>
        </w:rPr>
        <w:t>，法律法规或监管部门另有规定的除外</w:t>
      </w:r>
      <w:r>
        <w:rPr>
          <w:rFonts w:ascii="宋体" w:hAnsi="宋体"/>
          <w:szCs w:val="21"/>
        </w:rPr>
        <w:t>。</w:t>
      </w:r>
    </w:p>
    <w:p w14:paraId="277CA9A2">
      <w:pPr>
        <w:spacing w:line="360" w:lineRule="auto"/>
        <w:ind w:firstLine="420" w:firstLineChars="200"/>
        <w:rPr>
          <w:rFonts w:ascii="宋体" w:hAnsi="宋体"/>
          <w:szCs w:val="21"/>
        </w:rPr>
      </w:pPr>
      <w:r>
        <w:rPr>
          <w:rFonts w:hint="eastAsia" w:ascii="宋体" w:hAnsi="宋体"/>
          <w:szCs w:val="21"/>
        </w:rPr>
        <w:t>对于无法取得二份以上的正本的，基金管理人应向基金托管人提供与合同原件核对一致的并加盖授权业务章的合同传真件或复印件，未经双方协商一致，合同原件不得转移。</w:t>
      </w:r>
    </w:p>
    <w:p w14:paraId="74846518">
      <w:pPr>
        <w:spacing w:line="360" w:lineRule="auto"/>
        <w:ind w:firstLine="420" w:firstLineChars="200"/>
        <w:rPr>
          <w:rFonts w:ascii="宋体" w:hAnsi="宋体"/>
          <w:szCs w:val="21"/>
        </w:rPr>
      </w:pPr>
    </w:p>
    <w:p w14:paraId="76EE2255">
      <w:pPr>
        <w:spacing w:line="360" w:lineRule="auto"/>
        <w:ind w:firstLine="420" w:firstLineChars="200"/>
        <w:rPr>
          <w:rFonts w:ascii="宋体" w:hAnsi="宋体"/>
          <w:szCs w:val="21"/>
        </w:rPr>
        <w:sectPr>
          <w:footerReference r:id="rId8" w:type="default"/>
          <w:pgSz w:w="11906" w:h="16838"/>
          <w:pgMar w:top="1440" w:right="1800" w:bottom="1440" w:left="1800" w:header="851" w:footer="992" w:gutter="0"/>
          <w:pgNumType w:start="1"/>
          <w:cols w:space="720" w:num="1"/>
          <w:docGrid w:type="lines" w:linePitch="312" w:charSpace="0"/>
        </w:sectPr>
      </w:pPr>
    </w:p>
    <w:p w14:paraId="7AFE437B">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37" w:name="_Toc1720885"/>
      <w:r>
        <w:rPr>
          <w:rFonts w:hint="eastAsia" w:ascii="宋体" w:hAnsi="宋体" w:eastAsia="宋体" w:cs="Arial"/>
          <w:sz w:val="21"/>
          <w:szCs w:val="21"/>
        </w:rPr>
        <w:t>指令的发送、确认和执行</w:t>
      </w:r>
      <w:bookmarkEnd w:id="37"/>
    </w:p>
    <w:p w14:paraId="076FB7BA">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38" w:name="_Toc1720886"/>
      <w:bookmarkStart w:id="39" w:name="_Toc382819092"/>
      <w:r>
        <w:rPr>
          <w:rFonts w:hint="eastAsia" w:ascii="宋体" w:hAnsi="宋体" w:eastAsia="宋体"/>
          <w:b w:val="0"/>
          <w:bCs w:val="0"/>
          <w:sz w:val="21"/>
          <w:szCs w:val="21"/>
        </w:rPr>
        <w:t>基金管理人在运用基金财产时向基金托管人发送资金划拨及其他款项付款指令，基金托管人执行基金管理人合法合规且符合本协议相关约定的指令、办理基金名下的资金往来等有关事项。</w:t>
      </w:r>
      <w:bookmarkEnd w:id="38"/>
    </w:p>
    <w:p w14:paraId="63E81FBA">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40" w:name="_Toc1720887"/>
      <w:r>
        <w:rPr>
          <w:rFonts w:hint="eastAsia" w:ascii="宋体" w:hAnsi="宋体" w:eastAsia="宋体"/>
          <w:b w:val="0"/>
          <w:bCs w:val="0"/>
          <w:sz w:val="21"/>
          <w:szCs w:val="21"/>
        </w:rPr>
        <w:t>（一）基金管理人对发送指令人员的书面授权</w:t>
      </w:r>
      <w:bookmarkEnd w:id="40"/>
    </w:p>
    <w:p w14:paraId="5B161582">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41" w:name="_Toc1720888"/>
      <w:r>
        <w:rPr>
          <w:rFonts w:hint="eastAsia" w:ascii="宋体" w:hAnsi="宋体" w:eastAsia="宋体"/>
          <w:b w:val="0"/>
          <w:bCs w:val="0"/>
          <w:sz w:val="21"/>
          <w:szCs w:val="21"/>
        </w:rPr>
        <w:t>基金管理人应向基金托管人提供预留印鉴和被授权人签字样本，事先书面通知（以下简称“授权通知”）基金托管人有权发送指令的人员名单，注明相应的交易权限，并规定基金管理人向基金托管人发送指令时基金托管人确认有权发送人员身份的方法。基金管理人的划款指令授权通知书由基金管理人的法定代表人或其授权代理人签署并加盖公章，若由授权代理人签署的，还应附上法定代表人的授权书。基金托管人在收到授权通知当日回函或回电向基金管理人确认。划款指令授权书无论产品成立时或后续更新，必须提前至少一个交易日，发送扫描件或使用传真或以其他基金托管人和基金管理人书面确认的方式向基金托管人发出加盖基金管理人公章，并由法定代表人或其授权代理人签字的被授权人变更通知，同时电话通知基金托管人。变更通知应载明生效时间，并提供新的被授权人的签字样本，基金托管人收到变更通知当日将回函书面传真基金管理人或通过电话向基金管理人确认。授权变更于变更通知载明的生效时间起生效。划款指令授权书原件在成立</w:t>
      </w:r>
      <w:r>
        <w:rPr>
          <w:rFonts w:ascii="宋体" w:hAnsi="宋体" w:eastAsia="宋体"/>
          <w:b w:val="0"/>
          <w:bCs w:val="0"/>
          <w:sz w:val="21"/>
          <w:szCs w:val="21"/>
        </w:rPr>
        <w:t>时</w:t>
      </w:r>
      <w:r>
        <w:rPr>
          <w:rFonts w:hint="eastAsia" w:ascii="宋体" w:hAnsi="宋体" w:eastAsia="宋体"/>
          <w:b w:val="0"/>
          <w:bCs w:val="0"/>
          <w:sz w:val="21"/>
          <w:szCs w:val="21"/>
        </w:rPr>
        <w:t>未按时送达托管人的，托管人有权拒绝执行该授权书对应的划款指令，托管人不承担由此造成的损失。基金管理人和基金托管人对授权文件负有保密义务，其内容不得向授权人及相关操作人员以外的任何人泄露，但法律法规或有权机关另有要求的除外。</w:t>
      </w:r>
      <w:bookmarkEnd w:id="41"/>
    </w:p>
    <w:p w14:paraId="79440E7D">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42" w:name="_Toc1720889"/>
      <w:r>
        <w:rPr>
          <w:rFonts w:hint="eastAsia" w:ascii="宋体" w:hAnsi="宋体" w:eastAsia="宋体"/>
          <w:b w:val="0"/>
          <w:bCs w:val="0"/>
          <w:sz w:val="21"/>
          <w:szCs w:val="21"/>
        </w:rPr>
        <w:t>（二）指令的内容</w:t>
      </w:r>
      <w:bookmarkEnd w:id="39"/>
      <w:bookmarkEnd w:id="42"/>
    </w:p>
    <w:p w14:paraId="42ECD1B0">
      <w:pPr>
        <w:tabs>
          <w:tab w:val="left" w:pos="4680"/>
        </w:tabs>
        <w:spacing w:line="360" w:lineRule="auto"/>
        <w:ind w:firstLine="420" w:firstLineChars="200"/>
        <w:rPr>
          <w:rFonts w:ascii="宋体" w:hAnsi="宋体"/>
          <w:szCs w:val="21"/>
        </w:rPr>
      </w:pPr>
      <w:r>
        <w:rPr>
          <w:rFonts w:ascii="宋体" w:hAnsi="宋体"/>
          <w:szCs w:val="21"/>
        </w:rPr>
        <w:t>1、指令是指基金管理人在运用基金财产时向基金托管人发送的付款指令（含赎回、分</w:t>
      </w:r>
      <w:r>
        <w:rPr>
          <w:rFonts w:hint="eastAsia" w:ascii="宋体" w:hAnsi="宋体"/>
          <w:szCs w:val="21"/>
        </w:rPr>
        <w:t>红付款、回购到期付款指令等）以及其它资金划拨的指令等，证券交易所证券投资的资金结算不需要基金管理人发送指令，基金托管人根据相关登记结算公司向基金托管人发送的结算数据进行资金结算。</w:t>
      </w:r>
    </w:p>
    <w:p w14:paraId="12352595">
      <w:pPr>
        <w:tabs>
          <w:tab w:val="left" w:pos="4680"/>
        </w:tabs>
        <w:spacing w:line="360" w:lineRule="auto"/>
        <w:ind w:firstLine="420" w:firstLineChars="200"/>
        <w:rPr>
          <w:rFonts w:ascii="宋体" w:hAnsi="宋体"/>
          <w:szCs w:val="21"/>
        </w:rPr>
      </w:pPr>
      <w:r>
        <w:rPr>
          <w:rFonts w:ascii="宋体" w:hAnsi="宋体"/>
          <w:szCs w:val="21"/>
        </w:rPr>
        <w:t>2、基金管理人发给基金托管人的指令应写明付款账号、付款户名、开户行、收款账号、收款户名、开户行、款项事由、支付时间、到账时间、金额、账户等，加盖预留印鉴并有被授权人签字。</w:t>
      </w:r>
    </w:p>
    <w:p w14:paraId="1BEF7409">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43" w:name="_Toc382819093"/>
      <w:bookmarkStart w:id="44" w:name="_Toc1720890"/>
      <w:r>
        <w:rPr>
          <w:rFonts w:hint="eastAsia" w:ascii="宋体" w:hAnsi="宋体" w:eastAsia="宋体"/>
          <w:b w:val="0"/>
          <w:bCs w:val="0"/>
          <w:sz w:val="21"/>
          <w:szCs w:val="21"/>
        </w:rPr>
        <w:t>（三）指令的发送、确认和执行的时间和程序</w:t>
      </w:r>
      <w:bookmarkEnd w:id="43"/>
      <w:bookmarkEnd w:id="44"/>
    </w:p>
    <w:p w14:paraId="4C434BDE">
      <w:pPr>
        <w:spacing w:after="120" w:line="360" w:lineRule="auto"/>
        <w:ind w:firstLine="420" w:firstLineChars="200"/>
        <w:rPr>
          <w:rFonts w:ascii="宋体" w:hAnsi="宋体"/>
          <w:szCs w:val="21"/>
        </w:rPr>
      </w:pPr>
      <w:r>
        <w:rPr>
          <w:rFonts w:hint="eastAsia" w:ascii="宋体" w:hAnsi="宋体"/>
          <w:szCs w:val="21"/>
        </w:rPr>
        <w:t>指令由“授权通知”确定的有权发送人（下称“被授权人”）代表基金管理人用传真的方式或其他基金托管人和基金管理人书面确认过的方式向基金托管人发送。基金管理人有义务在发送指令后及时与托管人进行确认，因管理人未能及时与托管人进行指令确认</w:t>
      </w:r>
      <w:r>
        <w:rPr>
          <w:rFonts w:ascii="宋体" w:hAnsi="宋体"/>
          <w:szCs w:val="21"/>
        </w:rPr>
        <w:t>,致使资金未能及时到账所造成的损失，基金托管人不承担任何责任。基金托管人依照“授权通知”规定的方法确认指令有效后，方可执行指令。对于被授权人发出的指令，基金管理人不得否认其效力。基金管理人应按照《基金法》、有关法律法规和《基金合同》的规定，在其合法的经营权限和交易权限内发送划款指令，</w:t>
      </w:r>
      <w:r>
        <w:rPr>
          <w:rFonts w:hint="eastAsia" w:ascii="宋体" w:hAnsi="宋体"/>
          <w:szCs w:val="21"/>
        </w:rPr>
        <w:t>被授权人应按照其授权权限发送划款指令。基金管理人在发送指令时，应为基金托管人留出执行指令所必需的时间。一般划款指令（不含银行间指令、定期存款指令、非担保交收指令、新债等申购指令）应在</w:t>
      </w:r>
      <w:r>
        <w:rPr>
          <w:rFonts w:ascii="宋体" w:hAnsi="宋体"/>
          <w:szCs w:val="21"/>
        </w:rPr>
        <w:t>15点（指令截至时间）前提交托管人，如</w:t>
      </w:r>
      <w:r>
        <w:rPr>
          <w:rFonts w:hint="eastAsia" w:ascii="宋体" w:hAnsi="宋体"/>
          <w:szCs w:val="21"/>
        </w:rPr>
        <w:t>基金管理人要求当天某一时点到账，则指令需提前</w:t>
      </w:r>
      <w:r>
        <w:rPr>
          <w:rFonts w:ascii="宋体" w:hAnsi="宋体"/>
          <w:szCs w:val="21"/>
        </w:rPr>
        <w:t>2个工作小时(工作时间9点至11点30分,13点至17点)提交</w:t>
      </w:r>
      <w:r>
        <w:rPr>
          <w:rFonts w:hint="eastAsia" w:ascii="宋体" w:hAnsi="宋体"/>
          <w:szCs w:val="21"/>
        </w:rPr>
        <w:t>基金托管人。</w:t>
      </w:r>
    </w:p>
    <w:p w14:paraId="4CC2723E">
      <w:pPr>
        <w:spacing w:after="120" w:line="360" w:lineRule="auto"/>
        <w:ind w:firstLine="420" w:firstLineChars="200"/>
        <w:rPr>
          <w:rFonts w:ascii="宋体" w:hAnsi="宋体"/>
          <w:szCs w:val="21"/>
        </w:rPr>
      </w:pPr>
      <w:r>
        <w:rPr>
          <w:rFonts w:hint="eastAsia" w:ascii="宋体" w:hAnsi="宋体"/>
          <w:szCs w:val="21"/>
        </w:rPr>
        <w:t>新债等申购指令，基金管理人须在申购前</w:t>
      </w:r>
      <w:r>
        <w:rPr>
          <w:rFonts w:ascii="宋体" w:hAnsi="宋体"/>
          <w:szCs w:val="21"/>
        </w:rPr>
        <w:t>1个工作日向托管人发送指令，如需在申购当日下达指令，</w:t>
      </w:r>
      <w:r>
        <w:rPr>
          <w:rFonts w:hint="eastAsia" w:ascii="宋体" w:hAnsi="宋体"/>
          <w:szCs w:val="21"/>
        </w:rPr>
        <w:t>基金管理人应为托管人留出执行指令所必需的时间，指令最迟不得晚于上午</w:t>
      </w:r>
      <w:r>
        <w:rPr>
          <w:rFonts w:ascii="宋体" w:hAnsi="宋体"/>
          <w:szCs w:val="21"/>
        </w:rPr>
        <w:t>11：00点（指令截至时间）提交托管人。</w:t>
      </w:r>
    </w:p>
    <w:p w14:paraId="5AA59242">
      <w:pPr>
        <w:spacing w:after="120" w:line="360" w:lineRule="auto"/>
        <w:ind w:firstLine="420" w:firstLineChars="200"/>
        <w:rPr>
          <w:rFonts w:ascii="宋体" w:hAnsi="宋体"/>
          <w:szCs w:val="21"/>
        </w:rPr>
      </w:pPr>
      <w:r>
        <w:rPr>
          <w:rFonts w:hint="eastAsia" w:ascii="宋体" w:hAnsi="宋体"/>
          <w:szCs w:val="21"/>
        </w:rPr>
        <w:t>如划款指令中给予基金托管人的划拨时间小于</w:t>
      </w:r>
      <w:r>
        <w:rPr>
          <w:rFonts w:ascii="宋体" w:hAnsi="宋体"/>
          <w:szCs w:val="21"/>
        </w:rPr>
        <w:t>2个工作小时或晚于前述指令截至时间的，</w:t>
      </w:r>
      <w:r>
        <w:rPr>
          <w:rFonts w:hint="eastAsia" w:ascii="宋体" w:hAnsi="宋体"/>
          <w:szCs w:val="21"/>
        </w:rPr>
        <w:t>基金托管人应尽力在指定时间内完成资金划拨</w:t>
      </w:r>
      <w:r>
        <w:rPr>
          <w:rFonts w:ascii="宋体" w:hAnsi="宋体"/>
          <w:szCs w:val="21"/>
        </w:rPr>
        <w:t>,但不承担因时间不足导致执行失败的责任。</w:t>
      </w:r>
    </w:p>
    <w:p w14:paraId="1CE8D0BC">
      <w:pPr>
        <w:spacing w:after="120" w:line="360" w:lineRule="auto"/>
        <w:ind w:firstLine="420" w:firstLineChars="200"/>
        <w:rPr>
          <w:rFonts w:ascii="宋体" w:hAnsi="宋体"/>
          <w:szCs w:val="21"/>
        </w:rPr>
      </w:pPr>
      <w:r>
        <w:rPr>
          <w:rFonts w:hint="eastAsia" w:ascii="宋体" w:hAnsi="宋体"/>
          <w:szCs w:val="21"/>
        </w:rPr>
        <w:t>特定用途划款指令关于截止时间点另有约定的，以另行约定为准。基金管理人原因造成的指令传输不及时、未能留出足够划款所需时间，致使资金未能及时到账所造成的损失由基金管理人承担。</w:t>
      </w:r>
    </w:p>
    <w:p w14:paraId="2A9C7F36">
      <w:pPr>
        <w:spacing w:line="360" w:lineRule="auto"/>
        <w:ind w:firstLine="420" w:firstLineChars="200"/>
        <w:rPr>
          <w:rFonts w:ascii="宋体" w:hAnsi="宋体"/>
          <w:szCs w:val="21"/>
        </w:rPr>
      </w:pPr>
      <w:r>
        <w:rPr>
          <w:rFonts w:hint="eastAsia" w:ascii="宋体" w:hAnsi="宋体"/>
          <w:szCs w:val="21"/>
        </w:rPr>
        <w:t>指令到达基金托管人后，基金托管人应指定专人及时对指令的要素是否齐全、印鉴与被授权人是否与预留的授权文件内容相符进行检查，如发现问题或有疑问应及时通知基金管理人，并有权附注相应说明后立即将指令退还给基金管理人，要求其重新下达有效指令。</w:t>
      </w:r>
    </w:p>
    <w:p w14:paraId="50C8F5F6">
      <w:pPr>
        <w:spacing w:line="360" w:lineRule="auto"/>
        <w:ind w:firstLine="420" w:firstLineChars="200"/>
        <w:rPr>
          <w:rFonts w:ascii="宋体" w:hAnsi="宋体"/>
          <w:szCs w:val="21"/>
        </w:rPr>
      </w:pPr>
      <w:r>
        <w:rPr>
          <w:rFonts w:hint="eastAsia" w:ascii="宋体" w:hAnsi="宋体"/>
          <w:szCs w:val="21"/>
        </w:rPr>
        <w:t>基金管理人向基金托管人下达指令时，应确保相关托管账户有足够的资金余额，对基金管理人在没有充足资金的情况下向基金托管人发出的指令，基金托管人有权不予执行，并立即通知基金管理人，基金托管人不承担因为不执行该指令而造成损失的任何责任。</w:t>
      </w:r>
    </w:p>
    <w:p w14:paraId="4890B2D0">
      <w:pPr>
        <w:spacing w:line="360" w:lineRule="auto"/>
        <w:ind w:firstLine="420" w:firstLineChars="200"/>
        <w:rPr>
          <w:rFonts w:ascii="宋体" w:hAnsi="宋体"/>
          <w:szCs w:val="21"/>
        </w:rPr>
      </w:pPr>
      <w:r>
        <w:rPr>
          <w:rFonts w:hint="eastAsia" w:ascii="宋体" w:hAnsi="宋体"/>
          <w:szCs w:val="21"/>
        </w:rPr>
        <w:t>基金管理人应将同业市场国债交易通知单加盖印章后传真给基金托管人。</w:t>
      </w:r>
    </w:p>
    <w:p w14:paraId="7228A43C">
      <w:pPr>
        <w:spacing w:line="360" w:lineRule="auto"/>
        <w:ind w:firstLine="420" w:firstLineChars="200"/>
        <w:rPr>
          <w:rFonts w:ascii="宋体" w:hAnsi="宋体"/>
          <w:szCs w:val="21"/>
        </w:rPr>
      </w:pPr>
      <w:r>
        <w:rPr>
          <w:rFonts w:hint="eastAsia" w:ascii="宋体" w:hAnsi="宋体"/>
          <w:szCs w:val="21"/>
        </w:rPr>
        <w:t>指令执行完毕后，基金托管人应将执行完毕的指令回传给基金管理人。基金托管人应授权专人接收基金管理人的指令，预先通知基金管理人其名单，并与基金管理人商定指令发送和接收方式。</w:t>
      </w:r>
    </w:p>
    <w:p w14:paraId="1C31875D">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45" w:name="_Toc382819094"/>
      <w:bookmarkStart w:id="46" w:name="_Toc1720891"/>
      <w:r>
        <w:rPr>
          <w:rFonts w:hint="eastAsia" w:ascii="宋体" w:hAnsi="宋体" w:eastAsia="宋体"/>
          <w:b w:val="0"/>
          <w:bCs w:val="0"/>
          <w:sz w:val="21"/>
          <w:szCs w:val="21"/>
        </w:rPr>
        <w:t>（四）基金管理人发送错误指令的情形和处理程序</w:t>
      </w:r>
      <w:bookmarkEnd w:id="45"/>
      <w:bookmarkEnd w:id="46"/>
    </w:p>
    <w:p w14:paraId="3322AE1D">
      <w:pPr>
        <w:spacing w:after="120" w:line="360" w:lineRule="auto"/>
        <w:ind w:firstLine="420" w:firstLineChars="200"/>
        <w:rPr>
          <w:rFonts w:ascii="宋体" w:hAnsi="宋体"/>
          <w:szCs w:val="21"/>
        </w:rPr>
      </w:pPr>
      <w:r>
        <w:rPr>
          <w:rFonts w:hint="eastAsia" w:ascii="宋体" w:hAnsi="宋体"/>
          <w:szCs w:val="21"/>
        </w:rPr>
        <w:t>基金管理人发送错误指令的情形包括但不限于指令发送人员无权或超越权限发送指令及交割信息错误，指令中重要信息模糊不清或不全</w:t>
      </w:r>
      <w:r>
        <w:rPr>
          <w:rFonts w:ascii="宋体" w:hAnsi="宋体"/>
          <w:szCs w:val="21"/>
        </w:rPr>
        <w:t>,指令违反法律法规和《基金合同》及本协议约定等。</w:t>
      </w:r>
    </w:p>
    <w:p w14:paraId="547E5245">
      <w:pPr>
        <w:spacing w:line="360" w:lineRule="auto"/>
        <w:ind w:firstLine="420" w:firstLineChars="200"/>
        <w:rPr>
          <w:rFonts w:ascii="宋体" w:hAnsi="宋体"/>
          <w:szCs w:val="21"/>
        </w:rPr>
      </w:pPr>
      <w:r>
        <w:rPr>
          <w:rFonts w:hint="eastAsia" w:ascii="宋体" w:hAnsi="宋体"/>
          <w:szCs w:val="21"/>
        </w:rPr>
        <w:t>基金托管人在履行监督职能时，如发现基金管理人的指令错误，有权拒绝执行，并及时以书面形式通知基金管理人改正，基金管理人收到通知后应及时核对，并以书面形式对基金托管人发出回函确认。如需撤销指令，基金管理人应出具书面说明，并加盖预留印鉴。</w:t>
      </w:r>
    </w:p>
    <w:p w14:paraId="0D2702B4">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47" w:name="_Toc1720892"/>
      <w:bookmarkStart w:id="48" w:name="_Toc382819095"/>
      <w:r>
        <w:rPr>
          <w:rFonts w:hint="eastAsia" w:ascii="宋体" w:hAnsi="宋体" w:eastAsia="宋体"/>
          <w:b w:val="0"/>
          <w:bCs w:val="0"/>
          <w:sz w:val="21"/>
          <w:szCs w:val="21"/>
        </w:rPr>
        <w:t>（五）基金托管人未按照基金管理人指令执行的处理方法</w:t>
      </w:r>
      <w:bookmarkEnd w:id="47"/>
      <w:bookmarkEnd w:id="48"/>
    </w:p>
    <w:p w14:paraId="2C9F5A81">
      <w:pPr>
        <w:spacing w:line="360" w:lineRule="auto"/>
        <w:ind w:firstLine="420" w:firstLineChars="200"/>
        <w:rPr>
          <w:rFonts w:ascii="宋体" w:hAnsi="宋体"/>
          <w:szCs w:val="21"/>
        </w:rPr>
      </w:pPr>
      <w:r>
        <w:rPr>
          <w:rFonts w:hint="eastAsia" w:ascii="宋体" w:hAnsi="宋体"/>
          <w:szCs w:val="21"/>
        </w:rPr>
        <w:t>除本协议另有约定外，基金托管人由于自身原因造成未按照或者未及时按照基金管理人发送的符合本协议约定的、按照正常交易程序已经生效的指令执行，给基金份额持有人造成损失的，应负责赔偿相应的直接损失。</w:t>
      </w:r>
    </w:p>
    <w:p w14:paraId="785FD9A8">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49" w:name="_Toc382819096"/>
      <w:bookmarkStart w:id="50" w:name="_Toc1720893"/>
      <w:r>
        <w:rPr>
          <w:rFonts w:hint="eastAsia" w:ascii="宋体" w:hAnsi="宋体" w:eastAsia="宋体"/>
          <w:b w:val="0"/>
          <w:bCs w:val="0"/>
          <w:sz w:val="21"/>
          <w:szCs w:val="21"/>
        </w:rPr>
        <w:t>（六）更换被授权人的程序</w:t>
      </w:r>
      <w:bookmarkEnd w:id="49"/>
      <w:bookmarkEnd w:id="50"/>
    </w:p>
    <w:p w14:paraId="102DF739">
      <w:pPr>
        <w:spacing w:line="360" w:lineRule="auto"/>
        <w:ind w:firstLine="420" w:firstLineChars="200"/>
        <w:rPr>
          <w:rFonts w:ascii="宋体" w:hAnsi="宋体"/>
          <w:szCs w:val="21"/>
        </w:rPr>
      </w:pPr>
      <w:r>
        <w:rPr>
          <w:rFonts w:hint="eastAsia" w:ascii="宋体" w:hAnsi="宋体"/>
          <w:szCs w:val="21"/>
        </w:rPr>
        <w:t>基金管理人更换被授权人员、更改或终止对被授权人员的授权范围的，必须提前至少一个交易日，发送扫描件或使用传真或其他基金托管人和基金管理人书面确认的方式向基金托管人发出加盖基金管理人公章，并由法定代表人或其授权代理人签字的被授权人变更通知，同时电话通知基金托管人。变更通知应载明生效时间，并提供新的被授权人的签字样本。基金托管人收到变更通知当日将回函书面传真基金管理人或通过电话向基金管理人确认。授权变更于变更通知载明的生效时间起生效。若变更通知载明的生效时间早于基金托管人收到变更通知时间，则授权变更于基金托管人收到变更通知时生效。被授权人变更通知生效前，基金托管人仍应按原约定执行指令，基金管理人不得否认其效力。基金管理人在此后三日内将被授权人变更通知的正本送交基金托管人。如果基金管理人授权人员名单、权限有变化时，未能按本协议约定及时通知基金托管人并预留新的印鉴和签字样本而导致基金份额持有人受损的，基金托管人不承担任何形式的责任。基金托管人更换接受基金管理人指令的人员，应提前通过邮件、传真或录音电话等方式通知基金管理人。</w:t>
      </w:r>
    </w:p>
    <w:p w14:paraId="4E71FC7B">
      <w:pPr>
        <w:spacing w:line="360" w:lineRule="auto"/>
        <w:ind w:firstLine="420" w:firstLineChars="200"/>
        <w:rPr>
          <w:rFonts w:ascii="宋体" w:hAnsi="宋体"/>
          <w:szCs w:val="21"/>
        </w:rPr>
      </w:pPr>
      <w:r>
        <w:rPr>
          <w:rFonts w:hint="eastAsia" w:ascii="宋体" w:hAnsi="宋体"/>
          <w:szCs w:val="21"/>
        </w:rPr>
        <w:t>（七）其它事项</w:t>
      </w:r>
    </w:p>
    <w:p w14:paraId="5B7418F7">
      <w:pPr>
        <w:spacing w:line="360" w:lineRule="auto"/>
        <w:ind w:firstLine="420" w:firstLineChars="200"/>
        <w:rPr>
          <w:rFonts w:ascii="宋体" w:hAnsi="宋体"/>
          <w:szCs w:val="21"/>
        </w:rPr>
      </w:pPr>
      <w:r>
        <w:rPr>
          <w:rFonts w:hint="eastAsia" w:ascii="宋体" w:hAnsi="宋体"/>
          <w:szCs w:val="21"/>
        </w:rPr>
        <w:t>基金管理人承担下达违法、违规或违反《基金合同》和本协议约定的指令所导致的责任。基金托管人对执行基金管理人的按照正常交易程序已经生效的指令对基金财产造成的损失不承担赔偿责任。</w:t>
      </w:r>
    </w:p>
    <w:p w14:paraId="6F4D1C24">
      <w:pPr>
        <w:spacing w:line="360" w:lineRule="auto"/>
        <w:rPr>
          <w:rFonts w:ascii="宋体" w:hAnsi="宋体"/>
          <w:szCs w:val="21"/>
        </w:rPr>
        <w:sectPr>
          <w:footerReference r:id="rId9" w:type="default"/>
          <w:pgSz w:w="11906" w:h="16838"/>
          <w:pgMar w:top="1440" w:right="1800" w:bottom="1440" w:left="1800" w:header="851" w:footer="992" w:gutter="0"/>
          <w:pgNumType w:start="1"/>
          <w:cols w:space="720" w:num="1"/>
          <w:docGrid w:type="lines" w:linePitch="312" w:charSpace="0"/>
        </w:sectPr>
      </w:pPr>
    </w:p>
    <w:p w14:paraId="4FA7AB4E">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51" w:name="_Toc1720894"/>
      <w:r>
        <w:rPr>
          <w:rFonts w:hint="eastAsia" w:ascii="宋体" w:hAnsi="宋体" w:eastAsia="宋体" w:cs="Arial"/>
          <w:sz w:val="21"/>
          <w:szCs w:val="21"/>
        </w:rPr>
        <w:t>交易及清算交收安排</w:t>
      </w:r>
      <w:bookmarkEnd w:id="51"/>
    </w:p>
    <w:p w14:paraId="6E63A966">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52" w:name="_Toc1720895"/>
      <w:bookmarkStart w:id="53" w:name="_Toc382819098"/>
      <w:r>
        <w:rPr>
          <w:rFonts w:hint="eastAsia" w:ascii="宋体" w:hAnsi="宋体" w:eastAsia="宋体"/>
          <w:b w:val="0"/>
          <w:bCs w:val="0"/>
          <w:sz w:val="21"/>
          <w:szCs w:val="21"/>
        </w:rPr>
        <w:t>（一）选择代理证券买卖的证券经营机构的标准和程序</w:t>
      </w:r>
      <w:bookmarkEnd w:id="52"/>
      <w:bookmarkEnd w:id="53"/>
    </w:p>
    <w:p w14:paraId="006694A3">
      <w:pPr>
        <w:spacing w:line="360" w:lineRule="auto"/>
        <w:ind w:firstLine="420" w:firstLineChars="200"/>
        <w:rPr>
          <w:rFonts w:ascii="宋体" w:hAnsi="宋体"/>
          <w:szCs w:val="21"/>
        </w:rPr>
      </w:pPr>
      <w:r>
        <w:rPr>
          <w:rFonts w:hint="eastAsia" w:ascii="宋体" w:hAnsi="宋体"/>
          <w:szCs w:val="21"/>
        </w:rPr>
        <w:t>基金管理人负责选择代理本基金证券买卖的证券经营机构，并承担相应责任。基金管理人和被选择的证券经营机构签订交易单元使用协议，由基金管理人通知基金托管人，并在法定信息披露公告中披露有关内容。</w:t>
      </w:r>
    </w:p>
    <w:p w14:paraId="7A60D7F3">
      <w:pPr>
        <w:spacing w:line="360" w:lineRule="auto"/>
        <w:ind w:firstLine="420" w:firstLineChars="200"/>
        <w:rPr>
          <w:rFonts w:ascii="宋体" w:hAnsi="宋体"/>
          <w:szCs w:val="21"/>
        </w:rPr>
      </w:pPr>
      <w:r>
        <w:rPr>
          <w:rFonts w:hint="eastAsia" w:ascii="宋体" w:hAnsi="宋体"/>
          <w:szCs w:val="21"/>
        </w:rPr>
        <w:t>基金管理人应及时将基金专用交易单元号、佣金费率等基本信息以及变更情况及时以书面形式通知基金托管人</w:t>
      </w:r>
      <w:r>
        <w:rPr>
          <w:rFonts w:ascii="宋体" w:hAnsi="宋体"/>
          <w:szCs w:val="21"/>
        </w:rPr>
        <w:t>,并将被选中证券经营机构提供的《交易单元租用协议》及时送达基金托管人，确保基金托管人申请接收结算数据。</w:t>
      </w:r>
    </w:p>
    <w:p w14:paraId="704981F5">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54" w:name="_Toc1720896"/>
      <w:bookmarkStart w:id="55" w:name="_Toc382819099"/>
      <w:r>
        <w:rPr>
          <w:rFonts w:hint="eastAsia" w:ascii="宋体" w:hAnsi="宋体" w:eastAsia="宋体"/>
          <w:b w:val="0"/>
          <w:bCs w:val="0"/>
          <w:sz w:val="21"/>
          <w:szCs w:val="21"/>
        </w:rPr>
        <w:t>（二）基金投资证券后的清算交收安排</w:t>
      </w:r>
      <w:bookmarkEnd w:id="54"/>
      <w:bookmarkEnd w:id="55"/>
    </w:p>
    <w:p w14:paraId="4F0B85D2">
      <w:pPr>
        <w:spacing w:line="360" w:lineRule="auto"/>
        <w:ind w:firstLine="420" w:firstLineChars="200"/>
        <w:rPr>
          <w:rFonts w:ascii="宋体" w:hAnsi="宋体"/>
          <w:szCs w:val="21"/>
        </w:rPr>
      </w:pPr>
      <w:bookmarkStart w:id="56" w:name="_Toc382819100"/>
      <w:r>
        <w:rPr>
          <w:rFonts w:ascii="宋体" w:hAnsi="宋体"/>
          <w:szCs w:val="21"/>
        </w:rPr>
        <w:t>1、本基金投资于证券发生的所有场内、场外交易的资金清算交割，全部由基金托管人负责办理。</w:t>
      </w:r>
      <w:bookmarkEnd w:id="56"/>
    </w:p>
    <w:p w14:paraId="08199FD6">
      <w:pPr>
        <w:spacing w:line="360" w:lineRule="auto"/>
        <w:ind w:firstLine="420" w:firstLineChars="200"/>
        <w:rPr>
          <w:rFonts w:ascii="宋体" w:hAnsi="宋体"/>
          <w:szCs w:val="21"/>
        </w:rPr>
      </w:pPr>
      <w:bookmarkStart w:id="57" w:name="_Toc382819101"/>
      <w:r>
        <w:rPr>
          <w:rFonts w:ascii="宋体" w:hAnsi="宋体"/>
          <w:szCs w:val="21"/>
        </w:rPr>
        <w:t>2、本基金投资于场内交易的投资品种前，</w:t>
      </w:r>
      <w:r>
        <w:rPr>
          <w:rFonts w:hint="eastAsia" w:ascii="宋体" w:hAnsi="宋体"/>
          <w:szCs w:val="21"/>
        </w:rPr>
        <w:t>基金管理人和基金托管人应当另行签署托管银行证券资金结算协议。</w:t>
      </w:r>
      <w:bookmarkEnd w:id="57"/>
    </w:p>
    <w:p w14:paraId="5A158059">
      <w:pPr>
        <w:spacing w:line="360" w:lineRule="auto"/>
        <w:ind w:firstLine="420" w:firstLineChars="200"/>
        <w:rPr>
          <w:rFonts w:ascii="宋体" w:hAnsi="宋体"/>
          <w:szCs w:val="21"/>
        </w:rPr>
      </w:pPr>
      <w:r>
        <w:rPr>
          <w:rFonts w:ascii="宋体" w:hAnsi="宋体"/>
          <w:szCs w:val="21"/>
        </w:rPr>
        <w:t>3、本基金投资于非担保交收的投资品种时，</w:t>
      </w:r>
      <w:r>
        <w:rPr>
          <w:rFonts w:hint="eastAsia" w:ascii="宋体" w:hAnsi="宋体"/>
          <w:szCs w:val="21"/>
        </w:rPr>
        <w:t>基金管理人应遵守基金托管人提前以告客户书形式提供的书面通知。</w:t>
      </w:r>
    </w:p>
    <w:p w14:paraId="05E9CB99">
      <w:pPr>
        <w:spacing w:line="360" w:lineRule="auto"/>
        <w:ind w:firstLine="420" w:firstLineChars="200"/>
        <w:rPr>
          <w:rFonts w:ascii="宋体" w:hAnsi="宋体"/>
          <w:szCs w:val="21"/>
        </w:rPr>
      </w:pPr>
      <w:r>
        <w:rPr>
          <w:rFonts w:ascii="宋体" w:hAnsi="宋体"/>
          <w:szCs w:val="21"/>
        </w:rPr>
        <w:t>4、银行间债券券款对付结算</w:t>
      </w:r>
    </w:p>
    <w:p w14:paraId="75346A52">
      <w:pPr>
        <w:spacing w:after="120" w:line="360" w:lineRule="auto"/>
        <w:ind w:firstLine="420" w:firstLineChars="200"/>
        <w:rPr>
          <w:rFonts w:ascii="宋体" w:hAnsi="宋体"/>
          <w:szCs w:val="21"/>
        </w:rPr>
      </w:pPr>
      <w:r>
        <w:rPr>
          <w:rFonts w:hint="eastAsia" w:ascii="宋体" w:hAnsi="宋体"/>
          <w:szCs w:val="21"/>
        </w:rPr>
        <w:t>基金管理人应及时将银行间上清所和中债登划款指令按相关规定提交基金托管人，基金管理人应为基金托管人留出执行指令所必需的时间。</w:t>
      </w:r>
    </w:p>
    <w:p w14:paraId="76DFBF67">
      <w:pPr>
        <w:spacing w:line="360" w:lineRule="auto"/>
        <w:ind w:firstLine="420" w:firstLineChars="200"/>
        <w:rPr>
          <w:rFonts w:ascii="宋体" w:hAnsi="宋体"/>
          <w:szCs w:val="21"/>
        </w:rPr>
      </w:pPr>
      <w:r>
        <w:rPr>
          <w:rFonts w:hint="eastAsia" w:ascii="宋体" w:hAnsi="宋体"/>
          <w:szCs w:val="21"/>
        </w:rPr>
        <w:t>基金管理人应根据中债登、上清所提供的查询功能，实时跟踪交易结算情况、证券与资金到账与余额变动情况，便于监控结算过程，做好资金与交易匹配的前端控制。</w:t>
      </w:r>
    </w:p>
    <w:p w14:paraId="00BEB6C0">
      <w:pPr>
        <w:spacing w:line="360" w:lineRule="auto"/>
        <w:ind w:firstLine="420" w:firstLineChars="200"/>
        <w:rPr>
          <w:rFonts w:ascii="宋体" w:hAnsi="宋体"/>
          <w:szCs w:val="21"/>
        </w:rPr>
      </w:pPr>
      <w:r>
        <w:rPr>
          <w:rFonts w:ascii="宋体" w:hAnsi="宋体"/>
          <w:szCs w:val="21"/>
        </w:rPr>
        <w:t>5、定期投资</w:t>
      </w:r>
    </w:p>
    <w:p w14:paraId="2F759F9E">
      <w:pPr>
        <w:spacing w:line="360" w:lineRule="auto"/>
        <w:ind w:firstLine="420" w:firstLineChars="200"/>
        <w:rPr>
          <w:rFonts w:ascii="宋体" w:hAnsi="宋体"/>
          <w:szCs w:val="21"/>
        </w:rPr>
      </w:pPr>
      <w:r>
        <w:rPr>
          <w:rFonts w:hint="eastAsia" w:ascii="宋体" w:hAnsi="宋体"/>
          <w:szCs w:val="21"/>
        </w:rPr>
        <w:t>基金管理人与存款行签订的存款协议条款格式应在定期存款起息日的前一个工作日发送给托管人，基金管理人应将定期存款的划款指令及存款协议盖章版（传真件或扫描件）按法律法规、基金合同及托管协议的规定提交基金托管人，指令发出后，基金管理人应及时以电话方式向基金托管人确认。对于基金管理人依约定程序发出的指令，基金管理人不得否认其效力。</w:t>
      </w:r>
    </w:p>
    <w:p w14:paraId="4E794F42">
      <w:pPr>
        <w:spacing w:line="360" w:lineRule="auto"/>
        <w:ind w:firstLine="420" w:firstLineChars="200"/>
        <w:rPr>
          <w:rFonts w:ascii="宋体" w:hAnsi="宋体"/>
          <w:szCs w:val="21"/>
        </w:rPr>
      </w:pPr>
      <w:r>
        <w:rPr>
          <w:rFonts w:hint="eastAsia" w:ascii="宋体" w:hAnsi="宋体"/>
          <w:szCs w:val="21"/>
        </w:rPr>
        <w:t>存款银行无法在存入</w:t>
      </w:r>
      <w:r>
        <w:rPr>
          <w:rFonts w:ascii="宋体" w:hAnsi="宋体"/>
          <w:szCs w:val="21"/>
        </w:rPr>
        <w:t>17点前向</w:t>
      </w:r>
      <w:r>
        <w:rPr>
          <w:rFonts w:hint="eastAsia" w:ascii="宋体" w:hAnsi="宋体"/>
          <w:szCs w:val="21"/>
        </w:rPr>
        <w:t>基金托管人送达存款证实书的，基金管理人应敦促存款银行将存款证实扫描件发送至基金托管人。存款证实书送达基金托管人后，基金托管人负责保管存款证实书原件。基金托管人仅对存款证实书进行形式审核，形式审核内容为账户名称、起息日、到期日、金额、利率。基金托管人不对存款证实书真实性承担审核职责。</w:t>
      </w:r>
    </w:p>
    <w:p w14:paraId="1EE27AAC">
      <w:pPr>
        <w:spacing w:line="360" w:lineRule="auto"/>
        <w:ind w:firstLine="420" w:firstLineChars="200"/>
        <w:rPr>
          <w:rFonts w:ascii="宋体" w:hAnsi="宋体"/>
          <w:szCs w:val="21"/>
        </w:rPr>
      </w:pPr>
      <w:r>
        <w:rPr>
          <w:rFonts w:hint="eastAsia" w:ascii="宋体" w:hAnsi="宋体"/>
          <w:szCs w:val="21"/>
        </w:rPr>
        <w:t>基金管理人与存款银行签订的存款协议，应包括：</w:t>
      </w:r>
    </w:p>
    <w:p w14:paraId="7188D2A0">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1）存款银行为托管资产办理定期存款业务的存款账户开立、资金存入和支取提供必要的支持和高效的结算服务；</w:t>
      </w:r>
    </w:p>
    <w:p w14:paraId="29054288">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2）存款银行为托管资产所投资的定期存款的存款证明文件提供上门服务，即：定期存款资金到账当日，存款银行派授权代理人将“存款证实书”（以下简称“证实书”）妥善送至</w:t>
      </w:r>
      <w:r>
        <w:rPr>
          <w:rFonts w:hint="eastAsia" w:ascii="宋体" w:hAnsi="宋体"/>
          <w:szCs w:val="21"/>
        </w:rPr>
        <w:t>基金托管人处。“证实书”移交给托管人之前，因“证实书”丢失、损毁而造成的一切损失由存款银行承担。</w:t>
      </w:r>
    </w:p>
    <w:p w14:paraId="49D61F5E">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3）定期存款到期日当日或提前支取日当日，存款银行应派授权代理人前往</w:t>
      </w:r>
      <w:r>
        <w:rPr>
          <w:rFonts w:hint="eastAsia" w:ascii="宋体" w:hAnsi="宋体"/>
          <w:szCs w:val="21"/>
        </w:rPr>
        <w:t>基金托管人处提取“证实书”。“证实书”移交给存款行授权代理人之后，因“证实书”丢失、损毁而造成的一切损失由存款银行承担。</w:t>
      </w:r>
    </w:p>
    <w:p w14:paraId="367E2953">
      <w:pPr>
        <w:spacing w:line="360" w:lineRule="auto"/>
        <w:ind w:firstLine="420" w:firstLineChars="200"/>
        <w:rPr>
          <w:rFonts w:ascii="宋体" w:hAnsi="宋体"/>
          <w:szCs w:val="21"/>
        </w:rPr>
      </w:pPr>
      <w:r>
        <w:rPr>
          <w:rFonts w:hint="eastAsia" w:ascii="宋体" w:hAnsi="宋体"/>
          <w:szCs w:val="21"/>
        </w:rPr>
        <w:t>存款银行应至少提前一个工作日向基金托管人提供对前述授权代理人办理相关事务的书面授权书。授权代理人提供上门服务时，应出示有效身份证或工作证。</w:t>
      </w:r>
    </w:p>
    <w:p w14:paraId="21041644">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4）存款银行应保证及时支付存款本金和利息，于支取当日将本息划付至企业年金开立在</w:t>
      </w:r>
      <w:r>
        <w:rPr>
          <w:rFonts w:hint="eastAsia" w:ascii="宋体" w:hAnsi="宋体"/>
          <w:szCs w:val="21"/>
        </w:rPr>
        <w:t>基金托管人（上海浦东发展银行）处的托管账户，</w:t>
      </w:r>
      <w:r>
        <w:rPr>
          <w:rFonts w:ascii="宋体" w:hAnsi="宋体"/>
          <w:szCs w:val="21"/>
        </w:rPr>
        <w:t xml:space="preserve"> </w:t>
      </w:r>
      <w:r>
        <w:rPr>
          <w:rFonts w:hint="eastAsia" w:ascii="宋体" w:hAnsi="宋体"/>
          <w:szCs w:val="21"/>
        </w:rPr>
        <w:t>并列明账户的开户行、账号、户名、大额支付号。存款银行应确认，定期存款的本息只能划入开立在基金托管人的相应托管账户或经基金托管人确认的指定账户。上述指定收款账户信息如需变更，必须经基金托管人书面同意。</w:t>
      </w:r>
    </w:p>
    <w:p w14:paraId="34D702A0">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5）存款银行应为定期存款业务提供定期对账服务。首次对</w:t>
      </w:r>
      <w:r>
        <w:rPr>
          <w:rFonts w:hint="eastAsia" w:ascii="宋体" w:hAnsi="宋体"/>
          <w:szCs w:val="21"/>
        </w:rPr>
        <w:t>账应不晚于存款资金存入后的一个自然月。除首次对账外，对账频率不少于每半年一次。存款银行应配合托管人对“证实书”的书面征询。</w:t>
      </w:r>
    </w:p>
    <w:p w14:paraId="378C7863">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 xml:space="preserve">6）在存款存续期内， </w:t>
      </w:r>
      <w:r>
        <w:rPr>
          <w:rFonts w:hint="eastAsia" w:ascii="宋体" w:hAnsi="宋体"/>
          <w:szCs w:val="21"/>
        </w:rPr>
        <w:t>“证实书”的预留印鉴发生变更的，存款银行应配合办理变更手续。</w:t>
      </w:r>
    </w:p>
    <w:p w14:paraId="22F333A6">
      <w:pPr>
        <w:pStyle w:val="3"/>
        <w:keepNext w:val="0"/>
        <w:keepLines w:val="0"/>
        <w:spacing w:before="0" w:after="0"/>
        <w:ind w:firstLine="420" w:firstLineChars="200"/>
        <w:jc w:val="left"/>
        <w:rPr>
          <w:rFonts w:ascii="宋体" w:hAnsi="宋体" w:eastAsia="宋体"/>
          <w:b w:val="0"/>
          <w:sz w:val="21"/>
          <w:szCs w:val="21"/>
        </w:rPr>
      </w:pPr>
      <w:bookmarkStart w:id="58" w:name="_Toc382819102"/>
      <w:bookmarkStart w:id="59" w:name="_Toc1720897"/>
      <w:r>
        <w:rPr>
          <w:rFonts w:hint="eastAsia" w:ascii="宋体" w:hAnsi="宋体" w:eastAsia="宋体"/>
          <w:b w:val="0"/>
          <w:sz w:val="21"/>
          <w:szCs w:val="21"/>
        </w:rPr>
        <w:t>（三）可用资金余额的确认</w:t>
      </w:r>
      <w:bookmarkEnd w:id="58"/>
      <w:bookmarkEnd w:id="59"/>
    </w:p>
    <w:p w14:paraId="67113E4B">
      <w:pPr>
        <w:spacing w:line="360" w:lineRule="auto"/>
        <w:ind w:firstLine="420" w:firstLineChars="200"/>
      </w:pPr>
      <w:r>
        <w:rPr>
          <w:rFonts w:hint="eastAsia" w:ascii="宋体" w:hAnsi="宋体"/>
          <w:szCs w:val="21"/>
        </w:rPr>
        <w:t>基金托管人应于每个工作日上午</w:t>
      </w:r>
      <w:r>
        <w:rPr>
          <w:rFonts w:ascii="宋体" w:hAnsi="宋体"/>
          <w:szCs w:val="21"/>
        </w:rPr>
        <w:t xml:space="preserve">9：30 </w:t>
      </w:r>
      <w:r>
        <w:rPr>
          <w:rFonts w:hint="eastAsia" w:ascii="宋体" w:hAnsi="宋体"/>
          <w:szCs w:val="21"/>
        </w:rPr>
        <w:t>前将托管账户的可用资金余额以双方认可的方式提供给基金管理人。</w:t>
      </w:r>
    </w:p>
    <w:p w14:paraId="1B8FBF08">
      <w:pPr>
        <w:tabs>
          <w:tab w:val="left" w:pos="4680"/>
        </w:tabs>
        <w:spacing w:line="360" w:lineRule="auto"/>
        <w:ind w:firstLine="420" w:firstLineChars="200"/>
        <w:jc w:val="left"/>
        <w:rPr>
          <w:rFonts w:ascii="宋体" w:hAnsi="宋体"/>
          <w:bCs/>
          <w:szCs w:val="21"/>
        </w:rPr>
      </w:pPr>
      <w:r>
        <w:rPr>
          <w:rFonts w:hint="eastAsia" w:ascii="宋体" w:hAnsi="宋体"/>
          <w:bCs/>
          <w:szCs w:val="21"/>
        </w:rPr>
        <w:t>（四）交易记录、资金、证券账目的核对</w:t>
      </w:r>
    </w:p>
    <w:p w14:paraId="74A04C14">
      <w:pPr>
        <w:tabs>
          <w:tab w:val="left" w:pos="4680"/>
        </w:tabs>
        <w:spacing w:line="360" w:lineRule="auto"/>
        <w:ind w:firstLine="420" w:firstLineChars="200"/>
        <w:jc w:val="left"/>
        <w:rPr>
          <w:rFonts w:ascii="宋体" w:hAnsi="宋体"/>
          <w:szCs w:val="21"/>
        </w:rPr>
      </w:pPr>
      <w:r>
        <w:rPr>
          <w:rFonts w:ascii="宋体" w:hAnsi="宋体"/>
          <w:szCs w:val="21"/>
        </w:rPr>
        <w:t>1、交易记录的核对</w:t>
      </w:r>
    </w:p>
    <w:p w14:paraId="4493819E">
      <w:pPr>
        <w:tabs>
          <w:tab w:val="left" w:pos="4680"/>
        </w:tabs>
        <w:spacing w:line="360" w:lineRule="auto"/>
        <w:ind w:firstLine="420" w:firstLineChars="200"/>
        <w:jc w:val="left"/>
        <w:rPr>
          <w:rFonts w:ascii="宋体" w:hAnsi="宋体"/>
          <w:szCs w:val="21"/>
        </w:rPr>
      </w:pPr>
      <w:r>
        <w:rPr>
          <w:rFonts w:hint="eastAsia" w:ascii="宋体" w:hAnsi="宋体"/>
          <w:szCs w:val="21"/>
        </w:rPr>
        <w:t>基金管理人和基金托管人按日进行交易记录的核对。对外披露净值之前，必须保证当天所有实际交易记录与基金会计账簿上的交易记录一致。</w:t>
      </w:r>
    </w:p>
    <w:p w14:paraId="69E06908">
      <w:pPr>
        <w:tabs>
          <w:tab w:val="left" w:pos="4680"/>
        </w:tabs>
        <w:spacing w:line="360" w:lineRule="auto"/>
        <w:ind w:firstLine="420" w:firstLineChars="200"/>
        <w:jc w:val="left"/>
        <w:rPr>
          <w:rFonts w:ascii="宋体" w:hAnsi="宋体"/>
          <w:szCs w:val="21"/>
        </w:rPr>
      </w:pPr>
      <w:r>
        <w:rPr>
          <w:rFonts w:ascii="宋体" w:hAnsi="宋体"/>
          <w:szCs w:val="21"/>
        </w:rPr>
        <w:t>2、资金账目的核对</w:t>
      </w:r>
    </w:p>
    <w:p w14:paraId="612A418E">
      <w:pPr>
        <w:tabs>
          <w:tab w:val="left" w:pos="4680"/>
        </w:tabs>
        <w:spacing w:line="360" w:lineRule="auto"/>
        <w:ind w:firstLine="420" w:firstLineChars="200"/>
        <w:jc w:val="left"/>
        <w:rPr>
          <w:rFonts w:ascii="宋体" w:hAnsi="宋体"/>
          <w:szCs w:val="21"/>
        </w:rPr>
      </w:pPr>
      <w:r>
        <w:rPr>
          <w:rFonts w:hint="eastAsia" w:ascii="宋体" w:hAnsi="宋体"/>
          <w:szCs w:val="21"/>
        </w:rPr>
        <w:t>资金账目包括基金的银行存款等会计资料。资金账目由基金托管人每日进行账实核对，基金管理人复核托管人提供的可用头寸表核对资金余额。银行存款账户每日核对，做到账账相符、账实相符。</w:t>
      </w:r>
    </w:p>
    <w:p w14:paraId="2D21C2C6">
      <w:pPr>
        <w:tabs>
          <w:tab w:val="left" w:pos="4680"/>
        </w:tabs>
        <w:spacing w:line="360" w:lineRule="auto"/>
        <w:ind w:firstLine="420" w:firstLineChars="200"/>
        <w:jc w:val="left"/>
        <w:rPr>
          <w:rFonts w:ascii="宋体" w:hAnsi="宋体"/>
          <w:szCs w:val="21"/>
        </w:rPr>
      </w:pPr>
      <w:r>
        <w:rPr>
          <w:rFonts w:ascii="宋体" w:hAnsi="宋体"/>
          <w:szCs w:val="21"/>
        </w:rPr>
        <w:t>3、证券账目的核对</w:t>
      </w:r>
    </w:p>
    <w:p w14:paraId="0339E5C6">
      <w:pPr>
        <w:tabs>
          <w:tab w:val="left" w:pos="4680"/>
        </w:tabs>
        <w:spacing w:line="360" w:lineRule="auto"/>
        <w:ind w:firstLine="420" w:firstLineChars="200"/>
        <w:jc w:val="left"/>
        <w:rPr>
          <w:rFonts w:ascii="宋体" w:hAnsi="宋体"/>
          <w:szCs w:val="21"/>
        </w:rPr>
      </w:pPr>
      <w:r>
        <w:rPr>
          <w:rFonts w:hint="eastAsia" w:ascii="宋体" w:hAnsi="宋体"/>
          <w:szCs w:val="21"/>
        </w:rPr>
        <w:t>证券账目是指以基金名义开立的证券交易账户和实物托管账户中的证券种类、数量和金额。基金管理人和基金托管人每日核对证券账目余额。证券账目的账实核对由基金托管人负责，证券交易所证券账目每交易日结束后核对一次，银行间市场证券账目每月末核对一次，确保账实相符。</w:t>
      </w:r>
    </w:p>
    <w:p w14:paraId="5F30871D">
      <w:pPr>
        <w:tabs>
          <w:tab w:val="left" w:pos="4680"/>
        </w:tabs>
        <w:spacing w:line="360" w:lineRule="auto"/>
        <w:ind w:firstLine="420" w:firstLineChars="200"/>
        <w:jc w:val="left"/>
        <w:rPr>
          <w:rFonts w:ascii="宋体" w:hAnsi="宋体"/>
          <w:szCs w:val="21"/>
        </w:rPr>
      </w:pPr>
      <w:r>
        <w:rPr>
          <w:rFonts w:hint="eastAsia" w:ascii="宋体" w:hAnsi="宋体"/>
          <w:szCs w:val="21"/>
        </w:rPr>
        <w:t>（五）基金申购、赎回、转换业务处理的基本规定</w:t>
      </w:r>
    </w:p>
    <w:p w14:paraId="63BC477D">
      <w:pPr>
        <w:tabs>
          <w:tab w:val="left" w:pos="4680"/>
        </w:tabs>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本基金每个封闭期结束之后第一个工作日起（含该日）进入开放期，投资人在开放日办理基金份额的申购和赎回</w:t>
      </w:r>
      <w:r>
        <w:rPr>
          <w:rFonts w:ascii="宋体" w:hAnsi="宋体"/>
          <w:szCs w:val="21"/>
        </w:rPr>
        <w:t>，具体办理时间以公告为准。基金份额申购、赎回的确认、清算由基金管理人或其委托的登记机构负责。</w:t>
      </w:r>
    </w:p>
    <w:p w14:paraId="490F8317">
      <w:pPr>
        <w:tabs>
          <w:tab w:val="left" w:pos="4680"/>
        </w:tabs>
        <w:spacing w:line="360" w:lineRule="auto"/>
        <w:ind w:firstLine="420" w:firstLineChars="200"/>
        <w:jc w:val="left"/>
        <w:rPr>
          <w:rFonts w:ascii="宋体" w:hAnsi="宋体"/>
          <w:szCs w:val="21"/>
        </w:rPr>
      </w:pPr>
      <w:r>
        <w:rPr>
          <w:rFonts w:ascii="宋体" w:hAnsi="宋体"/>
          <w:szCs w:val="21"/>
        </w:rPr>
        <w:t>2、基金管理人应在每个</w:t>
      </w:r>
      <w:r>
        <w:rPr>
          <w:rFonts w:hint="eastAsia" w:ascii="宋体" w:hAnsi="宋体"/>
          <w:szCs w:val="21"/>
        </w:rPr>
        <w:t>工作</w:t>
      </w:r>
      <w:r>
        <w:rPr>
          <w:rFonts w:ascii="宋体" w:hAnsi="宋体"/>
          <w:szCs w:val="21"/>
        </w:rPr>
        <w:t>日按本协议第</w:t>
      </w:r>
      <w:r>
        <w:rPr>
          <w:rFonts w:hint="eastAsia" w:ascii="宋体" w:hAnsi="宋体"/>
          <w:szCs w:val="21"/>
        </w:rPr>
        <w:t>七条相关规定向基金托管人发送基金管理人确认的申购、赎回和转换开放式基金的有关数据，并对上述数据的真实、准确、完整性负责。基金托管人应及时查收申购及转入资金的到账情况并根据基金管理人指令及时划付赎回及转出款项。基金管理人应保证本基金（或本基金管理人委托）的登记机构每个工作日</w:t>
      </w:r>
      <w:r>
        <w:rPr>
          <w:rFonts w:ascii="宋体" w:hAnsi="宋体"/>
          <w:szCs w:val="21"/>
        </w:rPr>
        <w:t xml:space="preserve">15:00 </w:t>
      </w:r>
      <w:r>
        <w:rPr>
          <w:rFonts w:hint="eastAsia" w:ascii="宋体" w:hAnsi="宋体"/>
          <w:szCs w:val="21"/>
        </w:rPr>
        <w:t>前向基金托管人发送前一开放日的上述有关数据，并保证相关数据的准确、完整。</w:t>
      </w:r>
    </w:p>
    <w:p w14:paraId="7324ECC8">
      <w:pPr>
        <w:tabs>
          <w:tab w:val="left" w:pos="4680"/>
        </w:tabs>
        <w:spacing w:line="360" w:lineRule="auto"/>
        <w:ind w:firstLine="420" w:firstLineChars="200"/>
        <w:jc w:val="left"/>
        <w:rPr>
          <w:rFonts w:ascii="宋体" w:hAnsi="宋体"/>
          <w:szCs w:val="21"/>
        </w:rPr>
      </w:pPr>
      <w:r>
        <w:rPr>
          <w:rFonts w:ascii="宋体" w:hAnsi="宋体"/>
          <w:szCs w:val="21"/>
        </w:rPr>
        <w:t>3、基金管理人通过与基金托管人建立的共同约定的数据传送系统发送申购赎回等有关数据，如因各种原因，该系统无法正常发送，双方可协商解决处理方式。由此引起基金或本协议一方损失的，由系统无法正常传送数据的一方承担赔偿责任，但不可抗力导致的情形除外；若由双方共同引起，根据各自过错程度承担相应责任。基金管理人向基金托管人发送的数据，双方各自按有关规定保存。</w:t>
      </w:r>
    </w:p>
    <w:p w14:paraId="6A9CB648">
      <w:pPr>
        <w:tabs>
          <w:tab w:val="left" w:pos="4680"/>
        </w:tabs>
        <w:spacing w:line="360" w:lineRule="auto"/>
        <w:ind w:firstLine="420" w:firstLineChars="200"/>
        <w:jc w:val="left"/>
        <w:rPr>
          <w:rFonts w:ascii="宋体" w:hAnsi="宋体"/>
          <w:szCs w:val="21"/>
        </w:rPr>
      </w:pPr>
      <w:r>
        <w:rPr>
          <w:rFonts w:ascii="宋体" w:hAnsi="宋体"/>
          <w:szCs w:val="21"/>
        </w:rPr>
        <w:t>4、基金管理人应保证其发送的注册登记数据的接口规范与基金托管人的接口规范保持一致。</w:t>
      </w:r>
    </w:p>
    <w:p w14:paraId="1909CB4A">
      <w:pPr>
        <w:tabs>
          <w:tab w:val="left" w:pos="4680"/>
        </w:tabs>
        <w:spacing w:line="360" w:lineRule="auto"/>
        <w:ind w:firstLine="420" w:firstLineChars="200"/>
        <w:jc w:val="left"/>
        <w:rPr>
          <w:rFonts w:ascii="宋体" w:hAnsi="宋体"/>
          <w:szCs w:val="21"/>
        </w:rPr>
      </w:pPr>
      <w:r>
        <w:rPr>
          <w:rFonts w:ascii="宋体" w:hAnsi="宋体"/>
          <w:szCs w:val="21"/>
        </w:rPr>
        <w:t>5、基金注册登记清算专用账户的开立和管理</w:t>
      </w:r>
    </w:p>
    <w:p w14:paraId="27C89546">
      <w:pPr>
        <w:tabs>
          <w:tab w:val="left" w:pos="4680"/>
        </w:tabs>
        <w:spacing w:line="360" w:lineRule="auto"/>
        <w:ind w:firstLine="420" w:firstLineChars="200"/>
        <w:jc w:val="left"/>
        <w:rPr>
          <w:rFonts w:ascii="宋体" w:hAnsi="宋体"/>
          <w:szCs w:val="21"/>
        </w:rPr>
      </w:pPr>
      <w:r>
        <w:rPr>
          <w:rFonts w:hint="eastAsia" w:ascii="宋体" w:hAnsi="宋体"/>
          <w:szCs w:val="21"/>
        </w:rPr>
        <w:t>为满足申购、赎回等资金汇划的需要，基金管理人应开立用于基金申购、赎回等资金清算的基金注册登记清算专用账户。</w:t>
      </w:r>
    </w:p>
    <w:p w14:paraId="55136B88">
      <w:pPr>
        <w:tabs>
          <w:tab w:val="left" w:pos="4680"/>
        </w:tabs>
        <w:spacing w:line="360" w:lineRule="auto"/>
        <w:ind w:firstLine="420" w:firstLineChars="200"/>
        <w:jc w:val="left"/>
        <w:rPr>
          <w:rFonts w:ascii="宋体" w:hAnsi="宋体"/>
          <w:kern w:val="21"/>
          <w:szCs w:val="21"/>
        </w:rPr>
      </w:pPr>
      <w:r>
        <w:rPr>
          <w:rFonts w:ascii="宋体" w:hAnsi="宋体"/>
          <w:szCs w:val="21"/>
        </w:rPr>
        <w:t>6、</w:t>
      </w:r>
      <w:r>
        <w:rPr>
          <w:rFonts w:hint="eastAsia" w:ascii="宋体" w:hAnsi="宋体"/>
          <w:kern w:val="21"/>
          <w:szCs w:val="21"/>
        </w:rPr>
        <w:t>对于基金申购过程中产生的应收资产，应由基金管理人负责与有关当事人确定到账日期并通知基金托管人，到账日基金资产没有到达基金托管人处的，基金托管人应及时通知基金管理人采取措施进行催收，由此给基金造成损失的，管理人应负责向有关当事人追偿基金的损失，</w:t>
      </w:r>
      <w:r>
        <w:rPr>
          <w:rFonts w:hint="eastAsia" w:ascii="宋体" w:hAnsi="宋体"/>
          <w:szCs w:val="21"/>
        </w:rPr>
        <w:t>基金托管人不承担任何责任</w:t>
      </w:r>
      <w:r>
        <w:rPr>
          <w:rFonts w:hint="eastAsia" w:ascii="宋体" w:hAnsi="宋体"/>
          <w:kern w:val="21"/>
          <w:szCs w:val="21"/>
        </w:rPr>
        <w:t>。</w:t>
      </w:r>
    </w:p>
    <w:p w14:paraId="651116B9">
      <w:pPr>
        <w:tabs>
          <w:tab w:val="left" w:pos="4680"/>
        </w:tabs>
        <w:spacing w:line="360" w:lineRule="auto"/>
        <w:ind w:firstLine="420" w:firstLineChars="200"/>
        <w:jc w:val="left"/>
        <w:rPr>
          <w:rFonts w:ascii="宋体" w:hAnsi="宋体"/>
          <w:szCs w:val="21"/>
        </w:rPr>
      </w:pPr>
      <w:r>
        <w:rPr>
          <w:rFonts w:ascii="宋体" w:hAnsi="宋体"/>
          <w:szCs w:val="21"/>
        </w:rPr>
        <w:t>7、赎回资金的支付</w:t>
      </w:r>
    </w:p>
    <w:p w14:paraId="5BA19AA3">
      <w:pPr>
        <w:tabs>
          <w:tab w:val="left" w:pos="4680"/>
        </w:tabs>
        <w:spacing w:line="360" w:lineRule="auto"/>
        <w:ind w:firstLine="420" w:firstLineChars="200"/>
        <w:jc w:val="left"/>
        <w:rPr>
          <w:rFonts w:ascii="宋体" w:hAnsi="宋体"/>
          <w:szCs w:val="21"/>
        </w:rPr>
      </w:pPr>
      <w:r>
        <w:rPr>
          <w:rFonts w:hint="eastAsia" w:ascii="宋体" w:hAnsi="宋体"/>
          <w:szCs w:val="21"/>
        </w:rPr>
        <w:t>基金托管人在根据基金管理人指令支付赎回款时，如托管专户中本基金有足够的资金，基金托管人应按《基金合同》和本协议的规定支付；如托管专户中本基金有足额的资金且基金托管人有足够合理的时间进行划款，而基金托管人未及时执行合法合规的指令的，责任由基金托管人承担，但不可抗力导致的情形除外。因托管专户中本基金没有足够的资金，导致基金托管人不能按时支付，如是基金管理人的原因造成，责任由基金管理人承担，基金托管人不承担垫款义务；如是除基金管理人、基金托管人外的第三方原因造成的，责任由第三方承担，基金托管人不承担垫款义务，若给基金份额持有人造成损失的，基金托管人负有配合基金管理人向第三方追偿的义务。</w:t>
      </w:r>
    </w:p>
    <w:p w14:paraId="61B63A7A">
      <w:pPr>
        <w:tabs>
          <w:tab w:val="left" w:pos="4680"/>
        </w:tabs>
        <w:spacing w:line="360" w:lineRule="auto"/>
        <w:ind w:firstLine="420" w:firstLineChars="200"/>
        <w:jc w:val="left"/>
        <w:rPr>
          <w:rFonts w:ascii="宋体" w:hAnsi="宋体"/>
          <w:szCs w:val="21"/>
        </w:rPr>
      </w:pPr>
      <w:r>
        <w:rPr>
          <w:rFonts w:ascii="宋体" w:hAnsi="宋体"/>
          <w:szCs w:val="21"/>
        </w:rPr>
        <w:t>8、资金支付执行和责任界定</w:t>
      </w:r>
    </w:p>
    <w:p w14:paraId="26EE3D4D">
      <w:pPr>
        <w:tabs>
          <w:tab w:val="left" w:pos="4680"/>
        </w:tabs>
        <w:spacing w:line="360" w:lineRule="auto"/>
        <w:ind w:firstLine="420" w:firstLineChars="200"/>
        <w:jc w:val="left"/>
        <w:rPr>
          <w:rFonts w:ascii="宋体" w:hAnsi="宋体"/>
          <w:szCs w:val="21"/>
        </w:rPr>
      </w:pPr>
      <w:r>
        <w:rPr>
          <w:rFonts w:ascii="宋体" w:hAnsi="宋体"/>
          <w:szCs w:val="21"/>
        </w:rPr>
        <w:t xml:space="preserve"> 除申购款项到达基金托管人处的基金账户需双方按约定方式对账外，净额划出、赎回资金支付时，应按照本协议</w:t>
      </w:r>
      <w:r>
        <w:rPr>
          <w:rFonts w:hint="eastAsia" w:ascii="宋体" w:hAnsi="宋体"/>
          <w:szCs w:val="21"/>
        </w:rPr>
        <w:t>相关规定执行。若本协议没有规定的按双方协商一致内容执行。</w:t>
      </w:r>
    </w:p>
    <w:p w14:paraId="1CB28ACB">
      <w:pPr>
        <w:tabs>
          <w:tab w:val="left" w:pos="4680"/>
        </w:tabs>
        <w:spacing w:line="360" w:lineRule="auto"/>
        <w:ind w:firstLine="420" w:firstLineChars="200"/>
        <w:jc w:val="left"/>
        <w:rPr>
          <w:rFonts w:ascii="宋体" w:hAnsi="宋体"/>
          <w:szCs w:val="21"/>
        </w:rPr>
      </w:pPr>
      <w:r>
        <w:rPr>
          <w:rFonts w:hint="eastAsia" w:ascii="宋体" w:hAnsi="宋体"/>
          <w:szCs w:val="21"/>
        </w:rPr>
        <w:t>基金管理人和基金托管人应采取所有必要措施确保申购和赎回等资金在本协议相关规定的时间内划到指定账户。但由于基金管理人和基金托管人之外的第三方原因、不可抗议力原因导致资金不能按时到账的，基金管理人和基金托管人不承担由此产生的责任。如因此给基金造成损失的，基金管理人应负责向第三方追偿，基金托管人有义务协助追偿。</w:t>
      </w:r>
    </w:p>
    <w:p w14:paraId="08833CBB">
      <w:pPr>
        <w:tabs>
          <w:tab w:val="left" w:pos="4680"/>
        </w:tabs>
        <w:spacing w:line="360" w:lineRule="auto"/>
        <w:ind w:firstLine="420" w:firstLineChars="200"/>
        <w:jc w:val="left"/>
        <w:rPr>
          <w:rFonts w:ascii="宋体" w:hAnsi="宋体"/>
          <w:szCs w:val="21"/>
        </w:rPr>
      </w:pPr>
      <w:r>
        <w:rPr>
          <w:rFonts w:ascii="宋体" w:hAnsi="宋体"/>
          <w:szCs w:val="21"/>
        </w:rPr>
        <w:t>9、暂停赎回和巨额赎回处理</w:t>
      </w:r>
    </w:p>
    <w:p w14:paraId="2DBD8124">
      <w:pPr>
        <w:tabs>
          <w:tab w:val="left" w:pos="4680"/>
        </w:tabs>
        <w:spacing w:line="360" w:lineRule="auto"/>
        <w:ind w:firstLine="420" w:firstLineChars="200"/>
        <w:jc w:val="left"/>
        <w:rPr>
          <w:rFonts w:ascii="宋体" w:hAnsi="宋体"/>
          <w:szCs w:val="21"/>
        </w:rPr>
      </w:pPr>
      <w:r>
        <w:rPr>
          <w:rFonts w:hint="eastAsia" w:ascii="宋体" w:hAnsi="宋体"/>
          <w:szCs w:val="21"/>
        </w:rPr>
        <w:t>基金管理人应严格按照相关法律法规以及《基金合同》的规定，对暂停赎回的情形进行相应处理，并在发生暂停赎回的当日及时以双方认可的形式通知基金托管人。基金管理人应严格按照相关法律法规以及《基金合同》的规定，对巨额赎回的情形进行相应处理，并在决定延缓支付</w:t>
      </w:r>
      <w:r>
        <w:rPr>
          <w:rFonts w:ascii="宋体" w:hAnsi="宋体"/>
          <w:szCs w:val="21"/>
        </w:rPr>
        <w:t>赎回款项或</w:t>
      </w:r>
      <w:r>
        <w:rPr>
          <w:rFonts w:hint="eastAsia" w:ascii="宋体" w:hAnsi="宋体"/>
          <w:szCs w:val="21"/>
        </w:rPr>
        <w:t>部分延期赎回的当日及时以双方认可的形式通知基金托管人。</w:t>
      </w:r>
    </w:p>
    <w:p w14:paraId="5A100630">
      <w:pPr>
        <w:tabs>
          <w:tab w:val="left" w:pos="4680"/>
        </w:tabs>
        <w:spacing w:line="360" w:lineRule="auto"/>
        <w:ind w:firstLine="420" w:firstLineChars="200"/>
        <w:jc w:val="left"/>
        <w:rPr>
          <w:rFonts w:ascii="宋体" w:hAnsi="宋体"/>
          <w:szCs w:val="21"/>
        </w:rPr>
      </w:pPr>
      <w:r>
        <w:rPr>
          <w:rFonts w:hint="eastAsia" w:ascii="宋体" w:hAnsi="宋体"/>
          <w:szCs w:val="21"/>
        </w:rPr>
        <w:t>（六）申购赎回资金结算</w:t>
      </w:r>
    </w:p>
    <w:p w14:paraId="33CA3D8C">
      <w:pPr>
        <w:tabs>
          <w:tab w:val="left" w:pos="4680"/>
        </w:tabs>
        <w:spacing w:line="360" w:lineRule="auto"/>
        <w:ind w:firstLine="420" w:firstLineChars="200"/>
        <w:jc w:val="left"/>
        <w:rPr>
          <w:rFonts w:ascii="宋体" w:hAnsi="宋体"/>
          <w:szCs w:val="21"/>
        </w:rPr>
      </w:pPr>
      <w:r>
        <w:rPr>
          <w:rFonts w:ascii="宋体" w:hAnsi="宋体"/>
          <w:szCs w:val="21"/>
        </w:rPr>
        <w:t>1、T+1日前（含T＋1日，T日为申请日），基金管理人负责根据T日投资人申购、赎回基金的确认数据汇总传输给基金托管人。基金管理人和基金托管人据此进行申购的基金会计处理。</w:t>
      </w:r>
    </w:p>
    <w:p w14:paraId="70A80317">
      <w:pPr>
        <w:tabs>
          <w:tab w:val="left" w:pos="4680"/>
        </w:tabs>
        <w:spacing w:line="360" w:lineRule="auto"/>
        <w:ind w:firstLine="420" w:firstLineChars="200"/>
        <w:jc w:val="left"/>
        <w:rPr>
          <w:rFonts w:ascii="宋体" w:hAnsi="宋体"/>
          <w:szCs w:val="21"/>
        </w:rPr>
      </w:pPr>
      <w:r>
        <w:rPr>
          <w:rFonts w:hint="eastAsia" w:ascii="宋体" w:hAnsi="宋体"/>
          <w:szCs w:val="21"/>
        </w:rPr>
        <w:t>基金托管账户与“基金清算账户”间的资金清算遵循“全额清算、净额交收”的原则，即按照托管账户当日应收资金（申购申请对应申购净额与基金转换转入申请对应净额之和）与托管账户应付资金（赎回申请对应赎回金额扣除归基金资产的费用与基金转换转出申请对应金额扣除归基金资产的费用之和）的差额来确定托管账户净应收额或净应付额，以此确定资金交收额。当存在托管账户净应收额时，基金管理人负责将托管账户净应收额在交收日15:00前从“基金清算账户”划到基金托管账户；当存在托管账户净应付额时，基金管理人应提前将划款指令发送给基金托管人，基金托管人按基金管理人的划款指令将托管账户净应付额在交收日12:00前划到“基金清算账户”。</w:t>
      </w:r>
    </w:p>
    <w:p w14:paraId="788B8462">
      <w:pPr>
        <w:tabs>
          <w:tab w:val="left" w:pos="4680"/>
        </w:tabs>
        <w:spacing w:line="360" w:lineRule="auto"/>
        <w:ind w:firstLine="420" w:firstLineChars="200"/>
        <w:jc w:val="left"/>
        <w:rPr>
          <w:rFonts w:ascii="宋体" w:hAnsi="宋体"/>
          <w:szCs w:val="21"/>
        </w:rPr>
      </w:pPr>
      <w:r>
        <w:rPr>
          <w:rFonts w:hint="eastAsia" w:ascii="宋体" w:hAnsi="宋体"/>
          <w:szCs w:val="21"/>
        </w:rPr>
        <w:t>当存在托管账户净应付额时，如基金银行账户有足够的资金，基金托管人应按时拨付；因基金银行账户没有足够的资金，导致基金托管人不能按时拨付，基金托管人应及时通知基金管理人，如系基金管理人的原因造成，责任由基金管理人承担，基金托管人不承担垫款义务。</w:t>
      </w:r>
    </w:p>
    <w:p w14:paraId="1B62ADB2">
      <w:pPr>
        <w:tabs>
          <w:tab w:val="left" w:pos="4680"/>
        </w:tabs>
        <w:spacing w:line="360" w:lineRule="auto"/>
        <w:ind w:firstLine="420" w:firstLineChars="200"/>
        <w:jc w:val="left"/>
        <w:rPr>
          <w:rFonts w:ascii="宋体" w:hAnsi="宋体"/>
          <w:bCs/>
          <w:szCs w:val="21"/>
        </w:rPr>
      </w:pPr>
      <w:r>
        <w:rPr>
          <w:rFonts w:hint="eastAsia" w:ascii="宋体" w:hAnsi="宋体"/>
          <w:bCs/>
          <w:szCs w:val="21"/>
        </w:rPr>
        <w:t>（七）基金转换</w:t>
      </w:r>
    </w:p>
    <w:p w14:paraId="33AE5683">
      <w:pPr>
        <w:tabs>
          <w:tab w:val="left" w:pos="4680"/>
        </w:tabs>
        <w:spacing w:line="360" w:lineRule="auto"/>
        <w:ind w:firstLine="420" w:firstLineChars="200"/>
        <w:jc w:val="left"/>
        <w:rPr>
          <w:rFonts w:ascii="宋体" w:hAnsi="宋体"/>
          <w:szCs w:val="21"/>
        </w:rPr>
      </w:pPr>
      <w:r>
        <w:rPr>
          <w:rFonts w:hint="eastAsia" w:ascii="宋体" w:hAnsi="宋体"/>
          <w:szCs w:val="21"/>
        </w:rPr>
        <w:t>基金管理人与基金托管人按照相关法律法规、《基金合同》、以及本协议的规定办理基金转换。</w:t>
      </w:r>
    </w:p>
    <w:p w14:paraId="4239B90E">
      <w:pPr>
        <w:spacing w:line="360" w:lineRule="auto"/>
        <w:ind w:firstLine="420" w:firstLineChars="200"/>
        <w:rPr>
          <w:rFonts w:ascii="宋体" w:hAnsi="宋体"/>
          <w:szCs w:val="21"/>
        </w:rPr>
      </w:pPr>
      <w:r>
        <w:rPr>
          <w:rFonts w:ascii="宋体" w:hAnsi="宋体"/>
          <w:szCs w:val="21"/>
        </w:rPr>
        <w:t>(八)基金出现超买或超卖的责任认定及处理程序</w:t>
      </w:r>
    </w:p>
    <w:p w14:paraId="3B7D2348">
      <w:pPr>
        <w:spacing w:line="360" w:lineRule="auto"/>
        <w:ind w:firstLine="420" w:firstLineChars="200"/>
        <w:rPr>
          <w:rFonts w:ascii="宋体" w:hAnsi="宋体"/>
          <w:szCs w:val="21"/>
        </w:rPr>
      </w:pPr>
      <w:r>
        <w:rPr>
          <w:rFonts w:hint="eastAsia" w:ascii="宋体" w:hAnsi="宋体"/>
          <w:szCs w:val="21"/>
        </w:rPr>
        <w:t>基金托管人在履行监督职能时，如果发现基金投资证券过程中出现超买或超卖现象，应立即提醒基金管理人，由基金管理人负责解决，由此给基金及基金托管人造成的损失由基金管理人承担。如果非因基金托管人原因发生超买行为，基金管理人必须于</w:t>
      </w:r>
      <w:r>
        <w:rPr>
          <w:rFonts w:ascii="宋体" w:hAnsi="宋体"/>
          <w:szCs w:val="21"/>
        </w:rPr>
        <w:t>T+1日上午12时之前划拨资金，用以完成清算交收。</w:t>
      </w:r>
    </w:p>
    <w:p w14:paraId="4ABF48CA">
      <w:pPr>
        <w:spacing w:line="360" w:lineRule="auto"/>
        <w:ind w:firstLine="420" w:firstLineChars="200"/>
        <w:rPr>
          <w:rFonts w:ascii="宋体" w:hAnsi="宋体"/>
          <w:szCs w:val="21"/>
        </w:rPr>
      </w:pPr>
    </w:p>
    <w:p w14:paraId="6047531A">
      <w:pPr>
        <w:spacing w:line="360" w:lineRule="auto"/>
        <w:ind w:firstLine="420" w:firstLineChars="200"/>
        <w:rPr>
          <w:rFonts w:ascii="宋体" w:hAnsi="宋体"/>
          <w:szCs w:val="21"/>
        </w:rPr>
        <w:sectPr>
          <w:footerReference r:id="rId10" w:type="default"/>
          <w:pgSz w:w="11906" w:h="16838"/>
          <w:pgMar w:top="1440" w:right="1800" w:bottom="1440" w:left="1800" w:header="851" w:footer="992" w:gutter="0"/>
          <w:pgNumType w:start="1"/>
          <w:cols w:space="720" w:num="1"/>
          <w:docGrid w:type="lines" w:linePitch="312" w:charSpace="0"/>
        </w:sectPr>
      </w:pPr>
    </w:p>
    <w:p w14:paraId="7EABBEA7">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60" w:name="_Toc1720898"/>
      <w:r>
        <w:rPr>
          <w:rFonts w:hint="eastAsia" w:ascii="宋体" w:hAnsi="宋体" w:eastAsia="宋体" w:cs="Arial"/>
          <w:sz w:val="21"/>
          <w:szCs w:val="21"/>
        </w:rPr>
        <w:t>基金资产净值计算和会计核算</w:t>
      </w:r>
      <w:bookmarkEnd w:id="60"/>
    </w:p>
    <w:p w14:paraId="1DBE1950">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61" w:name="_Toc1720899"/>
      <w:bookmarkStart w:id="62" w:name="_Toc382819104"/>
      <w:r>
        <w:rPr>
          <w:rFonts w:hint="eastAsia" w:ascii="宋体" w:hAnsi="宋体" w:eastAsia="宋体"/>
          <w:b w:val="0"/>
          <w:bCs w:val="0"/>
          <w:sz w:val="21"/>
          <w:szCs w:val="21"/>
        </w:rPr>
        <w:t>（一）基金资产净值的计算</w:t>
      </w:r>
      <w:r>
        <w:rPr>
          <w:rFonts w:hint="eastAsia" w:ascii="宋体" w:hAnsi="宋体" w:eastAsia="宋体"/>
          <w:sz w:val="21"/>
          <w:szCs w:val="21"/>
        </w:rPr>
        <w:t>、</w:t>
      </w:r>
      <w:r>
        <w:rPr>
          <w:rFonts w:hint="eastAsia" w:ascii="宋体" w:hAnsi="宋体" w:eastAsia="宋体"/>
          <w:b w:val="0"/>
          <w:bCs w:val="0"/>
          <w:sz w:val="21"/>
          <w:szCs w:val="21"/>
        </w:rPr>
        <w:t>复核的时间和程序</w:t>
      </w:r>
      <w:bookmarkEnd w:id="61"/>
      <w:bookmarkEnd w:id="62"/>
    </w:p>
    <w:p w14:paraId="20DDC34B">
      <w:pPr>
        <w:spacing w:line="440" w:lineRule="atLeast"/>
        <w:ind w:right="28" w:firstLine="420" w:firstLineChars="200"/>
        <w:rPr>
          <w:rFonts w:ascii="宋体" w:hAnsi="宋体"/>
          <w:szCs w:val="21"/>
        </w:rPr>
      </w:pPr>
      <w:r>
        <w:rPr>
          <w:rFonts w:hint="eastAsia" w:ascii="宋体" w:hAnsi="宋体"/>
          <w:szCs w:val="21"/>
        </w:rPr>
        <w:t>基金资产净值是指基金资产总值减去负债后的价值。基金份额净值是指计算日基金资产净值除以该计算日基金份额总份额后的数值。基金份额净值的计算保留到小数点后</w:t>
      </w:r>
      <w:r>
        <w:rPr>
          <w:rFonts w:ascii="宋体" w:hAnsi="宋体"/>
          <w:szCs w:val="21"/>
        </w:rPr>
        <w:t>4</w:t>
      </w:r>
      <w:r>
        <w:rPr>
          <w:rFonts w:hint="eastAsia" w:ascii="宋体" w:hAnsi="宋体"/>
          <w:szCs w:val="21"/>
        </w:rPr>
        <w:t>位，小数点后第</w:t>
      </w:r>
      <w:r>
        <w:rPr>
          <w:rFonts w:ascii="宋体" w:hAnsi="宋体"/>
          <w:szCs w:val="21"/>
        </w:rPr>
        <w:t>5</w:t>
      </w:r>
      <w:r>
        <w:rPr>
          <w:rFonts w:hint="eastAsia" w:ascii="宋体" w:hAnsi="宋体"/>
          <w:szCs w:val="21"/>
        </w:rPr>
        <w:t>位四舍五入，由此产生的误差计入基金财产。基金管理人可以设立大额赎回情形下的净值精度应急调整机制。国家另有规定的，从其规定。</w:t>
      </w:r>
    </w:p>
    <w:p w14:paraId="7699D4AE">
      <w:pPr>
        <w:spacing w:line="440" w:lineRule="atLeast"/>
        <w:ind w:right="28" w:firstLine="420" w:firstLineChars="200"/>
        <w:rPr>
          <w:rFonts w:ascii="宋体" w:hAnsi="宋体"/>
          <w:szCs w:val="21"/>
        </w:rPr>
      </w:pPr>
      <w:r>
        <w:rPr>
          <w:rFonts w:hint="eastAsia" w:ascii="宋体" w:hAnsi="宋体"/>
          <w:szCs w:val="21"/>
        </w:rPr>
        <w:t>每个工作日，基金管理人应对基金资产估值。但基金管理人根据法律法规或基金合同的规定暂停估值时除外。估值原则应符合《基金合同》、《证券投资基金会计核算业务指引》及其他法律、法规的规定。基金资产净值和基金份额净值由基金管理人负责计算，基金托管人复</w:t>
      </w:r>
      <w:r>
        <w:rPr>
          <w:rFonts w:hint="eastAsia" w:ascii="宋体" w:hAnsi="宋体"/>
          <w:color w:val="000000"/>
          <w:szCs w:val="21"/>
        </w:rPr>
        <w:t>核。</w:t>
      </w:r>
      <w:r>
        <w:rPr>
          <w:rFonts w:hint="eastAsia" w:ascii="宋体" w:hAnsi="宋体" w:cs="宋体"/>
          <w:color w:val="000000"/>
          <w:kern w:val="0"/>
          <w:szCs w:val="21"/>
        </w:rPr>
        <w:t>基金管理人应于每个工作日交易结束后计算当日的基金份额资产净值并以双方认可的方式发送给基金托管人。基金托管人对净值计算结果复核后以双方认可的方式发送给基金管理人，由基金管理人对基金净值予以公布。</w:t>
      </w:r>
    </w:p>
    <w:p w14:paraId="06811F82">
      <w:pPr>
        <w:tabs>
          <w:tab w:val="left" w:pos="900"/>
        </w:tabs>
        <w:spacing w:line="360" w:lineRule="auto"/>
        <w:ind w:right="28" w:firstLine="420" w:firstLineChars="200"/>
        <w:rPr>
          <w:rFonts w:ascii="宋体" w:hAnsi="宋体"/>
          <w:szCs w:val="21"/>
        </w:rPr>
      </w:pPr>
      <w:r>
        <w:rPr>
          <w:rFonts w:hint="eastAsia" w:ascii="宋体" w:hAnsi="宋体"/>
          <w:szCs w:val="21"/>
        </w:rPr>
        <w:t>根据《基金法》，基金管理人计算并公告基金净值，基金托管人复核、审查基金管理人计算的基金净值。本基金的会计责任方是基金管理人，就与本基金有关的会计问题，如经相关各方在平等基础上充分讨论后，仍无法达成一致的意见，按照基金管理人对基金净值的计算结果对外予以公布。法律法规以及监管部门有强制规定的，从其规定。如有新增事项，按国家最新规定估值。</w:t>
      </w:r>
    </w:p>
    <w:p w14:paraId="22A2814A">
      <w:pPr>
        <w:pStyle w:val="3"/>
        <w:keepNext w:val="0"/>
        <w:keepLines w:val="0"/>
        <w:autoSpaceDE w:val="0"/>
        <w:autoSpaceDN w:val="0"/>
        <w:adjustRightInd w:val="0"/>
        <w:spacing w:before="0" w:after="0" w:line="440" w:lineRule="atLeast"/>
        <w:ind w:firstLine="420" w:firstLineChars="200"/>
        <w:textAlignment w:val="baseline"/>
        <w:rPr>
          <w:rFonts w:ascii="宋体" w:hAnsi="宋体" w:eastAsia="宋体"/>
          <w:b w:val="0"/>
          <w:bCs w:val="0"/>
          <w:sz w:val="21"/>
          <w:szCs w:val="21"/>
        </w:rPr>
      </w:pPr>
      <w:bookmarkStart w:id="63" w:name="_Toc382819105"/>
      <w:bookmarkStart w:id="64" w:name="_Toc1720900"/>
      <w:r>
        <w:rPr>
          <w:rFonts w:hint="eastAsia" w:ascii="宋体" w:hAnsi="宋体" w:eastAsia="宋体"/>
          <w:b w:val="0"/>
          <w:bCs w:val="0"/>
          <w:sz w:val="21"/>
          <w:szCs w:val="21"/>
        </w:rPr>
        <w:t>（二）基金资产估值方法</w:t>
      </w:r>
      <w:bookmarkEnd w:id="63"/>
      <w:bookmarkEnd w:id="64"/>
    </w:p>
    <w:p w14:paraId="4F46BD29">
      <w:pPr>
        <w:spacing w:line="440" w:lineRule="atLeast"/>
        <w:ind w:right="28" w:firstLine="420" w:firstLineChars="200"/>
        <w:rPr>
          <w:rFonts w:ascii="宋体" w:hAnsi="宋体"/>
          <w:szCs w:val="21"/>
        </w:rPr>
      </w:pPr>
      <w:r>
        <w:rPr>
          <w:rFonts w:ascii="宋体" w:hAnsi="宋体"/>
          <w:szCs w:val="21"/>
        </w:rPr>
        <w:t>1.估值对象</w:t>
      </w:r>
    </w:p>
    <w:p w14:paraId="67D3C075">
      <w:pPr>
        <w:spacing w:line="440" w:lineRule="atLeast"/>
        <w:ind w:right="28" w:firstLine="420" w:firstLineChars="200"/>
        <w:rPr>
          <w:rFonts w:ascii="宋体" w:hAnsi="宋体"/>
          <w:bCs/>
          <w:szCs w:val="21"/>
        </w:rPr>
      </w:pPr>
      <w:r>
        <w:rPr>
          <w:rFonts w:hint="eastAsia" w:ascii="宋体" w:hAnsi="宋体"/>
          <w:bCs/>
          <w:szCs w:val="21"/>
        </w:rPr>
        <w:t>基金所拥有的债券和银行存款本息、应收款项、其它投资等资产及负债。</w:t>
      </w:r>
    </w:p>
    <w:p w14:paraId="418B3E4B">
      <w:pPr>
        <w:spacing w:line="440" w:lineRule="atLeast"/>
        <w:ind w:right="28" w:firstLine="420" w:firstLineChars="200"/>
        <w:rPr>
          <w:rFonts w:ascii="宋体" w:hAnsi="宋体"/>
          <w:szCs w:val="21"/>
        </w:rPr>
      </w:pPr>
      <w:r>
        <w:rPr>
          <w:rFonts w:ascii="宋体" w:hAnsi="宋体"/>
          <w:szCs w:val="21"/>
        </w:rPr>
        <w:t>2.估值方法</w:t>
      </w:r>
    </w:p>
    <w:p w14:paraId="15E18B68">
      <w:pPr>
        <w:spacing w:line="440" w:lineRule="atLeast"/>
        <w:ind w:right="28" w:firstLine="420" w:firstLineChars="200"/>
        <w:rPr>
          <w:rFonts w:ascii="宋体" w:hAnsi="宋体"/>
          <w:szCs w:val="21"/>
        </w:rPr>
      </w:pPr>
      <w:r>
        <w:rPr>
          <w:rFonts w:hint="eastAsia" w:ascii="宋体" w:hAnsi="宋体"/>
          <w:szCs w:val="21"/>
        </w:rPr>
        <w:t>（1）本基金估值采用摊余成本法，即计价对象以买入成本列示，按票面利率或协议利率并考虑其买入时的溢价与折价，在其剩余存续期内按照实际利率法进行摊销，每日计提损益。本基金不采用市场利率和上市交易的债券和票据的市价计算基金资产净值，不采取固定单位基金份额净值。</w:t>
      </w:r>
    </w:p>
    <w:p w14:paraId="0D7282F4">
      <w:pPr>
        <w:spacing w:line="440" w:lineRule="atLeast"/>
        <w:ind w:right="28" w:firstLine="420" w:firstLineChars="200"/>
        <w:rPr>
          <w:rFonts w:ascii="宋体" w:hAnsi="宋体"/>
          <w:szCs w:val="21"/>
        </w:rPr>
      </w:pPr>
      <w:r>
        <w:rPr>
          <w:rFonts w:hint="eastAsia" w:ascii="宋体" w:hAnsi="宋体"/>
          <w:szCs w:val="21"/>
        </w:rPr>
        <w:t>（2）债券回购以协议成本列示，按协议商定利率在实际持有期内逐日计提利息。</w:t>
      </w:r>
    </w:p>
    <w:p w14:paraId="7D168D2C">
      <w:pPr>
        <w:spacing w:line="440" w:lineRule="atLeast"/>
        <w:ind w:right="28" w:firstLine="420" w:firstLineChars="200"/>
        <w:rPr>
          <w:rFonts w:ascii="宋体" w:hAnsi="宋体"/>
          <w:szCs w:val="21"/>
        </w:rPr>
      </w:pPr>
      <w:r>
        <w:rPr>
          <w:rFonts w:hint="eastAsia" w:ascii="宋体" w:hAnsi="宋体"/>
          <w:szCs w:val="21"/>
        </w:rPr>
        <w:t>（3）银行存款以本金列示，按银行实际协议利率逐日计提利息。</w:t>
      </w:r>
    </w:p>
    <w:p w14:paraId="6532DC93">
      <w:pPr>
        <w:spacing w:line="440" w:lineRule="atLeast"/>
        <w:ind w:right="28" w:firstLine="420" w:firstLineChars="200"/>
        <w:rPr>
          <w:rFonts w:ascii="宋体" w:hAnsi="宋体"/>
          <w:szCs w:val="21"/>
        </w:rPr>
      </w:pPr>
      <w:r>
        <w:rPr>
          <w:rFonts w:hint="eastAsia" w:ascii="宋体" w:hAnsi="宋体"/>
          <w:szCs w:val="21"/>
        </w:rPr>
        <w:t>（4）基金应当按照企业会计准则的要求，评估金融资产是否发生减值，如有客观证据表明其发生减值的，应当计提减值准备。</w:t>
      </w:r>
    </w:p>
    <w:p w14:paraId="6B44DC86">
      <w:pPr>
        <w:spacing w:line="440" w:lineRule="atLeast"/>
        <w:ind w:right="28" w:firstLine="420" w:firstLineChars="200"/>
        <w:rPr>
          <w:rFonts w:ascii="宋体" w:hAnsi="宋体"/>
          <w:szCs w:val="21"/>
        </w:rPr>
      </w:pPr>
      <w:r>
        <w:rPr>
          <w:rFonts w:hint="eastAsia" w:ascii="宋体" w:hAnsi="宋体"/>
          <w:szCs w:val="21"/>
        </w:rPr>
        <w:t>（5）当发生大额申购或赎回情形时，基金管理人可以采用摆动定价机制，以确保基金估值的公平性。</w:t>
      </w:r>
    </w:p>
    <w:p w14:paraId="49EF4524">
      <w:pPr>
        <w:spacing w:line="440" w:lineRule="atLeast"/>
        <w:ind w:right="28" w:firstLine="420" w:firstLineChars="200"/>
        <w:rPr>
          <w:rFonts w:ascii="宋体" w:hAnsi="宋体"/>
          <w:szCs w:val="21"/>
        </w:rPr>
      </w:pPr>
      <w:r>
        <w:rPr>
          <w:rFonts w:hint="eastAsia" w:ascii="宋体" w:hAnsi="宋体"/>
          <w:szCs w:val="21"/>
        </w:rPr>
        <w:t>（6）如有确凿证据表明本基金在封闭期内买入持有至到期的投资策略发生变化或其他原因，导致按原有摊余成本法估值不能客观反映上述资产或负债于开放期内的公允价值的，基金管理人可根据具体情况与基金托管人商定后，按最能反映上述资产或负债于开放期内的公允价值的方法估值。为最大限度保护基金份额持有人利益，基金管理人可采用的风险控制手段包括但不限于：处置信用风险显著增加的固定收益品种、及时评估和计提固定收益品种减值损失、封闭期到期暂停进入下一开放期、于开放期内改按公允价值计算基金份额净值等。</w:t>
      </w:r>
    </w:p>
    <w:p w14:paraId="4BCCFAD0">
      <w:pPr>
        <w:spacing w:line="440" w:lineRule="atLeast"/>
        <w:ind w:right="28" w:firstLine="420" w:firstLineChars="200"/>
        <w:rPr>
          <w:rFonts w:ascii="宋体" w:hAnsi="宋体"/>
          <w:szCs w:val="21"/>
        </w:rPr>
      </w:pPr>
      <w:r>
        <w:rPr>
          <w:rFonts w:hint="eastAsia" w:ascii="宋体" w:hAnsi="宋体"/>
          <w:szCs w:val="21"/>
        </w:rPr>
        <w:t>（7）相关法律法规以及监管部门有强制规定的，从其规定。如有新增事项，按国家最新规定估值。</w:t>
      </w:r>
    </w:p>
    <w:p w14:paraId="11BEDA67">
      <w:pPr>
        <w:spacing w:line="440" w:lineRule="atLeast"/>
        <w:ind w:right="28" w:firstLine="420" w:firstLineChars="200"/>
        <w:rPr>
          <w:rFonts w:ascii="宋体" w:hAnsi="宋体"/>
          <w:szCs w:val="21"/>
        </w:rPr>
      </w:pPr>
      <w:r>
        <w:rPr>
          <w:rFonts w:hint="eastAsia" w:ascii="宋体" w:hAnsi="宋体"/>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61CD56EA">
      <w:pPr>
        <w:spacing w:line="440" w:lineRule="atLeast"/>
        <w:ind w:right="28" w:firstLine="420" w:firstLineChars="200"/>
        <w:rPr>
          <w:rFonts w:ascii="宋体" w:hAnsi="宋体"/>
          <w:szCs w:val="21"/>
        </w:rPr>
      </w:pPr>
      <w:r>
        <w:rPr>
          <w:rFonts w:hint="eastAsia" w:ascii="宋体" w:hAnsi="宋体"/>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D8C4360">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65" w:name="_Toc1720901"/>
      <w:bookmarkStart w:id="66" w:name="_Toc382819106"/>
      <w:r>
        <w:rPr>
          <w:rFonts w:hint="eastAsia" w:ascii="宋体" w:hAnsi="宋体" w:eastAsia="宋体"/>
          <w:b w:val="0"/>
          <w:bCs w:val="0"/>
          <w:sz w:val="21"/>
          <w:szCs w:val="21"/>
        </w:rPr>
        <w:t>（三）估值差错处理</w:t>
      </w:r>
      <w:bookmarkEnd w:id="65"/>
      <w:bookmarkEnd w:id="66"/>
    </w:p>
    <w:p w14:paraId="290170B9">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67" w:name="_Toc1720902"/>
      <w:bookmarkStart w:id="68" w:name="_Toc382819107"/>
      <w:r>
        <w:rPr>
          <w:rFonts w:ascii="宋体" w:hAnsi="宋体" w:eastAsia="宋体"/>
          <w:b w:val="0"/>
          <w:bCs w:val="0"/>
          <w:sz w:val="21"/>
          <w:szCs w:val="21"/>
        </w:rPr>
        <w:t>1.当基金份额净值小数点后4</w:t>
      </w:r>
      <w:r>
        <w:rPr>
          <w:rFonts w:hint="eastAsia" w:ascii="宋体" w:hAnsi="宋体" w:eastAsia="宋体"/>
          <w:b w:val="0"/>
          <w:bCs w:val="0"/>
          <w:sz w:val="21"/>
          <w:szCs w:val="21"/>
        </w:rPr>
        <w:t>位以内（含第</w:t>
      </w:r>
      <w:r>
        <w:rPr>
          <w:rFonts w:ascii="宋体" w:hAnsi="宋体" w:eastAsia="宋体"/>
          <w:b w:val="0"/>
          <w:bCs w:val="0"/>
          <w:sz w:val="21"/>
          <w:szCs w:val="21"/>
        </w:rPr>
        <w:t>4</w:t>
      </w:r>
      <w:r>
        <w:rPr>
          <w:rFonts w:hint="eastAsia" w:ascii="宋体" w:hAnsi="宋体" w:eastAsia="宋体"/>
          <w:b w:val="0"/>
          <w:bCs w:val="0"/>
          <w:sz w:val="21"/>
          <w:szCs w:val="21"/>
        </w:rPr>
        <w:t>位）发生差错时，视为基金份额净值错误；基金份额净值出现错误时，基金管理人应当立即予以纠正，通报基金托管人，并采取合理的措施防止损失进一步扩大；错误偏差达到基金份额净值的</w:t>
      </w:r>
      <w:r>
        <w:rPr>
          <w:rFonts w:ascii="宋体" w:hAnsi="宋体" w:eastAsia="宋体"/>
          <w:b w:val="0"/>
          <w:bCs w:val="0"/>
          <w:sz w:val="21"/>
          <w:szCs w:val="21"/>
        </w:rPr>
        <w:t>0.25%时，基金管理人应当通报基金托管人并报中国证监会备案；错误偏差达到基金</w:t>
      </w:r>
      <w:r>
        <w:rPr>
          <w:rFonts w:hint="eastAsia" w:ascii="宋体" w:hAnsi="宋体" w:eastAsia="宋体"/>
          <w:b w:val="0"/>
          <w:bCs w:val="0"/>
          <w:sz w:val="21"/>
          <w:szCs w:val="21"/>
        </w:rPr>
        <w:t>份额净值的</w:t>
      </w:r>
      <w:r>
        <w:rPr>
          <w:rFonts w:ascii="宋体" w:hAnsi="宋体" w:eastAsia="宋体"/>
          <w:b w:val="0"/>
          <w:bCs w:val="0"/>
          <w:sz w:val="21"/>
          <w:szCs w:val="21"/>
        </w:rPr>
        <w:t>0.50%时，基金管理人应当公告</w:t>
      </w:r>
      <w:r>
        <w:rPr>
          <w:rFonts w:hint="eastAsia" w:ascii="宋体" w:hAnsi="宋体" w:eastAsia="宋体"/>
          <w:b w:val="0"/>
          <w:bCs w:val="0"/>
          <w:sz w:val="21"/>
          <w:szCs w:val="21"/>
        </w:rPr>
        <w:t>，并报中国证监会备案</w:t>
      </w:r>
      <w:r>
        <w:rPr>
          <w:rFonts w:ascii="宋体" w:hAnsi="宋体" w:eastAsia="宋体"/>
          <w:b w:val="0"/>
          <w:bCs w:val="0"/>
          <w:sz w:val="21"/>
          <w:szCs w:val="21"/>
        </w:rPr>
        <w:t>；</w:t>
      </w:r>
      <w:bookmarkEnd w:id="67"/>
    </w:p>
    <w:p w14:paraId="374E418C">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69" w:name="_Toc1720903"/>
      <w:r>
        <w:rPr>
          <w:rFonts w:hint="eastAsia" w:ascii="宋体" w:hAnsi="宋体" w:eastAsia="宋体"/>
          <w:b w:val="0"/>
          <w:bCs w:val="0"/>
          <w:sz w:val="21"/>
          <w:szCs w:val="21"/>
        </w:rPr>
        <w:t>当因基金管理人和基金托管人原因致使基金份额净值计算差错给基金和基金份额持有人造成损失需要进行赔偿时，基金管理人和基金托管人应根据实际情况界定双方承担的责任，经确认后按以下条款进行赔偿：</w:t>
      </w:r>
      <w:bookmarkEnd w:id="69"/>
    </w:p>
    <w:p w14:paraId="5035779E">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70" w:name="_Toc1720904"/>
      <w:bookmarkStart w:id="71" w:name="_Toc382819109"/>
      <w:r>
        <w:rPr>
          <w:rFonts w:hint="eastAsia" w:ascii="宋体" w:hAnsi="宋体" w:eastAsia="宋体"/>
          <w:b w:val="0"/>
          <w:bCs w:val="0"/>
          <w:sz w:val="21"/>
          <w:szCs w:val="21"/>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bookmarkEnd w:id="70"/>
      <w:bookmarkEnd w:id="71"/>
    </w:p>
    <w:bookmarkEnd w:id="68"/>
    <w:p w14:paraId="2E3AC77C">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72" w:name="_Toc382819108"/>
      <w:bookmarkStart w:id="73" w:name="_Toc1720905"/>
      <w:r>
        <w:rPr>
          <w:rFonts w:ascii="宋体" w:hAnsi="宋体" w:eastAsia="宋体"/>
          <w:b w:val="0"/>
          <w:bCs w:val="0"/>
          <w:sz w:val="21"/>
          <w:szCs w:val="21"/>
        </w:rPr>
        <w:t>2.</w:t>
      </w:r>
      <w:bookmarkEnd w:id="72"/>
      <w:bookmarkStart w:id="74" w:name="_Toc382819110"/>
      <w:r>
        <w:rPr>
          <w:rFonts w:hint="eastAsia" w:ascii="宋体" w:hAnsi="宋体" w:eastAsia="宋体"/>
          <w:b w:val="0"/>
          <w:bCs w:val="0"/>
          <w:sz w:val="21"/>
          <w:szCs w:val="21"/>
        </w:rPr>
        <w:t>基金管理人或基金托管人按估值方法的第（</w:t>
      </w:r>
      <w:r>
        <w:rPr>
          <w:rFonts w:ascii="宋体" w:hAnsi="宋体" w:eastAsia="宋体"/>
          <w:b w:val="0"/>
          <w:bCs w:val="0"/>
          <w:sz w:val="21"/>
          <w:szCs w:val="21"/>
        </w:rPr>
        <w:t>6</w:t>
      </w:r>
      <w:r>
        <w:rPr>
          <w:rFonts w:hint="eastAsia" w:ascii="宋体" w:hAnsi="宋体" w:eastAsia="宋体"/>
          <w:b w:val="0"/>
          <w:bCs w:val="0"/>
          <w:sz w:val="21"/>
          <w:szCs w:val="21"/>
        </w:rPr>
        <w:t>）</w:t>
      </w:r>
      <w:r>
        <w:rPr>
          <w:rFonts w:ascii="宋体" w:hAnsi="宋体" w:eastAsia="宋体"/>
          <w:b w:val="0"/>
          <w:bCs w:val="0"/>
          <w:sz w:val="21"/>
          <w:szCs w:val="21"/>
        </w:rPr>
        <w:t>项进行估值时，所造成的误差不作为基金资产估值错误处理。</w:t>
      </w:r>
      <w:bookmarkEnd w:id="73"/>
    </w:p>
    <w:p w14:paraId="2003A6C8">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75" w:name="_Toc1720906"/>
      <w:r>
        <w:rPr>
          <w:rFonts w:hint="eastAsia" w:ascii="宋体" w:hAnsi="宋体" w:eastAsia="宋体"/>
          <w:b w:val="0"/>
          <w:bCs w:val="0"/>
          <w:sz w:val="21"/>
          <w:szCs w:val="21"/>
        </w:rPr>
        <w:t>由于不可抗力原因，或由于证券交易所、登记结算公司及存款银行等第三方机构发送的数据错误、遗漏等原因，致使基金管理人和基金托管人虽然已经采取必要、适当、合理的措施进行检查，但是仍未能发现该错误而造成的基金份额净值计算错误，基金管理人、基金托管人免除赔偿责任。但基金管理人、基金托管人应积极采取必要的措施消除或减轻由此造成的影响。</w:t>
      </w:r>
      <w:bookmarkEnd w:id="74"/>
      <w:bookmarkEnd w:id="75"/>
    </w:p>
    <w:p w14:paraId="5F979D6A">
      <w:pPr>
        <w:spacing w:line="360" w:lineRule="auto"/>
        <w:ind w:firstLine="422" w:firstLineChars="200"/>
        <w:rPr>
          <w:b/>
          <w:bCs/>
          <w:szCs w:val="21"/>
        </w:rPr>
      </w:pPr>
    </w:p>
    <w:p w14:paraId="47220C1D">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76" w:name="_Toc382819111"/>
      <w:bookmarkStart w:id="77" w:name="_Toc1720907"/>
      <w:r>
        <w:rPr>
          <w:rFonts w:hint="eastAsia" w:ascii="宋体" w:hAnsi="宋体" w:eastAsia="宋体"/>
          <w:b w:val="0"/>
          <w:bCs w:val="0"/>
          <w:sz w:val="21"/>
          <w:szCs w:val="21"/>
        </w:rPr>
        <w:t>3</w:t>
      </w:r>
      <w:r>
        <w:rPr>
          <w:rFonts w:ascii="宋体" w:hAnsi="宋体" w:eastAsia="宋体"/>
          <w:b w:val="0"/>
          <w:bCs w:val="0"/>
          <w:sz w:val="21"/>
          <w:szCs w:val="21"/>
        </w:rPr>
        <w:t>.基金管理人和基金托管人由于各自技术系统设置而产生的净值计算尾差，以基金管理人计算结果为准。</w:t>
      </w:r>
      <w:bookmarkEnd w:id="76"/>
      <w:bookmarkEnd w:id="77"/>
    </w:p>
    <w:p w14:paraId="00379CFD">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78" w:name="_Toc1720908"/>
      <w:bookmarkStart w:id="79" w:name="_Toc382819112"/>
      <w:r>
        <w:rPr>
          <w:rFonts w:hint="eastAsia" w:ascii="宋体" w:hAnsi="宋体" w:eastAsia="宋体"/>
          <w:b w:val="0"/>
          <w:bCs w:val="0"/>
          <w:sz w:val="21"/>
          <w:szCs w:val="21"/>
        </w:rPr>
        <w:t>4</w:t>
      </w:r>
      <w:r>
        <w:rPr>
          <w:rFonts w:ascii="宋体" w:hAnsi="宋体" w:eastAsia="宋体"/>
          <w:b w:val="0"/>
          <w:bCs w:val="0"/>
          <w:sz w:val="21"/>
          <w:szCs w:val="21"/>
        </w:rPr>
        <w:t>.前述内容如法律法规或者监管部门另有规定的，从其规定。如果行业另有通行做法，</w:t>
      </w:r>
      <w:r>
        <w:rPr>
          <w:rFonts w:hint="eastAsia" w:ascii="宋体" w:hAnsi="宋体" w:eastAsia="宋体"/>
          <w:b w:val="0"/>
          <w:bCs w:val="0"/>
          <w:sz w:val="21"/>
          <w:szCs w:val="21"/>
        </w:rPr>
        <w:t>双方当事人应本着平等和保护基金份额持有人利益的原则进行协商。</w:t>
      </w:r>
      <w:bookmarkEnd w:id="78"/>
      <w:bookmarkEnd w:id="79"/>
    </w:p>
    <w:p w14:paraId="708E5153">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80" w:name="_Toc382819113"/>
      <w:bookmarkStart w:id="81" w:name="_Toc1720909"/>
      <w:r>
        <w:rPr>
          <w:rFonts w:hint="eastAsia" w:ascii="宋体" w:hAnsi="宋体" w:eastAsia="宋体"/>
          <w:b w:val="0"/>
          <w:bCs w:val="0"/>
          <w:sz w:val="21"/>
          <w:szCs w:val="21"/>
        </w:rPr>
        <w:t>（四）暂停估值与公告基金份额净值的情形</w:t>
      </w:r>
      <w:bookmarkEnd w:id="80"/>
      <w:bookmarkEnd w:id="81"/>
    </w:p>
    <w:p w14:paraId="1ED2DEEF">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w:t>
      </w:r>
      <w:r>
        <w:rPr>
          <w:rFonts w:ascii="宋体" w:hAnsi="宋体"/>
          <w:szCs w:val="21"/>
        </w:rPr>
        <w:t>基金投资所涉及的证券交易市场遇法定节假日或因其他原因暂停营业时；</w:t>
      </w:r>
    </w:p>
    <w:p w14:paraId="1ABF2967">
      <w:pPr>
        <w:spacing w:line="360" w:lineRule="auto"/>
        <w:ind w:firstLine="420" w:firstLineChars="200"/>
        <w:rPr>
          <w:rFonts w:ascii="宋体" w:hAnsi="宋体"/>
          <w:szCs w:val="21"/>
        </w:rPr>
      </w:pPr>
      <w:r>
        <w:rPr>
          <w:rFonts w:ascii="宋体" w:hAnsi="宋体"/>
          <w:szCs w:val="21"/>
        </w:rPr>
        <w:t>2</w:t>
      </w:r>
      <w:r>
        <w:rPr>
          <w:rFonts w:hint="eastAsia" w:ascii="宋体" w:hAnsi="宋体"/>
          <w:szCs w:val="21"/>
        </w:rPr>
        <w:t>.</w:t>
      </w:r>
      <w:r>
        <w:rPr>
          <w:rFonts w:ascii="宋体" w:hAnsi="宋体"/>
          <w:szCs w:val="21"/>
        </w:rPr>
        <w:t>因不可抗力</w:t>
      </w:r>
      <w:r>
        <w:rPr>
          <w:rFonts w:hint="eastAsia" w:ascii="宋体" w:hAnsi="宋体"/>
          <w:szCs w:val="21"/>
        </w:rPr>
        <w:t>或其他情形</w:t>
      </w:r>
      <w:r>
        <w:rPr>
          <w:rFonts w:ascii="宋体" w:hAnsi="宋体"/>
          <w:szCs w:val="21"/>
        </w:rPr>
        <w:t>致使基金管理人、基金托管人无法准确评估基金资产价值时；</w:t>
      </w:r>
    </w:p>
    <w:p w14:paraId="32A41F33">
      <w:pPr>
        <w:spacing w:line="360" w:lineRule="auto"/>
        <w:ind w:firstLine="420" w:firstLineChars="200"/>
        <w:rPr>
          <w:rFonts w:ascii="宋体" w:hAnsi="宋体"/>
          <w:szCs w:val="21"/>
        </w:rPr>
      </w:pPr>
      <w:r>
        <w:rPr>
          <w:rFonts w:hint="eastAsia" w:ascii="宋体" w:hAnsi="宋体"/>
          <w:szCs w:val="21"/>
        </w:rPr>
        <w:t>3.当前一估值日基金资产净值 50%以上的资产出现无可参考的活跃市场价格且采用估值技术仍导致公允价值存在重大不确定性时，经与基金托管人协商确认后，基金管理人应当暂停估值；</w:t>
      </w:r>
    </w:p>
    <w:p w14:paraId="3A09E4CE">
      <w:pPr>
        <w:spacing w:line="360" w:lineRule="auto"/>
        <w:ind w:firstLine="420" w:firstLineChars="200"/>
        <w:rPr>
          <w:rFonts w:ascii="宋体" w:hAnsi="宋体"/>
          <w:szCs w:val="21"/>
        </w:rPr>
      </w:pPr>
      <w:r>
        <w:rPr>
          <w:rFonts w:hint="eastAsia" w:ascii="宋体" w:hAnsi="宋体"/>
          <w:szCs w:val="21"/>
        </w:rPr>
        <w:t>4.当特定资产占前一估值日基金资产净值50%以上的，经与基金托管人协商确认后，基金管理人应当暂停估值；</w:t>
      </w:r>
    </w:p>
    <w:p w14:paraId="5D4DA5A4">
      <w:pPr>
        <w:spacing w:line="360" w:lineRule="auto"/>
        <w:ind w:firstLine="420" w:firstLineChars="200"/>
        <w:rPr>
          <w:rFonts w:ascii="宋体" w:hAnsi="宋体"/>
          <w:szCs w:val="21"/>
        </w:rPr>
      </w:pPr>
      <w:r>
        <w:rPr>
          <w:rFonts w:ascii="宋体" w:hAnsi="宋体"/>
          <w:szCs w:val="21"/>
        </w:rPr>
        <w:t>5</w:t>
      </w:r>
      <w:r>
        <w:rPr>
          <w:rFonts w:hint="eastAsia" w:ascii="宋体" w:hAnsi="宋体"/>
          <w:szCs w:val="21"/>
        </w:rPr>
        <w:t>.法律法规规定、</w:t>
      </w:r>
      <w:r>
        <w:rPr>
          <w:rFonts w:ascii="宋体" w:hAnsi="宋体"/>
          <w:szCs w:val="21"/>
        </w:rPr>
        <w:t>中国证监会和基金合同认定的其它情形。</w:t>
      </w:r>
    </w:p>
    <w:p w14:paraId="06D874AD">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82" w:name="_Toc382819116"/>
      <w:bookmarkStart w:id="83" w:name="_Toc1720910"/>
      <w:r>
        <w:rPr>
          <w:rFonts w:hint="eastAsia" w:ascii="宋体" w:hAnsi="宋体" w:eastAsia="宋体"/>
          <w:b w:val="0"/>
          <w:bCs w:val="0"/>
          <w:sz w:val="21"/>
          <w:szCs w:val="21"/>
        </w:rPr>
        <w:t>（五）基金账册的建立</w:t>
      </w:r>
      <w:bookmarkEnd w:id="82"/>
      <w:bookmarkEnd w:id="83"/>
    </w:p>
    <w:p w14:paraId="3900BA22">
      <w:pPr>
        <w:spacing w:line="360" w:lineRule="auto"/>
        <w:ind w:firstLine="420" w:firstLineChars="200"/>
        <w:rPr>
          <w:rFonts w:ascii="宋体" w:hAnsi="宋体"/>
          <w:szCs w:val="21"/>
        </w:rPr>
      </w:pPr>
      <w:r>
        <w:rPr>
          <w:rFonts w:hint="eastAsia" w:ascii="宋体" w:hAnsi="宋体"/>
          <w:szCs w:val="21"/>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14:paraId="6BF18769">
      <w:pPr>
        <w:spacing w:line="360" w:lineRule="auto"/>
        <w:ind w:firstLine="420" w:firstLineChars="200"/>
        <w:rPr>
          <w:rFonts w:ascii="宋体" w:hAnsi="宋体"/>
          <w:szCs w:val="21"/>
        </w:rPr>
      </w:pPr>
      <w:r>
        <w:rPr>
          <w:rFonts w:hint="eastAsia" w:ascii="宋体" w:hAnsi="宋体"/>
          <w:szCs w:val="21"/>
        </w:rPr>
        <w:t>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w:t>
      </w:r>
    </w:p>
    <w:p w14:paraId="2BE4B7EA">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84" w:name="_Toc382819117"/>
      <w:bookmarkStart w:id="85" w:name="_Toc1720911"/>
      <w:r>
        <w:rPr>
          <w:rFonts w:hint="eastAsia" w:ascii="宋体" w:hAnsi="宋体" w:eastAsia="宋体"/>
          <w:b w:val="0"/>
          <w:bCs w:val="0"/>
          <w:sz w:val="21"/>
          <w:szCs w:val="21"/>
        </w:rPr>
        <w:t>（六）基金定期报告的编制和复核</w:t>
      </w:r>
      <w:bookmarkEnd w:id="84"/>
      <w:bookmarkEnd w:id="85"/>
    </w:p>
    <w:p w14:paraId="00704DB9">
      <w:pPr>
        <w:spacing w:line="360" w:lineRule="auto"/>
        <w:ind w:firstLine="420" w:firstLineChars="200"/>
        <w:rPr>
          <w:rFonts w:ascii="宋体" w:hAnsi="宋体"/>
          <w:szCs w:val="21"/>
        </w:rPr>
      </w:pPr>
      <w:r>
        <w:rPr>
          <w:rFonts w:hint="eastAsia" w:ascii="宋体" w:hAnsi="宋体"/>
          <w:szCs w:val="21"/>
        </w:rPr>
        <w:t>基金财务报表由基金管理人和基金托管人每月分别独立编制。月度报表的编制，应于每月终了后</w:t>
      </w:r>
      <w:r>
        <w:rPr>
          <w:rFonts w:ascii="宋体" w:hAnsi="宋体"/>
          <w:szCs w:val="21"/>
        </w:rPr>
        <w:t>5个工作日内完成。</w:t>
      </w:r>
    </w:p>
    <w:p w14:paraId="6F627125">
      <w:pPr>
        <w:spacing w:line="360" w:lineRule="auto"/>
        <w:ind w:firstLine="420" w:firstLineChars="200"/>
        <w:rPr>
          <w:rFonts w:ascii="宋体" w:hAnsi="宋体"/>
          <w:szCs w:val="21"/>
        </w:rPr>
      </w:pPr>
      <w:r>
        <w:rPr>
          <w:rFonts w:hint="eastAsia" w:ascii="宋体" w:hAnsi="宋体"/>
          <w:szCs w:val="21"/>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本基金暂停运作的期间，不更新招募说明书</w:t>
      </w:r>
      <w:r>
        <w:rPr>
          <w:rFonts w:hint="eastAsia" w:ascii="宋体" w:hAnsi="宋体"/>
          <w:kern w:val="44"/>
          <w:szCs w:val="21"/>
        </w:rPr>
        <w:t>。</w:t>
      </w:r>
      <w:r>
        <w:rPr>
          <w:rFonts w:hint="eastAsia" w:ascii="宋体" w:hAnsi="宋体"/>
          <w:szCs w:val="21"/>
        </w:rPr>
        <w:t>基金管理人在每个季度结束之日起</w:t>
      </w:r>
      <w:r>
        <w:rPr>
          <w:rFonts w:ascii="宋体" w:hAnsi="宋体"/>
          <w:szCs w:val="21"/>
        </w:rPr>
        <w:t>15个工作日内完成季度报告编制并公告；在每个上半年结束之日起两个月内完成中期报告编制并公告；在每年结束之日起三个月内完成年度报告编制并公告。</w:t>
      </w:r>
    </w:p>
    <w:p w14:paraId="2E9B8876">
      <w:pPr>
        <w:spacing w:line="360" w:lineRule="auto"/>
        <w:ind w:firstLine="420" w:firstLineChars="200"/>
        <w:rPr>
          <w:rFonts w:ascii="宋体" w:hAnsi="宋体"/>
          <w:szCs w:val="21"/>
        </w:rPr>
      </w:pPr>
      <w:r>
        <w:rPr>
          <w:rFonts w:hint="eastAsia" w:ascii="宋体" w:hAnsi="宋体"/>
          <w:szCs w:val="21"/>
        </w:rPr>
        <w:t>基金管理人在</w:t>
      </w:r>
      <w:r>
        <w:rPr>
          <w:rFonts w:ascii="宋体" w:hAnsi="宋体"/>
          <w:szCs w:val="21"/>
        </w:rPr>
        <w:t>5个工作日内完成月度报告，在月度报告完成当日，对报告加盖公章后，以加密传真方式将有关报告提供基金托管人复核；基金托管人在3个工作日内进行复核，并将复核结果及时书面通知基金管理人。基金管理人在7个工作日内完成季度报告，在季度报告完成当日，将有关报告提供基金托管人复核，基金托管人在收到后7个工作日内进行复核，并将复核结果书面通知基金管理人。基金管理人在30日内完成中期报告，在</w:t>
      </w:r>
      <w:r>
        <w:rPr>
          <w:rFonts w:hint="eastAsia" w:ascii="宋体" w:hAnsi="宋体"/>
          <w:szCs w:val="21"/>
        </w:rPr>
        <w:t>中期报告</w:t>
      </w:r>
      <w:r>
        <w:rPr>
          <w:rFonts w:ascii="宋体" w:hAnsi="宋体"/>
          <w:szCs w:val="21"/>
        </w:rPr>
        <w:t>完成当日，将有关报告提供基金托管人复核，基金托管人在收到后30日内进行复核，并将复核</w:t>
      </w:r>
      <w:r>
        <w:rPr>
          <w:rFonts w:hint="eastAsia" w:ascii="宋体" w:hAnsi="宋体"/>
          <w:szCs w:val="21"/>
        </w:rPr>
        <w:t>结果书面通知基金管理人。基金管理人在</w:t>
      </w:r>
      <w:r>
        <w:rPr>
          <w:rFonts w:ascii="宋体" w:hAnsi="宋体"/>
          <w:szCs w:val="21"/>
        </w:rPr>
        <w:t>45日内完成年度报告，在年度报告完成当日，将有关报告提供基金托管人复核，基金托管人在收到后45日内复核，并将复核结果书面通知基金管理人。</w:t>
      </w:r>
    </w:p>
    <w:p w14:paraId="1FCEEB2A">
      <w:pPr>
        <w:spacing w:line="360" w:lineRule="auto"/>
        <w:ind w:firstLine="420" w:firstLineChars="200"/>
        <w:rPr>
          <w:rFonts w:ascii="宋体" w:hAnsi="宋体"/>
          <w:szCs w:val="21"/>
        </w:rPr>
      </w:pPr>
      <w:r>
        <w:rPr>
          <w:rFonts w:hint="eastAsia" w:ascii="宋体" w:hAnsi="宋体"/>
          <w:szCs w:val="21"/>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w:t>
      </w:r>
      <w:r>
        <w:rPr>
          <w:rFonts w:hint="eastAsia" w:ascii="宋体" w:hAnsi="宋体"/>
          <w:kern w:val="44"/>
          <w:szCs w:val="21"/>
        </w:rPr>
        <w:t>如果基金管理人与基金托管人不能于应当发布公告之日之前就相关报表达成一致，基金管理人有权按照其编制的报表对外发布公告，基金托管人有权就相关情况报证监会备案。</w:t>
      </w:r>
    </w:p>
    <w:p w14:paraId="0E652822">
      <w:pPr>
        <w:spacing w:line="360" w:lineRule="auto"/>
        <w:ind w:firstLine="420" w:firstLineChars="200"/>
        <w:rPr>
          <w:rFonts w:ascii="宋体" w:hAnsi="宋体"/>
          <w:szCs w:val="21"/>
        </w:rPr>
      </w:pPr>
      <w:r>
        <w:rPr>
          <w:rFonts w:hint="eastAsia" w:ascii="宋体" w:hAnsi="宋体"/>
          <w:szCs w:val="21"/>
        </w:rPr>
        <w:t>基金托管人在对财务会计报告、中期报告或年度报告复核完毕后，需盖章确认或出具相应的复核确认书，以备有权机构对相关文件审核时提示。</w:t>
      </w:r>
    </w:p>
    <w:p w14:paraId="6B64D038">
      <w:pPr>
        <w:spacing w:line="360" w:lineRule="auto"/>
        <w:ind w:firstLine="420" w:firstLineChars="200"/>
        <w:rPr>
          <w:rFonts w:ascii="宋体" w:hAnsi="宋体"/>
          <w:szCs w:val="21"/>
        </w:rPr>
        <w:sectPr>
          <w:footerReference r:id="rId11" w:type="default"/>
          <w:pgSz w:w="11906" w:h="16838"/>
          <w:pgMar w:top="1440" w:right="1800" w:bottom="1440" w:left="1800" w:header="851" w:footer="992" w:gutter="0"/>
          <w:pgNumType w:start="1"/>
          <w:cols w:space="720" w:num="1"/>
          <w:docGrid w:type="lines" w:linePitch="312" w:charSpace="0"/>
        </w:sectPr>
      </w:pPr>
    </w:p>
    <w:p w14:paraId="6B2C617E">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86" w:name="_Toc1720912"/>
      <w:r>
        <w:rPr>
          <w:rFonts w:hint="eastAsia" w:ascii="宋体" w:hAnsi="宋体" w:eastAsia="宋体" w:cs="Arial"/>
          <w:sz w:val="21"/>
          <w:szCs w:val="21"/>
        </w:rPr>
        <w:t>基金收益分配</w:t>
      </w:r>
      <w:bookmarkEnd w:id="86"/>
    </w:p>
    <w:p w14:paraId="20A50E7E">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cs="Arial"/>
          <w:kern w:val="0"/>
          <w:sz w:val="21"/>
          <w:szCs w:val="21"/>
        </w:rPr>
      </w:pPr>
      <w:bookmarkStart w:id="87" w:name="_Toc382819119"/>
      <w:bookmarkStart w:id="88" w:name="_Toc1720913"/>
      <w:r>
        <w:rPr>
          <w:rFonts w:hint="eastAsia" w:ascii="宋体" w:hAnsi="宋体" w:eastAsia="宋体"/>
          <w:b w:val="0"/>
          <w:bCs w:val="0"/>
          <w:sz w:val="21"/>
          <w:szCs w:val="21"/>
        </w:rPr>
        <w:t>（一）基金收益分配的原则</w:t>
      </w:r>
      <w:bookmarkEnd w:id="87"/>
      <w:bookmarkEnd w:id="88"/>
    </w:p>
    <w:p w14:paraId="7729CB04">
      <w:pPr>
        <w:spacing w:line="360" w:lineRule="auto"/>
        <w:ind w:firstLine="472" w:firstLineChars="225"/>
        <w:rPr>
          <w:rFonts w:ascii="宋体" w:hAnsi="宋体"/>
          <w:szCs w:val="21"/>
        </w:rPr>
      </w:pPr>
      <w:r>
        <w:rPr>
          <w:rFonts w:hint="eastAsia" w:ascii="宋体" w:hAnsi="宋体"/>
          <w:szCs w:val="21"/>
        </w:rPr>
        <w:t>1、本基金收益分配方式分两种：现金分红与红利再投资，投资者可选择现金红利或将现金红利自动转为基金份额进行再投资；若投资者不选择，本基金默认的收益分配方式是现金分红；</w:t>
      </w:r>
    </w:p>
    <w:p w14:paraId="195E5117">
      <w:pPr>
        <w:spacing w:line="360" w:lineRule="auto"/>
        <w:ind w:firstLine="472" w:firstLineChars="225"/>
        <w:rPr>
          <w:rFonts w:ascii="宋体" w:hAnsi="宋体"/>
          <w:szCs w:val="21"/>
        </w:rPr>
      </w:pPr>
      <w:r>
        <w:rPr>
          <w:rFonts w:hint="eastAsia" w:ascii="宋体" w:hAnsi="宋体"/>
          <w:szCs w:val="21"/>
        </w:rPr>
        <w:t>2、基金收益分配后基金份额净值不能低于面值，即基金收益分配基准日的基金份额净值减去每单位基金份额收益分配金额后不能低于面值；</w:t>
      </w:r>
    </w:p>
    <w:p w14:paraId="5259A3EA">
      <w:pPr>
        <w:spacing w:line="360" w:lineRule="auto"/>
        <w:ind w:firstLine="472" w:firstLineChars="225"/>
        <w:rPr>
          <w:rFonts w:ascii="宋体" w:hAnsi="宋体"/>
          <w:szCs w:val="21"/>
        </w:rPr>
      </w:pPr>
      <w:r>
        <w:rPr>
          <w:rFonts w:hint="eastAsia" w:ascii="宋体" w:hAnsi="宋体"/>
          <w:szCs w:val="21"/>
        </w:rPr>
        <w:t>3、每一基金份额享有同等分配权；</w:t>
      </w:r>
    </w:p>
    <w:p w14:paraId="53F22990">
      <w:pPr>
        <w:spacing w:line="360" w:lineRule="auto"/>
        <w:ind w:firstLine="472" w:firstLineChars="225"/>
        <w:rPr>
          <w:rFonts w:ascii="宋体" w:hAnsi="宋体"/>
          <w:szCs w:val="21"/>
        </w:rPr>
      </w:pPr>
      <w:r>
        <w:rPr>
          <w:rFonts w:hint="eastAsia" w:ascii="宋体" w:hAnsi="宋体"/>
          <w:szCs w:val="21"/>
        </w:rPr>
        <w:t>4、法律法规或监管机关另有规定的，从其规定。</w:t>
      </w:r>
    </w:p>
    <w:p w14:paraId="0C316630">
      <w:pPr>
        <w:spacing w:line="360" w:lineRule="auto"/>
        <w:ind w:firstLine="472" w:firstLineChars="225"/>
        <w:rPr>
          <w:bCs/>
          <w:sz w:val="24"/>
        </w:rPr>
      </w:pPr>
      <w:r>
        <w:rPr>
          <w:rFonts w:hint="eastAsia" w:ascii="宋体" w:hAnsi="宋体"/>
          <w:szCs w:val="21"/>
        </w:rPr>
        <w:t>在符合法律法规及基金合同约定，并对基金份额持有人利益无实质不利影响的前提下，基金管理人可对基金收益分配原则和支付方式进行调整，不需召开基金份额持有人大会。</w:t>
      </w:r>
    </w:p>
    <w:p w14:paraId="5E29EFFD">
      <w:pPr>
        <w:pStyle w:val="3"/>
        <w:keepNext w:val="0"/>
        <w:keepLines w:val="0"/>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89" w:name="_Toc1720914"/>
      <w:bookmarkStart w:id="90" w:name="_Toc382819120"/>
      <w:r>
        <w:rPr>
          <w:rFonts w:hint="eastAsia" w:ascii="宋体" w:hAnsi="宋体" w:eastAsia="宋体"/>
          <w:b w:val="0"/>
          <w:bCs w:val="0"/>
          <w:sz w:val="21"/>
          <w:szCs w:val="21"/>
        </w:rPr>
        <w:t>（二）基金收益分配方案的制定和实施程序</w:t>
      </w:r>
      <w:bookmarkEnd w:id="89"/>
      <w:bookmarkEnd w:id="90"/>
    </w:p>
    <w:p w14:paraId="09E8B1BA">
      <w:pPr>
        <w:spacing w:line="360" w:lineRule="auto"/>
        <w:ind w:right="28" w:firstLine="420" w:firstLineChars="200"/>
        <w:rPr>
          <w:rFonts w:ascii="宋体" w:hAnsi="宋体"/>
          <w:szCs w:val="21"/>
        </w:rPr>
      </w:pPr>
      <w:r>
        <w:rPr>
          <w:rFonts w:hint="eastAsia" w:ascii="宋体" w:hAnsi="宋体"/>
          <w:szCs w:val="21"/>
        </w:rPr>
        <w:t>基金收益分配方案由基金管理人拟定，并由基金托管人复核。</w:t>
      </w:r>
    </w:p>
    <w:p w14:paraId="3EF6E6DD">
      <w:pPr>
        <w:spacing w:line="360" w:lineRule="auto"/>
        <w:ind w:firstLine="420" w:firstLineChars="200"/>
        <w:rPr>
          <w:rFonts w:ascii="宋体" w:hAnsi="宋体"/>
          <w:szCs w:val="21"/>
        </w:rPr>
      </w:pPr>
      <w:r>
        <w:rPr>
          <w:rFonts w:hint="eastAsia" w:ascii="宋体" w:hAnsi="宋体"/>
          <w:szCs w:val="21"/>
        </w:rPr>
        <w:t>基金收益分配方案确定后，由基金管理人依照《信息披露办法》的有关规定在指定媒介公告。</w:t>
      </w:r>
    </w:p>
    <w:p w14:paraId="5F39CD07">
      <w:pPr>
        <w:spacing w:line="360" w:lineRule="auto"/>
        <w:ind w:firstLine="420" w:firstLineChars="200"/>
        <w:rPr>
          <w:rFonts w:ascii="宋体" w:hAnsi="宋体"/>
          <w:szCs w:val="21"/>
        </w:rPr>
      </w:pPr>
      <w:r>
        <w:rPr>
          <w:rFonts w:hint="eastAsia" w:ascii="宋体" w:hAnsi="宋体"/>
          <w:szCs w:val="21"/>
        </w:rPr>
        <w:t>基金管理人向基金托管人下达收益分配的付款指令，基金托管人按照基金管理人的指令及时进行分红资金的划付。</w:t>
      </w:r>
    </w:p>
    <w:p w14:paraId="210EF659">
      <w:pPr>
        <w:spacing w:line="360" w:lineRule="auto"/>
        <w:ind w:firstLine="420" w:firstLineChars="200"/>
        <w:rPr>
          <w:rFonts w:ascii="宋体" w:hAnsi="宋体"/>
          <w:szCs w:val="21"/>
        </w:rPr>
      </w:pPr>
    </w:p>
    <w:p w14:paraId="6EC90EDF">
      <w:pPr>
        <w:spacing w:line="360" w:lineRule="auto"/>
        <w:ind w:firstLine="420" w:firstLineChars="200"/>
        <w:rPr>
          <w:rFonts w:ascii="宋体" w:hAnsi="宋体"/>
          <w:szCs w:val="21"/>
        </w:rPr>
        <w:sectPr>
          <w:footerReference r:id="rId12" w:type="default"/>
          <w:pgSz w:w="11906" w:h="16838"/>
          <w:pgMar w:top="1440" w:right="1800" w:bottom="1440" w:left="1800" w:header="851" w:footer="992" w:gutter="0"/>
          <w:pgNumType w:start="1"/>
          <w:cols w:space="720" w:num="1"/>
          <w:docGrid w:type="lines" w:linePitch="312" w:charSpace="0"/>
        </w:sectPr>
      </w:pPr>
    </w:p>
    <w:p w14:paraId="5EB29B12">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91" w:name="_Toc1720915"/>
      <w:r>
        <w:rPr>
          <w:rFonts w:hint="eastAsia" w:ascii="宋体" w:hAnsi="宋体" w:eastAsia="宋体" w:cs="Arial"/>
          <w:sz w:val="21"/>
          <w:szCs w:val="21"/>
        </w:rPr>
        <w:t>信息披露</w:t>
      </w:r>
      <w:bookmarkEnd w:id="91"/>
    </w:p>
    <w:p w14:paraId="04F3F89B">
      <w:pPr>
        <w:pStyle w:val="3"/>
        <w:keepNext w:val="0"/>
        <w:keepLines w:val="0"/>
        <w:tabs>
          <w:tab w:val="left" w:pos="1080"/>
        </w:tabs>
        <w:autoSpaceDE w:val="0"/>
        <w:autoSpaceDN w:val="0"/>
        <w:adjustRightInd w:val="0"/>
        <w:spacing w:before="0" w:after="0" w:line="360" w:lineRule="auto"/>
        <w:ind w:firstLine="411" w:firstLineChars="196"/>
        <w:textAlignment w:val="baseline"/>
        <w:rPr>
          <w:rFonts w:ascii="宋体" w:hAnsi="宋体" w:eastAsia="宋体" w:cs="Arial"/>
          <w:b w:val="0"/>
          <w:kern w:val="0"/>
          <w:sz w:val="21"/>
          <w:szCs w:val="21"/>
        </w:rPr>
      </w:pPr>
      <w:bookmarkStart w:id="92" w:name="_Toc1720916"/>
      <w:bookmarkStart w:id="93" w:name="_Toc382819122"/>
      <w:r>
        <w:rPr>
          <w:rFonts w:hint="eastAsia" w:ascii="宋体" w:hAnsi="宋体" w:eastAsia="宋体"/>
          <w:b w:val="0"/>
          <w:sz w:val="21"/>
          <w:szCs w:val="21"/>
        </w:rPr>
        <w:t>（一）</w:t>
      </w:r>
      <w:r>
        <w:rPr>
          <w:rFonts w:hint="eastAsia" w:ascii="宋体" w:hAnsi="宋体" w:eastAsia="宋体" w:cs="Arial"/>
          <w:b w:val="0"/>
          <w:kern w:val="0"/>
          <w:sz w:val="21"/>
          <w:szCs w:val="21"/>
        </w:rPr>
        <w:t>保密义务</w:t>
      </w:r>
      <w:bookmarkEnd w:id="92"/>
      <w:bookmarkEnd w:id="93"/>
    </w:p>
    <w:p w14:paraId="1E94F77A">
      <w:pPr>
        <w:spacing w:line="360" w:lineRule="auto"/>
        <w:ind w:right="28" w:firstLine="420" w:firstLineChars="200"/>
        <w:rPr>
          <w:rFonts w:ascii="宋体" w:hAnsi="宋体"/>
          <w:szCs w:val="21"/>
        </w:rPr>
      </w:pPr>
      <w:r>
        <w:rPr>
          <w:rFonts w:hint="eastAsia" w:ascii="宋体" w:hAnsi="宋体"/>
          <w:szCs w:val="21"/>
        </w:rPr>
        <w:t>除按照《基金法》、《信息披露办法》、《基金合同》及中国证监会关于基金信息披露的有关规定进行披露以外，基金管理人和基金托管人对基金运作中产生的信息以及从对方获得的业务信息应恪守保密的义务。基金管理人与基金托管人对基金的任何信息，除法律法规规定之外，不得在其公开披露之前，先行对任何第三方披露。但是，如下情况不应视为基金管理人或基金托管人违反保密义务：</w:t>
      </w:r>
    </w:p>
    <w:p w14:paraId="53E6BA64">
      <w:pPr>
        <w:pStyle w:val="11"/>
        <w:ind w:firstLine="420" w:firstLineChars="200"/>
        <w:rPr>
          <w:rFonts w:ascii="宋体" w:hAnsi="宋体"/>
          <w:szCs w:val="21"/>
        </w:rPr>
      </w:pPr>
      <w:r>
        <w:rPr>
          <w:rFonts w:ascii="宋体" w:hAnsi="宋体"/>
          <w:szCs w:val="21"/>
        </w:rPr>
        <w:t>1.非因基金管理人和基金托管人的原因导致保密信息被披露、泄露或公开；</w:t>
      </w:r>
    </w:p>
    <w:p w14:paraId="55897B93">
      <w:pPr>
        <w:spacing w:line="360" w:lineRule="auto"/>
        <w:ind w:firstLine="420" w:firstLineChars="200"/>
        <w:rPr>
          <w:rFonts w:ascii="宋体" w:hAnsi="宋体"/>
          <w:szCs w:val="21"/>
        </w:rPr>
      </w:pPr>
      <w:r>
        <w:rPr>
          <w:rFonts w:ascii="宋体" w:hAnsi="宋体"/>
          <w:szCs w:val="21"/>
        </w:rPr>
        <w:t>2.基金管理人和基金托管人为遵守和服从法院判决、仲裁裁决或中国证监会等监管机构的命令、决定所做出的信息披露或公开。</w:t>
      </w:r>
    </w:p>
    <w:p w14:paraId="165689CD">
      <w:pPr>
        <w:tabs>
          <w:tab w:val="left" w:pos="4680"/>
        </w:tabs>
        <w:spacing w:line="360" w:lineRule="auto"/>
        <w:ind w:firstLine="420" w:firstLineChars="200"/>
        <w:rPr>
          <w:rFonts w:ascii="宋体" w:hAnsi="宋体"/>
          <w:szCs w:val="21"/>
        </w:rPr>
      </w:pPr>
      <w:r>
        <w:rPr>
          <w:rFonts w:hint="eastAsia" w:ascii="宋体" w:hAnsi="宋体"/>
          <w:szCs w:val="21"/>
        </w:rPr>
        <w:t>（二）信息披露的内容</w:t>
      </w:r>
    </w:p>
    <w:p w14:paraId="10F13752">
      <w:pPr>
        <w:tabs>
          <w:tab w:val="left" w:pos="4680"/>
        </w:tabs>
        <w:spacing w:line="360" w:lineRule="auto"/>
        <w:ind w:firstLine="420" w:firstLineChars="200"/>
        <w:rPr>
          <w:rFonts w:ascii="宋体" w:hAnsi="宋体"/>
          <w:szCs w:val="21"/>
        </w:rPr>
      </w:pPr>
      <w:r>
        <w:rPr>
          <w:rFonts w:hint="eastAsia" w:ascii="宋体" w:hAnsi="宋体"/>
          <w:szCs w:val="21"/>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10E400F6">
      <w:pPr>
        <w:tabs>
          <w:tab w:val="left" w:pos="4680"/>
        </w:tabs>
        <w:spacing w:line="360" w:lineRule="auto"/>
        <w:ind w:firstLine="420" w:firstLineChars="200"/>
        <w:rPr>
          <w:rFonts w:ascii="宋体" w:hAnsi="宋体"/>
          <w:szCs w:val="21"/>
        </w:rPr>
      </w:pPr>
      <w:r>
        <w:rPr>
          <w:rFonts w:hint="eastAsia" w:ascii="宋体" w:hAnsi="宋体"/>
          <w:szCs w:val="21"/>
        </w:rPr>
        <w:t>本基金的信息披露主要包括基金招募说明书、《基金合同》、基金托管协议、基金份额发售公告、基金产品资料概要、《基金合同》生效公告、定期报告（包括基金年度报告、基金中期报告和基金季度报告（含资产组合季度报告））、临时公告、澄清公告、基金净值信息、基金份额申购、赎回价格、基金份额持有人大会决议、清算报告、资产支持证券的投资情况、实施侧袋机制期间的信息披露以及中国证监会规定的其他信息等其他必要的公告文件，由基金管理人拟定并负责公布。</w:t>
      </w:r>
    </w:p>
    <w:p w14:paraId="16058B60">
      <w:pPr>
        <w:tabs>
          <w:tab w:val="left" w:pos="4680"/>
        </w:tabs>
        <w:spacing w:line="360" w:lineRule="auto"/>
        <w:ind w:firstLine="420" w:firstLineChars="200"/>
        <w:rPr>
          <w:rFonts w:ascii="宋体" w:hAnsi="宋体"/>
          <w:szCs w:val="21"/>
        </w:rPr>
      </w:pPr>
      <w:r>
        <w:rPr>
          <w:rFonts w:hint="eastAsia" w:ascii="宋体" w:hAnsi="宋体"/>
          <w:szCs w:val="21"/>
        </w:rPr>
        <w:t>基金管理人与基金托管人应严格遵守《基金合同》所规定的信息披露要求。基金资产净值、基金份额净值、基金业绩表现数据、基金定期报告、更新的招募说明书、基金产品资料概要、基金清算报告等相关基金信息按有关规定需经基金托管人复核的，须由基金托管人进行复核、审查，并向基金管理人出具书面文件或者盖章确认。相关信息经基金托管人复核无误后方可公布。其他不需经基金托管人复核的信息披露内容，应及时告知基金托管人。</w:t>
      </w:r>
    </w:p>
    <w:p w14:paraId="6DC0A994">
      <w:pPr>
        <w:tabs>
          <w:tab w:val="left" w:pos="4680"/>
        </w:tabs>
        <w:spacing w:line="360" w:lineRule="auto"/>
        <w:ind w:firstLine="420" w:firstLineChars="200"/>
        <w:rPr>
          <w:rFonts w:ascii="宋体" w:hAnsi="宋体"/>
          <w:szCs w:val="21"/>
        </w:rPr>
      </w:pPr>
      <w:r>
        <w:rPr>
          <w:rFonts w:hint="eastAsia" w:ascii="宋体" w:hAnsi="宋体"/>
          <w:szCs w:val="21"/>
        </w:rPr>
        <w:t>年度报告中的财务报告部分，需经有证券、期货相关业务资格的会计师事务所审计后，方可披露。</w:t>
      </w:r>
    </w:p>
    <w:p w14:paraId="13368C74">
      <w:pPr>
        <w:pStyle w:val="3"/>
        <w:keepNext w:val="0"/>
        <w:keepLines w:val="0"/>
        <w:tabs>
          <w:tab w:val="left" w:pos="1080"/>
        </w:tabs>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94" w:name="_Toc382819123"/>
      <w:bookmarkStart w:id="95" w:name="_Toc1720917"/>
      <w:r>
        <w:rPr>
          <w:rFonts w:hint="eastAsia" w:ascii="宋体" w:hAnsi="宋体" w:eastAsia="宋体"/>
          <w:b w:val="0"/>
          <w:bCs w:val="0"/>
          <w:sz w:val="21"/>
          <w:szCs w:val="21"/>
        </w:rPr>
        <w:t>基金管理人应当在中国证监会规定的时间内，将应予披露的基金信息通过中国证监会指定的全国性报刊和基金管理人的互联网网站等媒介披露。根据法律法规应由基金托管人公开披露的信息，基金托管人将通过指定报刊或基金托管人的互联网网站公开披露。</w:t>
      </w:r>
      <w:bookmarkEnd w:id="94"/>
      <w:bookmarkEnd w:id="95"/>
    </w:p>
    <w:p w14:paraId="2EB6F105">
      <w:pPr>
        <w:pStyle w:val="3"/>
        <w:keepNext w:val="0"/>
        <w:keepLines w:val="0"/>
        <w:tabs>
          <w:tab w:val="left" w:pos="1080"/>
        </w:tabs>
        <w:autoSpaceDE w:val="0"/>
        <w:autoSpaceDN w:val="0"/>
        <w:adjustRightInd w:val="0"/>
        <w:spacing w:before="0" w:after="0" w:line="360" w:lineRule="auto"/>
        <w:ind w:firstLine="420" w:firstLineChars="200"/>
        <w:textAlignment w:val="baseline"/>
        <w:rPr>
          <w:rFonts w:ascii="宋体" w:hAnsi="宋体" w:eastAsia="宋体"/>
          <w:b w:val="0"/>
          <w:bCs w:val="0"/>
          <w:sz w:val="21"/>
          <w:szCs w:val="21"/>
        </w:rPr>
      </w:pPr>
      <w:bookmarkStart w:id="96" w:name="_Toc382819124"/>
      <w:bookmarkStart w:id="97" w:name="_Toc1720918"/>
      <w:r>
        <w:rPr>
          <w:rFonts w:hint="eastAsia" w:ascii="宋体" w:hAnsi="宋体" w:eastAsia="宋体"/>
          <w:b w:val="0"/>
          <w:bCs w:val="0"/>
          <w:sz w:val="21"/>
          <w:szCs w:val="21"/>
        </w:rPr>
        <w:t>（三）基金管理人和基金托管人在信息披露中的职责和信息披露程序</w:t>
      </w:r>
      <w:bookmarkEnd w:id="96"/>
      <w:bookmarkEnd w:id="97"/>
    </w:p>
    <w:p w14:paraId="3B490D1B">
      <w:pPr>
        <w:tabs>
          <w:tab w:val="left" w:pos="4680"/>
        </w:tabs>
        <w:spacing w:line="360" w:lineRule="auto"/>
        <w:ind w:firstLine="420" w:firstLineChars="200"/>
        <w:rPr>
          <w:rFonts w:ascii="宋体" w:hAnsi="宋体"/>
          <w:szCs w:val="21"/>
        </w:rPr>
      </w:pPr>
      <w:r>
        <w:rPr>
          <w:rFonts w:ascii="宋体" w:hAnsi="宋体"/>
          <w:szCs w:val="21"/>
        </w:rPr>
        <w:t>1、职责</w:t>
      </w:r>
    </w:p>
    <w:p w14:paraId="7C8898CD">
      <w:pPr>
        <w:tabs>
          <w:tab w:val="left" w:pos="4680"/>
        </w:tabs>
        <w:spacing w:line="360" w:lineRule="auto"/>
        <w:ind w:firstLine="420" w:firstLineChars="200"/>
        <w:rPr>
          <w:rFonts w:ascii="宋体" w:hAnsi="宋体"/>
          <w:szCs w:val="21"/>
        </w:rPr>
      </w:pPr>
      <w:r>
        <w:rPr>
          <w:rFonts w:hint="eastAsia" w:ascii="宋体" w:hAnsi="宋体"/>
          <w:szCs w:val="21"/>
        </w:rPr>
        <w:t>基金托管人和基金管理人在信息披露过程中应以保护基金份额持有人利益为宗旨，诚实信用，严守秘密。基金管理人负责办理应由基金管理人负责的与基金有关的信息披露事宜，对于本条第（二）款规定的应由基金托管人复核的事项，应提前通知基金托管人，基金托管人应在接到通知后的规定时间内予以书面答复。</w:t>
      </w:r>
    </w:p>
    <w:p w14:paraId="1F5AE211">
      <w:pPr>
        <w:tabs>
          <w:tab w:val="left" w:pos="4680"/>
        </w:tabs>
        <w:spacing w:line="360" w:lineRule="auto"/>
        <w:ind w:firstLine="420" w:firstLineChars="200"/>
        <w:rPr>
          <w:rFonts w:ascii="宋体" w:hAnsi="宋体"/>
          <w:szCs w:val="21"/>
        </w:rPr>
      </w:pPr>
      <w:r>
        <w:rPr>
          <w:rFonts w:ascii="宋体" w:hAnsi="宋体"/>
          <w:szCs w:val="21"/>
        </w:rPr>
        <w:t>2、程序</w:t>
      </w:r>
    </w:p>
    <w:p w14:paraId="7C9F67BC">
      <w:pPr>
        <w:tabs>
          <w:tab w:val="left" w:pos="4680"/>
        </w:tabs>
        <w:spacing w:line="360" w:lineRule="auto"/>
        <w:ind w:firstLine="420" w:firstLineChars="200"/>
        <w:rPr>
          <w:rFonts w:ascii="宋体" w:hAnsi="宋体"/>
          <w:szCs w:val="21"/>
        </w:rPr>
      </w:pPr>
      <w:r>
        <w:rPr>
          <w:rFonts w:hint="eastAsia" w:ascii="宋体" w:hAnsi="宋体"/>
          <w:szCs w:val="21"/>
        </w:rPr>
        <w:t>按有关规定须经基金托管人复核的信息披露文件，由基金管理人起草，并经基金托管人复核后由基金管理人公告。</w:t>
      </w:r>
    </w:p>
    <w:p w14:paraId="0A5B9508">
      <w:pPr>
        <w:tabs>
          <w:tab w:val="left" w:pos="4680"/>
        </w:tabs>
        <w:spacing w:line="360" w:lineRule="auto"/>
        <w:ind w:firstLine="420" w:firstLineChars="200"/>
        <w:rPr>
          <w:rFonts w:ascii="宋体" w:hAnsi="宋体"/>
          <w:szCs w:val="21"/>
        </w:rPr>
      </w:pPr>
      <w:r>
        <w:rPr>
          <w:rFonts w:hint="eastAsia" w:ascii="宋体" w:hAnsi="宋体"/>
          <w:szCs w:val="21"/>
        </w:rPr>
        <w:t>发生《基金合同》中规定需要披露的事项时，按《基金合同》规定公告。</w:t>
      </w:r>
    </w:p>
    <w:p w14:paraId="7670FF96">
      <w:pPr>
        <w:tabs>
          <w:tab w:val="left" w:pos="4680"/>
        </w:tabs>
        <w:spacing w:line="360" w:lineRule="auto"/>
        <w:ind w:firstLine="420" w:firstLineChars="200"/>
        <w:rPr>
          <w:rFonts w:ascii="宋体" w:hAnsi="宋体"/>
          <w:szCs w:val="21"/>
        </w:rPr>
      </w:pPr>
      <w:r>
        <w:rPr>
          <w:rFonts w:ascii="宋体" w:hAnsi="宋体"/>
          <w:szCs w:val="21"/>
        </w:rPr>
        <w:t>3、信息文本的存放</w:t>
      </w:r>
    </w:p>
    <w:p w14:paraId="680A19B9">
      <w:pPr>
        <w:autoSpaceDE w:val="0"/>
        <w:autoSpaceDN w:val="0"/>
        <w:adjustRightInd w:val="0"/>
        <w:spacing w:line="360" w:lineRule="auto"/>
        <w:ind w:firstLine="420" w:firstLineChars="200"/>
        <w:rPr>
          <w:rFonts w:ascii="宋体" w:hAnsi="宋体"/>
          <w:szCs w:val="21"/>
        </w:rPr>
      </w:pPr>
      <w:r>
        <w:rPr>
          <w:rFonts w:hint="eastAsia" w:ascii="宋体" w:hAnsi="宋体"/>
          <w:szCs w:val="21"/>
        </w:rPr>
        <w:t>予以披露的信息文本，存放在基金管理人、基金托管人和基金销售代理人的住所，基金份额持有人和公众投资者可以免费查阅。在支付工本费后可以获得上述文件的复制件或复印件。</w:t>
      </w:r>
    </w:p>
    <w:p w14:paraId="6689AE57">
      <w:pPr>
        <w:autoSpaceDE w:val="0"/>
        <w:autoSpaceDN w:val="0"/>
        <w:adjustRightInd w:val="0"/>
        <w:spacing w:line="360" w:lineRule="auto"/>
        <w:ind w:firstLine="420" w:firstLineChars="200"/>
        <w:rPr>
          <w:rFonts w:ascii="宋体" w:hAnsi="宋体"/>
          <w:szCs w:val="21"/>
        </w:rPr>
      </w:pPr>
      <w:r>
        <w:rPr>
          <w:rFonts w:hint="eastAsia" w:ascii="宋体" w:hAnsi="宋体"/>
          <w:szCs w:val="21"/>
        </w:rPr>
        <w:t>基金管理人和基金托管人应保证文本的内容与所公告的内容完全一致。</w:t>
      </w:r>
    </w:p>
    <w:p w14:paraId="4AF21B2B">
      <w:pPr>
        <w:spacing w:line="360" w:lineRule="auto"/>
        <w:ind w:firstLine="420" w:firstLineChars="200"/>
        <w:rPr>
          <w:rFonts w:ascii="宋体" w:hAnsi="宋体"/>
          <w:szCs w:val="21"/>
        </w:rPr>
      </w:pPr>
      <w:r>
        <w:rPr>
          <w:rFonts w:ascii="宋体" w:hAnsi="宋体"/>
          <w:szCs w:val="21"/>
        </w:rPr>
        <w:t>4、暂停</w:t>
      </w:r>
      <w:r>
        <w:rPr>
          <w:rFonts w:hint="eastAsia" w:ascii="宋体" w:hAnsi="宋体" w:cs="Arial"/>
          <w:szCs w:val="21"/>
        </w:rPr>
        <w:t>或延迟披露基金相关信息</w:t>
      </w:r>
      <w:r>
        <w:rPr>
          <w:rFonts w:hint="eastAsia" w:ascii="宋体" w:hAnsi="宋体"/>
          <w:szCs w:val="21"/>
        </w:rPr>
        <w:t>的情形</w:t>
      </w:r>
    </w:p>
    <w:p w14:paraId="4509191D">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1）基金投资涉及的</w:t>
      </w:r>
      <w:r>
        <w:rPr>
          <w:rFonts w:hint="eastAsia" w:ascii="宋体" w:hAnsi="宋体"/>
          <w:szCs w:val="21"/>
        </w:rPr>
        <w:t>证券交易所遇法定节假日或因其他原因暂停营业时</w:t>
      </w:r>
      <w:r>
        <w:rPr>
          <w:rFonts w:ascii="宋体" w:hAnsi="宋体"/>
          <w:szCs w:val="21"/>
        </w:rPr>
        <w:t>；</w:t>
      </w:r>
    </w:p>
    <w:p w14:paraId="091534DF">
      <w:pPr>
        <w:pStyle w:val="38"/>
        <w:spacing w:after="78"/>
        <w:ind w:firstLine="420"/>
        <w:rPr>
          <w:rFonts w:ascii="宋体" w:hAnsi="宋体"/>
          <w:sz w:val="21"/>
          <w:szCs w:val="21"/>
        </w:rPr>
      </w:pPr>
      <w:r>
        <w:rPr>
          <w:rFonts w:hint="eastAsia" w:ascii="宋体" w:hAnsi="宋体"/>
          <w:sz w:val="21"/>
          <w:szCs w:val="21"/>
        </w:rPr>
        <w:t>（</w:t>
      </w:r>
      <w:r>
        <w:rPr>
          <w:rFonts w:ascii="宋体" w:hAnsi="宋体"/>
          <w:sz w:val="21"/>
          <w:szCs w:val="21"/>
        </w:rPr>
        <w:t>2）因不可抗力或其他情形致使基金管理人、基金托管人无法准确评估基金资产价值时；</w:t>
      </w:r>
    </w:p>
    <w:p w14:paraId="0D99FF7E">
      <w:pPr>
        <w:spacing w:line="360" w:lineRule="auto"/>
        <w:ind w:right="28"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暂停估值的情形；</w:t>
      </w:r>
    </w:p>
    <w:p w14:paraId="67EB4C41">
      <w:pPr>
        <w:spacing w:line="360" w:lineRule="auto"/>
        <w:ind w:right="28" w:firstLine="420" w:firstLineChars="200"/>
        <w:rPr>
          <w:rFonts w:ascii="宋体" w:hAnsi="宋体"/>
          <w:szCs w:val="21"/>
        </w:rPr>
      </w:pPr>
      <w:r>
        <w:rPr>
          <w:rFonts w:hint="eastAsia" w:ascii="宋体" w:hAnsi="宋体"/>
          <w:szCs w:val="21"/>
        </w:rPr>
        <w:t>（4）</w:t>
      </w:r>
      <w:r>
        <w:rPr>
          <w:rFonts w:ascii="宋体" w:hAnsi="宋体"/>
          <w:szCs w:val="21"/>
        </w:rPr>
        <w:t>法律法规规定、</w:t>
      </w:r>
      <w:r>
        <w:rPr>
          <w:rFonts w:hint="eastAsia" w:ascii="宋体" w:hAnsi="宋体"/>
          <w:szCs w:val="21"/>
        </w:rPr>
        <w:t>中国证监会和《基金合同》认定的其他情形。</w:t>
      </w:r>
    </w:p>
    <w:p w14:paraId="48D93E64">
      <w:pPr>
        <w:spacing w:line="360" w:lineRule="auto"/>
        <w:ind w:firstLine="420" w:firstLineChars="200"/>
        <w:rPr>
          <w:rFonts w:ascii="宋体" w:hAnsi="宋体" w:cs="Arial"/>
          <w:szCs w:val="21"/>
        </w:rPr>
      </w:pPr>
      <w:r>
        <w:rPr>
          <w:rFonts w:hint="eastAsia" w:ascii="宋体" w:hAnsi="宋体"/>
          <w:szCs w:val="21"/>
        </w:rPr>
        <w:t xml:space="preserve"> </w:t>
      </w:r>
    </w:p>
    <w:p w14:paraId="513B67EE">
      <w:pPr>
        <w:spacing w:line="360" w:lineRule="auto"/>
        <w:ind w:firstLine="420" w:firstLineChars="200"/>
        <w:rPr>
          <w:rFonts w:ascii="宋体" w:hAnsi="宋体" w:cs="Arial"/>
          <w:szCs w:val="21"/>
        </w:rPr>
      </w:pPr>
    </w:p>
    <w:p w14:paraId="10F25CE9">
      <w:pPr>
        <w:spacing w:line="360" w:lineRule="auto"/>
        <w:ind w:firstLine="420" w:firstLineChars="200"/>
        <w:rPr>
          <w:rFonts w:ascii="宋体" w:hAnsi="宋体"/>
          <w:szCs w:val="21"/>
        </w:rPr>
        <w:sectPr>
          <w:footerReference r:id="rId13" w:type="default"/>
          <w:pgSz w:w="11906" w:h="16838"/>
          <w:pgMar w:top="1440" w:right="1800" w:bottom="1440" w:left="1800" w:header="851" w:footer="992" w:gutter="0"/>
          <w:pgNumType w:start="1"/>
          <w:cols w:space="720" w:num="1"/>
          <w:docGrid w:type="lines" w:linePitch="312" w:charSpace="0"/>
        </w:sectPr>
      </w:pPr>
    </w:p>
    <w:p w14:paraId="2CBF9A79">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98" w:name="_Toc1720919"/>
      <w:r>
        <w:rPr>
          <w:rFonts w:hint="eastAsia" w:ascii="宋体" w:hAnsi="宋体" w:eastAsia="宋体" w:cs="Arial"/>
          <w:sz w:val="21"/>
          <w:szCs w:val="21"/>
        </w:rPr>
        <w:t>托管费用</w:t>
      </w:r>
      <w:bookmarkEnd w:id="98"/>
    </w:p>
    <w:p w14:paraId="4D95D06C">
      <w:pPr>
        <w:spacing w:line="360" w:lineRule="auto"/>
        <w:ind w:firstLine="420" w:firstLineChars="200"/>
        <w:rPr>
          <w:rFonts w:ascii="宋体" w:hAnsi="宋体" w:cs="Arial"/>
          <w:kern w:val="0"/>
          <w:szCs w:val="21"/>
        </w:rPr>
      </w:pPr>
      <w:r>
        <w:rPr>
          <w:rFonts w:hint="eastAsia" w:ascii="宋体" w:hAnsi="宋体" w:cs="Arial"/>
          <w:kern w:val="0"/>
          <w:szCs w:val="21"/>
        </w:rPr>
        <w:t>本基金托管费的计收方式如下：</w:t>
      </w:r>
    </w:p>
    <w:p w14:paraId="0769AF7B">
      <w:pPr>
        <w:spacing w:line="360" w:lineRule="auto"/>
        <w:ind w:firstLine="420" w:firstLineChars="200"/>
        <w:rPr>
          <w:rFonts w:ascii="宋体" w:hAnsi="宋体" w:cs="Arial"/>
          <w:kern w:val="0"/>
          <w:szCs w:val="21"/>
        </w:rPr>
      </w:pPr>
      <w:r>
        <w:rPr>
          <w:rFonts w:hint="eastAsia" w:ascii="宋体" w:hAnsi="宋体" w:cs="Arial"/>
          <w:kern w:val="0"/>
          <w:szCs w:val="21"/>
        </w:rPr>
        <w:t>本基金的托管费按前一日基金资产净值的</w:t>
      </w:r>
      <w:r>
        <w:rPr>
          <w:rFonts w:ascii="宋体" w:hAnsi="宋体" w:cs="Arial"/>
          <w:kern w:val="0"/>
          <w:szCs w:val="21"/>
        </w:rPr>
        <w:t>0.05%</w:t>
      </w:r>
      <w:r>
        <w:rPr>
          <w:rFonts w:hint="eastAsia" w:ascii="宋体" w:hAnsi="宋体" w:cs="Arial"/>
          <w:kern w:val="0"/>
          <w:szCs w:val="21"/>
        </w:rPr>
        <w:t>的年费率计提。托管费的计算方法如下：</w:t>
      </w:r>
    </w:p>
    <w:p w14:paraId="7C7DB8E7">
      <w:pPr>
        <w:spacing w:line="360" w:lineRule="auto"/>
        <w:ind w:firstLine="420" w:firstLineChars="200"/>
        <w:rPr>
          <w:rFonts w:ascii="宋体" w:hAnsi="宋体" w:cs="Arial"/>
          <w:kern w:val="0"/>
          <w:szCs w:val="21"/>
        </w:rPr>
      </w:pPr>
      <w:r>
        <w:rPr>
          <w:rFonts w:hint="eastAsia" w:ascii="宋体" w:hAnsi="宋体" w:cs="Arial"/>
          <w:kern w:val="0"/>
          <w:szCs w:val="21"/>
        </w:rPr>
        <w:t>H＝E×</w:t>
      </w:r>
      <w:r>
        <w:rPr>
          <w:rFonts w:ascii="宋体" w:hAnsi="宋体" w:cs="Arial"/>
          <w:kern w:val="0"/>
          <w:szCs w:val="21"/>
        </w:rPr>
        <w:t>0.05%</w:t>
      </w:r>
      <w:r>
        <w:rPr>
          <w:rFonts w:hint="eastAsia" w:ascii="宋体" w:hAnsi="宋体" w:cs="Arial"/>
          <w:kern w:val="0"/>
          <w:szCs w:val="21"/>
        </w:rPr>
        <w:t>÷当年天数</w:t>
      </w:r>
    </w:p>
    <w:p w14:paraId="7E2B7119">
      <w:pPr>
        <w:spacing w:line="360" w:lineRule="auto"/>
        <w:ind w:firstLine="420" w:firstLineChars="200"/>
        <w:rPr>
          <w:rFonts w:ascii="宋体" w:hAnsi="宋体" w:cs="Arial"/>
          <w:kern w:val="0"/>
          <w:szCs w:val="21"/>
        </w:rPr>
      </w:pPr>
      <w:r>
        <w:rPr>
          <w:rFonts w:hint="eastAsia" w:ascii="宋体" w:hAnsi="宋体" w:cs="Arial"/>
          <w:kern w:val="0"/>
          <w:szCs w:val="21"/>
        </w:rPr>
        <w:t>H为每日应计提的基金托管费</w:t>
      </w:r>
    </w:p>
    <w:p w14:paraId="639EBD99">
      <w:pPr>
        <w:spacing w:line="360" w:lineRule="auto"/>
        <w:ind w:firstLine="420" w:firstLineChars="200"/>
        <w:rPr>
          <w:rFonts w:ascii="宋体" w:hAnsi="宋体" w:cs="Arial"/>
          <w:kern w:val="0"/>
          <w:szCs w:val="21"/>
        </w:rPr>
      </w:pPr>
      <w:r>
        <w:rPr>
          <w:rFonts w:hint="eastAsia" w:ascii="宋体" w:hAnsi="宋体" w:cs="Arial"/>
          <w:kern w:val="0"/>
          <w:szCs w:val="21"/>
        </w:rPr>
        <w:t>E为前一日的基金资产净值</w:t>
      </w:r>
    </w:p>
    <w:p w14:paraId="5D4E3754">
      <w:pPr>
        <w:spacing w:line="360" w:lineRule="auto"/>
        <w:ind w:firstLine="420" w:firstLineChars="200"/>
        <w:rPr>
          <w:rFonts w:ascii="宋体" w:hAnsi="宋体" w:cs="Arial"/>
          <w:kern w:val="0"/>
          <w:szCs w:val="21"/>
        </w:rPr>
      </w:pPr>
      <w:r>
        <w:rPr>
          <w:rFonts w:hint="eastAsia" w:ascii="宋体" w:hAnsi="宋体" w:cs="Arial"/>
          <w:kern w:val="0"/>
          <w:szCs w:val="21"/>
        </w:rPr>
        <w:t>基金托管费每日计算，逐日累计至每月月末，按月支付，由基金管理人与基金托管人核对一致后，基金托管人根据与管理人协商一致的方式于次月首日起第3个工作日内从基金财产中一次性支取。若遇法定节假日、休息日或不可抗力等致使无法按时支付的，支付日期顺延。</w:t>
      </w:r>
    </w:p>
    <w:p w14:paraId="33E5A47E">
      <w:pPr>
        <w:spacing w:line="360" w:lineRule="auto"/>
        <w:ind w:firstLine="420" w:firstLineChars="200"/>
        <w:rPr>
          <w:rFonts w:ascii="宋体" w:hAnsi="宋体" w:cs="Arial"/>
          <w:kern w:val="0"/>
          <w:szCs w:val="21"/>
        </w:rPr>
      </w:pPr>
    </w:p>
    <w:p w14:paraId="43AF0BE6">
      <w:pPr>
        <w:spacing w:line="360" w:lineRule="auto"/>
        <w:ind w:firstLine="420" w:firstLineChars="200"/>
        <w:rPr>
          <w:rFonts w:ascii="宋体" w:hAnsi="宋体" w:cs="Arial"/>
          <w:kern w:val="0"/>
          <w:szCs w:val="21"/>
        </w:rPr>
        <w:sectPr>
          <w:footerReference r:id="rId14" w:type="default"/>
          <w:pgSz w:w="11906" w:h="16838"/>
          <w:pgMar w:top="1440" w:right="1800" w:bottom="1440" w:left="1800" w:header="851" w:footer="992" w:gutter="0"/>
          <w:pgNumType w:start="1"/>
          <w:cols w:space="720" w:num="1"/>
          <w:docGrid w:type="lines" w:linePitch="312" w:charSpace="0"/>
        </w:sectPr>
      </w:pPr>
    </w:p>
    <w:p w14:paraId="4EF1E12D">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99" w:name="_Toc1720920"/>
      <w:r>
        <w:rPr>
          <w:rFonts w:hint="eastAsia" w:ascii="宋体" w:hAnsi="宋体" w:eastAsia="宋体" w:cs="Arial"/>
          <w:sz w:val="21"/>
          <w:szCs w:val="21"/>
        </w:rPr>
        <w:t>基金份额持有人名册的保管</w:t>
      </w:r>
      <w:bookmarkEnd w:id="99"/>
    </w:p>
    <w:p w14:paraId="30584E4B">
      <w:pPr>
        <w:spacing w:line="360" w:lineRule="auto"/>
        <w:ind w:firstLine="420" w:firstLineChars="200"/>
        <w:rPr>
          <w:rFonts w:ascii="宋体" w:hAnsi="宋体"/>
          <w:szCs w:val="21"/>
        </w:rPr>
      </w:pPr>
      <w:r>
        <w:rPr>
          <w:rFonts w:hint="eastAsia" w:ascii="宋体" w:hAnsi="宋体"/>
          <w:szCs w:val="21"/>
        </w:rPr>
        <w:t>基金管理人妥善保管的基金份额持有人名册，包括《基金合同》生效日、《基金合同》终止日、基金份额持有人大会权益登记日、每年</w:t>
      </w:r>
      <w:r>
        <w:rPr>
          <w:rFonts w:ascii="宋体" w:hAnsi="宋体"/>
          <w:szCs w:val="21"/>
        </w:rPr>
        <w:t>6月30日、12月31日的基金份额持有人名册。基金份额持有人名册的内容必须包括基金份额持有人的名称和持有的基金份额。</w:t>
      </w:r>
    </w:p>
    <w:p w14:paraId="46C07002">
      <w:pPr>
        <w:spacing w:line="360" w:lineRule="auto"/>
        <w:ind w:firstLine="420" w:firstLineChars="200"/>
        <w:rPr>
          <w:rFonts w:ascii="宋体" w:hAnsi="宋体"/>
          <w:szCs w:val="21"/>
        </w:rPr>
      </w:pPr>
      <w:r>
        <w:rPr>
          <w:rFonts w:hint="eastAsia" w:ascii="宋体" w:hAnsi="宋体"/>
          <w:szCs w:val="21"/>
        </w:rPr>
        <w:t>基金份额持有人名册由基金的</w:t>
      </w:r>
      <w:r>
        <w:rPr>
          <w:rFonts w:hint="eastAsia" w:ascii="宋体" w:hAnsi="宋体" w:cs="Arial"/>
          <w:szCs w:val="21"/>
        </w:rPr>
        <w:t>基金登记机构根据基金管理人的指令编制和保管</w:t>
      </w:r>
      <w:r>
        <w:rPr>
          <w:rFonts w:hint="eastAsia" w:ascii="宋体" w:hAnsi="宋体"/>
          <w:szCs w:val="21"/>
        </w:rPr>
        <w:t>，基金管理人、基金托管人应按照目前相关规则保管基金份额持有人名册。保管方式可以采用电子或文档的形式。保管期限为</w:t>
      </w:r>
      <w:r>
        <w:rPr>
          <w:rFonts w:ascii="宋体" w:hAnsi="宋体"/>
          <w:szCs w:val="21"/>
        </w:rPr>
        <w:t>15年。</w:t>
      </w:r>
      <w:r>
        <w:rPr>
          <w:rFonts w:hint="eastAsia" w:ascii="宋体" w:hAnsi="宋体"/>
          <w:szCs w:val="21"/>
        </w:rPr>
        <w:t>法律法规或监管机构另有规定的，从其规定。</w:t>
      </w:r>
    </w:p>
    <w:p w14:paraId="5F95D19E">
      <w:pPr>
        <w:spacing w:line="360" w:lineRule="auto"/>
        <w:ind w:firstLine="420" w:firstLineChars="200"/>
        <w:rPr>
          <w:rFonts w:ascii="宋体" w:hAnsi="宋体"/>
          <w:szCs w:val="21"/>
        </w:rPr>
      </w:pPr>
      <w:r>
        <w:rPr>
          <w:rFonts w:hint="eastAsia" w:ascii="宋体" w:hAnsi="宋体"/>
          <w:szCs w:val="21"/>
        </w:rPr>
        <w:t>在基金托管人编制中期报和年报前，基金管理人应将每年</w:t>
      </w:r>
      <w:r>
        <w:rPr>
          <w:rFonts w:ascii="宋体" w:hAnsi="宋体"/>
          <w:szCs w:val="21"/>
        </w:rPr>
        <w:t>6月30日、12月31日的基金持有人名册送交基金托管人，文件方式可以采用电子或文档的形式并且保证其的真实、准确、完整。基金托管人应妥善保管，不得将持有人名册用于基金托管业务以外的其他用途。</w:t>
      </w:r>
    </w:p>
    <w:p w14:paraId="119792E3">
      <w:pPr>
        <w:spacing w:line="360" w:lineRule="auto"/>
        <w:ind w:firstLine="420" w:firstLineChars="200"/>
        <w:rPr>
          <w:rFonts w:ascii="宋体" w:hAnsi="宋体"/>
          <w:szCs w:val="21"/>
        </w:rPr>
      </w:pPr>
    </w:p>
    <w:p w14:paraId="083BAA0B">
      <w:pPr>
        <w:spacing w:line="360" w:lineRule="auto"/>
        <w:ind w:firstLine="420" w:firstLineChars="200"/>
        <w:rPr>
          <w:rFonts w:ascii="宋体" w:hAnsi="宋体" w:cs="Arial"/>
          <w:szCs w:val="21"/>
        </w:rPr>
        <w:sectPr>
          <w:footerReference r:id="rId15" w:type="default"/>
          <w:pgSz w:w="11906" w:h="16838"/>
          <w:pgMar w:top="1440" w:right="1800" w:bottom="1440" w:left="1800" w:header="851" w:footer="992" w:gutter="0"/>
          <w:pgNumType w:start="1"/>
          <w:cols w:space="720" w:num="1"/>
          <w:docGrid w:type="lines" w:linePitch="312" w:charSpace="0"/>
        </w:sectPr>
      </w:pPr>
    </w:p>
    <w:p w14:paraId="0F92070E">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00" w:name="_Toc1720921"/>
      <w:r>
        <w:rPr>
          <w:rFonts w:hint="eastAsia" w:ascii="宋体" w:hAnsi="宋体" w:eastAsia="宋体" w:cs="Arial"/>
          <w:sz w:val="21"/>
          <w:szCs w:val="21"/>
        </w:rPr>
        <w:t>基金有关文件和档案的保存</w:t>
      </w:r>
      <w:bookmarkEnd w:id="100"/>
    </w:p>
    <w:p w14:paraId="70254BDF">
      <w:pPr>
        <w:spacing w:line="360" w:lineRule="auto"/>
        <w:ind w:firstLine="420" w:firstLineChars="200"/>
        <w:rPr>
          <w:rFonts w:ascii="宋体" w:hAnsi="宋体" w:cs="Arial"/>
          <w:szCs w:val="21"/>
        </w:rPr>
      </w:pPr>
      <w:r>
        <w:rPr>
          <w:rFonts w:hint="eastAsia" w:ascii="宋体" w:hAnsi="宋体" w:cs="Arial"/>
          <w:szCs w:val="21"/>
        </w:rPr>
        <w:t>（一）档案保存</w:t>
      </w:r>
    </w:p>
    <w:p w14:paraId="61DC9528">
      <w:pPr>
        <w:spacing w:line="360" w:lineRule="auto"/>
        <w:ind w:firstLine="420" w:firstLineChars="200"/>
        <w:rPr>
          <w:rFonts w:ascii="宋体" w:hAnsi="宋体" w:cs="Arial"/>
          <w:szCs w:val="21"/>
        </w:rPr>
      </w:pPr>
      <w:r>
        <w:rPr>
          <w:rFonts w:hint="eastAsia" w:ascii="宋体" w:hAnsi="宋体" w:cs="Arial"/>
          <w:szCs w:val="21"/>
        </w:rPr>
        <w:t>基金管理人和基金托管人应按各自职责完整保存本基金的基金账册、原始凭证、记账凭证、交易记录、公告、重要合同等相关资料，承担保密义务并按规定的期限保管。基金管理人应保存基金财产管理业务活动的记录、账册、报表和其他相关资料，基金托管人应保存基金托管业务活动的记录、账册、报表和其他相关资料。保存期限不少于</w:t>
      </w:r>
      <w:r>
        <w:rPr>
          <w:rFonts w:ascii="宋体" w:hAnsi="宋体" w:cs="Arial"/>
          <w:szCs w:val="21"/>
        </w:rPr>
        <w:t xml:space="preserve">15 </w:t>
      </w:r>
      <w:r>
        <w:rPr>
          <w:rFonts w:hint="eastAsia" w:ascii="宋体" w:hAnsi="宋体" w:cs="Arial"/>
          <w:szCs w:val="21"/>
        </w:rPr>
        <w:t>年。法律法规或监管机构另有规定的，从其规定。</w:t>
      </w:r>
    </w:p>
    <w:p w14:paraId="66531624">
      <w:pPr>
        <w:spacing w:line="360" w:lineRule="auto"/>
        <w:ind w:firstLine="420" w:firstLineChars="200"/>
        <w:rPr>
          <w:rFonts w:ascii="宋体" w:hAnsi="宋体" w:cs="Arial"/>
          <w:szCs w:val="21"/>
        </w:rPr>
      </w:pPr>
      <w:r>
        <w:rPr>
          <w:rFonts w:hint="eastAsia" w:ascii="宋体" w:hAnsi="宋体" w:cs="Arial"/>
          <w:szCs w:val="21"/>
        </w:rPr>
        <w:t>（二）合同档案的建立</w:t>
      </w:r>
    </w:p>
    <w:p w14:paraId="1C855186">
      <w:pPr>
        <w:spacing w:line="360" w:lineRule="auto"/>
        <w:ind w:firstLine="420" w:firstLineChars="200"/>
        <w:rPr>
          <w:rFonts w:ascii="宋体" w:hAnsi="宋体" w:cs="Arial"/>
          <w:szCs w:val="21"/>
        </w:rPr>
      </w:pPr>
      <w:r>
        <w:rPr>
          <w:rFonts w:ascii="宋体" w:hAnsi="宋体" w:cs="Arial"/>
          <w:szCs w:val="21"/>
        </w:rPr>
        <w:t>1、基金管理人或基金托管人在签署与本基金有关的合同文本后，应及时按相关法律法规及本协议的规定将合同正本或副本提交对方。</w:t>
      </w:r>
    </w:p>
    <w:p w14:paraId="4195517B">
      <w:pPr>
        <w:spacing w:line="360" w:lineRule="auto"/>
        <w:ind w:firstLine="420" w:firstLineChars="200"/>
        <w:rPr>
          <w:rFonts w:ascii="宋体" w:hAnsi="宋体" w:cs="Arial"/>
          <w:szCs w:val="21"/>
        </w:rPr>
      </w:pPr>
      <w:r>
        <w:rPr>
          <w:rFonts w:ascii="宋体" w:hAnsi="宋体" w:cs="Arial"/>
          <w:szCs w:val="21"/>
        </w:rPr>
        <w:t>2、基金管理人和基金托管人应按各自职责保管就基金资产对外签署的全部合同的正本。</w:t>
      </w:r>
    </w:p>
    <w:p w14:paraId="1863A052">
      <w:pPr>
        <w:spacing w:line="360" w:lineRule="auto"/>
        <w:ind w:firstLine="420" w:firstLineChars="200"/>
        <w:rPr>
          <w:rFonts w:ascii="宋体" w:hAnsi="宋体" w:cs="Arial"/>
          <w:szCs w:val="21"/>
        </w:rPr>
      </w:pPr>
      <w:r>
        <w:rPr>
          <w:rFonts w:hint="eastAsia" w:ascii="宋体" w:hAnsi="宋体" w:cs="Arial"/>
          <w:szCs w:val="21"/>
        </w:rPr>
        <w:t>（三）变更与协助</w:t>
      </w:r>
    </w:p>
    <w:p w14:paraId="410A2BF3">
      <w:pPr>
        <w:spacing w:line="360" w:lineRule="auto"/>
        <w:ind w:firstLine="420" w:firstLineChars="200"/>
        <w:rPr>
          <w:rFonts w:ascii="宋体" w:hAnsi="宋体" w:cs="Arial"/>
          <w:szCs w:val="21"/>
        </w:rPr>
      </w:pPr>
      <w:r>
        <w:rPr>
          <w:rFonts w:hint="eastAsia" w:ascii="宋体" w:hAnsi="宋体" w:cs="Arial"/>
          <w:szCs w:val="21"/>
        </w:rPr>
        <w:t>若基金管理人和基金托管人发生变更，未变更的一方有义务协助变更后的接任人接收相应文件。</w:t>
      </w:r>
    </w:p>
    <w:p w14:paraId="78C3E76F">
      <w:pPr>
        <w:spacing w:line="360" w:lineRule="auto"/>
        <w:ind w:firstLine="420" w:firstLineChars="200"/>
        <w:rPr>
          <w:rFonts w:ascii="宋体" w:hAnsi="宋体"/>
          <w:szCs w:val="21"/>
        </w:rPr>
        <w:sectPr>
          <w:footerReference r:id="rId16" w:type="default"/>
          <w:pgSz w:w="11906" w:h="16838"/>
          <w:pgMar w:top="1440" w:right="1800" w:bottom="1440" w:left="1800" w:header="851" w:footer="992" w:gutter="0"/>
          <w:pgNumType w:start="1"/>
          <w:cols w:space="720" w:num="1"/>
          <w:docGrid w:type="lines" w:linePitch="312" w:charSpace="0"/>
        </w:sectPr>
      </w:pPr>
    </w:p>
    <w:p w14:paraId="7605CDD5">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01" w:name="_Toc1720922"/>
      <w:r>
        <w:rPr>
          <w:rFonts w:hint="eastAsia" w:ascii="宋体" w:hAnsi="宋体" w:eastAsia="宋体" w:cs="Arial"/>
          <w:sz w:val="21"/>
          <w:szCs w:val="21"/>
        </w:rPr>
        <w:t>基金管理人和基金托管人的更换</w:t>
      </w:r>
      <w:bookmarkEnd w:id="101"/>
    </w:p>
    <w:p w14:paraId="57B655AB">
      <w:pPr>
        <w:pStyle w:val="3"/>
        <w:keepNext w:val="0"/>
        <w:keepLines w:val="0"/>
        <w:autoSpaceDE w:val="0"/>
        <w:autoSpaceDN w:val="0"/>
        <w:adjustRightInd w:val="0"/>
        <w:spacing w:before="0" w:after="0" w:line="360" w:lineRule="auto"/>
        <w:ind w:firstLine="308" w:firstLineChars="147"/>
        <w:textAlignment w:val="baseline"/>
        <w:rPr>
          <w:rFonts w:ascii="宋体" w:hAnsi="宋体" w:eastAsia="宋体" w:cs="Arial"/>
          <w:b w:val="0"/>
          <w:bCs w:val="0"/>
          <w:kern w:val="0"/>
          <w:sz w:val="21"/>
          <w:szCs w:val="21"/>
        </w:rPr>
      </w:pPr>
      <w:bookmarkStart w:id="102" w:name="_Toc382819129"/>
      <w:bookmarkStart w:id="103" w:name="_Toc1720923"/>
      <w:r>
        <w:rPr>
          <w:rFonts w:hint="eastAsia" w:ascii="宋体" w:hAnsi="宋体" w:eastAsia="宋体" w:cs="Arial"/>
          <w:b w:val="0"/>
          <w:bCs w:val="0"/>
          <w:kern w:val="0"/>
          <w:sz w:val="21"/>
          <w:szCs w:val="21"/>
        </w:rPr>
        <w:t>（一）基金管理人的更换</w:t>
      </w:r>
      <w:bookmarkEnd w:id="102"/>
      <w:bookmarkEnd w:id="103"/>
    </w:p>
    <w:p w14:paraId="0901738A">
      <w:pPr>
        <w:spacing w:line="360" w:lineRule="auto"/>
        <w:ind w:firstLine="420" w:firstLineChars="200"/>
        <w:rPr>
          <w:rFonts w:ascii="宋体" w:hAnsi="宋体"/>
          <w:szCs w:val="21"/>
        </w:rPr>
      </w:pPr>
      <w:r>
        <w:rPr>
          <w:rFonts w:ascii="宋体" w:hAnsi="宋体"/>
          <w:szCs w:val="21"/>
        </w:rPr>
        <w:t>1.基金管理人的更换条件</w:t>
      </w:r>
    </w:p>
    <w:p w14:paraId="17BA369F">
      <w:pPr>
        <w:spacing w:line="360" w:lineRule="auto"/>
        <w:ind w:firstLine="420" w:firstLineChars="200"/>
        <w:rPr>
          <w:rFonts w:ascii="宋体" w:hAnsi="宋体"/>
          <w:szCs w:val="21"/>
        </w:rPr>
      </w:pPr>
      <w:r>
        <w:rPr>
          <w:rFonts w:hint="eastAsia" w:ascii="宋体" w:hAnsi="宋体"/>
          <w:szCs w:val="21"/>
        </w:rPr>
        <w:t>有下列情形之一的，可以更换基金管理人：</w:t>
      </w:r>
    </w:p>
    <w:p w14:paraId="5DCE4229">
      <w:pPr>
        <w:spacing w:line="360" w:lineRule="auto"/>
        <w:ind w:firstLine="420" w:firstLineChars="200"/>
        <w:rPr>
          <w:rFonts w:ascii="宋体" w:hAnsi="宋体"/>
          <w:szCs w:val="21"/>
        </w:rPr>
      </w:pPr>
      <w:r>
        <w:rPr>
          <w:rFonts w:ascii="宋体" w:hAnsi="宋体"/>
          <w:szCs w:val="21"/>
        </w:rPr>
        <w:t xml:space="preserve">(1) </w:t>
      </w:r>
      <w:r>
        <w:rPr>
          <w:rFonts w:hint="eastAsia" w:ascii="宋体" w:hAnsi="宋体"/>
          <w:szCs w:val="21"/>
        </w:rPr>
        <w:t>被依法取消基金管理人资格；</w:t>
      </w:r>
    </w:p>
    <w:p w14:paraId="4CCCF4E9">
      <w:pPr>
        <w:spacing w:line="360" w:lineRule="auto"/>
        <w:ind w:firstLine="420" w:firstLineChars="200"/>
        <w:rPr>
          <w:rFonts w:ascii="宋体" w:hAnsi="宋体"/>
          <w:szCs w:val="21"/>
        </w:rPr>
      </w:pPr>
      <w:r>
        <w:rPr>
          <w:rFonts w:ascii="宋体" w:hAnsi="宋体"/>
          <w:szCs w:val="21"/>
        </w:rPr>
        <w:t xml:space="preserve">(2) </w:t>
      </w:r>
      <w:r>
        <w:rPr>
          <w:rFonts w:hint="eastAsia" w:ascii="宋体" w:hAnsi="宋体"/>
          <w:szCs w:val="21"/>
        </w:rPr>
        <w:t>被基金份额持有人大会解任；</w:t>
      </w:r>
    </w:p>
    <w:p w14:paraId="6DDC7C90">
      <w:pPr>
        <w:spacing w:line="360" w:lineRule="auto"/>
        <w:ind w:firstLine="420" w:firstLineChars="200"/>
        <w:rPr>
          <w:rFonts w:ascii="宋体" w:hAnsi="宋体"/>
          <w:szCs w:val="21"/>
        </w:rPr>
      </w:pPr>
      <w:r>
        <w:rPr>
          <w:rFonts w:ascii="宋体" w:hAnsi="宋体"/>
          <w:szCs w:val="21"/>
        </w:rPr>
        <w:t xml:space="preserve">(3) </w:t>
      </w:r>
      <w:r>
        <w:rPr>
          <w:rFonts w:hint="eastAsia" w:ascii="宋体" w:hAnsi="宋体"/>
          <w:szCs w:val="21"/>
        </w:rPr>
        <w:t>依法解散、被依法撤销或被依法宣告破产；</w:t>
      </w:r>
    </w:p>
    <w:p w14:paraId="3EA38C0F">
      <w:pPr>
        <w:spacing w:line="360" w:lineRule="auto"/>
        <w:ind w:firstLine="420" w:firstLineChars="200"/>
        <w:rPr>
          <w:rFonts w:ascii="宋体" w:hAnsi="宋体"/>
          <w:szCs w:val="21"/>
        </w:rPr>
      </w:pPr>
      <w:r>
        <w:rPr>
          <w:rFonts w:ascii="宋体" w:hAnsi="宋体"/>
          <w:szCs w:val="21"/>
        </w:rPr>
        <w:t xml:space="preserve">(4) </w:t>
      </w:r>
      <w:r>
        <w:rPr>
          <w:rFonts w:hint="eastAsia" w:ascii="宋体" w:hAnsi="宋体"/>
          <w:szCs w:val="21"/>
        </w:rPr>
        <w:t>法律法规及中国证监会规定的和《基金合同》规定的其它情形。</w:t>
      </w:r>
    </w:p>
    <w:p w14:paraId="2340FD15">
      <w:pPr>
        <w:spacing w:line="360" w:lineRule="auto"/>
        <w:ind w:firstLine="420" w:firstLineChars="200"/>
        <w:rPr>
          <w:rFonts w:ascii="宋体" w:hAnsi="宋体"/>
          <w:szCs w:val="21"/>
        </w:rPr>
      </w:pPr>
      <w:r>
        <w:rPr>
          <w:rFonts w:ascii="宋体" w:hAnsi="宋体"/>
          <w:szCs w:val="21"/>
        </w:rPr>
        <w:t>2.更换基金管理人的程序</w:t>
      </w:r>
    </w:p>
    <w:p w14:paraId="0F39DC1C">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1）提名：</w:t>
      </w:r>
      <w:r>
        <w:rPr>
          <w:rFonts w:hint="eastAsia" w:ascii="宋体" w:hAnsi="宋体"/>
          <w:szCs w:val="21"/>
        </w:rPr>
        <w:t>新任基金管理人由基金托管人或由单独或合计持有</w:t>
      </w:r>
      <w:r>
        <w:rPr>
          <w:rFonts w:ascii="宋体" w:hAnsi="宋体"/>
          <w:szCs w:val="21"/>
        </w:rPr>
        <w:t>10%以上（含10%）基金份额的基金份额持有人提名；</w:t>
      </w:r>
    </w:p>
    <w:p w14:paraId="39BDCA9B">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2）决议：基金份额持有人大会在基金管理人职责终止后6个月内对被提名的基金管理人形成决议，该决议需经参加大会的基金份额持有人所持表决权的2/3以上（含2/3）表决通过</w:t>
      </w:r>
      <w:r>
        <w:rPr>
          <w:rFonts w:hint="eastAsia" w:ascii="宋体" w:hAnsi="宋体"/>
          <w:szCs w:val="21"/>
        </w:rPr>
        <w:t>，决议自表决通过之日起生效；</w:t>
      </w:r>
    </w:p>
    <w:p w14:paraId="41126B22">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3）临时基金管理人：</w:t>
      </w:r>
      <w:r>
        <w:rPr>
          <w:rFonts w:hint="eastAsia" w:ascii="宋体" w:hAnsi="宋体"/>
          <w:szCs w:val="21"/>
        </w:rPr>
        <w:t>新任基金管理人产生之前，由中国证监会指定临时基金管理人；</w:t>
      </w:r>
    </w:p>
    <w:p w14:paraId="7AA4D47C">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备案：基金份额持有人大会选任基金管理人的决议须报中国证监会备案；</w:t>
      </w:r>
    </w:p>
    <w:p w14:paraId="207890C9">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5）公告：</w:t>
      </w:r>
      <w:r>
        <w:rPr>
          <w:rFonts w:hint="eastAsia" w:ascii="宋体" w:hAnsi="宋体"/>
          <w:szCs w:val="21"/>
        </w:rPr>
        <w:t>基金</w:t>
      </w:r>
      <w:r>
        <w:rPr>
          <w:rFonts w:ascii="宋体" w:hAnsi="宋体"/>
          <w:szCs w:val="21"/>
        </w:rPr>
        <w:t>管理人更换后，由</w:t>
      </w:r>
      <w:r>
        <w:rPr>
          <w:rFonts w:hint="eastAsia" w:ascii="宋体" w:hAnsi="宋体"/>
          <w:szCs w:val="21"/>
        </w:rPr>
        <w:t>基金托管人在更换基金管理人的基金份额持有人大会决议生效后按规定</w:t>
      </w:r>
      <w:r>
        <w:rPr>
          <w:rFonts w:ascii="宋体" w:hAnsi="宋体"/>
          <w:szCs w:val="21"/>
        </w:rPr>
        <w:t>在指定媒介上公告</w:t>
      </w:r>
      <w:r>
        <w:rPr>
          <w:rFonts w:hint="eastAsia" w:ascii="宋体" w:hAnsi="宋体"/>
          <w:szCs w:val="21"/>
        </w:rPr>
        <w:t>；</w:t>
      </w:r>
    </w:p>
    <w:p w14:paraId="4C572CAF">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6）交接：基金管理人职责终止的，基金管理人应妥善保管基金管理业务资料，及时向临时基金管理人或</w:t>
      </w:r>
      <w:r>
        <w:rPr>
          <w:rFonts w:hint="eastAsia" w:ascii="宋体" w:hAnsi="宋体"/>
          <w:szCs w:val="21"/>
        </w:rPr>
        <w:t>新任基金管理人办理基金管理业务的移交手续，临时基金管理人或新任基金管理人应及时接收。新任基金管理人或临时基金管理人应与基金托管人核对基金资产总值和净值；</w:t>
      </w:r>
    </w:p>
    <w:p w14:paraId="475A2238">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）审计：基金管理人职责终止的，应当按照法律法规规定聘请会计师事务所对基金财产进行审计，并将审计结果予以公告同时报中国证监会备案，审计费用在基金财产中列支；</w:t>
      </w:r>
    </w:p>
    <w:p w14:paraId="67DFA6B7">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）基金名称变更：基金管理人更换后，如果原任或新任基金管理人要求，应按其要求替换或删除基金名称中与原任基金管理人有关的名称字样。</w:t>
      </w:r>
    </w:p>
    <w:p w14:paraId="0A0BBBA9">
      <w:pPr>
        <w:spacing w:line="360" w:lineRule="auto"/>
        <w:ind w:firstLine="420" w:firstLineChars="200"/>
        <w:rPr>
          <w:rFonts w:ascii="宋体" w:hAnsi="宋体"/>
          <w:szCs w:val="21"/>
        </w:rPr>
      </w:pPr>
      <w:r>
        <w:rPr>
          <w:rFonts w:ascii="宋体" w:hAnsi="宋体"/>
          <w:szCs w:val="21"/>
        </w:rPr>
        <w:t>3.原任基金管理人职责终止后，</w:t>
      </w:r>
      <w:r>
        <w:rPr>
          <w:rFonts w:hint="eastAsia" w:ascii="宋体" w:hAnsi="宋体"/>
          <w:szCs w:val="21"/>
        </w:rPr>
        <w:t>新任基金管理人或临时基金管理人接受基金管理业务前，原任基金管理人和基金托管人需采取审慎措施确保基金财产的安全，不对基金份额持有人的利益造成损失，并有义务协助新任基金管理人或临时基金管理人尽快恢复基金财产的投资运作。</w:t>
      </w:r>
    </w:p>
    <w:p w14:paraId="7F2AFB90">
      <w:pPr>
        <w:pStyle w:val="3"/>
        <w:keepNext w:val="0"/>
        <w:keepLines w:val="0"/>
        <w:autoSpaceDE w:val="0"/>
        <w:autoSpaceDN w:val="0"/>
        <w:adjustRightInd w:val="0"/>
        <w:spacing w:before="0" w:after="0" w:line="360" w:lineRule="auto"/>
        <w:ind w:firstLine="308" w:firstLineChars="147"/>
        <w:textAlignment w:val="baseline"/>
        <w:rPr>
          <w:rFonts w:ascii="宋体" w:hAnsi="宋体" w:eastAsia="宋体" w:cs="Arial"/>
          <w:b w:val="0"/>
          <w:bCs w:val="0"/>
          <w:kern w:val="0"/>
          <w:sz w:val="21"/>
          <w:szCs w:val="21"/>
        </w:rPr>
      </w:pPr>
      <w:bookmarkStart w:id="104" w:name="_Toc1720924"/>
      <w:bookmarkStart w:id="105" w:name="_Toc382819130"/>
      <w:r>
        <w:rPr>
          <w:rFonts w:hint="eastAsia" w:ascii="宋体" w:hAnsi="宋体" w:eastAsia="宋体" w:cs="Arial"/>
          <w:b w:val="0"/>
          <w:bCs w:val="0"/>
          <w:kern w:val="0"/>
          <w:sz w:val="21"/>
          <w:szCs w:val="21"/>
        </w:rPr>
        <w:t>（二）基金托管人的更换</w:t>
      </w:r>
      <w:bookmarkEnd w:id="104"/>
      <w:bookmarkEnd w:id="105"/>
    </w:p>
    <w:p w14:paraId="2F01B3DB">
      <w:pPr>
        <w:spacing w:line="360" w:lineRule="auto"/>
        <w:ind w:firstLine="420" w:firstLineChars="200"/>
        <w:rPr>
          <w:rFonts w:ascii="宋体" w:hAnsi="宋体"/>
          <w:szCs w:val="21"/>
        </w:rPr>
      </w:pPr>
      <w:r>
        <w:rPr>
          <w:rFonts w:ascii="宋体" w:hAnsi="宋体"/>
          <w:szCs w:val="21"/>
        </w:rPr>
        <w:t>1.基金托管人的更换条件</w:t>
      </w:r>
    </w:p>
    <w:p w14:paraId="6F5DABCD">
      <w:pPr>
        <w:spacing w:line="360" w:lineRule="auto"/>
        <w:ind w:firstLine="420" w:firstLineChars="200"/>
        <w:rPr>
          <w:rFonts w:ascii="宋体" w:hAnsi="宋体"/>
          <w:szCs w:val="21"/>
        </w:rPr>
      </w:pPr>
      <w:r>
        <w:rPr>
          <w:rFonts w:hint="eastAsia" w:ascii="宋体" w:hAnsi="宋体"/>
          <w:szCs w:val="21"/>
        </w:rPr>
        <w:t>有下列情形之一的，可以更换基金托管人：</w:t>
      </w:r>
    </w:p>
    <w:p w14:paraId="7794D01B">
      <w:pPr>
        <w:spacing w:line="360" w:lineRule="auto"/>
        <w:ind w:firstLine="420" w:firstLineChars="200"/>
        <w:rPr>
          <w:rFonts w:ascii="宋体" w:hAnsi="宋体"/>
          <w:szCs w:val="21"/>
        </w:rPr>
      </w:pPr>
      <w:r>
        <w:rPr>
          <w:rFonts w:ascii="宋体" w:hAnsi="宋体"/>
          <w:szCs w:val="21"/>
        </w:rPr>
        <w:t xml:space="preserve">(1) </w:t>
      </w:r>
      <w:r>
        <w:rPr>
          <w:rFonts w:hint="eastAsia" w:ascii="宋体" w:hAnsi="宋体"/>
          <w:szCs w:val="21"/>
        </w:rPr>
        <w:t>被依法取消基金托管人资格；</w:t>
      </w:r>
    </w:p>
    <w:p w14:paraId="230086BC">
      <w:pPr>
        <w:spacing w:line="360" w:lineRule="auto"/>
        <w:ind w:firstLine="420" w:firstLineChars="200"/>
        <w:rPr>
          <w:rFonts w:ascii="宋体" w:hAnsi="宋体"/>
          <w:szCs w:val="21"/>
        </w:rPr>
      </w:pPr>
      <w:r>
        <w:rPr>
          <w:rFonts w:ascii="宋体" w:hAnsi="宋体"/>
          <w:szCs w:val="21"/>
        </w:rPr>
        <w:t xml:space="preserve">(2) </w:t>
      </w:r>
      <w:r>
        <w:rPr>
          <w:rFonts w:hint="eastAsia" w:ascii="宋体" w:hAnsi="宋体"/>
          <w:szCs w:val="21"/>
        </w:rPr>
        <w:t>被基金份额持有人大会解任；</w:t>
      </w:r>
    </w:p>
    <w:p w14:paraId="663D9590">
      <w:pPr>
        <w:spacing w:line="360" w:lineRule="auto"/>
        <w:ind w:firstLine="420" w:firstLineChars="200"/>
        <w:rPr>
          <w:rFonts w:ascii="宋体" w:hAnsi="宋体"/>
          <w:szCs w:val="21"/>
        </w:rPr>
      </w:pPr>
      <w:r>
        <w:rPr>
          <w:rFonts w:ascii="宋体" w:hAnsi="宋体"/>
          <w:szCs w:val="21"/>
        </w:rPr>
        <w:t xml:space="preserve">(3) </w:t>
      </w:r>
      <w:r>
        <w:rPr>
          <w:rFonts w:hint="eastAsia" w:ascii="宋体" w:hAnsi="宋体"/>
          <w:szCs w:val="21"/>
        </w:rPr>
        <w:t>依法解散、被依法撤销或被依法宣告破产；</w:t>
      </w:r>
    </w:p>
    <w:p w14:paraId="639FA926">
      <w:pPr>
        <w:spacing w:line="360" w:lineRule="auto"/>
        <w:ind w:firstLine="420" w:firstLineChars="200"/>
        <w:rPr>
          <w:rFonts w:ascii="宋体" w:hAnsi="宋体"/>
          <w:szCs w:val="21"/>
        </w:rPr>
      </w:pPr>
      <w:r>
        <w:rPr>
          <w:rFonts w:ascii="宋体" w:hAnsi="宋体"/>
          <w:szCs w:val="21"/>
        </w:rPr>
        <w:t xml:space="preserve">(4) </w:t>
      </w:r>
      <w:r>
        <w:rPr>
          <w:rFonts w:hint="eastAsia" w:ascii="宋体" w:hAnsi="宋体"/>
          <w:szCs w:val="21"/>
        </w:rPr>
        <w:t>法律法规及中国证监会规定的和《基金合同》规定的其它情形。</w:t>
      </w:r>
    </w:p>
    <w:p w14:paraId="7F290FF6">
      <w:pPr>
        <w:spacing w:line="360" w:lineRule="auto"/>
        <w:ind w:firstLine="420" w:firstLineChars="200"/>
        <w:rPr>
          <w:rFonts w:ascii="宋体" w:hAnsi="宋体"/>
          <w:szCs w:val="21"/>
        </w:rPr>
      </w:pPr>
      <w:r>
        <w:rPr>
          <w:rFonts w:ascii="宋体" w:hAnsi="宋体"/>
          <w:szCs w:val="21"/>
        </w:rPr>
        <w:t>2.更换基金托管人的程序</w:t>
      </w:r>
    </w:p>
    <w:p w14:paraId="6556458E">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1）提名：</w:t>
      </w:r>
      <w:r>
        <w:rPr>
          <w:rFonts w:hint="eastAsia" w:ascii="宋体" w:hAnsi="宋体"/>
          <w:szCs w:val="21"/>
        </w:rPr>
        <w:t>新任基金托管人由基金管理人或由单独或合计持有</w:t>
      </w:r>
      <w:r>
        <w:rPr>
          <w:rFonts w:ascii="宋体" w:hAnsi="宋体"/>
          <w:szCs w:val="21"/>
        </w:rPr>
        <w:t>10%以上（含10%）基金份额的基金份额持有人提名；</w:t>
      </w:r>
    </w:p>
    <w:p w14:paraId="39B735B9">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2）决议：基金份额持有人大会在基金托管人职责终止后6个月内对被提名的基金托管人形成决议，该决议需经参加大会的基金份额持有人所持表决权的2/3以上（含2/3）表决通过</w:t>
      </w:r>
      <w:r>
        <w:rPr>
          <w:rFonts w:hint="eastAsia" w:ascii="宋体" w:hAnsi="宋体"/>
          <w:szCs w:val="21"/>
        </w:rPr>
        <w:t>，决议自表决通过之日起生效；</w:t>
      </w:r>
    </w:p>
    <w:p w14:paraId="4494CB94">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3）临时基金托管人：</w:t>
      </w:r>
      <w:r>
        <w:rPr>
          <w:rFonts w:hint="eastAsia" w:ascii="宋体" w:hAnsi="宋体"/>
          <w:szCs w:val="21"/>
        </w:rPr>
        <w:t>新任基金托管人产生之前，由中国证监会指定临时基金托管人；</w:t>
      </w:r>
    </w:p>
    <w:p w14:paraId="1B52D0A6">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4）备案：基金份额持有人大会</w:t>
      </w:r>
      <w:r>
        <w:rPr>
          <w:rFonts w:hint="eastAsia" w:ascii="宋体" w:hAnsi="宋体"/>
          <w:szCs w:val="21"/>
        </w:rPr>
        <w:t>更换基金托管人的决议须报中国证监会备案；</w:t>
      </w:r>
    </w:p>
    <w:p w14:paraId="531B28A6">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5）公告：</w:t>
      </w:r>
      <w:r>
        <w:rPr>
          <w:rFonts w:hint="eastAsia" w:ascii="宋体" w:hAnsi="宋体"/>
          <w:szCs w:val="21"/>
        </w:rPr>
        <w:t>基金</w:t>
      </w:r>
      <w:r>
        <w:rPr>
          <w:rFonts w:ascii="宋体" w:hAnsi="宋体"/>
          <w:szCs w:val="21"/>
        </w:rPr>
        <w:t>托管人更换后，由</w:t>
      </w:r>
      <w:r>
        <w:rPr>
          <w:rFonts w:hint="eastAsia" w:ascii="宋体" w:hAnsi="宋体"/>
          <w:szCs w:val="21"/>
        </w:rPr>
        <w:t>基金管理人在更换基金托管人的基金份额持有人大会决议生效后按规定</w:t>
      </w:r>
      <w:r>
        <w:rPr>
          <w:rFonts w:ascii="宋体" w:hAnsi="宋体"/>
          <w:szCs w:val="21"/>
        </w:rPr>
        <w:t>在指定媒介上公告</w:t>
      </w:r>
      <w:r>
        <w:rPr>
          <w:rFonts w:hint="eastAsia" w:ascii="宋体" w:hAnsi="宋体"/>
          <w:szCs w:val="21"/>
        </w:rPr>
        <w:t>；</w:t>
      </w:r>
    </w:p>
    <w:p w14:paraId="53F358EC">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交接</w:t>
      </w:r>
      <w:r>
        <w:rPr>
          <w:rFonts w:ascii="宋体" w:hAnsi="宋体"/>
          <w:szCs w:val="21"/>
        </w:rPr>
        <w:t>：</w:t>
      </w:r>
      <w:r>
        <w:rPr>
          <w:rFonts w:hint="eastAsia" w:ascii="宋体" w:hAnsi="宋体"/>
          <w:szCs w:val="21"/>
        </w:rPr>
        <w:t>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w:t>
      </w:r>
    </w:p>
    <w:p w14:paraId="39A72FCD">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7）审计：基金托管人职责终止的，应当按照法律法规规定聘请会计师事务所对基金财产进行审计，并</w:t>
      </w:r>
      <w:r>
        <w:rPr>
          <w:rFonts w:hint="eastAsia" w:ascii="宋体" w:hAnsi="宋体"/>
          <w:szCs w:val="21"/>
        </w:rPr>
        <w:t>将</w:t>
      </w:r>
      <w:r>
        <w:rPr>
          <w:rFonts w:ascii="宋体" w:hAnsi="宋体"/>
          <w:szCs w:val="21"/>
        </w:rPr>
        <w:t>审计结果</w:t>
      </w:r>
      <w:r>
        <w:rPr>
          <w:rFonts w:hint="eastAsia" w:ascii="宋体" w:hAnsi="宋体"/>
          <w:szCs w:val="21"/>
        </w:rPr>
        <w:t>予以公告，同时报中国证监会备案，审计费用在基金财产中列支。</w:t>
      </w:r>
    </w:p>
    <w:p w14:paraId="5DE18BAF">
      <w:pPr>
        <w:spacing w:line="360" w:lineRule="auto"/>
        <w:ind w:firstLine="472" w:firstLineChars="225"/>
        <w:rPr>
          <w:rFonts w:ascii="宋体" w:hAnsi="宋体"/>
          <w:szCs w:val="21"/>
        </w:rPr>
      </w:pPr>
      <w:r>
        <w:rPr>
          <w:rFonts w:ascii="宋体" w:hAnsi="宋体"/>
          <w:szCs w:val="21"/>
        </w:rPr>
        <w:t>3.</w:t>
      </w:r>
      <w:r>
        <w:rPr>
          <w:rFonts w:hint="eastAsia" w:ascii="宋体" w:hAnsi="宋体"/>
          <w:szCs w:val="21"/>
        </w:rPr>
        <w:t>原基金托管人职责终止后，新任基金托管人或临时基金托管人接受基金财产和基金托管业务前，原基金托管人和基金管理人需采取审慎措施确保基金财产的安全，不对基金份额持有人的利益造成损失，并有义务协助新任基金托管人或临时基金托管人尽快交接基金资产。</w:t>
      </w:r>
    </w:p>
    <w:p w14:paraId="30B8ABF7">
      <w:pPr>
        <w:spacing w:line="360" w:lineRule="auto"/>
        <w:ind w:firstLine="420" w:firstLineChars="200"/>
        <w:rPr>
          <w:rFonts w:ascii="宋体" w:hAnsi="宋体"/>
          <w:bCs/>
          <w:szCs w:val="21"/>
        </w:rPr>
      </w:pPr>
      <w:r>
        <w:rPr>
          <w:rFonts w:hint="eastAsia" w:ascii="宋体" w:hAnsi="宋体"/>
          <w:bCs/>
          <w:szCs w:val="21"/>
        </w:rPr>
        <w:t>（三）</w:t>
      </w:r>
      <w:r>
        <w:rPr>
          <w:rFonts w:ascii="宋体" w:hAnsi="宋体"/>
          <w:bCs/>
          <w:szCs w:val="21"/>
        </w:rPr>
        <w:tab/>
      </w:r>
      <w:r>
        <w:rPr>
          <w:rFonts w:hint="eastAsia" w:ascii="宋体" w:hAnsi="宋体"/>
          <w:bCs/>
          <w:szCs w:val="21"/>
        </w:rPr>
        <w:t>基金管理人和基金托管人的同时更换程序</w:t>
      </w:r>
    </w:p>
    <w:p w14:paraId="37A9F215">
      <w:pPr>
        <w:spacing w:line="360" w:lineRule="auto"/>
        <w:ind w:firstLine="472" w:firstLineChars="225"/>
        <w:rPr>
          <w:rFonts w:ascii="宋体" w:hAnsi="宋体"/>
          <w:szCs w:val="21"/>
        </w:rPr>
      </w:pPr>
      <w:r>
        <w:rPr>
          <w:rFonts w:ascii="宋体" w:hAnsi="宋体"/>
          <w:szCs w:val="21"/>
        </w:rPr>
        <w:t>1、提名：如果基金管理人和基金托管人同时更换，由单独或合计持有基金总份额10%以上（含10%）的基金份额持有人提名新的基金管理人和基金托管人；</w:t>
      </w:r>
    </w:p>
    <w:p w14:paraId="0DB8D0D2">
      <w:pPr>
        <w:spacing w:line="360" w:lineRule="auto"/>
        <w:ind w:firstLine="472" w:firstLineChars="225"/>
        <w:rPr>
          <w:rFonts w:ascii="宋体" w:hAnsi="宋体"/>
          <w:szCs w:val="21"/>
        </w:rPr>
      </w:pPr>
      <w:r>
        <w:rPr>
          <w:rFonts w:ascii="宋体" w:hAnsi="宋体"/>
          <w:szCs w:val="21"/>
        </w:rPr>
        <w:t>2、基金管理人和基金托管人的更换分别按上述程序进行；</w:t>
      </w:r>
    </w:p>
    <w:p w14:paraId="062FBCD1">
      <w:pPr>
        <w:spacing w:line="360" w:lineRule="auto"/>
        <w:ind w:firstLine="472" w:firstLineChars="225"/>
        <w:rPr>
          <w:rFonts w:ascii="宋体" w:hAnsi="宋体"/>
          <w:szCs w:val="21"/>
        </w:rPr>
      </w:pPr>
      <w:r>
        <w:rPr>
          <w:rFonts w:ascii="宋体" w:hAnsi="宋体"/>
          <w:szCs w:val="21"/>
        </w:rPr>
        <w:t>3、公告：</w:t>
      </w:r>
      <w:r>
        <w:rPr>
          <w:rFonts w:hint="eastAsia" w:ascii="宋体" w:hAnsi="宋体"/>
          <w:szCs w:val="21"/>
        </w:rPr>
        <w:t>新任基金管理人和新任基金托管人应在更换基金管理人和基金托管人的基金份额持有人大会决议生效后按规定</w:t>
      </w:r>
      <w:r>
        <w:rPr>
          <w:rFonts w:ascii="宋体" w:hAnsi="宋体"/>
          <w:szCs w:val="21"/>
        </w:rPr>
        <w:t>在指定媒介上联合公告。</w:t>
      </w:r>
    </w:p>
    <w:p w14:paraId="38E06C73">
      <w:pPr>
        <w:spacing w:line="360" w:lineRule="auto"/>
        <w:ind w:firstLine="472" w:firstLineChars="225"/>
        <w:rPr>
          <w:rFonts w:ascii="宋体" w:hAnsi="宋体"/>
          <w:szCs w:val="21"/>
        </w:rPr>
        <w:sectPr>
          <w:footerReference r:id="rId17" w:type="default"/>
          <w:pgSz w:w="11906" w:h="16838"/>
          <w:pgMar w:top="1440" w:right="1800" w:bottom="1440" w:left="1800" w:header="851" w:footer="992" w:gutter="0"/>
          <w:pgNumType w:start="1"/>
          <w:cols w:space="720" w:num="1"/>
          <w:docGrid w:type="lines" w:linePitch="312" w:charSpace="0"/>
        </w:sectPr>
      </w:pPr>
    </w:p>
    <w:p w14:paraId="6204783B">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06" w:name="_Toc1720925"/>
      <w:r>
        <w:rPr>
          <w:rFonts w:hint="eastAsia" w:ascii="宋体" w:hAnsi="宋体" w:eastAsia="宋体" w:cs="Arial"/>
          <w:sz w:val="21"/>
          <w:szCs w:val="21"/>
        </w:rPr>
        <w:t>禁止行为</w:t>
      </w:r>
      <w:bookmarkEnd w:id="106"/>
    </w:p>
    <w:p w14:paraId="60856957">
      <w:pPr>
        <w:spacing w:line="360" w:lineRule="auto"/>
        <w:ind w:firstLine="472" w:firstLineChars="225"/>
        <w:rPr>
          <w:rFonts w:ascii="宋体" w:hAnsi="宋体"/>
          <w:szCs w:val="21"/>
        </w:rPr>
      </w:pPr>
      <w:r>
        <w:rPr>
          <w:rFonts w:hint="eastAsia" w:ascii="宋体" w:hAnsi="宋体"/>
          <w:szCs w:val="21"/>
        </w:rPr>
        <w:t>托管协议当事人禁止从事的行为，包括但不限于：</w:t>
      </w:r>
    </w:p>
    <w:p w14:paraId="79271CBF">
      <w:pPr>
        <w:spacing w:line="360" w:lineRule="auto"/>
        <w:ind w:firstLine="472" w:firstLineChars="225"/>
        <w:rPr>
          <w:rFonts w:ascii="宋体" w:hAnsi="宋体"/>
          <w:szCs w:val="21"/>
        </w:rPr>
      </w:pPr>
      <w:r>
        <w:rPr>
          <w:rFonts w:hint="eastAsia" w:ascii="宋体" w:hAnsi="宋体"/>
          <w:szCs w:val="21"/>
        </w:rPr>
        <w:t>（一）基金管理人、基金托管人将其固有财产或者他人财产混同于基金财产从事证券投资。</w:t>
      </w:r>
    </w:p>
    <w:p w14:paraId="6C86CC09">
      <w:pPr>
        <w:spacing w:line="360" w:lineRule="auto"/>
        <w:ind w:firstLine="472" w:firstLineChars="225"/>
        <w:rPr>
          <w:rFonts w:ascii="宋体" w:hAnsi="宋体"/>
          <w:szCs w:val="21"/>
        </w:rPr>
      </w:pPr>
      <w:r>
        <w:rPr>
          <w:rFonts w:hint="eastAsia" w:ascii="宋体" w:hAnsi="宋体"/>
          <w:szCs w:val="21"/>
        </w:rPr>
        <w:t>（二）基金管理人、基金托管人不公平地对待其管理或托管的不同基金财产。</w:t>
      </w:r>
    </w:p>
    <w:p w14:paraId="0A4E70D4">
      <w:pPr>
        <w:spacing w:line="360" w:lineRule="auto"/>
        <w:ind w:firstLine="472" w:firstLineChars="225"/>
        <w:rPr>
          <w:rFonts w:ascii="宋体" w:hAnsi="宋体"/>
          <w:szCs w:val="21"/>
        </w:rPr>
      </w:pPr>
      <w:r>
        <w:rPr>
          <w:rFonts w:hint="eastAsia" w:ascii="宋体" w:hAnsi="宋体"/>
          <w:szCs w:val="21"/>
        </w:rPr>
        <w:t>（三）基金管理人、基金托管人利用基金财产或职务之便为基金份额持有人以外的第三人牟取利益。</w:t>
      </w:r>
    </w:p>
    <w:p w14:paraId="7E4B3CB8">
      <w:pPr>
        <w:spacing w:line="360" w:lineRule="auto"/>
        <w:ind w:firstLine="472" w:firstLineChars="225"/>
        <w:rPr>
          <w:rFonts w:ascii="宋体" w:hAnsi="宋体"/>
          <w:szCs w:val="21"/>
        </w:rPr>
      </w:pPr>
      <w:r>
        <w:rPr>
          <w:rFonts w:hint="eastAsia" w:ascii="宋体" w:hAnsi="宋体"/>
          <w:szCs w:val="21"/>
        </w:rPr>
        <w:t>（四）基金管理人、基金托管人向基金份额持有人违规承诺收益或者承担损失。</w:t>
      </w:r>
    </w:p>
    <w:p w14:paraId="27655887">
      <w:pPr>
        <w:spacing w:line="360" w:lineRule="auto"/>
        <w:ind w:firstLine="472" w:firstLineChars="225"/>
        <w:rPr>
          <w:rFonts w:ascii="宋体" w:hAnsi="宋体"/>
          <w:szCs w:val="21"/>
        </w:rPr>
      </w:pPr>
      <w:r>
        <w:rPr>
          <w:rFonts w:hint="eastAsia" w:ascii="宋体" w:hAnsi="宋体"/>
          <w:szCs w:val="21"/>
        </w:rPr>
        <w:t>（五）基金管理人、基金托管人对他人泄漏基金经营过程中任何尚未按法律法规规定的方式公开披露的信息。</w:t>
      </w:r>
    </w:p>
    <w:p w14:paraId="76020C48">
      <w:pPr>
        <w:spacing w:line="360" w:lineRule="auto"/>
        <w:ind w:firstLine="472" w:firstLineChars="225"/>
        <w:rPr>
          <w:rFonts w:ascii="宋体" w:hAnsi="宋体"/>
          <w:szCs w:val="21"/>
        </w:rPr>
      </w:pPr>
      <w:r>
        <w:rPr>
          <w:rFonts w:hint="eastAsia" w:ascii="宋体" w:hAnsi="宋体"/>
          <w:szCs w:val="21"/>
        </w:rPr>
        <w:t>（六）基金管理人在没有充足资金的情况下向基金托管人发出投资指令和赎回、分红资金的划拨指令，或违规向基金托管人发出指令。</w:t>
      </w:r>
    </w:p>
    <w:p w14:paraId="479E0CCF">
      <w:pPr>
        <w:spacing w:line="360" w:lineRule="auto"/>
        <w:ind w:firstLine="472" w:firstLineChars="225"/>
        <w:rPr>
          <w:rFonts w:ascii="宋体" w:hAnsi="宋体"/>
          <w:szCs w:val="21"/>
        </w:rPr>
      </w:pPr>
      <w:r>
        <w:rPr>
          <w:rFonts w:hint="eastAsia" w:ascii="宋体" w:hAnsi="宋体"/>
          <w:szCs w:val="21"/>
        </w:rPr>
        <w:t>（七）基金托管人对基金管理人的符合本协议约定的有效指令拖延或拒绝执行。</w:t>
      </w:r>
    </w:p>
    <w:p w14:paraId="155E3559">
      <w:pPr>
        <w:spacing w:line="360" w:lineRule="auto"/>
        <w:ind w:firstLine="472" w:firstLineChars="225"/>
        <w:rPr>
          <w:rFonts w:ascii="宋体" w:hAnsi="宋体"/>
          <w:szCs w:val="21"/>
        </w:rPr>
      </w:pPr>
      <w:r>
        <w:rPr>
          <w:rFonts w:hint="eastAsia" w:ascii="宋体" w:hAnsi="宋体"/>
          <w:szCs w:val="21"/>
        </w:rPr>
        <w:t>（八）基金管理人、基金托管人在行政上、财务上不独立，其高级基金管理人员相互兼职。</w:t>
      </w:r>
      <w:r>
        <w:rPr>
          <w:rFonts w:ascii="宋体" w:hAnsi="宋体"/>
          <w:szCs w:val="21"/>
        </w:rPr>
        <w:t xml:space="preserve"> </w:t>
      </w:r>
    </w:p>
    <w:p w14:paraId="5A314A22">
      <w:pPr>
        <w:spacing w:line="360" w:lineRule="auto"/>
        <w:ind w:firstLine="472" w:firstLineChars="225"/>
        <w:rPr>
          <w:rFonts w:ascii="宋体" w:hAnsi="宋体"/>
          <w:szCs w:val="21"/>
        </w:rPr>
      </w:pPr>
      <w:r>
        <w:rPr>
          <w:rFonts w:hint="eastAsia" w:ascii="宋体" w:hAnsi="宋体"/>
          <w:szCs w:val="21"/>
        </w:rPr>
        <w:t>（九）基金托管人私自动用或处分基金资产，根据基金管理人的合法指令、基金合同或托管协议的规定进行处分的除外。</w:t>
      </w:r>
      <w:r>
        <w:rPr>
          <w:rFonts w:ascii="宋体" w:hAnsi="宋体"/>
          <w:szCs w:val="21"/>
        </w:rPr>
        <w:t xml:space="preserve"> </w:t>
      </w:r>
    </w:p>
    <w:p w14:paraId="2FF5DA09">
      <w:pPr>
        <w:spacing w:line="360" w:lineRule="auto"/>
        <w:ind w:firstLine="472" w:firstLineChars="225"/>
        <w:rPr>
          <w:rFonts w:ascii="宋体" w:hAnsi="宋体"/>
          <w:szCs w:val="21"/>
        </w:rPr>
      </w:pPr>
      <w:r>
        <w:rPr>
          <w:rFonts w:hint="eastAsia" w:ascii="宋体" w:hAnsi="宋体"/>
          <w:szCs w:val="21"/>
        </w:rPr>
        <w:t>（十）侵占、挪用基金财产；</w:t>
      </w:r>
    </w:p>
    <w:p w14:paraId="05BA6364">
      <w:pPr>
        <w:spacing w:line="360" w:lineRule="auto"/>
        <w:ind w:firstLine="472" w:firstLineChars="225"/>
        <w:rPr>
          <w:rFonts w:ascii="宋体" w:hAnsi="宋体"/>
          <w:szCs w:val="21"/>
        </w:rPr>
      </w:pPr>
      <w:r>
        <w:rPr>
          <w:rFonts w:hint="eastAsia" w:ascii="宋体" w:hAnsi="宋体"/>
          <w:szCs w:val="21"/>
        </w:rPr>
        <w:t>（十一）泄露因职务便利获取的未公开信息、利用该信息从事或者明示、暗示他人从事相关的交易活动；</w:t>
      </w:r>
    </w:p>
    <w:p w14:paraId="5A8397D1">
      <w:pPr>
        <w:spacing w:line="360" w:lineRule="auto"/>
        <w:ind w:firstLine="472" w:firstLineChars="225"/>
        <w:rPr>
          <w:rFonts w:ascii="宋体" w:hAnsi="宋体"/>
          <w:szCs w:val="21"/>
        </w:rPr>
      </w:pPr>
      <w:r>
        <w:rPr>
          <w:rFonts w:hint="eastAsia" w:ascii="宋体" w:hAnsi="宋体"/>
          <w:szCs w:val="21"/>
        </w:rPr>
        <w:t>（十二）玩忽职守，不按照规定履行职责；</w:t>
      </w:r>
    </w:p>
    <w:p w14:paraId="05641860">
      <w:pPr>
        <w:spacing w:line="360" w:lineRule="auto"/>
        <w:ind w:firstLine="472" w:firstLineChars="225"/>
        <w:rPr>
          <w:rFonts w:ascii="宋体" w:hAnsi="宋体"/>
          <w:szCs w:val="21"/>
        </w:rPr>
      </w:pPr>
      <w:r>
        <w:rPr>
          <w:rFonts w:hint="eastAsia" w:ascii="宋体" w:hAnsi="宋体"/>
          <w:szCs w:val="21"/>
        </w:rPr>
        <w:t>（十三）基金管理人、基金托管人不得利用基金财产用于下列投资或者活动：（</w:t>
      </w:r>
      <w:r>
        <w:rPr>
          <w:rFonts w:ascii="宋体" w:hAnsi="宋体"/>
          <w:szCs w:val="21"/>
        </w:rPr>
        <w:t>1）承销证券；（2）</w:t>
      </w:r>
      <w:r>
        <w:rPr>
          <w:rFonts w:hint="eastAsia" w:ascii="宋体" w:hAnsi="宋体"/>
          <w:szCs w:val="21"/>
        </w:rPr>
        <w:t>违反</w:t>
      </w:r>
      <w:r>
        <w:rPr>
          <w:rFonts w:ascii="宋体" w:hAnsi="宋体"/>
          <w:szCs w:val="21"/>
        </w:rPr>
        <w:t>规定</w:t>
      </w:r>
      <w:r>
        <w:rPr>
          <w:rFonts w:hint="eastAsia" w:ascii="宋体" w:hAnsi="宋体"/>
          <w:szCs w:val="21"/>
        </w:rPr>
        <w:t>向他人贷款或者提供担保；（</w:t>
      </w:r>
      <w:r>
        <w:rPr>
          <w:rFonts w:ascii="宋体" w:hAnsi="宋体"/>
          <w:szCs w:val="21"/>
        </w:rPr>
        <w:t>3）从事承担无限责任的投资；</w:t>
      </w:r>
      <w:r>
        <w:rPr>
          <w:rFonts w:hint="eastAsia" w:ascii="宋体" w:hAnsi="宋体"/>
          <w:szCs w:val="21"/>
        </w:rPr>
        <w:t>（4）买卖其他基金份额，但是中国证监会另有规定的除外；</w:t>
      </w:r>
      <w:r>
        <w:rPr>
          <w:rFonts w:ascii="宋体" w:hAnsi="宋体"/>
          <w:szCs w:val="21"/>
        </w:rPr>
        <w:t>（5）向其基金管理人、基金托管人出资；（6）从事内幕交易、操纵证券交易价格及其他不正当的证券交易活动；（7</w:t>
      </w:r>
      <w:r>
        <w:rPr>
          <w:rFonts w:hint="eastAsia" w:ascii="宋体" w:hAnsi="宋体"/>
          <w:szCs w:val="21"/>
        </w:rPr>
        <w:t>）法律、行政法规和中国证监会规定禁止的其他活动。</w:t>
      </w:r>
    </w:p>
    <w:p w14:paraId="6C07E07B">
      <w:pPr>
        <w:spacing w:line="360" w:lineRule="auto"/>
        <w:ind w:firstLine="472" w:firstLineChars="225"/>
        <w:rPr>
          <w:rFonts w:ascii="宋体" w:hAnsi="宋体"/>
          <w:szCs w:val="21"/>
        </w:rPr>
      </w:pPr>
      <w:r>
        <w:rPr>
          <w:rFonts w:hint="eastAsia" w:ascii="宋体" w:hAnsi="宋体"/>
          <w:szCs w:val="21"/>
        </w:rPr>
        <w:t>（十四）法律法规和基金合同禁止的其他行为，以及依照法律法规有关规定，由中国证监会规定禁止基金管理人、基金托管人从事的其他行为。</w:t>
      </w:r>
    </w:p>
    <w:p w14:paraId="168AFB7B">
      <w:pPr>
        <w:spacing w:line="360" w:lineRule="auto"/>
        <w:ind w:firstLine="472" w:firstLineChars="225"/>
        <w:rPr>
          <w:rFonts w:ascii="宋体" w:hAnsi="宋体"/>
          <w:szCs w:val="21"/>
        </w:rPr>
        <w:sectPr>
          <w:footerReference r:id="rId18" w:type="default"/>
          <w:pgSz w:w="11906" w:h="16838"/>
          <w:pgMar w:top="1440" w:right="1800" w:bottom="1440" w:left="1800" w:header="851" w:footer="992" w:gutter="0"/>
          <w:pgNumType w:start="1"/>
          <w:cols w:space="720" w:num="1"/>
          <w:docGrid w:type="lines" w:linePitch="312" w:charSpace="0"/>
        </w:sectPr>
      </w:pPr>
    </w:p>
    <w:p w14:paraId="61041D14">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07" w:name="_Toc1720926"/>
      <w:r>
        <w:rPr>
          <w:rFonts w:hint="eastAsia" w:ascii="宋体" w:hAnsi="宋体" w:eastAsia="宋体" w:cs="Arial"/>
          <w:sz w:val="21"/>
          <w:szCs w:val="21"/>
        </w:rPr>
        <w:t>基金托管协议的变更、终止与基金财产的清算</w:t>
      </w:r>
      <w:bookmarkEnd w:id="107"/>
    </w:p>
    <w:p w14:paraId="75DC646D">
      <w:pPr>
        <w:spacing w:line="360" w:lineRule="auto"/>
        <w:ind w:firstLine="420" w:firstLineChars="200"/>
        <w:rPr>
          <w:rFonts w:ascii="宋体" w:hAnsi="宋体"/>
          <w:szCs w:val="21"/>
        </w:rPr>
      </w:pPr>
      <w:r>
        <w:rPr>
          <w:rFonts w:hint="eastAsia" w:ascii="宋体" w:hAnsi="宋体"/>
          <w:szCs w:val="21"/>
        </w:rPr>
        <w:t>（一）托管协议的变更与终止</w:t>
      </w:r>
    </w:p>
    <w:p w14:paraId="23059379">
      <w:pPr>
        <w:spacing w:line="360" w:lineRule="auto"/>
        <w:ind w:firstLine="420" w:firstLineChars="200"/>
        <w:rPr>
          <w:rFonts w:ascii="宋体" w:hAnsi="宋体"/>
          <w:szCs w:val="21"/>
        </w:rPr>
      </w:pPr>
      <w:r>
        <w:rPr>
          <w:rFonts w:ascii="宋体" w:hAnsi="宋体"/>
          <w:szCs w:val="21"/>
        </w:rPr>
        <w:t>1.托管协议的变更程序</w:t>
      </w:r>
    </w:p>
    <w:p w14:paraId="27F755C3">
      <w:pPr>
        <w:autoSpaceDE w:val="0"/>
        <w:autoSpaceDN w:val="0"/>
        <w:adjustRightInd w:val="0"/>
        <w:spacing w:line="360" w:lineRule="auto"/>
        <w:ind w:firstLine="444" w:firstLineChars="200"/>
        <w:jc w:val="left"/>
        <w:rPr>
          <w:rFonts w:ascii="宋体" w:hAnsi="宋体"/>
          <w:spacing w:val="6"/>
          <w:szCs w:val="21"/>
        </w:rPr>
      </w:pPr>
      <w:r>
        <w:rPr>
          <w:rFonts w:hint="eastAsia" w:ascii="宋体" w:hAnsi="宋体"/>
          <w:spacing w:val="6"/>
          <w:szCs w:val="21"/>
        </w:rPr>
        <w:t>本协议双方当事人经协商一致，可以对协议的内容进行变更。变更后的托管协议，其内容不得与《基金合同》的规定有任何冲突，并需</w:t>
      </w:r>
      <w:r>
        <w:rPr>
          <w:rFonts w:hint="eastAsia" w:ascii="宋体" w:hAnsi="宋体"/>
          <w:szCs w:val="21"/>
        </w:rPr>
        <w:t>经基金管理人、基金托管人加盖公章或合同专用章以及双方法定代表人或授权代理人签字（或盖章）确认</w:t>
      </w:r>
      <w:r>
        <w:rPr>
          <w:rFonts w:hint="eastAsia" w:ascii="宋体" w:hAnsi="宋体"/>
          <w:spacing w:val="6"/>
          <w:szCs w:val="21"/>
        </w:rPr>
        <w:t>。基金托管协议的变更报中国证监会备案。</w:t>
      </w:r>
    </w:p>
    <w:p w14:paraId="56A1D448">
      <w:pPr>
        <w:spacing w:line="360" w:lineRule="auto"/>
        <w:ind w:firstLine="420" w:firstLineChars="200"/>
        <w:rPr>
          <w:rFonts w:ascii="宋体" w:hAnsi="宋体"/>
          <w:szCs w:val="21"/>
        </w:rPr>
      </w:pPr>
      <w:r>
        <w:rPr>
          <w:rFonts w:ascii="宋体" w:hAnsi="宋体"/>
          <w:szCs w:val="21"/>
        </w:rPr>
        <w:t>2.基金托管协议终止的情形</w:t>
      </w:r>
    </w:p>
    <w:p w14:paraId="1959C213">
      <w:pPr>
        <w:autoSpaceDE w:val="0"/>
        <w:autoSpaceDN w:val="0"/>
        <w:adjustRightInd w:val="0"/>
        <w:spacing w:line="360" w:lineRule="auto"/>
        <w:ind w:firstLine="444" w:firstLineChars="200"/>
        <w:jc w:val="left"/>
        <w:rPr>
          <w:rFonts w:ascii="宋体" w:hAnsi="宋体"/>
          <w:spacing w:val="6"/>
          <w:szCs w:val="21"/>
        </w:rPr>
      </w:pPr>
      <w:r>
        <w:rPr>
          <w:rFonts w:hint="eastAsia" w:ascii="宋体" w:hAnsi="宋体"/>
          <w:spacing w:val="6"/>
          <w:szCs w:val="21"/>
        </w:rPr>
        <w:t>发生以下情况，本托管协议终止：</w:t>
      </w:r>
    </w:p>
    <w:p w14:paraId="2377064E">
      <w:pPr>
        <w:autoSpaceDE w:val="0"/>
        <w:autoSpaceDN w:val="0"/>
        <w:adjustRightInd w:val="0"/>
        <w:spacing w:line="360" w:lineRule="auto"/>
        <w:ind w:firstLine="444" w:firstLineChars="200"/>
        <w:jc w:val="left"/>
        <w:rPr>
          <w:rFonts w:ascii="宋体" w:hAnsi="宋体"/>
          <w:spacing w:val="6"/>
          <w:szCs w:val="21"/>
        </w:rPr>
      </w:pPr>
      <w:r>
        <w:rPr>
          <w:rFonts w:hint="eastAsia" w:ascii="宋体" w:hAnsi="宋体"/>
          <w:spacing w:val="6"/>
          <w:szCs w:val="21"/>
        </w:rPr>
        <w:t>（</w:t>
      </w:r>
      <w:r>
        <w:rPr>
          <w:rFonts w:ascii="宋体" w:hAnsi="宋体"/>
          <w:spacing w:val="6"/>
          <w:szCs w:val="21"/>
        </w:rPr>
        <w:t>1）《基金合同》终止；</w:t>
      </w:r>
    </w:p>
    <w:p w14:paraId="2839A90B">
      <w:pPr>
        <w:autoSpaceDE w:val="0"/>
        <w:autoSpaceDN w:val="0"/>
        <w:adjustRightInd w:val="0"/>
        <w:spacing w:line="360" w:lineRule="auto"/>
        <w:ind w:firstLine="444" w:firstLineChars="200"/>
        <w:jc w:val="left"/>
        <w:rPr>
          <w:rFonts w:ascii="宋体" w:hAnsi="宋体"/>
          <w:spacing w:val="6"/>
          <w:szCs w:val="21"/>
        </w:rPr>
      </w:pPr>
      <w:r>
        <w:rPr>
          <w:rFonts w:hint="eastAsia" w:ascii="宋体" w:hAnsi="宋体"/>
          <w:spacing w:val="6"/>
          <w:szCs w:val="21"/>
        </w:rPr>
        <w:t>（</w:t>
      </w:r>
      <w:r>
        <w:rPr>
          <w:rFonts w:ascii="宋体" w:hAnsi="宋体"/>
          <w:spacing w:val="6"/>
          <w:szCs w:val="21"/>
        </w:rPr>
        <w:t>2）基金托管人解散、依法被撤销、破产或有其他基金托管人接管基金资产；</w:t>
      </w:r>
    </w:p>
    <w:p w14:paraId="4716C225">
      <w:pPr>
        <w:autoSpaceDE w:val="0"/>
        <w:autoSpaceDN w:val="0"/>
        <w:adjustRightInd w:val="0"/>
        <w:spacing w:line="360" w:lineRule="auto"/>
        <w:ind w:firstLine="444" w:firstLineChars="200"/>
        <w:jc w:val="left"/>
        <w:rPr>
          <w:rFonts w:ascii="宋体" w:hAnsi="宋体"/>
          <w:spacing w:val="6"/>
          <w:szCs w:val="21"/>
        </w:rPr>
      </w:pPr>
      <w:r>
        <w:rPr>
          <w:rFonts w:hint="eastAsia" w:ascii="宋体" w:hAnsi="宋体"/>
          <w:spacing w:val="6"/>
          <w:szCs w:val="21"/>
        </w:rPr>
        <w:t>（</w:t>
      </w:r>
      <w:r>
        <w:rPr>
          <w:rFonts w:ascii="宋体" w:hAnsi="宋体"/>
          <w:spacing w:val="6"/>
          <w:szCs w:val="21"/>
        </w:rPr>
        <w:t>3）基金管理人解散、依法被撤销、破产或有其他基金管理人接管基金管理权；</w:t>
      </w:r>
    </w:p>
    <w:p w14:paraId="4F22D34B">
      <w:pPr>
        <w:autoSpaceDE w:val="0"/>
        <w:autoSpaceDN w:val="0"/>
        <w:adjustRightInd w:val="0"/>
        <w:spacing w:line="360" w:lineRule="auto"/>
        <w:ind w:firstLine="444" w:firstLineChars="200"/>
        <w:jc w:val="left"/>
        <w:rPr>
          <w:rFonts w:ascii="宋体" w:hAnsi="宋体"/>
          <w:spacing w:val="6"/>
          <w:szCs w:val="21"/>
        </w:rPr>
      </w:pPr>
      <w:r>
        <w:rPr>
          <w:rFonts w:hint="eastAsia" w:ascii="宋体" w:hAnsi="宋体"/>
          <w:spacing w:val="6"/>
          <w:szCs w:val="21"/>
        </w:rPr>
        <w:t>（</w:t>
      </w:r>
      <w:r>
        <w:rPr>
          <w:rFonts w:ascii="宋体" w:hAnsi="宋体"/>
          <w:spacing w:val="6"/>
          <w:szCs w:val="21"/>
        </w:rPr>
        <w:t>4）发生法律法规或《基金合同》规定的终止事项。</w:t>
      </w:r>
    </w:p>
    <w:p w14:paraId="0610B386">
      <w:pPr>
        <w:spacing w:line="360" w:lineRule="auto"/>
        <w:ind w:firstLine="420" w:firstLineChars="200"/>
        <w:rPr>
          <w:rFonts w:ascii="宋体" w:hAnsi="宋体"/>
          <w:szCs w:val="21"/>
        </w:rPr>
      </w:pPr>
      <w:r>
        <w:rPr>
          <w:rFonts w:hint="eastAsia" w:ascii="宋体" w:hAnsi="宋体"/>
          <w:szCs w:val="21"/>
        </w:rPr>
        <w:t>（二）基金财产的清算</w:t>
      </w:r>
    </w:p>
    <w:p w14:paraId="49C3D5E6">
      <w:pPr>
        <w:spacing w:line="360" w:lineRule="auto"/>
        <w:ind w:firstLine="420" w:firstLineChars="200"/>
        <w:rPr>
          <w:rFonts w:ascii="宋体" w:hAnsi="宋体"/>
          <w:szCs w:val="21"/>
        </w:rPr>
      </w:pPr>
      <w:r>
        <w:rPr>
          <w:rFonts w:ascii="宋体" w:hAnsi="宋体"/>
          <w:szCs w:val="21"/>
        </w:rPr>
        <w:t>1.基金财产清算小组：自出现《基金合同》终止事由之日起30个工作日内成立清算小组，基金管理人组织基金财产清算小组并在中国证监会的监督下进行基金清算。</w:t>
      </w:r>
    </w:p>
    <w:p w14:paraId="78F1B790">
      <w:pPr>
        <w:spacing w:line="360" w:lineRule="auto"/>
        <w:ind w:firstLine="420" w:firstLineChars="200"/>
        <w:rPr>
          <w:rFonts w:ascii="宋体" w:hAnsi="宋体"/>
          <w:szCs w:val="21"/>
        </w:rPr>
      </w:pPr>
      <w:r>
        <w:rPr>
          <w:rFonts w:ascii="宋体" w:hAnsi="宋体"/>
          <w:szCs w:val="21"/>
        </w:rPr>
        <w:t>2.</w:t>
      </w:r>
      <w:r>
        <w:rPr>
          <w:rFonts w:hint="eastAsia" w:ascii="宋体" w:hAnsi="宋体"/>
          <w:kern w:val="0"/>
          <w:szCs w:val="21"/>
        </w:rPr>
        <w:t>在基金财产清算小组接管基金财产之前，基金管理人和基金托管人应按照《基金合同》和本托管协议的规定继续履行保护基金财产安全的职责。</w:t>
      </w:r>
    </w:p>
    <w:p w14:paraId="6C1BF570">
      <w:pPr>
        <w:spacing w:line="360" w:lineRule="auto"/>
        <w:ind w:firstLine="420" w:firstLineChars="200"/>
        <w:rPr>
          <w:rFonts w:ascii="宋体" w:hAnsi="宋体"/>
          <w:szCs w:val="21"/>
        </w:rPr>
      </w:pPr>
      <w:r>
        <w:rPr>
          <w:rFonts w:ascii="宋体" w:hAnsi="宋体"/>
          <w:szCs w:val="21"/>
        </w:rPr>
        <w:t>3.基金财产清算小组组成：基金财产清算小组成员由基金管理人、基金托管人、</w:t>
      </w:r>
      <w:r>
        <w:rPr>
          <w:rFonts w:hint="eastAsia" w:ascii="宋体" w:hAnsi="宋体"/>
          <w:szCs w:val="21"/>
        </w:rPr>
        <w:t>具有从事证券、期货相关业务资格的注册会计师、律师以及中国证监会指定的人员组成。基金财产清算小组可以聘用必要的工作人员。</w:t>
      </w:r>
    </w:p>
    <w:p w14:paraId="07A3B9B6">
      <w:pPr>
        <w:spacing w:line="360" w:lineRule="auto"/>
        <w:ind w:firstLine="420" w:firstLineChars="200"/>
        <w:rPr>
          <w:rFonts w:ascii="宋体" w:hAnsi="宋体"/>
          <w:szCs w:val="21"/>
        </w:rPr>
      </w:pPr>
      <w:r>
        <w:rPr>
          <w:rFonts w:ascii="宋体" w:hAnsi="宋体"/>
          <w:szCs w:val="21"/>
        </w:rPr>
        <w:t>4.基金财产清算小组职责：基金财产清算小组负责基金财产的保管、清理、估价、变现和分配。基金财产清算小组可以依法进行必要的民事活动。</w:t>
      </w:r>
    </w:p>
    <w:p w14:paraId="2F181D83">
      <w:pPr>
        <w:tabs>
          <w:tab w:val="left" w:pos="6435"/>
        </w:tabs>
        <w:spacing w:line="360" w:lineRule="auto"/>
        <w:ind w:firstLine="420" w:firstLineChars="200"/>
        <w:rPr>
          <w:rFonts w:ascii="宋体" w:hAnsi="宋体"/>
          <w:szCs w:val="21"/>
        </w:rPr>
      </w:pPr>
      <w:r>
        <w:rPr>
          <w:rFonts w:ascii="宋体" w:hAnsi="宋体"/>
          <w:szCs w:val="21"/>
        </w:rPr>
        <w:t>5.基金财产清算程序：</w:t>
      </w:r>
      <w:r>
        <w:rPr>
          <w:rFonts w:ascii="宋体" w:hAnsi="宋体"/>
          <w:szCs w:val="21"/>
        </w:rPr>
        <w:tab/>
      </w:r>
    </w:p>
    <w:p w14:paraId="4B30EC60">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1）《基金合同》终止</w:t>
      </w:r>
      <w:r>
        <w:rPr>
          <w:rFonts w:hint="eastAsia" w:ascii="宋体" w:hAnsi="宋体"/>
          <w:szCs w:val="21"/>
        </w:rPr>
        <w:t>情形出现时，由基金财产清算小组统一接管基金；</w:t>
      </w:r>
    </w:p>
    <w:p w14:paraId="2EE90B26">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2）对基金财产和债权债务进行清理和确认；</w:t>
      </w:r>
    </w:p>
    <w:p w14:paraId="3D5D7657">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3）对基金财产进行估值和变现；</w:t>
      </w:r>
    </w:p>
    <w:p w14:paraId="4591B0A9">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4）制作清算报告；</w:t>
      </w:r>
    </w:p>
    <w:p w14:paraId="0133210F">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bCs/>
          <w:szCs w:val="21"/>
        </w:rPr>
        <w:t>聘请会计师事务所对清算报告进行外部审计，聘请律师事务所对清算报告出具法律意见书；</w:t>
      </w:r>
    </w:p>
    <w:p w14:paraId="2187F1E0">
      <w:pPr>
        <w:spacing w:line="360" w:lineRule="auto"/>
        <w:ind w:firstLine="420" w:firstLineChars="200"/>
        <w:rPr>
          <w:rFonts w:ascii="宋体" w:hAnsi="宋体"/>
          <w:kern w:val="0"/>
          <w:szCs w:val="21"/>
        </w:rPr>
      </w:pPr>
      <w:r>
        <w:rPr>
          <w:rFonts w:hint="eastAsia" w:ascii="宋体" w:hAnsi="宋体"/>
          <w:szCs w:val="21"/>
        </w:rPr>
        <w:t>（</w:t>
      </w:r>
      <w:r>
        <w:rPr>
          <w:rFonts w:ascii="宋体" w:hAnsi="宋体"/>
          <w:szCs w:val="21"/>
        </w:rPr>
        <w:t>6）将清算报告报中国证监会备案并公告；</w:t>
      </w:r>
    </w:p>
    <w:p w14:paraId="7756E568">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bCs/>
          <w:szCs w:val="21"/>
        </w:rPr>
        <w:t>对基金剩余财产进行分配。</w:t>
      </w:r>
    </w:p>
    <w:p w14:paraId="5BABB39D">
      <w:pPr>
        <w:adjustRightInd w:val="0"/>
        <w:snapToGrid w:val="0"/>
        <w:spacing w:line="360" w:lineRule="auto"/>
        <w:ind w:firstLine="420" w:firstLineChars="200"/>
        <w:rPr>
          <w:rFonts w:ascii="宋体" w:hAnsi="宋体" w:cs="Arial"/>
          <w:szCs w:val="21"/>
        </w:rPr>
      </w:pPr>
      <w:r>
        <w:rPr>
          <w:rFonts w:ascii="宋体" w:hAnsi="宋体" w:cs="Arial"/>
          <w:szCs w:val="21"/>
        </w:rPr>
        <w:t>6.清算费用</w:t>
      </w:r>
    </w:p>
    <w:p w14:paraId="651674C3">
      <w:pPr>
        <w:adjustRightInd w:val="0"/>
        <w:snapToGrid w:val="0"/>
        <w:spacing w:line="360" w:lineRule="auto"/>
        <w:ind w:firstLine="420" w:firstLineChars="200"/>
        <w:rPr>
          <w:rFonts w:ascii="宋体" w:hAnsi="宋体" w:cs="Arial"/>
          <w:szCs w:val="21"/>
        </w:rPr>
      </w:pPr>
      <w:r>
        <w:rPr>
          <w:rFonts w:hint="eastAsia" w:ascii="宋体" w:hAnsi="宋体" w:cs="Arial"/>
          <w:szCs w:val="21"/>
        </w:rPr>
        <w:t>清算费用是指基金财产清算小组在进行基金清算过程中发生的所有合理费用，清算费用由基金财产清算小组优先从基金剩余财产中支付。</w:t>
      </w:r>
    </w:p>
    <w:p w14:paraId="298A37CE">
      <w:pPr>
        <w:adjustRightInd w:val="0"/>
        <w:snapToGrid w:val="0"/>
        <w:spacing w:line="360" w:lineRule="auto"/>
        <w:ind w:firstLine="420" w:firstLineChars="200"/>
        <w:rPr>
          <w:rFonts w:ascii="宋体" w:hAnsi="宋体" w:cs="Arial"/>
          <w:szCs w:val="21"/>
        </w:rPr>
      </w:pPr>
      <w:r>
        <w:rPr>
          <w:rFonts w:ascii="宋体" w:hAnsi="宋体" w:cs="Arial"/>
          <w:szCs w:val="21"/>
        </w:rPr>
        <w:t>7.基金财产按下列顺序清偿：</w:t>
      </w:r>
    </w:p>
    <w:p w14:paraId="368BA0F2">
      <w:pPr>
        <w:adjustRightInd w:val="0"/>
        <w:snapToGrid w:val="0"/>
        <w:spacing w:line="360" w:lineRule="auto"/>
        <w:ind w:firstLine="420" w:firstLineChars="200"/>
        <w:rPr>
          <w:rFonts w:ascii="宋体" w:hAnsi="宋体" w:cs="Arial"/>
          <w:szCs w:val="21"/>
        </w:rPr>
      </w:pPr>
      <w:r>
        <w:rPr>
          <w:rFonts w:ascii="宋体" w:hAnsi="宋体" w:cs="Arial"/>
          <w:szCs w:val="21"/>
        </w:rPr>
        <w:t>(1)支付清算费用；</w:t>
      </w:r>
    </w:p>
    <w:p w14:paraId="25AA25DA">
      <w:pPr>
        <w:adjustRightInd w:val="0"/>
        <w:snapToGrid w:val="0"/>
        <w:spacing w:line="360" w:lineRule="auto"/>
        <w:ind w:firstLine="420" w:firstLineChars="200"/>
        <w:rPr>
          <w:rFonts w:ascii="宋体" w:hAnsi="宋体" w:cs="Arial"/>
          <w:szCs w:val="21"/>
        </w:rPr>
      </w:pPr>
      <w:r>
        <w:rPr>
          <w:rFonts w:ascii="宋体" w:hAnsi="宋体" w:cs="Arial"/>
          <w:szCs w:val="21"/>
        </w:rPr>
        <w:t>(2)交纳所欠税款；</w:t>
      </w:r>
    </w:p>
    <w:p w14:paraId="0B7AF00B">
      <w:pPr>
        <w:adjustRightInd w:val="0"/>
        <w:snapToGrid w:val="0"/>
        <w:spacing w:line="360" w:lineRule="auto"/>
        <w:ind w:firstLine="420" w:firstLineChars="200"/>
        <w:rPr>
          <w:rFonts w:ascii="宋体" w:hAnsi="宋体" w:cs="Arial"/>
          <w:szCs w:val="21"/>
        </w:rPr>
      </w:pPr>
      <w:r>
        <w:rPr>
          <w:rFonts w:ascii="宋体" w:hAnsi="宋体" w:cs="Arial"/>
          <w:szCs w:val="21"/>
        </w:rPr>
        <w:t>(3)清偿基金债务；</w:t>
      </w:r>
    </w:p>
    <w:p w14:paraId="0657934B">
      <w:pPr>
        <w:adjustRightInd w:val="0"/>
        <w:snapToGrid w:val="0"/>
        <w:spacing w:line="360" w:lineRule="auto"/>
        <w:ind w:firstLine="420" w:firstLineChars="200"/>
        <w:rPr>
          <w:rFonts w:ascii="宋体" w:hAnsi="宋体" w:cs="Arial"/>
          <w:szCs w:val="21"/>
        </w:rPr>
      </w:pPr>
      <w:r>
        <w:rPr>
          <w:rFonts w:ascii="宋体" w:hAnsi="宋体" w:cs="Arial"/>
          <w:szCs w:val="21"/>
        </w:rPr>
        <w:t>(4)按基金份额持有人持有的基金份额比例进行分配。</w:t>
      </w:r>
    </w:p>
    <w:p w14:paraId="68BA47AF">
      <w:pPr>
        <w:spacing w:line="360" w:lineRule="auto"/>
        <w:ind w:firstLine="200"/>
        <w:rPr>
          <w:rFonts w:ascii="宋体" w:hAnsi="宋体" w:cs="Arial"/>
          <w:szCs w:val="21"/>
        </w:rPr>
      </w:pPr>
      <w:r>
        <w:rPr>
          <w:rFonts w:hint="eastAsia" w:ascii="宋体" w:hAnsi="宋体" w:cs="Arial"/>
          <w:szCs w:val="21"/>
        </w:rPr>
        <w:t>基金财产未按前款</w:t>
      </w:r>
      <w:r>
        <w:rPr>
          <w:rFonts w:ascii="宋体" w:hAnsi="宋体" w:cs="Arial"/>
          <w:szCs w:val="21"/>
        </w:rPr>
        <w:t>(1)－(3)项规定清偿前，不分配给基金份额持有人。</w:t>
      </w:r>
    </w:p>
    <w:p w14:paraId="4D5D018E">
      <w:pPr>
        <w:spacing w:line="360" w:lineRule="auto"/>
        <w:ind w:firstLine="420" w:firstLineChars="200"/>
        <w:rPr>
          <w:rFonts w:ascii="宋体" w:hAnsi="宋体"/>
          <w:bCs/>
          <w:szCs w:val="21"/>
        </w:rPr>
      </w:pPr>
      <w:r>
        <w:rPr>
          <w:rFonts w:hint="eastAsia" w:ascii="宋体" w:hAnsi="宋体"/>
          <w:bCs/>
          <w:szCs w:val="21"/>
        </w:rPr>
        <w:t>（三）基金财产清算的公告</w:t>
      </w:r>
    </w:p>
    <w:p w14:paraId="04117D88">
      <w:pPr>
        <w:spacing w:line="360" w:lineRule="auto"/>
        <w:ind w:firstLine="420" w:firstLineChars="200"/>
        <w:rPr>
          <w:rFonts w:ascii="宋体" w:hAnsi="宋体"/>
          <w:szCs w:val="21"/>
        </w:rPr>
      </w:pPr>
      <w:r>
        <w:rPr>
          <w:rFonts w:hint="eastAsia" w:ascii="宋体" w:hAnsi="宋体"/>
          <w:szCs w:val="21"/>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w:t>
      </w:r>
      <w:r>
        <w:rPr>
          <w:rFonts w:ascii="宋体" w:hAnsi="宋体"/>
          <w:szCs w:val="21"/>
        </w:rPr>
        <w:t>5个工作日内由基金财产清算小组进行公告。</w:t>
      </w:r>
    </w:p>
    <w:p w14:paraId="2E096ED3">
      <w:pPr>
        <w:spacing w:line="360" w:lineRule="auto"/>
        <w:ind w:firstLine="420" w:firstLineChars="200"/>
        <w:rPr>
          <w:rFonts w:ascii="宋体" w:hAnsi="宋体"/>
          <w:bCs/>
          <w:szCs w:val="21"/>
        </w:rPr>
      </w:pPr>
      <w:r>
        <w:rPr>
          <w:rFonts w:hint="eastAsia" w:ascii="宋体" w:hAnsi="宋体"/>
          <w:bCs/>
          <w:szCs w:val="21"/>
        </w:rPr>
        <w:t>（四）基金财产清算账册及文件的保存</w:t>
      </w:r>
    </w:p>
    <w:p w14:paraId="3AED52C5">
      <w:pPr>
        <w:spacing w:line="360" w:lineRule="auto"/>
        <w:ind w:firstLine="200"/>
        <w:rPr>
          <w:rFonts w:ascii="宋体" w:hAnsi="宋体"/>
          <w:szCs w:val="21"/>
        </w:rPr>
      </w:pPr>
      <w:r>
        <w:rPr>
          <w:rFonts w:hint="eastAsia" w:ascii="宋体" w:hAnsi="宋体"/>
          <w:szCs w:val="21"/>
        </w:rPr>
        <w:t>基金财产清算账册及有关文件由基金托管人保存</w:t>
      </w:r>
      <w:r>
        <w:rPr>
          <w:rFonts w:ascii="宋体" w:hAnsi="宋体"/>
          <w:szCs w:val="21"/>
        </w:rPr>
        <w:t>15年以上。</w:t>
      </w:r>
    </w:p>
    <w:p w14:paraId="6BA13AE8">
      <w:pPr>
        <w:spacing w:line="360" w:lineRule="auto"/>
        <w:ind w:firstLine="200"/>
        <w:rPr>
          <w:rFonts w:ascii="宋体" w:hAnsi="宋体"/>
          <w:szCs w:val="21"/>
        </w:rPr>
        <w:sectPr>
          <w:pgSz w:w="11906" w:h="16838"/>
          <w:pgMar w:top="1440" w:right="1800" w:bottom="1440" w:left="1800" w:header="851" w:footer="992" w:gutter="0"/>
          <w:pgNumType w:start="1"/>
          <w:cols w:space="720" w:num="1"/>
          <w:docGrid w:type="lines" w:linePitch="312" w:charSpace="0"/>
        </w:sectPr>
      </w:pPr>
    </w:p>
    <w:p w14:paraId="69104842">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08" w:name="_Toc1720927"/>
      <w:r>
        <w:rPr>
          <w:rFonts w:hint="eastAsia" w:ascii="宋体" w:hAnsi="宋体" w:eastAsia="宋体" w:cs="Arial"/>
          <w:sz w:val="21"/>
          <w:szCs w:val="21"/>
        </w:rPr>
        <w:t>违约责任</w:t>
      </w:r>
      <w:bookmarkEnd w:id="108"/>
    </w:p>
    <w:p w14:paraId="30B0E90A">
      <w:pPr>
        <w:spacing w:line="360" w:lineRule="auto"/>
        <w:ind w:firstLine="420" w:firstLineChars="200"/>
        <w:rPr>
          <w:bCs/>
          <w:szCs w:val="21"/>
        </w:rPr>
      </w:pPr>
      <w:r>
        <w:rPr>
          <w:rFonts w:hint="eastAsia" w:ascii="宋体" w:hAnsi="宋体"/>
          <w:szCs w:val="21"/>
        </w:rPr>
        <w:t>（一）如果由于基金管理人或基金托管人的过错，不履行本协议或者违反本协议约定的，有过错的一方应当承担违约责任，给另一方当事人造成损失的，应就直接损失进行赔偿。如果由于双方的过错，不履行本协议或者违反本协议约定的，应根据实际情况，由双方分别承担各自应负的违约责任</w:t>
      </w:r>
      <w:r>
        <w:rPr>
          <w:rFonts w:hint="eastAsia"/>
          <w:bCs/>
          <w:szCs w:val="21"/>
        </w:rPr>
        <w:t>，给基金财产或者基金份额持有人造成损害的，应当分别对各自的行为依法承担赔偿责任；因共同行为给基金财产或者基金份额持有人造成损害的，应当承担连带赔偿责任。对损失的赔偿，仅限于直接损失。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ascii="宋体" w:hAnsi="宋体"/>
          <w:szCs w:val="21"/>
        </w:rPr>
        <w:t>但是发生下列情况，当事人免责：</w:t>
      </w:r>
    </w:p>
    <w:p w14:paraId="0DE8EF0A">
      <w:pPr>
        <w:spacing w:line="360" w:lineRule="auto"/>
        <w:ind w:firstLine="420" w:firstLineChars="200"/>
        <w:rPr>
          <w:rFonts w:ascii="宋体" w:hAnsi="宋体"/>
          <w:szCs w:val="21"/>
        </w:rPr>
      </w:pPr>
      <w:r>
        <w:rPr>
          <w:rFonts w:ascii="宋体" w:hAnsi="宋体"/>
          <w:szCs w:val="21"/>
        </w:rPr>
        <w:t>1.基金管理人及基金托管人按照当时有效的法律法规</w:t>
      </w:r>
      <w:r>
        <w:rPr>
          <w:rFonts w:hint="eastAsia" w:ascii="宋体" w:hAnsi="宋体"/>
          <w:szCs w:val="21"/>
        </w:rPr>
        <w:t>、规章、市场交易规则或中国证监会、中国银监会等监管机构的规定作为或不作为而造成的损失等；</w:t>
      </w:r>
    </w:p>
    <w:p w14:paraId="3C271445">
      <w:pPr>
        <w:spacing w:line="360" w:lineRule="auto"/>
        <w:ind w:firstLine="420" w:firstLineChars="200"/>
        <w:rPr>
          <w:rFonts w:ascii="宋体" w:hAnsi="宋体"/>
          <w:szCs w:val="21"/>
        </w:rPr>
      </w:pPr>
      <w:r>
        <w:rPr>
          <w:rFonts w:ascii="宋体" w:hAnsi="宋体"/>
          <w:szCs w:val="21"/>
        </w:rPr>
        <w:t>2.</w:t>
      </w:r>
      <w:r>
        <w:rPr>
          <w:rFonts w:hint="eastAsia" w:ascii="宋体" w:hAnsi="宋体"/>
          <w:szCs w:val="21"/>
        </w:rPr>
        <w:t>在没有欺诈或过失的情况下，基金管理人由于按照《基金合同》规定的投资原则而行使或不行使其投资权而造成的损失等；</w:t>
      </w:r>
    </w:p>
    <w:p w14:paraId="42417967">
      <w:pPr>
        <w:spacing w:line="360" w:lineRule="auto"/>
        <w:ind w:firstLine="420" w:firstLineChars="200"/>
        <w:rPr>
          <w:rFonts w:ascii="宋体" w:hAnsi="宋体"/>
          <w:szCs w:val="21"/>
        </w:rPr>
      </w:pPr>
      <w:r>
        <w:rPr>
          <w:rFonts w:ascii="宋体" w:hAnsi="宋体"/>
          <w:szCs w:val="21"/>
        </w:rPr>
        <w:t xml:space="preserve">3. </w:t>
      </w:r>
      <w:r>
        <w:rPr>
          <w:rFonts w:hint="eastAsia" w:ascii="宋体" w:hAnsi="宋体"/>
          <w:szCs w:val="21"/>
        </w:rPr>
        <w:t>发生自然灾害等不可抗力情形；</w:t>
      </w:r>
    </w:p>
    <w:p w14:paraId="64DB3231">
      <w:pPr>
        <w:spacing w:line="360" w:lineRule="auto"/>
        <w:ind w:firstLine="420" w:firstLineChars="200"/>
        <w:rPr>
          <w:rFonts w:ascii="宋体" w:hAnsi="宋体"/>
          <w:szCs w:val="21"/>
        </w:rPr>
      </w:pPr>
      <w:r>
        <w:rPr>
          <w:rFonts w:ascii="宋体" w:hAnsi="宋体"/>
          <w:szCs w:val="21"/>
        </w:rPr>
        <w:t>4.计算机系统故障、网络故障、通讯故障、电力故障、计算机病毒攻击、法律法规变化、注册与过户登记人非正常的暂停或终止业务、证券交易所非正常暂停或停止交易等、证券交易所及登记结算公司发送的数据错误及其</w:t>
      </w:r>
      <w:r>
        <w:rPr>
          <w:rFonts w:hint="eastAsia" w:ascii="宋体" w:hAnsi="宋体"/>
          <w:szCs w:val="21"/>
        </w:rPr>
        <w:t>它基金管理人及基金托管人不可控制的因素</w:t>
      </w:r>
      <w:r>
        <w:rPr>
          <w:rFonts w:hint="eastAsia"/>
          <w:bCs/>
          <w:szCs w:val="21"/>
        </w:rPr>
        <w:t>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r>
        <w:rPr>
          <w:rFonts w:hint="eastAsia" w:ascii="宋体" w:hAnsi="宋体"/>
          <w:szCs w:val="21"/>
        </w:rPr>
        <w:t>。</w:t>
      </w:r>
    </w:p>
    <w:p w14:paraId="48217078">
      <w:pPr>
        <w:spacing w:line="360" w:lineRule="auto"/>
        <w:ind w:firstLine="420" w:firstLineChars="200"/>
        <w:rPr>
          <w:bCs/>
          <w:szCs w:val="21"/>
        </w:rPr>
      </w:pPr>
      <w:r>
        <w:rPr>
          <w:rFonts w:hint="eastAsia" w:ascii="宋体" w:hAnsi="宋体"/>
          <w:szCs w:val="21"/>
        </w:rPr>
        <w:t>（二）</w:t>
      </w:r>
      <w:r>
        <w:rPr>
          <w:rFonts w:hint="eastAsia"/>
          <w:bCs/>
          <w:szCs w:val="21"/>
        </w:rPr>
        <w:t>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5044A60F">
      <w:pPr>
        <w:spacing w:line="360" w:lineRule="auto"/>
        <w:ind w:firstLine="420" w:firstLineChars="200"/>
        <w:rPr>
          <w:rFonts w:ascii="宋体" w:hAnsi="宋体"/>
          <w:szCs w:val="21"/>
        </w:rPr>
        <w:sectPr>
          <w:footerReference r:id="rId19" w:type="default"/>
          <w:pgSz w:w="11906" w:h="16838"/>
          <w:pgMar w:top="1440" w:right="1800" w:bottom="1440" w:left="1800" w:header="851" w:footer="992" w:gutter="0"/>
          <w:pgNumType w:start="1"/>
          <w:cols w:space="720" w:num="1"/>
          <w:docGrid w:type="lines" w:linePitch="312" w:charSpace="0"/>
        </w:sectPr>
      </w:pPr>
    </w:p>
    <w:p w14:paraId="6C80923E">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b w:val="0"/>
          <w:sz w:val="21"/>
          <w:szCs w:val="21"/>
        </w:rPr>
      </w:pPr>
      <w:bookmarkStart w:id="109" w:name="_Toc1720928"/>
      <w:r>
        <w:rPr>
          <w:rFonts w:hint="eastAsia" w:ascii="宋体" w:hAnsi="宋体" w:eastAsia="宋体" w:cs="Arial"/>
          <w:sz w:val="21"/>
          <w:szCs w:val="21"/>
        </w:rPr>
        <w:t>适用法律及争议解决方式</w:t>
      </w:r>
      <w:bookmarkEnd w:id="109"/>
    </w:p>
    <w:p w14:paraId="1B773E2D">
      <w:pPr>
        <w:spacing w:line="360" w:lineRule="auto"/>
        <w:ind w:firstLine="420" w:firstLineChars="200"/>
        <w:rPr>
          <w:rFonts w:ascii="宋体" w:hAnsi="宋体"/>
          <w:szCs w:val="21"/>
        </w:rPr>
      </w:pPr>
      <w:r>
        <w:rPr>
          <w:rFonts w:hint="eastAsia" w:ascii="宋体" w:hAnsi="宋体"/>
          <w:szCs w:val="21"/>
        </w:rPr>
        <w:t>（一）本协议适用中华人民共和国法律（为本协议之目的，在此不包括香港、澳门特别行政区和台湾地区法律），并从其解释。</w:t>
      </w:r>
    </w:p>
    <w:p w14:paraId="4898FC52">
      <w:pPr>
        <w:spacing w:line="360" w:lineRule="auto"/>
        <w:ind w:firstLine="420" w:firstLineChars="200"/>
        <w:rPr>
          <w:rFonts w:ascii="宋体" w:hAnsi="宋体"/>
          <w:szCs w:val="21"/>
        </w:rPr>
      </w:pPr>
      <w:r>
        <w:rPr>
          <w:rFonts w:hint="eastAsia" w:ascii="宋体" w:hAnsi="宋体"/>
          <w:szCs w:val="21"/>
        </w:rPr>
        <w:t>（二）相关各方当事人同意，因本协议而产生的或与本协议有关的一切争议，除经友好协商可以解决的，应提交深圳国际仲裁院（深圳仲裁委员会），根据该会届时有效的仲裁规则进行仲裁，仲裁的地点在深圳市，仲裁裁决是终局性的并对相关各方均有约束力。除非仲裁裁决另有规定，仲裁费用、律师费用由败诉方承担。</w:t>
      </w:r>
    </w:p>
    <w:p w14:paraId="3014A391">
      <w:pPr>
        <w:spacing w:line="360" w:lineRule="auto"/>
        <w:ind w:firstLine="420" w:firstLineChars="200"/>
        <w:rPr>
          <w:rFonts w:ascii="宋体" w:hAnsi="宋体"/>
          <w:szCs w:val="21"/>
        </w:rPr>
      </w:pPr>
      <w:r>
        <w:rPr>
          <w:rFonts w:hint="eastAsia" w:ascii="宋体" w:hAnsi="宋体"/>
          <w:szCs w:val="21"/>
        </w:rPr>
        <w:t>争议处理期间，相关各方当事人应恪守基金管理人和基金托管人职责，继续忠实、勤勉、尽责地履行《基金合同》和本托管协议规定的义务，维护基金份额持有人的合法权益。</w:t>
      </w:r>
    </w:p>
    <w:p w14:paraId="22D3B9FC">
      <w:pPr>
        <w:spacing w:line="360" w:lineRule="auto"/>
        <w:ind w:firstLine="420" w:firstLineChars="200"/>
        <w:rPr>
          <w:rFonts w:ascii="宋体" w:hAnsi="宋体"/>
          <w:szCs w:val="21"/>
        </w:rPr>
      </w:pPr>
    </w:p>
    <w:p w14:paraId="2F4FB37E">
      <w:pPr>
        <w:spacing w:line="360" w:lineRule="auto"/>
        <w:ind w:firstLine="420" w:firstLineChars="200"/>
        <w:rPr>
          <w:rFonts w:ascii="宋体" w:hAnsi="宋体"/>
          <w:szCs w:val="21"/>
        </w:rPr>
        <w:sectPr>
          <w:footerReference r:id="rId20" w:type="default"/>
          <w:pgSz w:w="11906" w:h="16838"/>
          <w:pgMar w:top="1440" w:right="1800" w:bottom="1440" w:left="1800" w:header="851" w:footer="992" w:gutter="0"/>
          <w:pgNumType w:start="1"/>
          <w:cols w:space="720" w:num="1"/>
          <w:docGrid w:type="lines" w:linePitch="312" w:charSpace="0"/>
        </w:sectPr>
      </w:pPr>
    </w:p>
    <w:p w14:paraId="2A7F011A">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10" w:name="_Toc1720929"/>
      <w:r>
        <w:rPr>
          <w:rFonts w:hint="eastAsia" w:ascii="宋体" w:hAnsi="宋体" w:eastAsia="宋体" w:cs="Arial"/>
          <w:sz w:val="21"/>
          <w:szCs w:val="21"/>
        </w:rPr>
        <w:t>基金托管协议的效力和文本</w:t>
      </w:r>
      <w:bookmarkEnd w:id="110"/>
    </w:p>
    <w:p w14:paraId="655A05BB">
      <w:pPr>
        <w:pStyle w:val="11"/>
        <w:rPr>
          <w:rFonts w:ascii="宋体" w:hAnsi="宋体"/>
          <w:szCs w:val="21"/>
        </w:rPr>
      </w:pPr>
      <w:r>
        <w:rPr>
          <w:rFonts w:hint="eastAsia" w:ascii="宋体" w:hAnsi="宋体"/>
          <w:szCs w:val="21"/>
        </w:rPr>
        <w:t>（一）</w:t>
      </w:r>
      <w:r>
        <w:rPr>
          <w:rFonts w:hint="eastAsia" w:ascii="宋体" w:hAnsi="宋体" w:cs="Arial"/>
          <w:kern w:val="44"/>
          <w:szCs w:val="21"/>
        </w:rPr>
        <w:t>本协议经基金管理人、基金托管人双方法定代表人或授权代理人签字（或盖章）并加盖公章（或合同专用章）后成立</w:t>
      </w:r>
      <w:r>
        <w:rPr>
          <w:rFonts w:hint="eastAsia" w:ascii="宋体" w:hAnsi="宋体"/>
          <w:szCs w:val="21"/>
        </w:rPr>
        <w:t>。本协议以中国证监会注册的文本为正式文本。</w:t>
      </w:r>
    </w:p>
    <w:p w14:paraId="499AB51E">
      <w:pPr>
        <w:pStyle w:val="11"/>
        <w:rPr>
          <w:rFonts w:ascii="宋体" w:hAnsi="宋体"/>
          <w:szCs w:val="21"/>
        </w:rPr>
      </w:pPr>
      <w:r>
        <w:rPr>
          <w:rFonts w:hint="eastAsia" w:ascii="宋体" w:hAnsi="宋体"/>
          <w:szCs w:val="21"/>
        </w:rPr>
        <w:t>（二）本协议自《基金合同》生效之日起生效，有效期自其生效之日起至该基金财产清算结果报中国证监会备案并公告之日止。</w:t>
      </w:r>
    </w:p>
    <w:p w14:paraId="4F23261A">
      <w:pPr>
        <w:spacing w:line="360" w:lineRule="auto"/>
        <w:ind w:firstLine="420" w:firstLineChars="200"/>
        <w:rPr>
          <w:rFonts w:ascii="宋体" w:hAnsi="宋体"/>
          <w:szCs w:val="21"/>
        </w:rPr>
      </w:pPr>
      <w:r>
        <w:rPr>
          <w:rFonts w:hint="eastAsia" w:ascii="宋体" w:hAnsi="宋体"/>
          <w:szCs w:val="21"/>
        </w:rPr>
        <w:t>（三）本协议自生效之日起对各当事人具有同等的法律约束力。</w:t>
      </w:r>
    </w:p>
    <w:p w14:paraId="127983FF">
      <w:pPr>
        <w:spacing w:line="360" w:lineRule="auto"/>
        <w:ind w:firstLine="420" w:firstLineChars="200"/>
        <w:rPr>
          <w:rFonts w:ascii="宋体" w:hAnsi="宋体"/>
          <w:szCs w:val="21"/>
        </w:rPr>
      </w:pPr>
      <w:r>
        <w:rPr>
          <w:rFonts w:hint="eastAsia" w:ascii="宋体" w:hAnsi="宋体"/>
          <w:szCs w:val="21"/>
        </w:rPr>
        <w:t>（四）本协议正本一式三份，除上报有关监管机构一式一份外，基金管理人、基金托管人各持一份，每份具有同等的法律效力。</w:t>
      </w:r>
    </w:p>
    <w:p w14:paraId="5AC98B3A">
      <w:pPr>
        <w:spacing w:line="360" w:lineRule="auto"/>
        <w:ind w:firstLine="420" w:firstLineChars="200"/>
        <w:rPr>
          <w:rFonts w:ascii="宋体" w:hAnsi="宋体"/>
          <w:szCs w:val="21"/>
        </w:rPr>
      </w:pPr>
    </w:p>
    <w:p w14:paraId="5807C411">
      <w:pPr>
        <w:spacing w:line="360" w:lineRule="auto"/>
        <w:ind w:firstLine="420" w:firstLineChars="200"/>
        <w:rPr>
          <w:rFonts w:ascii="宋体" w:hAnsi="宋体"/>
          <w:szCs w:val="21"/>
        </w:rPr>
        <w:sectPr>
          <w:footerReference r:id="rId21" w:type="default"/>
          <w:pgSz w:w="11906" w:h="16838"/>
          <w:pgMar w:top="1440" w:right="1800" w:bottom="1440" w:left="1800" w:header="851" w:footer="992" w:gutter="0"/>
          <w:pgNumType w:start="1"/>
          <w:cols w:space="720" w:num="1"/>
          <w:docGrid w:type="lines" w:linePitch="312" w:charSpace="0"/>
        </w:sectPr>
      </w:pPr>
    </w:p>
    <w:p w14:paraId="6F222CE1">
      <w:pPr>
        <w:pStyle w:val="2"/>
        <w:keepNext w:val="0"/>
        <w:keepLines w:val="0"/>
        <w:numPr>
          <w:ilvl w:val="0"/>
          <w:numId w:val="2"/>
        </w:numPr>
        <w:tabs>
          <w:tab w:val="left" w:pos="420"/>
        </w:tabs>
        <w:autoSpaceDE w:val="0"/>
        <w:autoSpaceDN w:val="0"/>
        <w:adjustRightInd w:val="0"/>
        <w:spacing w:before="360" w:after="360"/>
        <w:textAlignment w:val="baseline"/>
        <w:rPr>
          <w:rFonts w:ascii="宋体" w:hAnsi="宋体" w:eastAsia="宋体" w:cs="Arial"/>
          <w:sz w:val="21"/>
          <w:szCs w:val="21"/>
        </w:rPr>
      </w:pPr>
      <w:bookmarkStart w:id="111" w:name="_Toc1720930"/>
      <w:r>
        <w:rPr>
          <w:rFonts w:hint="eastAsia" w:ascii="宋体" w:hAnsi="宋体" w:eastAsia="宋体" w:cs="Arial"/>
          <w:sz w:val="21"/>
          <w:szCs w:val="21"/>
        </w:rPr>
        <w:t>其他事项</w:t>
      </w:r>
      <w:bookmarkEnd w:id="111"/>
    </w:p>
    <w:p w14:paraId="0D20B48B">
      <w:pPr>
        <w:pStyle w:val="11"/>
        <w:rPr>
          <w:rFonts w:ascii="宋体" w:hAnsi="宋体"/>
          <w:szCs w:val="21"/>
        </w:rPr>
      </w:pPr>
      <w:r>
        <w:rPr>
          <w:rFonts w:hint="eastAsia" w:ascii="宋体" w:hAnsi="宋体"/>
          <w:szCs w:val="21"/>
        </w:rPr>
        <w:t>（一）双方在此确认，双方均已充分了解和知悉各方反对其员工利用职务之便谋取任何形式利益之立场，并承诺将本着廉洁公平原则避免此类情形，不向对方的员工私自提供任何形式的回扣、礼金、有价证券、贵重物品、各种奖励、私人费用补偿、私人旅游、高消费娱乐等不当利益。</w:t>
      </w:r>
    </w:p>
    <w:p w14:paraId="3ABB00CD">
      <w:pPr>
        <w:pStyle w:val="11"/>
        <w:rPr>
          <w:rFonts w:ascii="宋体" w:hAnsi="宋体"/>
          <w:szCs w:val="21"/>
        </w:rPr>
      </w:pPr>
      <w:r>
        <w:rPr>
          <w:rFonts w:hint="eastAsia" w:ascii="宋体" w:hAnsi="宋体"/>
          <w:szCs w:val="21"/>
        </w:rPr>
        <w:t>（二）本协议未尽事宜，当事人依据《基金合同》以及有关法律、法规和规定协商办理。</w:t>
      </w:r>
    </w:p>
    <w:p w14:paraId="331A9D2D">
      <w:pPr>
        <w:pStyle w:val="11"/>
        <w:rPr>
          <w:rFonts w:ascii="宋体" w:hAnsi="宋体"/>
          <w:szCs w:val="21"/>
        </w:rPr>
      </w:pPr>
      <w:r>
        <w:rPr>
          <w:rFonts w:hint="eastAsia" w:ascii="宋体" w:hAnsi="宋体"/>
          <w:szCs w:val="21"/>
        </w:rPr>
        <w:t>（三）双方约定的其他事项（若有）</w:t>
      </w:r>
    </w:p>
    <w:p w14:paraId="23CF9117">
      <w:pPr>
        <w:pStyle w:val="3"/>
        <w:jc w:val="center"/>
        <w:rPr>
          <w:rFonts w:ascii="彩虹粗仿宋" w:eastAsia="彩虹粗仿宋"/>
          <w:sz w:val="30"/>
        </w:rPr>
        <w:sectPr>
          <w:footerReference r:id="rId22" w:type="default"/>
          <w:pgSz w:w="11906" w:h="16838"/>
          <w:pgMar w:top="1418" w:right="1701" w:bottom="1418" w:left="1701" w:header="851" w:footer="992" w:gutter="0"/>
          <w:pgNumType w:start="1"/>
          <w:cols w:space="425" w:num="1"/>
          <w:docGrid w:type="lines" w:linePitch="312" w:charSpace="0"/>
        </w:sectPr>
      </w:pPr>
      <w:bookmarkStart w:id="112" w:name="_Toc536545516"/>
    </w:p>
    <w:p w14:paraId="434877D5">
      <w:pPr>
        <w:pStyle w:val="3"/>
        <w:jc w:val="center"/>
        <w:rPr>
          <w:rFonts w:ascii="彩虹粗仿宋" w:eastAsia="彩虹粗仿宋"/>
          <w:sz w:val="21"/>
          <w:szCs w:val="21"/>
        </w:rPr>
      </w:pPr>
      <w:bookmarkStart w:id="113" w:name="_Toc1720931"/>
      <w:r>
        <w:rPr>
          <w:rFonts w:hint="eastAsia" w:ascii="彩虹粗仿宋" w:eastAsia="彩虹粗仿宋"/>
          <w:sz w:val="21"/>
          <w:szCs w:val="21"/>
        </w:rPr>
        <w:t>二十、托管协议的签订</w:t>
      </w:r>
      <w:bookmarkEnd w:id="112"/>
      <w:bookmarkEnd w:id="113"/>
    </w:p>
    <w:p w14:paraId="4E2A0490">
      <w:pPr>
        <w:adjustRightInd w:val="0"/>
        <w:snapToGrid w:val="0"/>
        <w:ind w:firstLine="480" w:firstLineChars="200"/>
        <w:rPr>
          <w:rFonts w:ascii="宋体" w:hAnsi="宋体" w:cs="Arial"/>
          <w:sz w:val="24"/>
        </w:rPr>
      </w:pPr>
      <w:r>
        <w:rPr>
          <w:rFonts w:hint="eastAsia" w:ascii="宋体" w:hAnsi="宋体" w:cs="Arial"/>
          <w:sz w:val="24"/>
        </w:rPr>
        <w:t>本协议双方法定代表人或委托代理人签章、签订地、签订日</w:t>
      </w:r>
    </w:p>
    <w:p w14:paraId="66460818">
      <w:pPr>
        <w:spacing w:line="360" w:lineRule="auto"/>
        <w:ind w:right="26"/>
      </w:pPr>
    </w:p>
    <w:sectPr>
      <w:footerReference r:id="rId23"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彩虹粗仿宋">
    <w:altName w:val="宋体"/>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16FD7">
    <w:pPr>
      <w:pStyle w:val="14"/>
      <w:jc w:val="center"/>
    </w:pPr>
  </w:p>
  <w:p w14:paraId="5D1C4CE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9B1FB">
    <w:pPr>
      <w:pStyle w:val="14"/>
      <w:jc w:val="center"/>
    </w:pPr>
  </w:p>
  <w:p w14:paraId="3F5DB33D">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93C14">
    <w:pPr>
      <w:pStyle w:val="14"/>
      <w:jc w:val="center"/>
    </w:pPr>
    <w:r>
      <w:rPr>
        <w:rFonts w:hint="eastAsia"/>
      </w:rPr>
      <w:t>1-</w:t>
    </w:r>
    <w:r>
      <w:fldChar w:fldCharType="begin"/>
    </w:r>
    <w:r>
      <w:instrText xml:space="preserve">PAGE   \* MERGEFORMAT</w:instrText>
    </w:r>
    <w:r>
      <w:fldChar w:fldCharType="separate"/>
    </w:r>
    <w:r>
      <w:rPr>
        <w:lang w:val="zh-CN"/>
      </w:rPr>
      <w:t>1</w:t>
    </w:r>
    <w:r>
      <w:fldChar w:fldCharType="end"/>
    </w:r>
  </w:p>
  <w:p w14:paraId="4A52924C">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84B84">
    <w:pPr>
      <w:pStyle w:val="14"/>
      <w:jc w:val="center"/>
    </w:pPr>
    <w:r>
      <w:rPr>
        <w:rFonts w:hint="eastAsia"/>
      </w:rPr>
      <w:t>2-</w:t>
    </w:r>
    <w:r>
      <w:fldChar w:fldCharType="begin"/>
    </w:r>
    <w:r>
      <w:instrText xml:space="preserve">PAGE   \* MERGEFORMAT</w:instrText>
    </w:r>
    <w:r>
      <w:fldChar w:fldCharType="separate"/>
    </w:r>
    <w:r>
      <w:rPr>
        <w:lang w:val="zh-CN"/>
      </w:rPr>
      <w:t>5</w:t>
    </w:r>
    <w:r>
      <w:fldChar w:fldCharType="end"/>
    </w:r>
  </w:p>
  <w:p w14:paraId="7835EA3B">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5097B">
    <w:pPr>
      <w:pStyle w:val="14"/>
      <w:jc w:val="center"/>
    </w:pPr>
    <w:r>
      <w:rPr>
        <w:rFonts w:hint="eastAsia"/>
      </w:rPr>
      <w:t>3-</w:t>
    </w:r>
    <w:r>
      <w:fldChar w:fldCharType="begin"/>
    </w:r>
    <w:r>
      <w:instrText xml:space="preserve">PAGE   \* MERGEFORMAT</w:instrText>
    </w:r>
    <w:r>
      <w:fldChar w:fldCharType="separate"/>
    </w:r>
    <w:r>
      <w:rPr>
        <w:lang w:val="zh-CN"/>
      </w:rPr>
      <w:t>1</w:t>
    </w:r>
    <w:r>
      <w:fldChar w:fldCharType="end"/>
    </w:r>
  </w:p>
  <w:p w14:paraId="31B9B11D">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6D2E4">
    <w:pPr>
      <w:pStyle w:val="14"/>
      <w:jc w:val="center"/>
    </w:pPr>
    <w:r>
      <w:rPr>
        <w:rFonts w:hint="eastAsia"/>
      </w:rPr>
      <w:t>4-</w:t>
    </w:r>
    <w:r>
      <w:fldChar w:fldCharType="begin"/>
    </w:r>
    <w:r>
      <w:instrText xml:space="preserve">PAGE   \* MERGEFORMAT</w:instrText>
    </w:r>
    <w:r>
      <w:fldChar w:fldCharType="separate"/>
    </w:r>
    <w:r>
      <w:rPr>
        <w:lang w:val="zh-CN"/>
      </w:rPr>
      <w:t>4</w:t>
    </w:r>
    <w:r>
      <w:fldChar w:fldCharType="end"/>
    </w:r>
  </w:p>
  <w:p w14:paraId="2DF55350">
    <w:pPr>
      <w:pStyle w:val="1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6355B">
    <w:pPr>
      <w:pStyle w:val="14"/>
      <w:jc w:val="center"/>
    </w:pPr>
    <w:r>
      <w:rPr>
        <w:rFonts w:hint="eastAsia"/>
      </w:rPr>
      <w:t>5-</w:t>
    </w:r>
    <w:r>
      <w:fldChar w:fldCharType="begin"/>
    </w:r>
    <w:r>
      <w:instrText xml:space="preserve">PAGE   \* MERGEFORMAT</w:instrText>
    </w:r>
    <w:r>
      <w:fldChar w:fldCharType="separate"/>
    </w:r>
    <w:r>
      <w:rPr>
        <w:lang w:val="zh-CN"/>
      </w:rPr>
      <w:t>3</w:t>
    </w:r>
    <w:r>
      <w:fldChar w:fldCharType="end"/>
    </w:r>
  </w:p>
  <w:p w14:paraId="08D9C984">
    <w:pPr>
      <w:pStyle w:val="1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99182">
    <w:pPr>
      <w:pStyle w:val="14"/>
      <w:jc w:val="center"/>
    </w:pPr>
    <w:r>
      <w:rPr>
        <w:rFonts w:hint="eastAsia"/>
      </w:rPr>
      <w:t>6-</w:t>
    </w:r>
    <w:r>
      <w:fldChar w:fldCharType="begin"/>
    </w:r>
    <w:r>
      <w:instrText xml:space="preserve">PAGE   \* MERGEFORMAT</w:instrText>
    </w:r>
    <w:r>
      <w:fldChar w:fldCharType="separate"/>
    </w:r>
    <w:r>
      <w:rPr>
        <w:lang w:val="zh-CN"/>
      </w:rPr>
      <w:t>5</w:t>
    </w:r>
    <w:r>
      <w:fldChar w:fldCharType="end"/>
    </w:r>
  </w:p>
  <w:p w14:paraId="6A903085">
    <w:pPr>
      <w:pStyle w:val="1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70D4E">
    <w:pPr>
      <w:pStyle w:val="14"/>
      <w:jc w:val="center"/>
    </w:pPr>
    <w:r>
      <w:rPr>
        <w:rFonts w:hint="eastAsia"/>
      </w:rPr>
      <w:t>7-</w:t>
    </w:r>
    <w:r>
      <w:fldChar w:fldCharType="begin"/>
    </w:r>
    <w:r>
      <w:instrText xml:space="preserve">PAGE   \* MERGEFORMAT</w:instrText>
    </w:r>
    <w:r>
      <w:fldChar w:fldCharType="separate"/>
    </w:r>
    <w:r>
      <w:rPr>
        <w:lang w:val="zh-CN"/>
      </w:rPr>
      <w:t>5</w:t>
    </w:r>
    <w:r>
      <w:fldChar w:fldCharType="end"/>
    </w:r>
  </w:p>
  <w:p w14:paraId="57B63589">
    <w:pPr>
      <w:pStyle w:val="1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B3C1B">
    <w:pPr>
      <w:pStyle w:val="14"/>
      <w:jc w:val="center"/>
    </w:pPr>
    <w:r>
      <w:rPr>
        <w:rFonts w:hint="eastAsia"/>
      </w:rPr>
      <w:t>8-</w:t>
    </w:r>
    <w:r>
      <w:fldChar w:fldCharType="begin"/>
    </w:r>
    <w:r>
      <w:instrText xml:space="preserve">PAGE   \* MERGEFORMAT</w:instrText>
    </w:r>
    <w:r>
      <w:fldChar w:fldCharType="separate"/>
    </w:r>
    <w:r>
      <w:rPr>
        <w:lang w:val="zh-CN"/>
      </w:rPr>
      <w:t>1</w:t>
    </w:r>
    <w:r>
      <w:fldChar w:fldCharType="end"/>
    </w:r>
  </w:p>
  <w:p w14:paraId="130DAE94">
    <w:pPr>
      <w:pStyle w:val="1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FA0B2">
    <w:pPr>
      <w:pStyle w:val="14"/>
      <w:jc w:val="center"/>
    </w:pPr>
    <w:r>
      <w:rPr>
        <w:rFonts w:hint="eastAsia"/>
      </w:rPr>
      <w:t>9-</w:t>
    </w:r>
    <w:r>
      <w:fldChar w:fldCharType="begin"/>
    </w:r>
    <w:r>
      <w:instrText xml:space="preserve">PAGE   \* MERGEFORMAT</w:instrText>
    </w:r>
    <w:r>
      <w:fldChar w:fldCharType="separate"/>
    </w:r>
    <w:r>
      <w:rPr>
        <w:lang w:val="zh-CN"/>
      </w:rPr>
      <w:t>2</w:t>
    </w:r>
    <w:r>
      <w:fldChar w:fldCharType="end"/>
    </w:r>
  </w:p>
  <w:p w14:paraId="14D48B88">
    <w:pPr>
      <w:pStyle w:val="1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29C85">
    <w:pPr>
      <w:pStyle w:val="14"/>
      <w:jc w:val="center"/>
    </w:pPr>
    <w:r>
      <w:rPr>
        <w:rFonts w:hint="eastAsia"/>
      </w:rPr>
      <w:t>10-</w:t>
    </w:r>
    <w:r>
      <w:fldChar w:fldCharType="begin"/>
    </w:r>
    <w:r>
      <w:instrText xml:space="preserve">PAGE   \* MERGEFORMAT</w:instrText>
    </w:r>
    <w:r>
      <w:fldChar w:fldCharType="separate"/>
    </w:r>
    <w:r>
      <w:rPr>
        <w:lang w:val="zh-CN"/>
      </w:rPr>
      <w:t>1</w:t>
    </w:r>
    <w:r>
      <w:fldChar w:fldCharType="end"/>
    </w:r>
  </w:p>
  <w:p w14:paraId="056B7B21">
    <w:pPr>
      <w:pStyle w:val="14"/>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0C01C">
    <w:pPr>
      <w:pStyle w:val="14"/>
      <w:jc w:val="center"/>
    </w:pPr>
    <w:r>
      <w:rPr>
        <w:rFonts w:hint="eastAsia"/>
      </w:rPr>
      <w:t>11-</w:t>
    </w:r>
    <w:r>
      <w:fldChar w:fldCharType="begin"/>
    </w:r>
    <w:r>
      <w:instrText xml:space="preserve">PAGE   \* MERGEFORMAT</w:instrText>
    </w:r>
    <w:r>
      <w:fldChar w:fldCharType="separate"/>
    </w:r>
    <w:r>
      <w:rPr>
        <w:lang w:val="zh-CN"/>
      </w:rPr>
      <w:t>1</w:t>
    </w:r>
    <w:r>
      <w:fldChar w:fldCharType="end"/>
    </w:r>
  </w:p>
  <w:p w14:paraId="33B6E33D">
    <w:pPr>
      <w:pStyle w:val="14"/>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D0C35">
    <w:pPr>
      <w:pStyle w:val="14"/>
      <w:jc w:val="center"/>
    </w:pPr>
    <w:r>
      <w:rPr>
        <w:rFonts w:hint="eastAsia"/>
      </w:rPr>
      <w:t>12-</w:t>
    </w:r>
    <w:r>
      <w:fldChar w:fldCharType="begin"/>
    </w:r>
    <w:r>
      <w:instrText xml:space="preserve">PAGE   \* MERGEFORMAT</w:instrText>
    </w:r>
    <w:r>
      <w:fldChar w:fldCharType="separate"/>
    </w:r>
    <w:r>
      <w:rPr>
        <w:lang w:val="zh-CN"/>
      </w:rPr>
      <w:t>1</w:t>
    </w:r>
    <w:r>
      <w:fldChar w:fldCharType="end"/>
    </w:r>
  </w:p>
  <w:p w14:paraId="5F4A1868">
    <w:pPr>
      <w:pStyle w:val="14"/>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8E426">
    <w:pPr>
      <w:pStyle w:val="14"/>
      <w:jc w:val="center"/>
    </w:pPr>
    <w:r>
      <w:rPr>
        <w:rFonts w:hint="eastAsia"/>
      </w:rPr>
      <w:t>13-</w:t>
    </w:r>
    <w:r>
      <w:fldChar w:fldCharType="begin"/>
    </w:r>
    <w:r>
      <w:instrText xml:space="preserve">PAGE   \* MERGEFORMAT</w:instrText>
    </w:r>
    <w:r>
      <w:fldChar w:fldCharType="separate"/>
    </w:r>
    <w:r>
      <w:rPr>
        <w:lang w:val="zh-CN"/>
      </w:rPr>
      <w:t>3</w:t>
    </w:r>
    <w:r>
      <w:fldChar w:fldCharType="end"/>
    </w:r>
  </w:p>
  <w:p w14:paraId="73855753">
    <w:pPr>
      <w:pStyle w:val="14"/>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C8CA3">
    <w:pPr>
      <w:pStyle w:val="14"/>
      <w:jc w:val="center"/>
    </w:pPr>
    <w:r>
      <w:rPr>
        <w:rFonts w:hint="eastAsia"/>
      </w:rPr>
      <w:t>14-</w:t>
    </w:r>
    <w:r>
      <w:fldChar w:fldCharType="begin"/>
    </w:r>
    <w:r>
      <w:instrText xml:space="preserve">PAGE   \* MERGEFORMAT</w:instrText>
    </w:r>
    <w:r>
      <w:fldChar w:fldCharType="separate"/>
    </w:r>
    <w:r>
      <w:rPr>
        <w:lang w:val="zh-CN"/>
      </w:rPr>
      <w:t>2</w:t>
    </w:r>
    <w:r>
      <w:fldChar w:fldCharType="end"/>
    </w:r>
  </w:p>
  <w:p w14:paraId="6D6C1B2F">
    <w:pPr>
      <w:pStyle w:val="14"/>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DFA6C">
    <w:pPr>
      <w:pStyle w:val="14"/>
      <w:jc w:val="center"/>
    </w:pPr>
    <w:r>
      <w:rPr>
        <w:rFonts w:hint="eastAsia"/>
      </w:rPr>
      <w:t>16-</w:t>
    </w:r>
    <w:r>
      <w:fldChar w:fldCharType="begin"/>
    </w:r>
    <w:r>
      <w:instrText xml:space="preserve">PAGE   \* MERGEFORMAT</w:instrText>
    </w:r>
    <w:r>
      <w:fldChar w:fldCharType="separate"/>
    </w:r>
    <w:r>
      <w:rPr>
        <w:lang w:val="zh-CN"/>
      </w:rPr>
      <w:t>1</w:t>
    </w:r>
    <w:r>
      <w:fldChar w:fldCharType="end"/>
    </w:r>
  </w:p>
  <w:p w14:paraId="26ECD575">
    <w:pPr>
      <w:pStyle w:val="14"/>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58FFE">
    <w:pPr>
      <w:pStyle w:val="14"/>
      <w:jc w:val="center"/>
    </w:pPr>
    <w:r>
      <w:rPr>
        <w:rFonts w:hint="eastAsia"/>
      </w:rPr>
      <w:t>17-</w:t>
    </w:r>
    <w:r>
      <w:fldChar w:fldCharType="begin"/>
    </w:r>
    <w:r>
      <w:instrText xml:space="preserve">PAGE   \* MERGEFORMAT</w:instrText>
    </w:r>
    <w:r>
      <w:fldChar w:fldCharType="separate"/>
    </w:r>
    <w:r>
      <w:rPr>
        <w:lang w:val="zh-CN"/>
      </w:rPr>
      <w:t>1</w:t>
    </w:r>
    <w:r>
      <w:fldChar w:fldCharType="end"/>
    </w:r>
  </w:p>
  <w:p w14:paraId="2141DBC4">
    <w:pPr>
      <w:pStyle w:val="14"/>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91F9C">
    <w:pPr>
      <w:pStyle w:val="14"/>
      <w:jc w:val="center"/>
    </w:pPr>
    <w:r>
      <w:rPr>
        <w:rFonts w:hint="eastAsia"/>
      </w:rPr>
      <w:t>18-</w:t>
    </w:r>
    <w:r>
      <w:fldChar w:fldCharType="begin"/>
    </w:r>
    <w:r>
      <w:instrText xml:space="preserve">PAGE   \* MERGEFORMAT</w:instrText>
    </w:r>
    <w:r>
      <w:fldChar w:fldCharType="separate"/>
    </w:r>
    <w:r>
      <w:rPr>
        <w:lang w:val="zh-CN"/>
      </w:rPr>
      <w:t>1</w:t>
    </w:r>
    <w:r>
      <w:fldChar w:fldCharType="end"/>
    </w:r>
  </w:p>
  <w:p w14:paraId="50BE9197">
    <w:pPr>
      <w:pStyle w:val="14"/>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2AA6E">
    <w:pPr>
      <w:pStyle w:val="14"/>
      <w:jc w:val="center"/>
    </w:pPr>
    <w:r>
      <w:rPr>
        <w:rFonts w:hint="eastAsia"/>
      </w:rPr>
      <w:t>19-</w:t>
    </w:r>
    <w:r>
      <w:fldChar w:fldCharType="begin"/>
    </w:r>
    <w:r>
      <w:instrText xml:space="preserve">PAGE   \* MERGEFORMAT</w:instrText>
    </w:r>
    <w:r>
      <w:fldChar w:fldCharType="separate"/>
    </w:r>
    <w:r>
      <w:rPr>
        <w:lang w:val="zh-CN"/>
      </w:rPr>
      <w:t>1</w:t>
    </w:r>
    <w:r>
      <w:fldChar w:fldCharType="end"/>
    </w:r>
  </w:p>
  <w:p w14:paraId="46D0FD80">
    <w:pPr>
      <w:pStyle w:val="14"/>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483979"/>
      <w:docPartObj>
        <w:docPartGallery w:val="autotext"/>
      </w:docPartObj>
    </w:sdtPr>
    <w:sdtContent>
      <w:p w14:paraId="1FA73C23">
        <w:pPr>
          <w:pStyle w:val="14"/>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p w14:paraId="7089CDA0">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6538E2"/>
    <w:multiLevelType w:val="multilevel"/>
    <w:tmpl w:val="266538E2"/>
    <w:lvl w:ilvl="0" w:tentative="0">
      <w:start w:val="1"/>
      <w:numFmt w:val="chineseCountingThousand"/>
      <w:pStyle w:val="2"/>
      <w:lvlText w:val="第%1章  "/>
      <w:lvlJc w:val="left"/>
      <w:pPr>
        <w:tabs>
          <w:tab w:val="left" w:pos="1922"/>
        </w:tabs>
        <w:ind w:left="0" w:firstLine="482"/>
      </w:pPr>
      <w:rPr>
        <w:rFonts w:hint="eastAsia"/>
      </w:rPr>
    </w:lvl>
    <w:lvl w:ilvl="1" w:tentative="0">
      <w:start w:val="1"/>
      <w:numFmt w:val="chineseCountingThousand"/>
      <w:lvlText w:val="第%2节  "/>
      <w:lvlJc w:val="left"/>
      <w:pPr>
        <w:tabs>
          <w:tab w:val="left" w:pos="1922"/>
        </w:tabs>
        <w:ind w:left="0" w:firstLine="482"/>
      </w:pPr>
      <w:rPr>
        <w:rFonts w:hint="eastAsia"/>
      </w:rPr>
    </w:lvl>
    <w:lvl w:ilvl="2" w:tentative="0">
      <w:start w:val="1"/>
      <w:numFmt w:val="chineseCountingThousand"/>
      <w:pStyle w:val="4"/>
      <w:suff w:val="nothing"/>
      <w:lvlText w:val="%3、"/>
      <w:lvlJc w:val="left"/>
      <w:pPr>
        <w:ind w:left="0" w:firstLine="482"/>
      </w:pPr>
      <w:rPr>
        <w:rFonts w:hint="eastAsia" w:ascii="黑体" w:eastAsia="黑体"/>
        <w:b/>
        <w:i w:val="0"/>
        <w:sz w:val="24"/>
      </w:rPr>
    </w:lvl>
    <w:lvl w:ilvl="3" w:tentative="0">
      <w:start w:val="1"/>
      <w:numFmt w:val="chineseCountingThousand"/>
      <w:pStyle w:val="5"/>
      <w:suff w:val="nothing"/>
      <w:lvlText w:val="(%4)"/>
      <w:lvlJc w:val="left"/>
      <w:pPr>
        <w:ind w:left="0" w:firstLine="482"/>
      </w:pPr>
      <w:rPr>
        <w:rFonts w:hint="eastAsia" w:ascii="仿宋_GB2312" w:eastAsia="仿宋_GB2312"/>
        <w:b w:val="0"/>
        <w:i w:val="0"/>
        <w:sz w:val="24"/>
      </w:rPr>
    </w:lvl>
    <w:lvl w:ilvl="4" w:tentative="0">
      <w:start w:val="1"/>
      <w:numFmt w:val="decimal"/>
      <w:pStyle w:val="6"/>
      <w:suff w:val="nothing"/>
      <w:lvlText w:val="%5."/>
      <w:lvlJc w:val="left"/>
      <w:pPr>
        <w:ind w:left="0" w:firstLine="527"/>
      </w:pPr>
      <w:rPr>
        <w:rFonts w:hint="eastAsia" w:ascii="仿宋_GB2312" w:eastAsia="仿宋_GB2312"/>
        <w:b w:val="0"/>
        <w:i w:val="0"/>
        <w:sz w:val="24"/>
      </w:rPr>
    </w:lvl>
    <w:lvl w:ilvl="5" w:tentative="0">
      <w:start w:val="1"/>
      <w:numFmt w:val="decimal"/>
      <w:pStyle w:val="7"/>
      <w:suff w:val="nothing"/>
      <w:lvlText w:val="(%6)"/>
      <w:lvlJc w:val="left"/>
      <w:pPr>
        <w:ind w:left="0" w:firstLine="482"/>
      </w:pPr>
      <w:rPr>
        <w:rFonts w:hint="eastAsia" w:ascii="仿宋_GB2312" w:eastAsia="仿宋_GB2312"/>
        <w:b w:val="0"/>
        <w:i w:val="0"/>
        <w:sz w:val="24"/>
      </w:rPr>
    </w:lvl>
    <w:lvl w:ilvl="6" w:tentative="0">
      <w:start w:val="1"/>
      <w:numFmt w:val="bullet"/>
      <w:pStyle w:val="8"/>
      <w:lvlText w:val="①"/>
      <w:lvlJc w:val="left"/>
      <w:pPr>
        <w:tabs>
          <w:tab w:val="left" w:pos="2835"/>
        </w:tabs>
        <w:ind w:left="2835" w:hanging="426"/>
      </w:pPr>
      <w:rPr>
        <w:rFonts w:hint="eastAsia" w:ascii="宋体" w:eastAsia="宋体"/>
      </w:rPr>
    </w:lvl>
    <w:lvl w:ilvl="7" w:tentative="0">
      <w:start w:val="1"/>
      <w:numFmt w:val="lowerLetter"/>
      <w:lvlText w:val="%8."/>
      <w:lvlJc w:val="left"/>
      <w:pPr>
        <w:tabs>
          <w:tab w:val="left" w:pos="3260"/>
        </w:tabs>
        <w:ind w:left="3260" w:hanging="425"/>
      </w:pPr>
      <w:rPr>
        <w:rFonts w:hint="eastAsia"/>
      </w:rPr>
    </w:lvl>
    <w:lvl w:ilvl="8" w:tentative="0">
      <w:start w:val="1"/>
      <w:numFmt w:val="lowerRoman"/>
      <w:lvlText w:val="%9."/>
      <w:lvlJc w:val="left"/>
      <w:pPr>
        <w:tabs>
          <w:tab w:val="left" w:pos="3685"/>
        </w:tabs>
        <w:ind w:left="3685" w:hanging="425"/>
      </w:pPr>
      <w:rPr>
        <w:rFonts w:hint="eastAsia"/>
      </w:rPr>
    </w:lvl>
  </w:abstractNum>
  <w:abstractNum w:abstractNumId="1">
    <w:nsid w:val="5F952C2D"/>
    <w:multiLevelType w:val="multilevel"/>
    <w:tmpl w:val="5F952C2D"/>
    <w:lvl w:ilvl="0" w:tentative="0">
      <w:start w:val="1"/>
      <w:numFmt w:val="chineseCountingThousand"/>
      <w:suff w:val="nothing"/>
      <w:lvlText w:val="%1、"/>
      <w:lvlJc w:val="center"/>
      <w:pPr>
        <w:ind w:left="0" w:firstLine="288"/>
      </w:pPr>
      <w:rPr>
        <w:rFonts w:hint="eastAsia"/>
        <w:sz w:val="21"/>
        <w:szCs w:val="30"/>
        <w:lang w:val="en-US"/>
      </w:rPr>
    </w:lvl>
    <w:lvl w:ilvl="1" w:tentative="0">
      <w:start w:val="1"/>
      <w:numFmt w:val="japaneseCounting"/>
      <w:lvlText w:val="（%2）"/>
      <w:lvlJc w:val="left"/>
      <w:pPr>
        <w:tabs>
          <w:tab w:val="left" w:pos="720"/>
        </w:tabs>
        <w:ind w:left="720" w:hanging="720"/>
      </w:pPr>
      <w:rPr>
        <w:rFonts w:hint="default"/>
      </w:rPr>
    </w:lvl>
    <w:lvl w:ilvl="2" w:tentative="0">
      <w:start w:val="1"/>
      <w:numFmt w:val="decimal"/>
      <w:lvlText w:val="%3."/>
      <w:lvlJc w:val="left"/>
      <w:pPr>
        <w:tabs>
          <w:tab w:val="left" w:pos="360"/>
        </w:tabs>
        <w:ind w:left="0" w:firstLine="0"/>
      </w:pPr>
      <w:rPr>
        <w:rFonts w:hint="eastAsia"/>
      </w:rPr>
    </w:lvl>
    <w:lvl w:ilvl="3" w:tentative="0">
      <w:start w:val="1"/>
      <w:numFmt w:val="decimal"/>
      <w:lvlText w:val="（%4）"/>
      <w:lvlJc w:val="left"/>
      <w:pPr>
        <w:tabs>
          <w:tab w:val="left" w:pos="720"/>
        </w:tabs>
        <w:ind w:left="0" w:firstLine="0"/>
      </w:pPr>
      <w:rPr>
        <w:rFonts w:hint="default" w:ascii="Times New Roman" w:hAnsi="Times New Roman" w:eastAsia="宋体"/>
        <w:sz w:val="21"/>
      </w:rPr>
    </w:lvl>
    <w:lvl w:ilvl="4" w:tentative="0">
      <w:start w:val="1"/>
      <w:numFmt w:val="none"/>
      <w:lvlText w:val=""/>
      <w:lvlJc w:val="left"/>
      <w:pPr>
        <w:tabs>
          <w:tab w:val="left" w:pos="360"/>
        </w:tabs>
        <w:ind w:left="0" w:firstLine="0"/>
      </w:pPr>
      <w:rPr>
        <w:rFonts w:hint="eastAsia"/>
        <w:sz w:val="24"/>
      </w:rPr>
    </w:lvl>
    <w:lvl w:ilvl="5" w:tentative="0">
      <w:start w:val="1"/>
      <w:numFmt w:val="upperLetter"/>
      <w:lvlText w:val="%6."/>
      <w:lvlJc w:val="left"/>
      <w:pPr>
        <w:tabs>
          <w:tab w:val="left" w:pos="927"/>
        </w:tabs>
        <w:ind w:left="0" w:firstLine="567"/>
      </w:pPr>
      <w:rPr>
        <w:rFonts w:hint="eastAsia"/>
        <w:sz w:val="24"/>
      </w:rPr>
    </w:lvl>
    <w:lvl w:ilvl="6" w:tentative="0">
      <w:start w:val="1"/>
      <w:numFmt w:val="none"/>
      <w:lvlText w:val=""/>
      <w:lvlJc w:val="left"/>
      <w:pPr>
        <w:tabs>
          <w:tab w:val="left" w:pos="3827"/>
        </w:tabs>
        <w:ind w:left="3827" w:hanging="1276"/>
      </w:pPr>
      <w:rPr>
        <w:rFonts w:hint="eastAsia"/>
      </w:rPr>
    </w:lvl>
    <w:lvl w:ilvl="7" w:tentative="0">
      <w:start w:val="1"/>
      <w:numFmt w:val="none"/>
      <w:lvlText w:val=""/>
      <w:lvlJc w:val="left"/>
      <w:pPr>
        <w:tabs>
          <w:tab w:val="left" w:pos="4394"/>
        </w:tabs>
        <w:ind w:left="4394" w:hanging="1418"/>
      </w:pPr>
      <w:rPr>
        <w:rFonts w:hint="eastAsia"/>
      </w:rPr>
    </w:lvl>
    <w:lvl w:ilvl="8" w:tentative="0">
      <w:start w:val="1"/>
      <w:numFmt w:val="none"/>
      <w:lvlText w:val=""/>
      <w:lvlJc w:val="left"/>
      <w:pPr>
        <w:tabs>
          <w:tab w:val="left" w:pos="5102"/>
        </w:tabs>
        <w:ind w:left="5102" w:hanging="1700"/>
      </w:pPr>
      <w:rPr>
        <w:rFonts w:hint="eastAsia"/>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2B06"/>
    <w:rsid w:val="00003BAC"/>
    <w:rsid w:val="000040D9"/>
    <w:rsid w:val="000060F3"/>
    <w:rsid w:val="00013ACA"/>
    <w:rsid w:val="0001628A"/>
    <w:rsid w:val="0002170F"/>
    <w:rsid w:val="00023834"/>
    <w:rsid w:val="00027051"/>
    <w:rsid w:val="00032FC7"/>
    <w:rsid w:val="00042598"/>
    <w:rsid w:val="00042E07"/>
    <w:rsid w:val="00047E8E"/>
    <w:rsid w:val="00050C79"/>
    <w:rsid w:val="00050E76"/>
    <w:rsid w:val="000631B8"/>
    <w:rsid w:val="00071C67"/>
    <w:rsid w:val="000744EF"/>
    <w:rsid w:val="000764C6"/>
    <w:rsid w:val="00084A6D"/>
    <w:rsid w:val="0009073D"/>
    <w:rsid w:val="00095C88"/>
    <w:rsid w:val="000961CB"/>
    <w:rsid w:val="00096F78"/>
    <w:rsid w:val="000A4D59"/>
    <w:rsid w:val="000A504D"/>
    <w:rsid w:val="000B25F5"/>
    <w:rsid w:val="000B7A53"/>
    <w:rsid w:val="000E1AA0"/>
    <w:rsid w:val="000E63BD"/>
    <w:rsid w:val="000E71E8"/>
    <w:rsid w:val="000F3107"/>
    <w:rsid w:val="00104361"/>
    <w:rsid w:val="0010687A"/>
    <w:rsid w:val="00115718"/>
    <w:rsid w:val="00117913"/>
    <w:rsid w:val="00117EA8"/>
    <w:rsid w:val="00127ECA"/>
    <w:rsid w:val="001316E3"/>
    <w:rsid w:val="00131BDF"/>
    <w:rsid w:val="00133D3D"/>
    <w:rsid w:val="0013411D"/>
    <w:rsid w:val="00145DE4"/>
    <w:rsid w:val="00146175"/>
    <w:rsid w:val="00152A5B"/>
    <w:rsid w:val="00155908"/>
    <w:rsid w:val="00155DEC"/>
    <w:rsid w:val="00157D32"/>
    <w:rsid w:val="001603BD"/>
    <w:rsid w:val="00160BE2"/>
    <w:rsid w:val="00160C32"/>
    <w:rsid w:val="00160F82"/>
    <w:rsid w:val="0016302A"/>
    <w:rsid w:val="00176071"/>
    <w:rsid w:val="00194DE9"/>
    <w:rsid w:val="00196AAF"/>
    <w:rsid w:val="00197619"/>
    <w:rsid w:val="001A6199"/>
    <w:rsid w:val="001A78D6"/>
    <w:rsid w:val="001B066B"/>
    <w:rsid w:val="001B0CBA"/>
    <w:rsid w:val="001B299F"/>
    <w:rsid w:val="001B4005"/>
    <w:rsid w:val="001B5F23"/>
    <w:rsid w:val="001C0BDA"/>
    <w:rsid w:val="001C3E73"/>
    <w:rsid w:val="001D43CF"/>
    <w:rsid w:val="001E3B6F"/>
    <w:rsid w:val="001F00B3"/>
    <w:rsid w:val="00205718"/>
    <w:rsid w:val="002156DF"/>
    <w:rsid w:val="00215F53"/>
    <w:rsid w:val="00221CBD"/>
    <w:rsid w:val="0023194A"/>
    <w:rsid w:val="00244A3C"/>
    <w:rsid w:val="00247CE9"/>
    <w:rsid w:val="002501A6"/>
    <w:rsid w:val="00250F9C"/>
    <w:rsid w:val="00251668"/>
    <w:rsid w:val="00267557"/>
    <w:rsid w:val="00274C18"/>
    <w:rsid w:val="002768DD"/>
    <w:rsid w:val="00293FAD"/>
    <w:rsid w:val="002B04F4"/>
    <w:rsid w:val="002B2DF8"/>
    <w:rsid w:val="002C07E7"/>
    <w:rsid w:val="002C1EAB"/>
    <w:rsid w:val="002C4567"/>
    <w:rsid w:val="002C7815"/>
    <w:rsid w:val="002D08CC"/>
    <w:rsid w:val="002D0AA9"/>
    <w:rsid w:val="002D5C15"/>
    <w:rsid w:val="002E5640"/>
    <w:rsid w:val="002F03C5"/>
    <w:rsid w:val="002F4C93"/>
    <w:rsid w:val="002F6C9E"/>
    <w:rsid w:val="00303069"/>
    <w:rsid w:val="003053F9"/>
    <w:rsid w:val="00310434"/>
    <w:rsid w:val="003173C3"/>
    <w:rsid w:val="0032661E"/>
    <w:rsid w:val="00334A33"/>
    <w:rsid w:val="00345D05"/>
    <w:rsid w:val="003507F1"/>
    <w:rsid w:val="003619AE"/>
    <w:rsid w:val="00367D63"/>
    <w:rsid w:val="00376C10"/>
    <w:rsid w:val="003A182E"/>
    <w:rsid w:val="003A2B06"/>
    <w:rsid w:val="003A7945"/>
    <w:rsid w:val="003C6AFA"/>
    <w:rsid w:val="003D587D"/>
    <w:rsid w:val="003D6228"/>
    <w:rsid w:val="003D7E38"/>
    <w:rsid w:val="003E3C05"/>
    <w:rsid w:val="003E5161"/>
    <w:rsid w:val="003F2511"/>
    <w:rsid w:val="004033D6"/>
    <w:rsid w:val="004058FF"/>
    <w:rsid w:val="00412B81"/>
    <w:rsid w:val="00417C9C"/>
    <w:rsid w:val="00424259"/>
    <w:rsid w:val="00453D77"/>
    <w:rsid w:val="00457193"/>
    <w:rsid w:val="0047624B"/>
    <w:rsid w:val="0048102C"/>
    <w:rsid w:val="004869DD"/>
    <w:rsid w:val="004A4F45"/>
    <w:rsid w:val="004A523E"/>
    <w:rsid w:val="004B48DD"/>
    <w:rsid w:val="004C5D37"/>
    <w:rsid w:val="004C7712"/>
    <w:rsid w:val="004D006F"/>
    <w:rsid w:val="004E4B0E"/>
    <w:rsid w:val="004E5382"/>
    <w:rsid w:val="005074C1"/>
    <w:rsid w:val="005159A1"/>
    <w:rsid w:val="00532C22"/>
    <w:rsid w:val="005377DD"/>
    <w:rsid w:val="005528C2"/>
    <w:rsid w:val="005537BD"/>
    <w:rsid w:val="00554AE7"/>
    <w:rsid w:val="00562628"/>
    <w:rsid w:val="00571D84"/>
    <w:rsid w:val="00575292"/>
    <w:rsid w:val="0059021D"/>
    <w:rsid w:val="00592089"/>
    <w:rsid w:val="0059252E"/>
    <w:rsid w:val="00597EEE"/>
    <w:rsid w:val="005A24B0"/>
    <w:rsid w:val="005A5360"/>
    <w:rsid w:val="005A622F"/>
    <w:rsid w:val="005A6744"/>
    <w:rsid w:val="005B1211"/>
    <w:rsid w:val="005B1608"/>
    <w:rsid w:val="005C5962"/>
    <w:rsid w:val="005D3DF4"/>
    <w:rsid w:val="005D44E5"/>
    <w:rsid w:val="005D698F"/>
    <w:rsid w:val="005F49DC"/>
    <w:rsid w:val="00614752"/>
    <w:rsid w:val="0061682A"/>
    <w:rsid w:val="00621AAF"/>
    <w:rsid w:val="00623E87"/>
    <w:rsid w:val="006327E7"/>
    <w:rsid w:val="00634944"/>
    <w:rsid w:val="006359FD"/>
    <w:rsid w:val="00650E7F"/>
    <w:rsid w:val="00654625"/>
    <w:rsid w:val="006572C1"/>
    <w:rsid w:val="006625C4"/>
    <w:rsid w:val="00662F99"/>
    <w:rsid w:val="00680FAA"/>
    <w:rsid w:val="00681324"/>
    <w:rsid w:val="00681F6A"/>
    <w:rsid w:val="00687CEF"/>
    <w:rsid w:val="006A0D12"/>
    <w:rsid w:val="006A62B4"/>
    <w:rsid w:val="006B7BA4"/>
    <w:rsid w:val="006C7A98"/>
    <w:rsid w:val="006D0F86"/>
    <w:rsid w:val="006D5312"/>
    <w:rsid w:val="006E5DC4"/>
    <w:rsid w:val="00706D0F"/>
    <w:rsid w:val="00711039"/>
    <w:rsid w:val="00712405"/>
    <w:rsid w:val="0072790F"/>
    <w:rsid w:val="00742262"/>
    <w:rsid w:val="007556BD"/>
    <w:rsid w:val="00760BAC"/>
    <w:rsid w:val="00762553"/>
    <w:rsid w:val="00762736"/>
    <w:rsid w:val="007658A5"/>
    <w:rsid w:val="00783C8A"/>
    <w:rsid w:val="0078573F"/>
    <w:rsid w:val="00793C84"/>
    <w:rsid w:val="00795729"/>
    <w:rsid w:val="007A5DD5"/>
    <w:rsid w:val="007C7A65"/>
    <w:rsid w:val="007D030B"/>
    <w:rsid w:val="007D623C"/>
    <w:rsid w:val="007D7402"/>
    <w:rsid w:val="007E00DE"/>
    <w:rsid w:val="007E6E42"/>
    <w:rsid w:val="007F24C1"/>
    <w:rsid w:val="007F3B1F"/>
    <w:rsid w:val="007F3CAE"/>
    <w:rsid w:val="00806666"/>
    <w:rsid w:val="00807EC2"/>
    <w:rsid w:val="00810A64"/>
    <w:rsid w:val="00817D48"/>
    <w:rsid w:val="008214F8"/>
    <w:rsid w:val="0082481E"/>
    <w:rsid w:val="008248B7"/>
    <w:rsid w:val="0084460D"/>
    <w:rsid w:val="00846E5C"/>
    <w:rsid w:val="008470B3"/>
    <w:rsid w:val="008519E6"/>
    <w:rsid w:val="0085475A"/>
    <w:rsid w:val="00871DF7"/>
    <w:rsid w:val="0087717F"/>
    <w:rsid w:val="00881558"/>
    <w:rsid w:val="0089225D"/>
    <w:rsid w:val="008961D2"/>
    <w:rsid w:val="008A295B"/>
    <w:rsid w:val="008C2F75"/>
    <w:rsid w:val="008D7A78"/>
    <w:rsid w:val="008E1C5E"/>
    <w:rsid w:val="008F742A"/>
    <w:rsid w:val="00903B43"/>
    <w:rsid w:val="00923B8E"/>
    <w:rsid w:val="00926A3E"/>
    <w:rsid w:val="00933FBD"/>
    <w:rsid w:val="00935EAA"/>
    <w:rsid w:val="0095029F"/>
    <w:rsid w:val="009514AB"/>
    <w:rsid w:val="00954005"/>
    <w:rsid w:val="00957AA7"/>
    <w:rsid w:val="00973538"/>
    <w:rsid w:val="009772D2"/>
    <w:rsid w:val="00994BA8"/>
    <w:rsid w:val="009A5064"/>
    <w:rsid w:val="009C08CC"/>
    <w:rsid w:val="009C3483"/>
    <w:rsid w:val="009C6192"/>
    <w:rsid w:val="009C767B"/>
    <w:rsid w:val="009D5F7B"/>
    <w:rsid w:val="009F3860"/>
    <w:rsid w:val="009F7CDA"/>
    <w:rsid w:val="00A0280F"/>
    <w:rsid w:val="00A10B75"/>
    <w:rsid w:val="00A15432"/>
    <w:rsid w:val="00A17F2D"/>
    <w:rsid w:val="00A2710F"/>
    <w:rsid w:val="00A40CD9"/>
    <w:rsid w:val="00A42694"/>
    <w:rsid w:val="00A436B5"/>
    <w:rsid w:val="00A5118E"/>
    <w:rsid w:val="00A65FA6"/>
    <w:rsid w:val="00A75139"/>
    <w:rsid w:val="00A82268"/>
    <w:rsid w:val="00A84119"/>
    <w:rsid w:val="00A84D97"/>
    <w:rsid w:val="00A975AA"/>
    <w:rsid w:val="00AA13D2"/>
    <w:rsid w:val="00AA145B"/>
    <w:rsid w:val="00AB361B"/>
    <w:rsid w:val="00AB70F6"/>
    <w:rsid w:val="00AD1E67"/>
    <w:rsid w:val="00AE19A3"/>
    <w:rsid w:val="00B17DF9"/>
    <w:rsid w:val="00B234E8"/>
    <w:rsid w:val="00B23E83"/>
    <w:rsid w:val="00B250DA"/>
    <w:rsid w:val="00B32D56"/>
    <w:rsid w:val="00B339D4"/>
    <w:rsid w:val="00B347DC"/>
    <w:rsid w:val="00B35C2E"/>
    <w:rsid w:val="00B37040"/>
    <w:rsid w:val="00B374E3"/>
    <w:rsid w:val="00B443F2"/>
    <w:rsid w:val="00B63845"/>
    <w:rsid w:val="00B85D98"/>
    <w:rsid w:val="00B96750"/>
    <w:rsid w:val="00BA6891"/>
    <w:rsid w:val="00BB1EA9"/>
    <w:rsid w:val="00BB76F0"/>
    <w:rsid w:val="00BD1373"/>
    <w:rsid w:val="00BD2E4A"/>
    <w:rsid w:val="00BD7C09"/>
    <w:rsid w:val="00BE52DA"/>
    <w:rsid w:val="00BE7266"/>
    <w:rsid w:val="00BF775E"/>
    <w:rsid w:val="00BF792F"/>
    <w:rsid w:val="00C04F4D"/>
    <w:rsid w:val="00C14E09"/>
    <w:rsid w:val="00C1743E"/>
    <w:rsid w:val="00C206E0"/>
    <w:rsid w:val="00C23F5A"/>
    <w:rsid w:val="00C27815"/>
    <w:rsid w:val="00C33598"/>
    <w:rsid w:val="00C33B89"/>
    <w:rsid w:val="00C42AB2"/>
    <w:rsid w:val="00C47101"/>
    <w:rsid w:val="00C5073E"/>
    <w:rsid w:val="00C53806"/>
    <w:rsid w:val="00C55AC2"/>
    <w:rsid w:val="00C57C10"/>
    <w:rsid w:val="00C75B82"/>
    <w:rsid w:val="00C832BC"/>
    <w:rsid w:val="00C96454"/>
    <w:rsid w:val="00CA6F29"/>
    <w:rsid w:val="00CB2BE6"/>
    <w:rsid w:val="00CB35C9"/>
    <w:rsid w:val="00CB41B8"/>
    <w:rsid w:val="00CB505F"/>
    <w:rsid w:val="00CC30B5"/>
    <w:rsid w:val="00CD6AEF"/>
    <w:rsid w:val="00CD6D2D"/>
    <w:rsid w:val="00D2449C"/>
    <w:rsid w:val="00D45A52"/>
    <w:rsid w:val="00D45D78"/>
    <w:rsid w:val="00D5372A"/>
    <w:rsid w:val="00D63566"/>
    <w:rsid w:val="00D65C28"/>
    <w:rsid w:val="00D741B9"/>
    <w:rsid w:val="00D85F0A"/>
    <w:rsid w:val="00D86153"/>
    <w:rsid w:val="00D8649A"/>
    <w:rsid w:val="00D9601C"/>
    <w:rsid w:val="00D97E2A"/>
    <w:rsid w:val="00DA04BE"/>
    <w:rsid w:val="00DA1B6D"/>
    <w:rsid w:val="00DB3AA1"/>
    <w:rsid w:val="00DB3B88"/>
    <w:rsid w:val="00DB4DE5"/>
    <w:rsid w:val="00DB5B4F"/>
    <w:rsid w:val="00DC75AB"/>
    <w:rsid w:val="00DD5BE1"/>
    <w:rsid w:val="00DE6183"/>
    <w:rsid w:val="00DF3114"/>
    <w:rsid w:val="00DF4FC7"/>
    <w:rsid w:val="00DF5F57"/>
    <w:rsid w:val="00DF7D69"/>
    <w:rsid w:val="00E00A9A"/>
    <w:rsid w:val="00E05CB4"/>
    <w:rsid w:val="00E06856"/>
    <w:rsid w:val="00E15372"/>
    <w:rsid w:val="00E27F66"/>
    <w:rsid w:val="00E30C4E"/>
    <w:rsid w:val="00E337B8"/>
    <w:rsid w:val="00E44BAE"/>
    <w:rsid w:val="00E47959"/>
    <w:rsid w:val="00E71EFA"/>
    <w:rsid w:val="00E85B66"/>
    <w:rsid w:val="00EA3931"/>
    <w:rsid w:val="00EC067A"/>
    <w:rsid w:val="00ED100E"/>
    <w:rsid w:val="00EE4F75"/>
    <w:rsid w:val="00EE78D8"/>
    <w:rsid w:val="00F04F26"/>
    <w:rsid w:val="00F07B3C"/>
    <w:rsid w:val="00F2069A"/>
    <w:rsid w:val="00F31B75"/>
    <w:rsid w:val="00F31FB7"/>
    <w:rsid w:val="00F41A04"/>
    <w:rsid w:val="00F44E50"/>
    <w:rsid w:val="00F557B4"/>
    <w:rsid w:val="00F771FA"/>
    <w:rsid w:val="00F833A0"/>
    <w:rsid w:val="00F84A75"/>
    <w:rsid w:val="00F96041"/>
    <w:rsid w:val="00FA215A"/>
    <w:rsid w:val="00FA4304"/>
    <w:rsid w:val="00FB1A32"/>
    <w:rsid w:val="00FB4BA7"/>
    <w:rsid w:val="00FC2606"/>
    <w:rsid w:val="00FC6215"/>
    <w:rsid w:val="00FE0D08"/>
    <w:rsid w:val="00FE3435"/>
    <w:rsid w:val="00FE4AB0"/>
    <w:rsid w:val="00FE4C1B"/>
    <w:rsid w:val="00FE5389"/>
    <w:rsid w:val="00FF6448"/>
    <w:rsid w:val="14D93985"/>
    <w:rsid w:val="331024DF"/>
    <w:rsid w:val="414832BB"/>
    <w:rsid w:val="58DC2A7F"/>
    <w:rsid w:val="5DE34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numPr>
        <w:ilvl w:val="0"/>
        <w:numId w:val="1"/>
      </w:numPr>
      <w:spacing w:before="120" w:after="120" w:line="360" w:lineRule="auto"/>
      <w:jc w:val="center"/>
      <w:outlineLvl w:val="0"/>
    </w:pPr>
    <w:rPr>
      <w:rFonts w:ascii="黑体" w:eastAsia="黑体"/>
      <w:b/>
      <w:kern w:val="44"/>
      <w:sz w:val="32"/>
      <w:szCs w:val="20"/>
    </w:rPr>
  </w:style>
  <w:style w:type="paragraph" w:styleId="3">
    <w:name w:val="heading 2"/>
    <w:basedOn w:val="1"/>
    <w:next w:val="1"/>
    <w:link w:val="32"/>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4"/>
    <w:qFormat/>
    <w:uiPriority w:val="0"/>
    <w:pPr>
      <w:numPr>
        <w:ilvl w:val="2"/>
        <w:numId w:val="1"/>
      </w:numPr>
      <w:spacing w:line="300" w:lineRule="auto"/>
      <w:outlineLvl w:val="2"/>
    </w:pPr>
    <w:rPr>
      <w:rFonts w:ascii="Arial" w:hAnsi="Arial" w:eastAsia="仿宋_GB2312"/>
      <w:b/>
      <w:sz w:val="24"/>
      <w:szCs w:val="20"/>
    </w:rPr>
  </w:style>
  <w:style w:type="paragraph" w:styleId="5">
    <w:name w:val="heading 4"/>
    <w:basedOn w:val="1"/>
    <w:next w:val="1"/>
    <w:link w:val="36"/>
    <w:qFormat/>
    <w:uiPriority w:val="0"/>
    <w:pPr>
      <w:keepNext/>
      <w:keepLines/>
      <w:numPr>
        <w:ilvl w:val="3"/>
        <w:numId w:val="1"/>
      </w:numPr>
      <w:spacing w:line="360" w:lineRule="auto"/>
      <w:outlineLvl w:val="3"/>
    </w:pPr>
    <w:rPr>
      <w:rFonts w:ascii="Arial" w:hAnsi="Arial" w:eastAsia="仿宋_GB2312"/>
      <w:sz w:val="24"/>
      <w:szCs w:val="20"/>
    </w:rPr>
  </w:style>
  <w:style w:type="paragraph" w:styleId="6">
    <w:name w:val="heading 5"/>
    <w:basedOn w:val="1"/>
    <w:next w:val="1"/>
    <w:link w:val="24"/>
    <w:qFormat/>
    <w:uiPriority w:val="0"/>
    <w:pPr>
      <w:numPr>
        <w:ilvl w:val="4"/>
        <w:numId w:val="1"/>
      </w:numPr>
      <w:spacing w:line="360" w:lineRule="auto"/>
      <w:outlineLvl w:val="4"/>
    </w:pPr>
    <w:rPr>
      <w:rFonts w:ascii="Arial" w:hAnsi="Arial" w:eastAsia="仿宋_GB2312"/>
      <w:sz w:val="24"/>
      <w:szCs w:val="20"/>
    </w:rPr>
  </w:style>
  <w:style w:type="paragraph" w:styleId="7">
    <w:name w:val="heading 6"/>
    <w:basedOn w:val="1"/>
    <w:next w:val="1"/>
    <w:link w:val="37"/>
    <w:qFormat/>
    <w:uiPriority w:val="0"/>
    <w:pPr>
      <w:numPr>
        <w:ilvl w:val="5"/>
        <w:numId w:val="1"/>
      </w:numPr>
      <w:spacing w:line="300" w:lineRule="auto"/>
      <w:outlineLvl w:val="5"/>
    </w:pPr>
    <w:rPr>
      <w:rFonts w:ascii="Arial" w:hAnsi="Arial" w:eastAsia="仿宋_GB2312"/>
      <w:sz w:val="24"/>
      <w:szCs w:val="20"/>
    </w:rPr>
  </w:style>
  <w:style w:type="paragraph" w:styleId="8">
    <w:name w:val="heading 7"/>
    <w:basedOn w:val="1"/>
    <w:next w:val="9"/>
    <w:link w:val="25"/>
    <w:qFormat/>
    <w:uiPriority w:val="0"/>
    <w:pPr>
      <w:keepNext/>
      <w:keepLines/>
      <w:numPr>
        <w:ilvl w:val="6"/>
        <w:numId w:val="1"/>
      </w:numPr>
      <w:spacing w:line="360" w:lineRule="auto"/>
      <w:outlineLvl w:val="6"/>
    </w:pPr>
    <w:rPr>
      <w:rFonts w:ascii="仿宋_GB2312" w:eastAsia="仿宋_GB2312"/>
      <w:sz w:val="24"/>
      <w:szCs w:val="20"/>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9">
    <w:name w:val="Normal Indent"/>
    <w:basedOn w:val="1"/>
    <w:link w:val="31"/>
    <w:qFormat/>
    <w:uiPriority w:val="99"/>
    <w:pPr>
      <w:ind w:firstLine="420" w:firstLineChars="200"/>
    </w:pPr>
    <w:rPr>
      <w:rFonts w:ascii="Calibri" w:hAnsi="Calibri"/>
    </w:rPr>
  </w:style>
  <w:style w:type="paragraph" w:styleId="10">
    <w:name w:val="annotation text"/>
    <w:basedOn w:val="1"/>
    <w:link w:val="35"/>
    <w:unhideWhenUsed/>
    <w:qFormat/>
    <w:uiPriority w:val="99"/>
    <w:pPr>
      <w:jc w:val="left"/>
    </w:pPr>
  </w:style>
  <w:style w:type="paragraph" w:styleId="11">
    <w:name w:val="Body Text Indent"/>
    <w:basedOn w:val="1"/>
    <w:link w:val="29"/>
    <w:qFormat/>
    <w:uiPriority w:val="0"/>
    <w:pPr>
      <w:spacing w:line="360" w:lineRule="auto"/>
      <w:ind w:firstLine="359" w:firstLineChars="171"/>
    </w:pPr>
  </w:style>
  <w:style w:type="paragraph" w:styleId="12">
    <w:name w:val="Body Text Indent 2"/>
    <w:basedOn w:val="1"/>
    <w:link w:val="27"/>
    <w:qFormat/>
    <w:uiPriority w:val="0"/>
    <w:pPr>
      <w:spacing w:line="360" w:lineRule="auto"/>
      <w:ind w:firstLine="480"/>
      <w:outlineLvl w:val="0"/>
    </w:pPr>
    <w:rPr>
      <w:rFonts w:ascii="仿宋_GB2312" w:hAnsi="Calibri" w:eastAsia="仿宋_GB2312"/>
      <w:sz w:val="24"/>
      <w:szCs w:val="20"/>
    </w:rPr>
  </w:style>
  <w:style w:type="paragraph" w:styleId="13">
    <w:name w:val="Balloon Text"/>
    <w:basedOn w:val="1"/>
    <w:link w:val="33"/>
    <w:unhideWhenUsed/>
    <w:qFormat/>
    <w:uiPriority w:val="99"/>
    <w:rPr>
      <w:sz w:val="18"/>
      <w:szCs w:val="18"/>
    </w:rPr>
  </w:style>
  <w:style w:type="paragraph" w:styleId="14">
    <w:name w:val="footer"/>
    <w:basedOn w:val="1"/>
    <w:link w:val="28"/>
    <w:unhideWhenUsed/>
    <w:qFormat/>
    <w:uiPriority w:val="99"/>
    <w:pPr>
      <w:tabs>
        <w:tab w:val="center" w:pos="4153"/>
        <w:tab w:val="right" w:pos="8306"/>
      </w:tabs>
      <w:snapToGrid w:val="0"/>
      <w:jc w:val="left"/>
    </w:pPr>
    <w:rPr>
      <w:sz w:val="18"/>
      <w:szCs w:val="18"/>
    </w:rPr>
  </w:style>
  <w:style w:type="paragraph" w:styleId="15">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2"/>
    <w:basedOn w:val="1"/>
    <w:next w:val="1"/>
    <w:unhideWhenUsed/>
    <w:qFormat/>
    <w:uiPriority w:val="39"/>
    <w:pPr>
      <w:ind w:left="420" w:leftChars="200"/>
    </w:pPr>
  </w:style>
  <w:style w:type="paragraph" w:styleId="18">
    <w:name w:val="annotation subject"/>
    <w:basedOn w:val="10"/>
    <w:next w:val="10"/>
    <w:link w:val="23"/>
    <w:unhideWhenUsed/>
    <w:qFormat/>
    <w:uiPriority w:val="99"/>
    <w:rPr>
      <w:b/>
      <w:bCs/>
    </w:rPr>
  </w:style>
  <w:style w:type="character" w:styleId="21">
    <w:name w:val="Hyperlink"/>
    <w:qFormat/>
    <w:uiPriority w:val="99"/>
    <w:rPr>
      <w:color w:val="0000FF"/>
      <w:u w:val="single"/>
    </w:rPr>
  </w:style>
  <w:style w:type="character" w:styleId="22">
    <w:name w:val="annotation reference"/>
    <w:unhideWhenUsed/>
    <w:qFormat/>
    <w:uiPriority w:val="99"/>
    <w:rPr>
      <w:sz w:val="21"/>
      <w:szCs w:val="21"/>
    </w:rPr>
  </w:style>
  <w:style w:type="character" w:customStyle="1" w:styleId="23">
    <w:name w:val="批注主题 字符"/>
    <w:link w:val="18"/>
    <w:semiHidden/>
    <w:qFormat/>
    <w:uiPriority w:val="99"/>
    <w:rPr>
      <w:rFonts w:ascii="Times New Roman" w:hAnsi="Times New Roman" w:eastAsia="宋体" w:cs="Times New Roman"/>
      <w:b/>
      <w:bCs/>
      <w:szCs w:val="24"/>
    </w:rPr>
  </w:style>
  <w:style w:type="character" w:customStyle="1" w:styleId="24">
    <w:name w:val="标题 5 字符"/>
    <w:link w:val="6"/>
    <w:qFormat/>
    <w:uiPriority w:val="0"/>
    <w:rPr>
      <w:rFonts w:ascii="Arial" w:hAnsi="Arial" w:eastAsia="仿宋_GB2312" w:cs="Times New Roman"/>
      <w:sz w:val="24"/>
      <w:szCs w:val="20"/>
    </w:rPr>
  </w:style>
  <w:style w:type="character" w:customStyle="1" w:styleId="25">
    <w:name w:val="标题 7 字符"/>
    <w:link w:val="8"/>
    <w:qFormat/>
    <w:uiPriority w:val="0"/>
    <w:rPr>
      <w:rFonts w:ascii="仿宋_GB2312" w:hAnsi="Times New Roman" w:eastAsia="仿宋_GB2312" w:cs="Times New Roman"/>
      <w:sz w:val="24"/>
      <w:szCs w:val="20"/>
    </w:rPr>
  </w:style>
  <w:style w:type="character" w:customStyle="1" w:styleId="26">
    <w:name w:val="页眉 字符"/>
    <w:link w:val="15"/>
    <w:qFormat/>
    <w:uiPriority w:val="99"/>
    <w:rPr>
      <w:sz w:val="18"/>
      <w:szCs w:val="18"/>
    </w:rPr>
  </w:style>
  <w:style w:type="character" w:customStyle="1" w:styleId="27">
    <w:name w:val="正文文本缩进 2 字符"/>
    <w:link w:val="12"/>
    <w:qFormat/>
    <w:uiPriority w:val="0"/>
    <w:rPr>
      <w:rFonts w:ascii="仿宋_GB2312" w:hAnsi="Calibri" w:eastAsia="仿宋_GB2312" w:cs="Times New Roman"/>
      <w:sz w:val="24"/>
      <w:szCs w:val="20"/>
    </w:rPr>
  </w:style>
  <w:style w:type="character" w:customStyle="1" w:styleId="28">
    <w:name w:val="页脚 字符"/>
    <w:link w:val="14"/>
    <w:qFormat/>
    <w:uiPriority w:val="99"/>
    <w:rPr>
      <w:sz w:val="18"/>
      <w:szCs w:val="18"/>
    </w:rPr>
  </w:style>
  <w:style w:type="character" w:customStyle="1" w:styleId="29">
    <w:name w:val="正文文本缩进 字符"/>
    <w:link w:val="11"/>
    <w:qFormat/>
    <w:uiPriority w:val="0"/>
    <w:rPr>
      <w:rFonts w:ascii="Times New Roman" w:hAnsi="Times New Roman" w:eastAsia="宋体" w:cs="Times New Roman"/>
      <w:szCs w:val="24"/>
    </w:rPr>
  </w:style>
  <w:style w:type="character" w:customStyle="1" w:styleId="30">
    <w:name w:val="标题 1 字符"/>
    <w:link w:val="2"/>
    <w:qFormat/>
    <w:uiPriority w:val="0"/>
    <w:rPr>
      <w:rFonts w:ascii="黑体" w:hAnsi="Times New Roman" w:eastAsia="黑体" w:cs="Times New Roman"/>
      <w:b/>
      <w:kern w:val="44"/>
      <w:sz w:val="32"/>
      <w:szCs w:val="20"/>
    </w:rPr>
  </w:style>
  <w:style w:type="character" w:customStyle="1" w:styleId="31">
    <w:name w:val="正文缩进 字符"/>
    <w:link w:val="9"/>
    <w:qFormat/>
    <w:uiPriority w:val="99"/>
    <w:rPr>
      <w:rFonts w:ascii="Calibri" w:hAnsi="Calibri" w:eastAsia="宋体" w:cs="Times New Roman"/>
      <w:szCs w:val="24"/>
    </w:rPr>
  </w:style>
  <w:style w:type="character" w:customStyle="1" w:styleId="32">
    <w:name w:val="标题 2 字符"/>
    <w:link w:val="3"/>
    <w:qFormat/>
    <w:uiPriority w:val="0"/>
    <w:rPr>
      <w:rFonts w:ascii="Arial" w:hAnsi="Arial" w:eastAsia="黑体" w:cs="Times New Roman"/>
      <w:b/>
      <w:bCs/>
      <w:sz w:val="32"/>
      <w:szCs w:val="32"/>
    </w:rPr>
  </w:style>
  <w:style w:type="character" w:customStyle="1" w:styleId="33">
    <w:name w:val="批注框文本 字符"/>
    <w:link w:val="13"/>
    <w:semiHidden/>
    <w:qFormat/>
    <w:uiPriority w:val="99"/>
    <w:rPr>
      <w:rFonts w:ascii="Times New Roman" w:hAnsi="Times New Roman" w:eastAsia="宋体" w:cs="Times New Roman"/>
      <w:sz w:val="18"/>
      <w:szCs w:val="18"/>
    </w:rPr>
  </w:style>
  <w:style w:type="character" w:customStyle="1" w:styleId="34">
    <w:name w:val="标题 3 字符"/>
    <w:link w:val="4"/>
    <w:qFormat/>
    <w:uiPriority w:val="0"/>
    <w:rPr>
      <w:rFonts w:ascii="Arial" w:hAnsi="Arial" w:eastAsia="仿宋_GB2312" w:cs="Times New Roman"/>
      <w:b/>
      <w:sz w:val="24"/>
      <w:szCs w:val="20"/>
    </w:rPr>
  </w:style>
  <w:style w:type="character" w:customStyle="1" w:styleId="35">
    <w:name w:val="批注文字 字符"/>
    <w:link w:val="10"/>
    <w:semiHidden/>
    <w:qFormat/>
    <w:uiPriority w:val="99"/>
    <w:rPr>
      <w:rFonts w:ascii="Times New Roman" w:hAnsi="Times New Roman" w:eastAsia="宋体" w:cs="Times New Roman"/>
      <w:szCs w:val="24"/>
    </w:rPr>
  </w:style>
  <w:style w:type="character" w:customStyle="1" w:styleId="36">
    <w:name w:val="标题 4 字符"/>
    <w:link w:val="5"/>
    <w:qFormat/>
    <w:uiPriority w:val="0"/>
    <w:rPr>
      <w:rFonts w:ascii="Arial" w:hAnsi="Arial" w:eastAsia="仿宋_GB2312" w:cs="Times New Roman"/>
      <w:sz w:val="24"/>
      <w:szCs w:val="20"/>
    </w:rPr>
  </w:style>
  <w:style w:type="character" w:customStyle="1" w:styleId="37">
    <w:name w:val="标题 6 字符"/>
    <w:link w:val="7"/>
    <w:qFormat/>
    <w:uiPriority w:val="0"/>
    <w:rPr>
      <w:rFonts w:ascii="Arial" w:hAnsi="Arial" w:eastAsia="仿宋_GB2312" w:cs="Times New Roman"/>
      <w:sz w:val="24"/>
      <w:szCs w:val="20"/>
    </w:rPr>
  </w:style>
  <w:style w:type="paragraph" w:customStyle="1" w:styleId="38">
    <w:name w:val="正文正文"/>
    <w:basedOn w:val="1"/>
    <w:qFormat/>
    <w:uiPriority w:val="99"/>
    <w:pPr>
      <w:spacing w:after="25" w:afterLines="25" w:line="360" w:lineRule="auto"/>
      <w:ind w:firstLine="200" w:firstLineChars="200"/>
    </w:pPr>
    <w:rPr>
      <w:sz w:val="24"/>
    </w:rPr>
  </w:style>
  <w:style w:type="paragraph" w:customStyle="1" w:styleId="39">
    <w:name w:val="Revision"/>
    <w:semiHidden/>
    <w:qFormat/>
    <w:uiPriority w:val="99"/>
    <w:rPr>
      <w:rFonts w:ascii="Times New Roman" w:hAnsi="Times New Roman" w:eastAsia="宋体" w:cs="Times New Roman"/>
      <w:kern w:val="2"/>
      <w:sz w:val="21"/>
      <w:szCs w:val="24"/>
      <w:lang w:val="en-US" w:eastAsia="zh-CN" w:bidi="ar-SA"/>
    </w:rPr>
  </w:style>
  <w:style w:type="character" w:customStyle="1" w:styleId="40">
    <w:name w:val="read"/>
    <w:basedOn w:val="2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numbering" Target="numbering.xml"/><Relationship Id="rId25" Type="http://schemas.openxmlformats.org/officeDocument/2006/relationships/image" Target="media/image1.jpeg"/><Relationship Id="rId24" Type="http://schemas.openxmlformats.org/officeDocument/2006/relationships/theme" Target="theme/theme1.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1D8FC-8BDA-413D-845D-875CAA1D7ED9}">
  <ds:schemaRefs/>
</ds:datastoreItem>
</file>

<file path=docProps/app.xml><?xml version="1.0" encoding="utf-8"?>
<Properties xmlns="http://schemas.openxmlformats.org/officeDocument/2006/extended-properties" xmlns:vt="http://schemas.openxmlformats.org/officeDocument/2006/docPropsVTypes">
  <Template>Normal.dotm</Template>
  <Pages>44</Pages>
  <Words>4436</Words>
  <Characters>25287</Characters>
  <Lines>210</Lines>
  <Paragraphs>59</Paragraphs>
  <TotalTime>43</TotalTime>
  <ScaleCrop>false</ScaleCrop>
  <LinksUpToDate>false</LinksUpToDate>
  <CharactersWithSpaces>29664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2019-10-09T02:14:00Z</dcterms:created>
  <dc:creator>Administrator</dc:creator>
  <cp:lastModifiedBy>xiaolw1</cp:lastModifiedBy>
  <cp:lastPrinted>2019-10-14T01:50:00Z</cp:lastPrinted>
  <dcterms:modified xsi:type="dcterms:W3CDTF">2026-08-04T07:47:14Z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4A2882C38FB54C06BE5D0617BD921318_12</vt:lpwstr>
  </property>
</Properties>
</file>