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81B684"/>
    <w:p w14:paraId="098B07DB">
      <w:pPr>
        <w:jc w:val="center"/>
        <w:rPr>
          <w:rFonts w:hint="eastAsia" w:ascii="宋体" w:hAnsi="宋体" w:eastAsia="宋体"/>
          <w:b/>
          <w:sz w:val="30"/>
        </w:rPr>
      </w:pPr>
      <w:r>
        <w:rPr>
          <w:rFonts w:hint="eastAsia" w:ascii="宋体" w:hAnsi="宋体" w:eastAsia="宋体"/>
          <w:b/>
          <w:sz w:val="30"/>
        </w:rPr>
        <w:t>关于博时富悦纯债债券型证券投资基金基金合同终止的公告</w:t>
      </w:r>
    </w:p>
    <w:p w14:paraId="6B1B001E">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w:t>
      </w:r>
      <w:r>
        <w:rPr>
          <w:rFonts w:hint="eastAsia" w:ascii="宋体" w:hAnsi="宋体" w:eastAsia="宋体"/>
          <w:b/>
          <w:sz w:val="24"/>
          <w:lang w:val="en-US" w:eastAsia="zh-CN"/>
        </w:rPr>
        <w:t>8</w:t>
      </w:r>
      <w:r>
        <w:rPr>
          <w:rFonts w:ascii="宋体" w:hAnsi="宋体" w:eastAsia="宋体"/>
          <w:b/>
          <w:sz w:val="24"/>
        </w:rPr>
        <w:t>月</w:t>
      </w:r>
      <w:r>
        <w:rPr>
          <w:rFonts w:hint="eastAsia" w:ascii="宋体" w:hAnsi="宋体" w:eastAsia="宋体"/>
          <w:b/>
          <w:sz w:val="24"/>
          <w:lang w:val="en-US" w:eastAsia="zh-CN"/>
        </w:rPr>
        <w:t>29</w:t>
      </w:r>
      <w:r>
        <w:rPr>
          <w:rFonts w:ascii="宋体" w:hAnsi="宋体" w:eastAsia="宋体"/>
          <w:b/>
          <w:sz w:val="24"/>
        </w:rPr>
        <w:t>日</w:t>
      </w:r>
    </w:p>
    <w:p w14:paraId="471DD927">
      <w:pPr>
        <w:jc w:val="center"/>
        <w:rPr>
          <w:rFonts w:ascii="宋体" w:hAnsi="宋体" w:eastAsia="宋体"/>
          <w:b/>
          <w:sz w:val="24"/>
        </w:rPr>
      </w:pPr>
    </w:p>
    <w:p w14:paraId="6D90E92E">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根据《中华人民共和国证券投资基金法》、《公开募集证券投资基金运作管理办法》、《博时富悦纯债债券型证券投资基金基金合同》的有关规定，博时富悦纯债债券型证券投资基金（以下简称“本基金”）出现了基金合同终止事由。本基金管理人博时基金管理有限公司（以下简称“本公司”）已依法对基金财产进行清算。现将相关事项公告如下： </w:t>
      </w:r>
    </w:p>
    <w:p w14:paraId="5CFA231E">
      <w:pPr>
        <w:pStyle w:val="2"/>
        <w:rPr>
          <w:rFonts w:hint="eastAsia" w:ascii="宋体" w:hAnsi="宋体" w:eastAsia="宋体"/>
          <w:sz w:val="21"/>
        </w:rPr>
      </w:pPr>
      <w:r>
        <w:rPr>
          <w:rFonts w:hint="eastAsia" w:ascii="宋体" w:hAnsi="宋体" w:eastAsia="宋体"/>
          <w:sz w:val="21"/>
        </w:rPr>
        <w:t>一、本基金基本信息</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4C5E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9A170B9">
            <w:pPr>
              <w:rPr>
                <w:rFonts w:ascii="宋体" w:hAnsi="宋体" w:eastAsia="宋体"/>
              </w:rPr>
            </w:pPr>
            <w:r>
              <w:rPr>
                <w:rFonts w:hint="eastAsia" w:ascii="宋体" w:hAnsi="宋体" w:eastAsia="宋体"/>
              </w:rPr>
              <w:t>基金名称</w:t>
            </w:r>
          </w:p>
        </w:tc>
        <w:tc>
          <w:tcPr>
            <w:tcW w:w="5682" w:type="dxa"/>
            <w:gridSpan w:val="2"/>
            <w:vAlign w:val="center"/>
          </w:tcPr>
          <w:p w14:paraId="7FCD0755">
            <w:pPr>
              <w:rPr>
                <w:rFonts w:ascii="宋体" w:hAnsi="宋体" w:eastAsia="宋体"/>
              </w:rPr>
            </w:pPr>
            <w:r>
              <w:rPr>
                <w:rFonts w:hint="eastAsia" w:ascii="宋体" w:hAnsi="宋体" w:eastAsia="宋体"/>
              </w:rPr>
              <w:t>博时富悦纯债债券型证券投资基金</w:t>
            </w:r>
          </w:p>
        </w:tc>
      </w:tr>
      <w:tr w14:paraId="700F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E3EAA45">
            <w:pPr>
              <w:rPr>
                <w:rFonts w:ascii="宋体" w:hAnsi="宋体" w:eastAsia="宋体"/>
              </w:rPr>
            </w:pPr>
            <w:r>
              <w:rPr>
                <w:rFonts w:hint="eastAsia" w:ascii="宋体" w:hAnsi="宋体" w:eastAsia="宋体"/>
              </w:rPr>
              <w:t>基金简称</w:t>
            </w:r>
          </w:p>
        </w:tc>
        <w:tc>
          <w:tcPr>
            <w:tcW w:w="5682" w:type="dxa"/>
            <w:gridSpan w:val="2"/>
            <w:vAlign w:val="center"/>
          </w:tcPr>
          <w:p w14:paraId="0D649E31">
            <w:pPr>
              <w:rPr>
                <w:rFonts w:ascii="宋体" w:hAnsi="宋体" w:eastAsia="宋体"/>
              </w:rPr>
            </w:pPr>
            <w:r>
              <w:rPr>
                <w:rFonts w:hint="eastAsia" w:ascii="宋体" w:hAnsi="宋体" w:eastAsia="宋体"/>
              </w:rPr>
              <w:t>博时富悦纯债</w:t>
            </w:r>
          </w:p>
        </w:tc>
      </w:tr>
      <w:tr w14:paraId="0E372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B0A3757">
            <w:pPr>
              <w:rPr>
                <w:rFonts w:ascii="宋体" w:hAnsi="宋体" w:eastAsia="宋体"/>
              </w:rPr>
            </w:pPr>
            <w:r>
              <w:rPr>
                <w:rFonts w:hint="eastAsia" w:ascii="宋体" w:hAnsi="宋体" w:eastAsia="宋体"/>
              </w:rPr>
              <w:t>基金主代码</w:t>
            </w:r>
          </w:p>
        </w:tc>
        <w:tc>
          <w:tcPr>
            <w:tcW w:w="5682" w:type="dxa"/>
            <w:gridSpan w:val="2"/>
            <w:vAlign w:val="center"/>
          </w:tcPr>
          <w:p w14:paraId="1C18E6DF">
            <w:pPr>
              <w:rPr>
                <w:rFonts w:ascii="宋体" w:hAnsi="宋体" w:eastAsia="宋体"/>
              </w:rPr>
            </w:pPr>
            <w:r>
              <w:rPr>
                <w:rFonts w:ascii="宋体" w:hAnsi="宋体" w:eastAsia="宋体"/>
              </w:rPr>
              <w:t>007985</w:t>
            </w:r>
          </w:p>
        </w:tc>
      </w:tr>
      <w:tr w14:paraId="1B666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2461B57">
            <w:pPr>
              <w:rPr>
                <w:rFonts w:ascii="宋体" w:hAnsi="宋体" w:eastAsia="宋体"/>
              </w:rPr>
            </w:pPr>
            <w:r>
              <w:rPr>
                <w:rFonts w:hint="eastAsia" w:ascii="宋体" w:hAnsi="宋体" w:eastAsia="宋体"/>
              </w:rPr>
              <w:t>基金运作方式</w:t>
            </w:r>
          </w:p>
        </w:tc>
        <w:tc>
          <w:tcPr>
            <w:tcW w:w="5682" w:type="dxa"/>
            <w:gridSpan w:val="2"/>
            <w:vAlign w:val="center"/>
          </w:tcPr>
          <w:p w14:paraId="19F79031">
            <w:pPr>
              <w:rPr>
                <w:rFonts w:ascii="宋体" w:hAnsi="宋体" w:eastAsia="宋体"/>
              </w:rPr>
            </w:pPr>
            <w:r>
              <w:rPr>
                <w:rFonts w:hint="eastAsia" w:ascii="宋体" w:hAnsi="宋体" w:eastAsia="宋体"/>
              </w:rPr>
              <w:t>契约型开放式</w:t>
            </w:r>
          </w:p>
        </w:tc>
      </w:tr>
      <w:tr w14:paraId="7993C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CB0B3A1">
            <w:pPr>
              <w:rPr>
                <w:rFonts w:ascii="宋体" w:hAnsi="宋体" w:eastAsia="宋体"/>
              </w:rPr>
            </w:pPr>
            <w:r>
              <w:rPr>
                <w:rFonts w:hint="eastAsia" w:ascii="宋体" w:hAnsi="宋体" w:eastAsia="宋体"/>
              </w:rPr>
              <w:t>基金合同生效日</w:t>
            </w:r>
          </w:p>
        </w:tc>
        <w:tc>
          <w:tcPr>
            <w:tcW w:w="5682" w:type="dxa"/>
            <w:gridSpan w:val="2"/>
            <w:vAlign w:val="center"/>
          </w:tcPr>
          <w:p w14:paraId="6A843A1B">
            <w:pPr>
              <w:rPr>
                <w:rFonts w:ascii="宋体" w:hAnsi="宋体" w:eastAsia="宋体"/>
              </w:rPr>
            </w:pPr>
            <w:r>
              <w:rPr>
                <w:rFonts w:ascii="宋体" w:hAnsi="宋体" w:eastAsia="宋体"/>
              </w:rPr>
              <w:t>2019年11月28日</w:t>
            </w:r>
          </w:p>
        </w:tc>
      </w:tr>
      <w:tr w14:paraId="4507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0AD7A79E">
            <w:pPr>
              <w:rPr>
                <w:rFonts w:ascii="宋体" w:hAnsi="宋体" w:eastAsia="宋体"/>
              </w:rPr>
            </w:pPr>
            <w:r>
              <w:rPr>
                <w:rFonts w:hint="eastAsia" w:ascii="宋体" w:hAnsi="宋体" w:eastAsia="宋体"/>
              </w:rPr>
              <w:t>基金管理人名称</w:t>
            </w:r>
          </w:p>
        </w:tc>
        <w:tc>
          <w:tcPr>
            <w:tcW w:w="5682" w:type="dxa"/>
            <w:gridSpan w:val="2"/>
            <w:vAlign w:val="center"/>
          </w:tcPr>
          <w:p w14:paraId="5FBA8C02">
            <w:pPr>
              <w:rPr>
                <w:rFonts w:ascii="宋体" w:hAnsi="宋体" w:eastAsia="宋体"/>
              </w:rPr>
            </w:pPr>
            <w:r>
              <w:rPr>
                <w:rFonts w:hint="eastAsia" w:ascii="宋体" w:hAnsi="宋体" w:eastAsia="宋体"/>
              </w:rPr>
              <w:t>博时基金管理有限公司</w:t>
            </w:r>
          </w:p>
        </w:tc>
      </w:tr>
      <w:tr w14:paraId="5A2B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6974A71">
            <w:pPr>
              <w:rPr>
                <w:rFonts w:ascii="宋体" w:hAnsi="宋体" w:eastAsia="宋体"/>
              </w:rPr>
            </w:pPr>
            <w:r>
              <w:rPr>
                <w:rFonts w:hint="eastAsia" w:ascii="宋体" w:hAnsi="宋体" w:eastAsia="宋体"/>
              </w:rPr>
              <w:t>基金托管人名称</w:t>
            </w:r>
          </w:p>
        </w:tc>
        <w:tc>
          <w:tcPr>
            <w:tcW w:w="5682" w:type="dxa"/>
            <w:gridSpan w:val="2"/>
            <w:vAlign w:val="center"/>
          </w:tcPr>
          <w:p w14:paraId="4622CD7D">
            <w:pPr>
              <w:rPr>
                <w:rFonts w:ascii="宋体" w:hAnsi="宋体" w:eastAsia="宋体"/>
              </w:rPr>
            </w:pPr>
            <w:r>
              <w:rPr>
                <w:rFonts w:hint="eastAsia" w:ascii="宋体" w:hAnsi="宋体" w:eastAsia="宋体"/>
              </w:rPr>
              <w:t>中国民生银行股份有限公司</w:t>
            </w:r>
          </w:p>
        </w:tc>
      </w:tr>
      <w:tr w14:paraId="2E728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vAlign w:val="center"/>
          </w:tcPr>
          <w:p w14:paraId="4E00B8FD">
            <w:pPr>
              <w:rPr>
                <w:rFonts w:ascii="宋体" w:hAnsi="宋体" w:eastAsia="宋体"/>
              </w:rPr>
            </w:pPr>
            <w:r>
              <w:rPr>
                <w:rFonts w:hint="eastAsia" w:ascii="宋体" w:hAnsi="宋体" w:eastAsia="宋体"/>
              </w:rPr>
              <w:t>基金注册登记机构名称</w:t>
            </w:r>
          </w:p>
        </w:tc>
        <w:tc>
          <w:tcPr>
            <w:tcW w:w="5682" w:type="dxa"/>
            <w:gridSpan w:val="2"/>
            <w:vAlign w:val="center"/>
          </w:tcPr>
          <w:p w14:paraId="600EB721">
            <w:pPr>
              <w:rPr>
                <w:rFonts w:ascii="宋体" w:hAnsi="宋体" w:eastAsia="宋体"/>
              </w:rPr>
            </w:pPr>
            <w:r>
              <w:rPr>
                <w:rFonts w:hint="eastAsia" w:ascii="宋体" w:hAnsi="宋体" w:eastAsia="宋体"/>
              </w:rPr>
              <w:t>博时基金管理有限公司</w:t>
            </w:r>
          </w:p>
        </w:tc>
      </w:tr>
      <w:tr w14:paraId="61B9E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8170427">
            <w:pPr>
              <w:rPr>
                <w:rFonts w:ascii="宋体" w:hAnsi="宋体" w:eastAsia="宋体"/>
              </w:rPr>
            </w:pPr>
            <w:r>
              <w:rPr>
                <w:rFonts w:hint="eastAsia" w:ascii="宋体" w:hAnsi="宋体" w:eastAsia="宋体"/>
              </w:rPr>
              <w:t>公告依据</w:t>
            </w:r>
          </w:p>
        </w:tc>
        <w:tc>
          <w:tcPr>
            <w:tcW w:w="5682" w:type="dxa"/>
            <w:gridSpan w:val="2"/>
            <w:vAlign w:val="center"/>
          </w:tcPr>
          <w:p w14:paraId="3CB408E4">
            <w:pPr>
              <w:rPr>
                <w:rFonts w:ascii="宋体" w:hAnsi="宋体" w:eastAsia="宋体"/>
              </w:rPr>
            </w:pPr>
            <w:r>
              <w:rPr>
                <w:rFonts w:hint="eastAsia" w:ascii="宋体" w:hAnsi="宋体" w:eastAsia="宋体"/>
              </w:rPr>
              <w:t>《中华人民共和国证券投资基金法》、《公开募集证券投资基金运作管理办法》等法律法规以及《博时富悦纯债债券型证券投资基金基金合同》、《博时富悦纯债债券型证券投资基金招募说明书》等</w:t>
            </w:r>
          </w:p>
        </w:tc>
      </w:tr>
      <w:tr w14:paraId="7FE6D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78D5A87">
            <w:pPr>
              <w:rPr>
                <w:rFonts w:ascii="宋体" w:hAnsi="宋体" w:eastAsia="宋体"/>
              </w:rPr>
            </w:pPr>
            <w:r>
              <w:rPr>
                <w:rFonts w:hint="eastAsia" w:ascii="宋体" w:hAnsi="宋体" w:eastAsia="宋体"/>
              </w:rPr>
              <w:t>下属类别基金的基金简称</w:t>
            </w:r>
          </w:p>
        </w:tc>
        <w:tc>
          <w:tcPr>
            <w:tcW w:w="2841" w:type="dxa"/>
            <w:vAlign w:val="center"/>
          </w:tcPr>
          <w:p w14:paraId="5D9FBCF1">
            <w:pPr>
              <w:rPr>
                <w:rFonts w:ascii="宋体" w:hAnsi="宋体" w:eastAsia="宋体"/>
              </w:rPr>
            </w:pPr>
            <w:r>
              <w:rPr>
                <w:rFonts w:hint="eastAsia" w:ascii="宋体" w:hAnsi="宋体" w:eastAsia="宋体"/>
              </w:rPr>
              <w:t>博时富悦纯债</w:t>
            </w:r>
            <w:r>
              <w:rPr>
                <w:rFonts w:ascii="宋体" w:hAnsi="宋体" w:eastAsia="宋体"/>
              </w:rPr>
              <w:t>A</w:t>
            </w:r>
          </w:p>
        </w:tc>
        <w:tc>
          <w:tcPr>
            <w:tcW w:w="2841" w:type="dxa"/>
            <w:vAlign w:val="center"/>
          </w:tcPr>
          <w:p w14:paraId="4AE1F53F">
            <w:pPr>
              <w:rPr>
                <w:rFonts w:ascii="宋体" w:hAnsi="宋体" w:eastAsia="宋体"/>
              </w:rPr>
            </w:pPr>
            <w:r>
              <w:rPr>
                <w:rFonts w:hint="eastAsia" w:ascii="宋体" w:hAnsi="宋体" w:eastAsia="宋体"/>
              </w:rPr>
              <w:t>博时富悦纯债</w:t>
            </w:r>
            <w:r>
              <w:rPr>
                <w:rFonts w:ascii="宋体" w:hAnsi="宋体" w:eastAsia="宋体"/>
              </w:rPr>
              <w:t>C</w:t>
            </w:r>
          </w:p>
        </w:tc>
      </w:tr>
      <w:tr w14:paraId="375E2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56657B2">
            <w:pPr>
              <w:rPr>
                <w:rFonts w:ascii="宋体" w:hAnsi="宋体" w:eastAsia="宋体"/>
              </w:rPr>
            </w:pPr>
            <w:r>
              <w:rPr>
                <w:rFonts w:hint="eastAsia" w:ascii="宋体" w:hAnsi="宋体" w:eastAsia="宋体"/>
              </w:rPr>
              <w:t>下属类别基金的交易代码</w:t>
            </w:r>
          </w:p>
        </w:tc>
        <w:tc>
          <w:tcPr>
            <w:tcW w:w="2841" w:type="dxa"/>
            <w:vAlign w:val="center"/>
          </w:tcPr>
          <w:p w14:paraId="4DBE2FB0">
            <w:pPr>
              <w:rPr>
                <w:rFonts w:ascii="宋体" w:hAnsi="宋体" w:eastAsia="宋体"/>
              </w:rPr>
            </w:pPr>
            <w:r>
              <w:rPr>
                <w:rFonts w:ascii="宋体" w:hAnsi="宋体" w:eastAsia="宋体"/>
              </w:rPr>
              <w:t>007985</w:t>
            </w:r>
          </w:p>
        </w:tc>
        <w:tc>
          <w:tcPr>
            <w:tcW w:w="2841" w:type="dxa"/>
            <w:vAlign w:val="center"/>
          </w:tcPr>
          <w:p w14:paraId="3E44FC73">
            <w:pPr>
              <w:rPr>
                <w:rFonts w:ascii="宋体" w:hAnsi="宋体" w:eastAsia="宋体"/>
              </w:rPr>
            </w:pPr>
            <w:r>
              <w:rPr>
                <w:rFonts w:ascii="宋体" w:hAnsi="宋体" w:eastAsia="宋体"/>
              </w:rPr>
              <w:t>017910</w:t>
            </w:r>
          </w:p>
        </w:tc>
      </w:tr>
    </w:tbl>
    <w:p w14:paraId="1F774C08"/>
    <w:p w14:paraId="19D16F00">
      <w:pPr>
        <w:pStyle w:val="2"/>
        <w:rPr>
          <w:rFonts w:hint="eastAsia" w:ascii="宋体" w:hAnsi="宋体" w:eastAsia="宋体"/>
          <w:sz w:val="21"/>
        </w:rPr>
      </w:pPr>
      <w:r>
        <w:rPr>
          <w:rFonts w:hint="eastAsia" w:ascii="宋体" w:hAnsi="宋体" w:eastAsia="宋体"/>
          <w:sz w:val="21"/>
        </w:rPr>
        <w:t>二、本基金合同的终止时间</w:t>
      </w:r>
    </w:p>
    <w:p w14:paraId="3A36EAF0">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本基金出现了《基金合同》终止事由后，本公司组织基金托管人中国民生银行股份有限公司、安永华明会计师事务所（特殊普通合伙）和上海源泰律师事务所成立基金财产清算小组，对基金财产进行了清算。 </w:t>
      </w:r>
    </w:p>
    <w:p w14:paraId="5C7429EB">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根据《中华人民共和国证券投资基金法》、《公开募集证券投资基金运作管理办法》、《博时富悦纯债债券型证券投资基金基金合同》的有关规定，《博时富悦纯债债券型证券投资基金基金合同》自本公告发布之日起终止。 </w:t>
      </w:r>
    </w:p>
    <w:p w14:paraId="4BC79C71">
      <w:pPr>
        <w:pStyle w:val="2"/>
        <w:rPr>
          <w:rFonts w:hint="eastAsia" w:ascii="宋体" w:hAnsi="宋体" w:eastAsia="宋体"/>
          <w:sz w:val="21"/>
        </w:rPr>
      </w:pPr>
      <w:r>
        <w:rPr>
          <w:rFonts w:hint="eastAsia" w:ascii="宋体" w:hAnsi="宋体" w:eastAsia="宋体"/>
          <w:sz w:val="21"/>
        </w:rPr>
        <w:t>三、备查文件</w:t>
      </w:r>
    </w:p>
    <w:p w14:paraId="2D204046">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1、《博时富悦纯债债券型证券投资基金基金合同》 </w:t>
      </w:r>
    </w:p>
    <w:p w14:paraId="67D6E799">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2、《博时基金管理有限公司关于博时富悦纯债债券型证券投资基金基金合同终止及基金财产清算的公告》 </w:t>
      </w:r>
    </w:p>
    <w:p w14:paraId="25332C44">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3、《博时富悦纯债债券型证券投资基金清算报告》 </w:t>
      </w:r>
    </w:p>
    <w:p w14:paraId="5848C41C">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4、《博时富悦纯债债券型证券投资基金清算审计报告》 </w:t>
      </w:r>
    </w:p>
    <w:p w14:paraId="03A4D557">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5、《上海源泰律师事务所关于博时富悦纯债债券型证券投资基金清算事宜之法律意见》 </w:t>
      </w:r>
    </w:p>
    <w:p w14:paraId="22AA01C6">
      <w:pPr>
        <w:pStyle w:val="2"/>
        <w:rPr>
          <w:rFonts w:hint="eastAsia" w:ascii="宋体" w:hAnsi="宋体" w:eastAsia="宋体"/>
          <w:sz w:val="21"/>
        </w:rPr>
      </w:pPr>
      <w:r>
        <w:rPr>
          <w:rFonts w:hint="eastAsia" w:ascii="宋体" w:hAnsi="宋体" w:eastAsia="宋体"/>
          <w:sz w:val="21"/>
        </w:rPr>
        <w:t>四、特别提示</w:t>
      </w:r>
    </w:p>
    <w:p w14:paraId="3B3AADD4">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本公告的解释权归博时基金管理有限公司所有。投资者欲了解详情,可拨打本基金管理人的客户服务电话95105568 (免长途话费)进行咨询。 </w:t>
      </w:r>
    </w:p>
    <w:p w14:paraId="771ACC7E">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 xml:space="preserve">特此公告。 </w:t>
      </w:r>
    </w:p>
    <w:p w14:paraId="1A5EBE26">
      <w:pPr>
        <w:pStyle w:val="4"/>
        <w:spacing w:before="0" w:beforeAutospacing="0" w:after="0" w:afterAutospacing="0" w:line="360" w:lineRule="auto"/>
        <w:ind w:firstLine="420"/>
        <w:rPr>
          <w:rFonts w:hint="eastAsia" w:asciiTheme="minorEastAsia" w:hAnsiTheme="minorEastAsia" w:eastAsiaTheme="minorEastAsia" w:cstheme="minorEastAsia"/>
          <w:kern w:val="2"/>
          <w:sz w:val="21"/>
          <w:szCs w:val="21"/>
          <w:lang w:val="en-US" w:eastAsia="zh-CN" w:bidi="ar-SA"/>
        </w:rPr>
      </w:pPr>
    </w:p>
    <w:p w14:paraId="75789562">
      <w:pPr>
        <w:pStyle w:val="4"/>
        <w:spacing w:before="0" w:beforeAutospacing="0" w:after="0" w:afterAutospacing="0" w:line="360" w:lineRule="auto"/>
        <w:ind w:firstLine="420"/>
        <w:rPr>
          <w:sz w:val="21"/>
          <w:szCs w:val="21"/>
        </w:rPr>
      </w:pPr>
    </w:p>
    <w:p w14:paraId="2C91C48B">
      <w:pPr>
        <w:pStyle w:val="4"/>
        <w:spacing w:before="0" w:beforeAutospacing="0" w:after="0" w:afterAutospacing="0" w:line="360" w:lineRule="auto"/>
        <w:ind w:firstLine="420"/>
        <w:rPr>
          <w:sz w:val="21"/>
          <w:szCs w:val="21"/>
        </w:rPr>
      </w:pPr>
    </w:p>
    <w:p w14:paraId="794F0C83">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7A9843C2">
      <w:pPr>
        <w:pStyle w:val="4"/>
        <w:spacing w:before="0" w:beforeAutospacing="0" w:after="0" w:afterAutospacing="0" w:line="360" w:lineRule="auto"/>
        <w:ind w:firstLine="420"/>
        <w:jc w:val="right"/>
        <w:rPr>
          <w:sz w:val="21"/>
          <w:szCs w:val="21"/>
        </w:rPr>
      </w:pPr>
      <w:r>
        <w:rPr>
          <w:sz w:val="21"/>
          <w:szCs w:val="21"/>
        </w:rPr>
        <w:t>2026年</w:t>
      </w:r>
      <w:r>
        <w:rPr>
          <w:rFonts w:hint="eastAsia"/>
          <w:sz w:val="21"/>
          <w:szCs w:val="21"/>
          <w:lang w:val="en-US" w:eastAsia="zh-CN"/>
        </w:rPr>
        <w:t>8</w:t>
      </w:r>
      <w:r>
        <w:rPr>
          <w:sz w:val="21"/>
          <w:szCs w:val="21"/>
        </w:rPr>
        <w:t>月</w:t>
      </w:r>
      <w:r>
        <w:rPr>
          <w:rFonts w:hint="eastAsia"/>
          <w:sz w:val="21"/>
          <w:szCs w:val="21"/>
          <w:lang w:val="en-US" w:eastAsia="zh-CN"/>
        </w:rPr>
        <w:t>29</w:t>
      </w:r>
      <w:bookmarkStart w:id="0" w:name="_GoBack"/>
      <w:bookmarkEnd w:id="0"/>
      <w:r>
        <w:rPr>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5D8"/>
    <w:rsid w:val="00577859"/>
    <w:rsid w:val="005B05D8"/>
    <w:rsid w:val="2BFFADFD"/>
    <w:rsid w:val="75632A6E"/>
    <w:rsid w:val="B7F96A1D"/>
    <w:rsid w:val="BB5759CD"/>
    <w:rsid w:val="BFDF1960"/>
    <w:rsid w:val="FAE7B746"/>
    <w:rsid w:val="FFFC5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9"/>
    <w:unhideWhenUsed/>
    <w:qFormat/>
    <w:uiPriority w:val="9"/>
    <w:pPr>
      <w:keepNext/>
      <w:keepLines/>
      <w:spacing w:before="260" w:after="260" w:line="416" w:lineRule="auto"/>
      <w:outlineLvl w:val="2"/>
    </w:pPr>
    <w:rPr>
      <w:b/>
      <w:bCs/>
      <w:sz w:val="32"/>
      <w:szCs w:val="32"/>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20"/>
    <w:rPr>
      <w:i/>
      <w:iCs/>
    </w:rPr>
  </w:style>
  <w:style w:type="character" w:customStyle="1" w:styleId="9">
    <w:name w:val="标题 3 Char"/>
    <w:basedOn w:val="7"/>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148</Words>
  <Characters>850</Characters>
  <Lines>7</Lines>
  <Paragraphs>1</Paragraphs>
  <TotalTime>6</TotalTime>
  <ScaleCrop>false</ScaleCrop>
  <LinksUpToDate>false</LinksUpToDate>
  <CharactersWithSpaces>997</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2026-08-11T18:07:00Z</dcterms:created>
  <dc:creator>BSKMadminDev</dc:creator>
  <cp:lastModifiedBy>chenjy814</cp:lastModifiedBy>
  <dcterms:modified xsi:type="dcterms:W3CDTF">2026-08-28T10:43:02Z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B052CEBA5B7194CC4C35796AFF91B993_42</vt:lpwstr>
  </property>
</Properties>
</file>