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DC5EE7"/>
    <w:p w14:paraId="58829494">
      <w:pPr>
        <w:jc w:val="center"/>
        <w:rPr>
          <w:rFonts w:hint="eastAsia" w:ascii="宋体" w:hAnsi="宋体" w:eastAsia="宋体"/>
          <w:b/>
          <w:sz w:val="30"/>
        </w:rPr>
      </w:pPr>
      <w:bookmarkStart w:id="0" w:name="_GoBack"/>
      <w:r>
        <w:rPr>
          <w:rFonts w:hint="eastAsia" w:ascii="宋体" w:hAnsi="宋体" w:eastAsia="宋体"/>
          <w:b/>
          <w:sz w:val="30"/>
        </w:rPr>
        <w:t>博时基金管理有限公司关于博时富悦纯债债券型证券投资基金基金合同终止及基金财产清算的公告</w:t>
      </w:r>
    </w:p>
    <w:bookmarkEnd w:id="0"/>
    <w:p w14:paraId="31B3FE13">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2026年7月28日</w:t>
      </w:r>
    </w:p>
    <w:p w14:paraId="0EA45BD1">
      <w:pPr>
        <w:jc w:val="center"/>
        <w:rPr>
          <w:rFonts w:ascii="宋体" w:hAnsi="宋体" w:eastAsia="宋体"/>
          <w:b/>
          <w:sz w:val="24"/>
        </w:rPr>
      </w:pPr>
    </w:p>
    <w:p w14:paraId="74CCBC79">
      <w:pPr>
        <w:pStyle w:val="3"/>
        <w:spacing w:before="0" w:beforeAutospacing="0" w:after="0" w:afterAutospacing="0"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根据《中华人民共和国证券投资基金法》、《公开募集证券投资基金运作管理办法》和《博时富悦纯债债券型证券投资基金基金合同》（以下简称“基金合同”或“《基金合同》”）的有关规定，博时富悦纯债债券型证券投资基金（以下简称“本基金”）出现了基金合同终止事由，博时基金管理有限公司应当在上述终止事由出现后依法对基金财产进行清算，且本次事项无需召开基金份额持有人大会。现将相关事宜公告如下： </w:t>
      </w:r>
    </w:p>
    <w:p w14:paraId="28DE257C">
      <w:pPr>
        <w:pStyle w:val="2"/>
        <w:rPr>
          <w:rFonts w:hint="eastAsia" w:ascii="宋体" w:hAnsi="宋体" w:eastAsia="宋体"/>
          <w:sz w:val="21"/>
        </w:rPr>
      </w:pPr>
      <w:r>
        <w:rPr>
          <w:rFonts w:hint="eastAsia" w:ascii="宋体" w:hAnsi="宋体" w:eastAsia="宋体"/>
          <w:sz w:val="21"/>
        </w:rPr>
        <w:t>一、本基金基本信息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5B046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962366C">
            <w:pPr>
              <w:rPr>
                <w:rFonts w:ascii="宋体" w:hAnsi="宋体" w:eastAsia="宋体"/>
              </w:rPr>
            </w:pPr>
            <w:r>
              <w:rPr>
                <w:rFonts w:hint="eastAsia" w:ascii="宋体" w:hAnsi="宋体" w:eastAsia="宋体"/>
              </w:rPr>
              <w:t>基金名称</w:t>
            </w:r>
          </w:p>
        </w:tc>
        <w:tc>
          <w:tcPr>
            <w:tcW w:w="5682" w:type="dxa"/>
            <w:gridSpan w:val="2"/>
            <w:vAlign w:val="center"/>
          </w:tcPr>
          <w:p w14:paraId="77B7EFEE">
            <w:pPr>
              <w:rPr>
                <w:rFonts w:ascii="宋体" w:hAnsi="宋体" w:eastAsia="宋体"/>
              </w:rPr>
            </w:pPr>
            <w:r>
              <w:rPr>
                <w:rFonts w:hint="eastAsia" w:ascii="宋体" w:hAnsi="宋体" w:eastAsia="宋体"/>
              </w:rPr>
              <w:t>博时富悦纯债债券型证券投资基金</w:t>
            </w:r>
          </w:p>
        </w:tc>
      </w:tr>
      <w:tr w14:paraId="43C9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5816A68">
            <w:pPr>
              <w:rPr>
                <w:rFonts w:ascii="宋体" w:hAnsi="宋体" w:eastAsia="宋体"/>
              </w:rPr>
            </w:pPr>
            <w:r>
              <w:rPr>
                <w:rFonts w:hint="eastAsia" w:ascii="宋体" w:hAnsi="宋体" w:eastAsia="宋体"/>
              </w:rPr>
              <w:t>基金简称</w:t>
            </w:r>
          </w:p>
        </w:tc>
        <w:tc>
          <w:tcPr>
            <w:tcW w:w="5682" w:type="dxa"/>
            <w:gridSpan w:val="2"/>
            <w:vAlign w:val="center"/>
          </w:tcPr>
          <w:p w14:paraId="44C48368">
            <w:pPr>
              <w:rPr>
                <w:rFonts w:ascii="宋体" w:hAnsi="宋体" w:eastAsia="宋体"/>
              </w:rPr>
            </w:pPr>
            <w:r>
              <w:rPr>
                <w:rFonts w:hint="eastAsia" w:ascii="宋体" w:hAnsi="宋体" w:eastAsia="宋体"/>
              </w:rPr>
              <w:t>博时富悦纯债</w:t>
            </w:r>
          </w:p>
        </w:tc>
      </w:tr>
      <w:tr w14:paraId="1305B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5B8566E">
            <w:pPr>
              <w:rPr>
                <w:rFonts w:ascii="宋体" w:hAnsi="宋体" w:eastAsia="宋体"/>
              </w:rPr>
            </w:pPr>
            <w:r>
              <w:rPr>
                <w:rFonts w:hint="eastAsia" w:ascii="宋体" w:hAnsi="宋体" w:eastAsia="宋体"/>
              </w:rPr>
              <w:t>基金主代码</w:t>
            </w:r>
          </w:p>
        </w:tc>
        <w:tc>
          <w:tcPr>
            <w:tcW w:w="5682" w:type="dxa"/>
            <w:gridSpan w:val="2"/>
            <w:vAlign w:val="center"/>
          </w:tcPr>
          <w:p w14:paraId="22CCDD88">
            <w:pPr>
              <w:rPr>
                <w:rFonts w:ascii="宋体" w:hAnsi="宋体" w:eastAsia="宋体"/>
              </w:rPr>
            </w:pPr>
            <w:r>
              <w:rPr>
                <w:rFonts w:ascii="宋体" w:hAnsi="宋体" w:eastAsia="宋体"/>
              </w:rPr>
              <w:t>007985</w:t>
            </w:r>
          </w:p>
        </w:tc>
      </w:tr>
      <w:tr w14:paraId="7C0F4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58CFDD2">
            <w:pPr>
              <w:rPr>
                <w:rFonts w:ascii="宋体" w:hAnsi="宋体" w:eastAsia="宋体"/>
              </w:rPr>
            </w:pPr>
            <w:r>
              <w:rPr>
                <w:rFonts w:hint="eastAsia" w:ascii="宋体" w:hAnsi="宋体" w:eastAsia="宋体"/>
              </w:rPr>
              <w:t>基金运作方式</w:t>
            </w:r>
          </w:p>
        </w:tc>
        <w:tc>
          <w:tcPr>
            <w:tcW w:w="5682" w:type="dxa"/>
            <w:gridSpan w:val="2"/>
            <w:vAlign w:val="center"/>
          </w:tcPr>
          <w:p w14:paraId="1B16234D">
            <w:pPr>
              <w:rPr>
                <w:rFonts w:ascii="宋体" w:hAnsi="宋体" w:eastAsia="宋体"/>
              </w:rPr>
            </w:pPr>
            <w:r>
              <w:rPr>
                <w:rFonts w:hint="eastAsia" w:ascii="宋体" w:hAnsi="宋体" w:eastAsia="宋体"/>
              </w:rPr>
              <w:t>契约型开放式</w:t>
            </w:r>
          </w:p>
        </w:tc>
      </w:tr>
      <w:tr w14:paraId="59DCB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521D814">
            <w:pPr>
              <w:rPr>
                <w:rFonts w:ascii="宋体" w:hAnsi="宋体" w:eastAsia="宋体"/>
              </w:rPr>
            </w:pPr>
            <w:r>
              <w:rPr>
                <w:rFonts w:hint="eastAsia" w:ascii="宋体" w:hAnsi="宋体" w:eastAsia="宋体"/>
              </w:rPr>
              <w:t>基金合同生效日</w:t>
            </w:r>
          </w:p>
        </w:tc>
        <w:tc>
          <w:tcPr>
            <w:tcW w:w="5682" w:type="dxa"/>
            <w:gridSpan w:val="2"/>
            <w:vAlign w:val="center"/>
          </w:tcPr>
          <w:p w14:paraId="0539B07A">
            <w:pPr>
              <w:rPr>
                <w:rFonts w:ascii="宋体" w:hAnsi="宋体" w:eastAsia="宋体"/>
              </w:rPr>
            </w:pPr>
            <w:r>
              <w:rPr>
                <w:rFonts w:ascii="宋体" w:hAnsi="宋体" w:eastAsia="宋体"/>
              </w:rPr>
              <w:t>2019年11月28日</w:t>
            </w:r>
          </w:p>
        </w:tc>
      </w:tr>
      <w:tr w14:paraId="1065E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4C405BD">
            <w:pPr>
              <w:rPr>
                <w:rFonts w:ascii="宋体" w:hAnsi="宋体" w:eastAsia="宋体"/>
              </w:rPr>
            </w:pPr>
            <w:r>
              <w:rPr>
                <w:rFonts w:hint="eastAsia" w:ascii="宋体" w:hAnsi="宋体" w:eastAsia="宋体"/>
              </w:rPr>
              <w:t>基金管理人名称</w:t>
            </w:r>
          </w:p>
        </w:tc>
        <w:tc>
          <w:tcPr>
            <w:tcW w:w="5682" w:type="dxa"/>
            <w:gridSpan w:val="2"/>
            <w:vAlign w:val="center"/>
          </w:tcPr>
          <w:p w14:paraId="3F67636F">
            <w:pPr>
              <w:rPr>
                <w:rFonts w:ascii="宋体" w:hAnsi="宋体" w:eastAsia="宋体"/>
              </w:rPr>
            </w:pPr>
            <w:r>
              <w:rPr>
                <w:rFonts w:hint="eastAsia" w:ascii="宋体" w:hAnsi="宋体" w:eastAsia="宋体"/>
              </w:rPr>
              <w:t>博时基金管理有限公司</w:t>
            </w:r>
          </w:p>
        </w:tc>
      </w:tr>
      <w:tr w14:paraId="539EA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9C017A0">
            <w:pPr>
              <w:rPr>
                <w:rFonts w:ascii="宋体" w:hAnsi="宋体" w:eastAsia="宋体"/>
              </w:rPr>
            </w:pPr>
            <w:r>
              <w:rPr>
                <w:rFonts w:hint="eastAsia" w:ascii="宋体" w:hAnsi="宋体" w:eastAsia="宋体"/>
              </w:rPr>
              <w:t>基金托管人名称</w:t>
            </w:r>
          </w:p>
        </w:tc>
        <w:tc>
          <w:tcPr>
            <w:tcW w:w="5682" w:type="dxa"/>
            <w:gridSpan w:val="2"/>
            <w:vAlign w:val="center"/>
          </w:tcPr>
          <w:p w14:paraId="0214550C">
            <w:pPr>
              <w:rPr>
                <w:rFonts w:ascii="宋体" w:hAnsi="宋体" w:eastAsia="宋体"/>
              </w:rPr>
            </w:pPr>
            <w:r>
              <w:rPr>
                <w:rFonts w:hint="eastAsia" w:ascii="宋体" w:hAnsi="宋体" w:eastAsia="宋体"/>
              </w:rPr>
              <w:t>中国民生银行股份有限公司</w:t>
            </w:r>
          </w:p>
        </w:tc>
      </w:tr>
      <w:tr w14:paraId="6BBA0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1DCF4A2">
            <w:pPr>
              <w:rPr>
                <w:rFonts w:ascii="宋体" w:hAnsi="宋体" w:eastAsia="宋体"/>
              </w:rPr>
            </w:pPr>
            <w:r>
              <w:rPr>
                <w:rFonts w:hint="eastAsia" w:ascii="宋体" w:hAnsi="宋体" w:eastAsia="宋体"/>
              </w:rPr>
              <w:t>基金注册登记机构名称</w:t>
            </w:r>
          </w:p>
        </w:tc>
        <w:tc>
          <w:tcPr>
            <w:tcW w:w="5682" w:type="dxa"/>
            <w:gridSpan w:val="2"/>
            <w:vAlign w:val="center"/>
          </w:tcPr>
          <w:p w14:paraId="270015F6">
            <w:pPr>
              <w:rPr>
                <w:rFonts w:ascii="宋体" w:hAnsi="宋体" w:eastAsia="宋体"/>
              </w:rPr>
            </w:pPr>
            <w:r>
              <w:rPr>
                <w:rFonts w:hint="eastAsia" w:ascii="宋体" w:hAnsi="宋体" w:eastAsia="宋体"/>
              </w:rPr>
              <w:t>博时基金管理有限公司</w:t>
            </w:r>
          </w:p>
        </w:tc>
      </w:tr>
      <w:tr w14:paraId="2A636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57F4547">
            <w:pPr>
              <w:rPr>
                <w:rFonts w:ascii="宋体" w:hAnsi="宋体" w:eastAsia="宋体"/>
              </w:rPr>
            </w:pPr>
            <w:r>
              <w:rPr>
                <w:rFonts w:hint="eastAsia" w:ascii="宋体" w:hAnsi="宋体" w:eastAsia="宋体"/>
              </w:rPr>
              <w:t>公告依据</w:t>
            </w:r>
          </w:p>
        </w:tc>
        <w:tc>
          <w:tcPr>
            <w:tcW w:w="5682" w:type="dxa"/>
            <w:gridSpan w:val="2"/>
            <w:vAlign w:val="center"/>
          </w:tcPr>
          <w:p w14:paraId="6ECC72FF">
            <w:pPr>
              <w:rPr>
                <w:rFonts w:ascii="宋体" w:hAnsi="宋体" w:eastAsia="宋体"/>
              </w:rPr>
            </w:pPr>
            <w:r>
              <w:rPr>
                <w:rFonts w:hint="eastAsia" w:ascii="宋体" w:hAnsi="宋体" w:eastAsia="宋体"/>
              </w:rPr>
              <w:t>《中华人民共和国证券投资基金法》、《公开募集证券投资基金运作管理办法》等法律法规以及《博时富悦纯债债券型证券投资基金基金合同》、《博时富悦纯债债券型证券投资基金招募说明书》等</w:t>
            </w:r>
          </w:p>
        </w:tc>
      </w:tr>
      <w:tr w14:paraId="26947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340F4B8">
            <w:pPr>
              <w:rPr>
                <w:rFonts w:ascii="宋体" w:hAnsi="宋体" w:eastAsia="宋体"/>
              </w:rPr>
            </w:pPr>
            <w:r>
              <w:rPr>
                <w:rFonts w:hint="eastAsia" w:ascii="宋体" w:hAnsi="宋体" w:eastAsia="宋体"/>
              </w:rPr>
              <w:t>下属类别基金的基金简称</w:t>
            </w:r>
          </w:p>
        </w:tc>
        <w:tc>
          <w:tcPr>
            <w:tcW w:w="2841" w:type="dxa"/>
            <w:vAlign w:val="center"/>
          </w:tcPr>
          <w:p w14:paraId="3C3BFED5">
            <w:pPr>
              <w:rPr>
                <w:rFonts w:ascii="宋体" w:hAnsi="宋体" w:eastAsia="宋体"/>
              </w:rPr>
            </w:pPr>
            <w:r>
              <w:rPr>
                <w:rFonts w:hint="eastAsia" w:ascii="宋体" w:hAnsi="宋体" w:eastAsia="宋体"/>
              </w:rPr>
              <w:t>博时富悦纯债</w:t>
            </w:r>
            <w:r>
              <w:rPr>
                <w:rFonts w:ascii="宋体" w:hAnsi="宋体" w:eastAsia="宋体"/>
              </w:rPr>
              <w:t>A</w:t>
            </w:r>
          </w:p>
        </w:tc>
        <w:tc>
          <w:tcPr>
            <w:tcW w:w="2841" w:type="dxa"/>
            <w:vAlign w:val="center"/>
          </w:tcPr>
          <w:p w14:paraId="3ED79312">
            <w:pPr>
              <w:rPr>
                <w:rFonts w:ascii="宋体" w:hAnsi="宋体" w:eastAsia="宋体"/>
              </w:rPr>
            </w:pPr>
            <w:r>
              <w:rPr>
                <w:rFonts w:hint="eastAsia" w:ascii="宋体" w:hAnsi="宋体" w:eastAsia="宋体"/>
              </w:rPr>
              <w:t>博时富悦纯债</w:t>
            </w:r>
            <w:r>
              <w:rPr>
                <w:rFonts w:ascii="宋体" w:hAnsi="宋体" w:eastAsia="宋体"/>
              </w:rPr>
              <w:t>C</w:t>
            </w:r>
          </w:p>
        </w:tc>
      </w:tr>
      <w:tr w14:paraId="41D0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F11E039">
            <w:pPr>
              <w:rPr>
                <w:rFonts w:ascii="宋体" w:hAnsi="宋体" w:eastAsia="宋体"/>
              </w:rPr>
            </w:pPr>
            <w:r>
              <w:rPr>
                <w:rFonts w:hint="eastAsia" w:ascii="宋体" w:hAnsi="宋体" w:eastAsia="宋体"/>
              </w:rPr>
              <w:t>下属类别基金的交易代码</w:t>
            </w:r>
          </w:p>
        </w:tc>
        <w:tc>
          <w:tcPr>
            <w:tcW w:w="2841" w:type="dxa"/>
            <w:vAlign w:val="center"/>
          </w:tcPr>
          <w:p w14:paraId="13544633">
            <w:pPr>
              <w:rPr>
                <w:rFonts w:ascii="宋体" w:hAnsi="宋体" w:eastAsia="宋体"/>
              </w:rPr>
            </w:pPr>
            <w:r>
              <w:rPr>
                <w:rFonts w:ascii="宋体" w:hAnsi="宋体" w:eastAsia="宋体"/>
              </w:rPr>
              <w:t>007985</w:t>
            </w:r>
          </w:p>
        </w:tc>
        <w:tc>
          <w:tcPr>
            <w:tcW w:w="2841" w:type="dxa"/>
            <w:vAlign w:val="center"/>
          </w:tcPr>
          <w:p w14:paraId="7141AF0B">
            <w:pPr>
              <w:rPr>
                <w:rFonts w:ascii="宋体" w:hAnsi="宋体" w:eastAsia="宋体"/>
              </w:rPr>
            </w:pPr>
            <w:r>
              <w:rPr>
                <w:rFonts w:ascii="宋体" w:hAnsi="宋体" w:eastAsia="宋体"/>
              </w:rPr>
              <w:t>017910</w:t>
            </w:r>
          </w:p>
        </w:tc>
      </w:tr>
    </w:tbl>
    <w:p w14:paraId="105EE589"/>
    <w:p w14:paraId="10A0429B">
      <w:pPr>
        <w:pStyle w:val="2"/>
        <w:rPr>
          <w:rFonts w:hint="eastAsia" w:ascii="宋体" w:hAnsi="宋体" w:eastAsia="宋体"/>
          <w:sz w:val="21"/>
        </w:rPr>
      </w:pPr>
      <w:r>
        <w:rPr>
          <w:rFonts w:hint="eastAsia" w:ascii="宋体" w:hAnsi="宋体" w:eastAsia="宋体"/>
          <w:sz w:val="21"/>
        </w:rPr>
        <w:t>二、基金合同终止事由</w:t>
      </w:r>
    </w:p>
    <w:p w14:paraId="5C7ACDFF">
      <w:pPr>
        <w:pStyle w:val="3"/>
        <w:spacing w:before="0" w:beforeAutospacing="0" w:after="0" w:afterAutospacing="0" w:line="360" w:lineRule="auto"/>
        <w:ind w:firstLine="420"/>
        <w:rPr>
          <w:sz w:val="21"/>
          <w:szCs w:val="21"/>
        </w:rPr>
      </w:pPr>
      <w:r>
        <w:rPr>
          <w:rFonts w:hint="eastAsia"/>
          <w:sz w:val="21"/>
          <w:szCs w:val="21"/>
        </w:rPr>
        <w:t xml:space="preserve">根据《基金合同》“第五部分 基金备案”之“三、基金存续期内的基金份额持有人数量和资产规模”约定：  </w:t>
      </w:r>
    </w:p>
    <w:p w14:paraId="27AE72FD">
      <w:pPr>
        <w:pStyle w:val="3"/>
        <w:spacing w:before="0" w:beforeAutospacing="0" w:after="0" w:afterAutospacing="0" w:line="360" w:lineRule="auto"/>
        <w:ind w:firstLine="420"/>
        <w:rPr>
          <w:rFonts w:hint="eastAsia"/>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60个工作日出现前述情形的，本基金将根据基金合同的约定进行基金财产清算并终止，而无需召开基金份额持有人大会。  </w:t>
      </w:r>
    </w:p>
    <w:p w14:paraId="116B4FD7">
      <w:pPr>
        <w:pStyle w:val="3"/>
        <w:spacing w:before="0" w:beforeAutospacing="0" w:after="0" w:afterAutospacing="0" w:line="360" w:lineRule="auto"/>
        <w:ind w:firstLine="420"/>
        <w:rPr>
          <w:rFonts w:hint="eastAsia"/>
          <w:sz w:val="21"/>
          <w:szCs w:val="21"/>
        </w:rPr>
      </w:pPr>
      <w:r>
        <w:rPr>
          <w:rFonts w:hint="eastAsia"/>
          <w:sz w:val="21"/>
          <w:szCs w:val="21"/>
        </w:rPr>
        <w:t xml:space="preserve">法律法规或监管机构另有规定时，从其规定。” </w:t>
      </w:r>
    </w:p>
    <w:p w14:paraId="18CBE42C">
      <w:pPr>
        <w:pStyle w:val="3"/>
        <w:spacing w:before="0" w:beforeAutospacing="0" w:after="0" w:afterAutospacing="0" w:line="360" w:lineRule="auto"/>
        <w:ind w:firstLine="420"/>
        <w:rPr>
          <w:rFonts w:hint="eastAsia"/>
          <w:sz w:val="21"/>
          <w:szCs w:val="21"/>
        </w:rPr>
      </w:pPr>
    </w:p>
    <w:p w14:paraId="525C2F75">
      <w:pPr>
        <w:pStyle w:val="3"/>
        <w:spacing w:before="0" w:beforeAutospacing="0" w:after="0" w:afterAutospacing="0"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截至2026年7月27日，本基金出现连续六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 </w:t>
      </w:r>
    </w:p>
    <w:p w14:paraId="284557C2">
      <w:pPr>
        <w:pStyle w:val="2"/>
        <w:rPr>
          <w:rFonts w:hint="eastAsia" w:ascii="宋体" w:hAnsi="宋体" w:eastAsia="宋体"/>
          <w:sz w:val="21"/>
        </w:rPr>
      </w:pPr>
      <w:r>
        <w:rPr>
          <w:rFonts w:hint="eastAsia" w:ascii="宋体" w:hAnsi="宋体" w:eastAsia="宋体"/>
          <w:sz w:val="21"/>
        </w:rPr>
        <w:t>三、相关业务办理情况</w:t>
      </w:r>
    </w:p>
    <w:p w14:paraId="6FA94398">
      <w:pPr>
        <w:pStyle w:val="3"/>
        <w:spacing w:before="0" w:beforeAutospacing="0" w:after="0" w:afterAutospacing="0"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本基金的最后运作日为2026年7月27日，自2026年7月28日起，本基金进入清算程序。本基金进入清算程序后，不再开放办理申购、赎回、定投、基金转换业务等业务，并停止收取基金管理费、基金托管费及C类基金份额的销售服务费。 </w:t>
      </w:r>
    </w:p>
    <w:p w14:paraId="1A980AD3">
      <w:pPr>
        <w:pStyle w:val="2"/>
        <w:rPr>
          <w:rFonts w:hint="eastAsia" w:ascii="宋体" w:hAnsi="宋体" w:eastAsia="宋体"/>
          <w:sz w:val="21"/>
        </w:rPr>
      </w:pPr>
      <w:r>
        <w:rPr>
          <w:rFonts w:hint="eastAsia" w:ascii="宋体" w:hAnsi="宋体" w:eastAsia="宋体"/>
          <w:sz w:val="21"/>
        </w:rPr>
        <w:t>四、基金财产的清算</w:t>
      </w:r>
    </w:p>
    <w:p w14:paraId="54D344D9">
      <w:pPr>
        <w:pStyle w:val="3"/>
        <w:spacing w:before="0" w:beforeAutospacing="0" w:after="0" w:afterAutospacing="0" w:line="360" w:lineRule="auto"/>
        <w:ind w:firstLine="420"/>
        <w:rPr>
          <w:sz w:val="21"/>
          <w:szCs w:val="21"/>
        </w:rPr>
      </w:pPr>
      <w:r>
        <w:rPr>
          <w:rFonts w:hint="eastAsia"/>
          <w:sz w:val="21"/>
          <w:szCs w:val="21"/>
        </w:rPr>
        <w:t xml:space="preserve">（一）基金财产的清算 </w:t>
      </w:r>
    </w:p>
    <w:p w14:paraId="60102CC1">
      <w:pPr>
        <w:pStyle w:val="3"/>
        <w:spacing w:before="0" w:beforeAutospacing="0" w:after="0" w:afterAutospacing="0" w:line="360" w:lineRule="auto"/>
        <w:ind w:firstLine="420"/>
        <w:rPr>
          <w:rFonts w:hint="eastAsia"/>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67B381B2">
      <w:pPr>
        <w:pStyle w:val="3"/>
        <w:spacing w:before="0" w:beforeAutospacing="0" w:after="0" w:afterAutospacing="0" w:line="360" w:lineRule="auto"/>
        <w:ind w:firstLine="420"/>
        <w:rPr>
          <w:rFonts w:hint="eastAsia"/>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5A3976BE">
      <w:pPr>
        <w:pStyle w:val="3"/>
        <w:spacing w:before="0" w:beforeAutospacing="0" w:after="0" w:afterAutospacing="0" w:line="360" w:lineRule="auto"/>
        <w:ind w:firstLine="420"/>
        <w:rPr>
          <w:rFonts w:hint="eastAsia"/>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00D30E56">
      <w:pPr>
        <w:pStyle w:val="3"/>
        <w:spacing w:before="0" w:beforeAutospacing="0" w:after="0" w:afterAutospacing="0" w:line="360" w:lineRule="auto"/>
        <w:ind w:firstLine="420"/>
        <w:rPr>
          <w:rFonts w:hint="eastAsia"/>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24FBB302">
      <w:pPr>
        <w:pStyle w:val="3"/>
        <w:spacing w:before="0" w:beforeAutospacing="0" w:after="0" w:afterAutospacing="0" w:line="360" w:lineRule="auto"/>
        <w:ind w:firstLine="420"/>
        <w:rPr>
          <w:rFonts w:hint="eastAsia"/>
          <w:sz w:val="21"/>
          <w:szCs w:val="21"/>
        </w:rPr>
      </w:pPr>
      <w:r>
        <w:rPr>
          <w:rFonts w:hint="eastAsia"/>
          <w:sz w:val="21"/>
          <w:szCs w:val="21"/>
        </w:rPr>
        <w:t xml:space="preserve">5、基金财产清算程序： </w:t>
      </w:r>
    </w:p>
    <w:p w14:paraId="7BD1FC2C">
      <w:pPr>
        <w:pStyle w:val="3"/>
        <w:spacing w:before="0" w:beforeAutospacing="0" w:after="0" w:afterAutospacing="0" w:line="360" w:lineRule="auto"/>
        <w:ind w:firstLine="420"/>
        <w:rPr>
          <w:rFonts w:hint="eastAsia"/>
          <w:sz w:val="21"/>
          <w:szCs w:val="21"/>
        </w:rPr>
      </w:pPr>
      <w:r>
        <w:rPr>
          <w:rFonts w:hint="eastAsia"/>
          <w:sz w:val="21"/>
          <w:szCs w:val="21"/>
        </w:rPr>
        <w:t xml:space="preserve">（1）《基金合同》终止情形出现时，由基金财产清算小组统一接管基金财产； </w:t>
      </w:r>
    </w:p>
    <w:p w14:paraId="171DFBAA">
      <w:pPr>
        <w:pStyle w:val="3"/>
        <w:spacing w:before="0" w:beforeAutospacing="0" w:after="0" w:afterAutospacing="0" w:line="360" w:lineRule="auto"/>
        <w:ind w:firstLine="420"/>
        <w:rPr>
          <w:rFonts w:hint="eastAsia"/>
          <w:sz w:val="21"/>
          <w:szCs w:val="21"/>
        </w:rPr>
      </w:pPr>
      <w:r>
        <w:rPr>
          <w:rFonts w:hint="eastAsia"/>
          <w:sz w:val="21"/>
          <w:szCs w:val="21"/>
        </w:rPr>
        <w:t xml:space="preserve">（2）对基金财产和债权债务进行清理和确认； </w:t>
      </w:r>
    </w:p>
    <w:p w14:paraId="390FB962">
      <w:pPr>
        <w:pStyle w:val="3"/>
        <w:spacing w:before="0" w:beforeAutospacing="0" w:after="0" w:afterAutospacing="0" w:line="360" w:lineRule="auto"/>
        <w:ind w:firstLine="420"/>
        <w:rPr>
          <w:rFonts w:hint="eastAsia"/>
          <w:sz w:val="21"/>
          <w:szCs w:val="21"/>
        </w:rPr>
      </w:pPr>
      <w:r>
        <w:rPr>
          <w:rFonts w:hint="eastAsia"/>
          <w:sz w:val="21"/>
          <w:szCs w:val="21"/>
        </w:rPr>
        <w:t xml:space="preserve">（3）对基金财产进行估值和变现； </w:t>
      </w:r>
    </w:p>
    <w:p w14:paraId="4CEA29FA">
      <w:pPr>
        <w:pStyle w:val="3"/>
        <w:spacing w:before="0" w:beforeAutospacing="0" w:after="0" w:afterAutospacing="0" w:line="360" w:lineRule="auto"/>
        <w:ind w:firstLine="420"/>
        <w:rPr>
          <w:rFonts w:hint="eastAsia"/>
          <w:sz w:val="21"/>
          <w:szCs w:val="21"/>
        </w:rPr>
      </w:pPr>
      <w:r>
        <w:rPr>
          <w:rFonts w:hint="eastAsia"/>
          <w:sz w:val="21"/>
          <w:szCs w:val="21"/>
        </w:rPr>
        <w:t xml:space="preserve">（4）制作清算报告； </w:t>
      </w:r>
    </w:p>
    <w:p w14:paraId="30963CFE">
      <w:pPr>
        <w:pStyle w:val="3"/>
        <w:spacing w:before="0" w:beforeAutospacing="0" w:after="0" w:afterAutospacing="0" w:line="360" w:lineRule="auto"/>
        <w:ind w:firstLine="420"/>
        <w:rPr>
          <w:rFonts w:hint="eastAsia"/>
          <w:sz w:val="21"/>
          <w:szCs w:val="21"/>
        </w:rPr>
      </w:pPr>
      <w:r>
        <w:rPr>
          <w:rFonts w:hint="eastAsia"/>
          <w:sz w:val="21"/>
          <w:szCs w:val="21"/>
        </w:rPr>
        <w:t xml:space="preserve">（5）聘请会计师事务所对清算报告进行外部审计，聘请律师事务所对清算报告出具法律意见书； </w:t>
      </w:r>
    </w:p>
    <w:p w14:paraId="74936A2B">
      <w:pPr>
        <w:pStyle w:val="3"/>
        <w:spacing w:before="0" w:beforeAutospacing="0" w:after="0" w:afterAutospacing="0" w:line="360" w:lineRule="auto"/>
        <w:ind w:firstLine="420"/>
        <w:rPr>
          <w:rFonts w:hint="eastAsia"/>
          <w:sz w:val="21"/>
          <w:szCs w:val="21"/>
        </w:rPr>
      </w:pPr>
      <w:r>
        <w:rPr>
          <w:rFonts w:hint="eastAsia"/>
          <w:sz w:val="21"/>
          <w:szCs w:val="21"/>
        </w:rPr>
        <w:t xml:space="preserve">（6）将清算报告报中国证监会备案并公告； </w:t>
      </w:r>
    </w:p>
    <w:p w14:paraId="233BEC74">
      <w:pPr>
        <w:pStyle w:val="3"/>
        <w:spacing w:before="0" w:beforeAutospacing="0" w:after="0" w:afterAutospacing="0" w:line="360" w:lineRule="auto"/>
        <w:ind w:firstLine="420"/>
        <w:rPr>
          <w:rFonts w:hint="eastAsia"/>
          <w:sz w:val="21"/>
          <w:szCs w:val="21"/>
        </w:rPr>
      </w:pPr>
      <w:r>
        <w:rPr>
          <w:rFonts w:hint="eastAsia"/>
          <w:sz w:val="21"/>
          <w:szCs w:val="21"/>
        </w:rPr>
        <w:t xml:space="preserve">（7）对基金剩余财产进行分配。 </w:t>
      </w:r>
    </w:p>
    <w:p w14:paraId="794FC498">
      <w:pPr>
        <w:pStyle w:val="3"/>
        <w:spacing w:before="0" w:beforeAutospacing="0" w:after="0" w:afterAutospacing="0" w:line="360" w:lineRule="auto"/>
        <w:ind w:firstLine="420"/>
        <w:rPr>
          <w:rFonts w:hint="eastAsia"/>
          <w:sz w:val="21"/>
          <w:szCs w:val="21"/>
        </w:rPr>
      </w:pPr>
      <w:r>
        <w:rPr>
          <w:rFonts w:hint="eastAsia"/>
          <w:sz w:val="21"/>
          <w:szCs w:val="21"/>
        </w:rPr>
        <w:t xml:space="preserve">6、基金财产清算的期限为6个月，但因本基金所持证券的流动性受到限制而不能及时变现的，清算期限可相应顺延。 </w:t>
      </w:r>
    </w:p>
    <w:p w14:paraId="6AE0D313">
      <w:pPr>
        <w:pStyle w:val="3"/>
        <w:spacing w:before="0" w:beforeAutospacing="0" w:after="0" w:afterAutospacing="0" w:line="360" w:lineRule="auto"/>
        <w:ind w:firstLine="420"/>
        <w:rPr>
          <w:rFonts w:hint="eastAsia"/>
          <w:sz w:val="21"/>
          <w:szCs w:val="21"/>
        </w:rPr>
      </w:pPr>
      <w:r>
        <w:rPr>
          <w:rFonts w:hint="eastAsia"/>
          <w:sz w:val="21"/>
          <w:szCs w:val="21"/>
        </w:rPr>
        <w:t xml:space="preserve">（二）清算费用 </w:t>
      </w:r>
    </w:p>
    <w:p w14:paraId="0378080C">
      <w:pPr>
        <w:pStyle w:val="3"/>
        <w:spacing w:before="0" w:beforeAutospacing="0" w:after="0" w:afterAutospacing="0" w:line="360" w:lineRule="auto"/>
        <w:ind w:firstLine="420"/>
        <w:rPr>
          <w:rFonts w:hint="eastAsia"/>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37698F6">
      <w:pPr>
        <w:pStyle w:val="3"/>
        <w:spacing w:before="0" w:beforeAutospacing="0" w:after="0" w:afterAutospacing="0" w:line="360" w:lineRule="auto"/>
        <w:ind w:firstLine="420"/>
        <w:rPr>
          <w:rFonts w:hint="eastAsia"/>
          <w:sz w:val="21"/>
          <w:szCs w:val="21"/>
        </w:rPr>
      </w:pPr>
      <w:r>
        <w:rPr>
          <w:rFonts w:hint="eastAsia"/>
          <w:sz w:val="21"/>
          <w:szCs w:val="21"/>
        </w:rPr>
        <w:t xml:space="preserve">（三）基金财产清算剩余资产的分配 </w:t>
      </w:r>
    </w:p>
    <w:p w14:paraId="3C793922">
      <w:pPr>
        <w:pStyle w:val="3"/>
        <w:spacing w:before="0" w:beforeAutospacing="0" w:after="0" w:afterAutospacing="0" w:line="360" w:lineRule="auto"/>
        <w:ind w:firstLine="420"/>
        <w:rPr>
          <w:rFonts w:hint="eastAsia"/>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3C8C12D9">
      <w:pPr>
        <w:pStyle w:val="3"/>
        <w:spacing w:before="0" w:beforeAutospacing="0" w:after="0" w:afterAutospacing="0" w:line="360" w:lineRule="auto"/>
        <w:ind w:firstLine="420"/>
        <w:rPr>
          <w:rFonts w:hint="eastAsia"/>
          <w:sz w:val="21"/>
          <w:szCs w:val="21"/>
        </w:rPr>
      </w:pPr>
      <w:r>
        <w:rPr>
          <w:rFonts w:hint="eastAsia"/>
          <w:sz w:val="21"/>
          <w:szCs w:val="21"/>
        </w:rPr>
        <w:t xml:space="preserve">（四）基金财产清算的公告 </w:t>
      </w:r>
    </w:p>
    <w:p w14:paraId="7F076141">
      <w:pPr>
        <w:pStyle w:val="3"/>
        <w:spacing w:before="0" w:beforeAutospacing="0" w:after="0" w:afterAutospacing="0" w:line="360" w:lineRule="auto"/>
        <w:ind w:firstLine="420"/>
        <w:rPr>
          <w:rFonts w:hint="eastAsia"/>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664BB998">
      <w:pPr>
        <w:pStyle w:val="3"/>
        <w:spacing w:before="0" w:beforeAutospacing="0" w:after="0" w:afterAutospacing="0" w:line="360" w:lineRule="auto"/>
        <w:ind w:firstLine="420"/>
        <w:rPr>
          <w:rFonts w:hint="eastAsia"/>
          <w:sz w:val="21"/>
          <w:szCs w:val="21"/>
        </w:rPr>
      </w:pPr>
      <w:r>
        <w:rPr>
          <w:rFonts w:hint="eastAsia"/>
          <w:sz w:val="21"/>
          <w:szCs w:val="21"/>
        </w:rPr>
        <w:t xml:space="preserve">（五）基金财产清算账册及文件的保存 </w:t>
      </w:r>
    </w:p>
    <w:p w14:paraId="5FD582EF">
      <w:pPr>
        <w:pStyle w:val="3"/>
        <w:spacing w:before="0" w:beforeAutospacing="0" w:after="0" w:afterAutospacing="0" w:line="360" w:lineRule="auto"/>
        <w:ind w:firstLine="420"/>
        <w:rPr>
          <w:rFonts w:hint="eastAsia"/>
          <w:sz w:val="21"/>
          <w:szCs w:val="21"/>
        </w:rPr>
      </w:pPr>
      <w:r>
        <w:rPr>
          <w:rFonts w:hint="eastAsia"/>
          <w:sz w:val="21"/>
          <w:szCs w:val="21"/>
        </w:rPr>
        <w:t xml:space="preserve">基金财产清算账册及有关文件由基金托管人保存，保存期限不少于法律法规规定的最低期限。 </w:t>
      </w:r>
    </w:p>
    <w:p w14:paraId="131E2030">
      <w:pPr>
        <w:pStyle w:val="2"/>
        <w:rPr>
          <w:rFonts w:hint="eastAsia" w:ascii="宋体" w:hAnsi="宋体" w:eastAsia="宋体"/>
          <w:sz w:val="21"/>
        </w:rPr>
      </w:pPr>
      <w:r>
        <w:rPr>
          <w:rFonts w:hint="eastAsia" w:ascii="宋体" w:hAnsi="宋体" w:eastAsia="宋体"/>
          <w:sz w:val="21"/>
        </w:rPr>
        <w:t>五、特别提示</w:t>
      </w:r>
    </w:p>
    <w:p w14:paraId="187217E1">
      <w:pPr>
        <w:pStyle w:val="3"/>
        <w:spacing w:before="0" w:beforeAutospacing="0" w:after="0" w:afterAutospacing="0" w:line="360" w:lineRule="auto"/>
        <w:ind w:firstLine="420"/>
        <w:rPr>
          <w:sz w:val="21"/>
          <w:szCs w:val="21"/>
        </w:rPr>
      </w:pPr>
      <w:r>
        <w:rPr>
          <w:rFonts w:hint="eastAsia"/>
          <w:sz w:val="21"/>
          <w:szCs w:val="21"/>
        </w:rPr>
        <w:t xml:space="preserve">1、敬请投资者关注基金清算的相关后续公告。 </w:t>
      </w:r>
    </w:p>
    <w:p w14:paraId="17A3FD69">
      <w:pPr>
        <w:pStyle w:val="3"/>
        <w:spacing w:before="0" w:beforeAutospacing="0" w:after="0" w:afterAutospacing="0" w:line="360" w:lineRule="auto"/>
        <w:ind w:firstLine="420"/>
        <w:rPr>
          <w:rFonts w:hint="eastAsia"/>
          <w:sz w:val="21"/>
          <w:szCs w:val="21"/>
        </w:rPr>
      </w:pPr>
      <w:r>
        <w:rPr>
          <w:rFonts w:hint="eastAsia"/>
          <w:sz w:val="21"/>
          <w:szCs w:val="21"/>
        </w:rPr>
        <w:t xml:space="preserve">2、本公告的解释权归博时基金管理有限公司所有。投资者欲了解详情，可以登录本基金管理人网站（https://www.bosera.com）或拨打博时一线通95105568（免长途费）咨询相关事宜。 </w:t>
      </w:r>
    </w:p>
    <w:p w14:paraId="7274FB02">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610B854D">
      <w:pPr>
        <w:pStyle w:val="3"/>
        <w:spacing w:before="0" w:beforeAutospacing="0" w:after="0" w:afterAutospacing="0" w:line="360" w:lineRule="auto"/>
        <w:ind w:firstLine="420"/>
        <w:rPr>
          <w:sz w:val="21"/>
          <w:szCs w:val="21"/>
        </w:rPr>
      </w:pPr>
    </w:p>
    <w:p w14:paraId="51F436FB">
      <w:pPr>
        <w:pStyle w:val="3"/>
        <w:spacing w:before="0" w:beforeAutospacing="0" w:after="0" w:afterAutospacing="0" w:line="360" w:lineRule="auto"/>
        <w:ind w:firstLine="420"/>
        <w:rPr>
          <w:sz w:val="21"/>
          <w:szCs w:val="21"/>
        </w:rPr>
      </w:pPr>
    </w:p>
    <w:p w14:paraId="381675C1">
      <w:pPr>
        <w:pStyle w:val="3"/>
        <w:spacing w:before="0" w:beforeAutospacing="0" w:after="0" w:afterAutospacing="0" w:line="360" w:lineRule="auto"/>
        <w:ind w:firstLine="420"/>
        <w:rPr>
          <w:sz w:val="21"/>
          <w:szCs w:val="21"/>
        </w:rPr>
      </w:pPr>
    </w:p>
    <w:p w14:paraId="3D217FCA">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168B94BD">
      <w:pPr>
        <w:pStyle w:val="3"/>
        <w:spacing w:before="0" w:beforeAutospacing="0" w:after="0" w:afterAutospacing="0" w:line="360" w:lineRule="auto"/>
        <w:ind w:firstLine="420"/>
        <w:jc w:val="right"/>
        <w:rPr>
          <w:sz w:val="21"/>
          <w:szCs w:val="21"/>
        </w:rPr>
      </w:pPr>
      <w:r>
        <w:rPr>
          <w:sz w:val="21"/>
          <w:szCs w:val="21"/>
        </w:rPr>
        <w:t>2026年7月28日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黑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1BA"/>
    <w:rsid w:val="002851BA"/>
    <w:rsid w:val="00336E10"/>
    <w:rsid w:val="1FEBFF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4</Pages>
  <Words>319</Words>
  <Characters>1821</Characters>
  <Lines>15</Lines>
  <Paragraphs>4</Paragraphs>
  <TotalTime>3</TotalTime>
  <ScaleCrop>false</ScaleCrop>
  <LinksUpToDate>false</LinksUpToDate>
  <CharactersWithSpaces>2136</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2026-07-27T12:40:00Z</dcterms:created>
  <dc:creator>BSKMadminDev</dc:creator>
  <cp:lastModifiedBy>chenjy814</cp:lastModifiedBy>
  <dcterms:modified xsi:type="dcterms:W3CDTF">2026-07-27T12:45:16Z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05AB7FF2ACFCD44D5CE2666A92ED1BD3_43</vt:lpwstr>
  </property>
</Properties>
</file>