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9A5BB">
      <w:pPr>
        <w:adjustRightInd w:val="0"/>
        <w:snapToGrid w:val="0"/>
        <w:jc w:val="both"/>
        <w:rPr>
          <w:rFonts w:ascii="彩虹粗仿宋" w:hAnsi="宋体" w:eastAsia="彩虹粗仿宋" w:cs="Arial"/>
          <w:sz w:val="24"/>
        </w:rPr>
      </w:pPr>
    </w:p>
    <w:p w14:paraId="1297EBC0">
      <w:pPr>
        <w:adjustRightInd w:val="0"/>
        <w:snapToGrid w:val="0"/>
        <w:jc w:val="center"/>
        <w:rPr>
          <w:rFonts w:ascii="彩虹粗仿宋" w:hAnsi="宋体" w:eastAsia="彩虹粗仿宋" w:cs="Arial"/>
          <w:sz w:val="24"/>
        </w:rPr>
      </w:pPr>
    </w:p>
    <w:p w14:paraId="693BDF0B">
      <w:pPr>
        <w:adjustRightInd w:val="0"/>
        <w:snapToGrid w:val="0"/>
        <w:jc w:val="center"/>
        <w:rPr>
          <w:rFonts w:ascii="彩虹粗仿宋" w:hAnsi="宋体" w:eastAsia="彩虹粗仿宋" w:cs="Arial"/>
          <w:sz w:val="24"/>
        </w:rPr>
      </w:pPr>
    </w:p>
    <w:p w14:paraId="4134472F">
      <w:pPr>
        <w:adjustRightInd w:val="0"/>
        <w:snapToGrid w:val="0"/>
        <w:rPr>
          <w:rFonts w:ascii="彩虹粗仿宋" w:hAnsi="宋体" w:eastAsia="彩虹粗仿宋" w:cs="Arial"/>
          <w:sz w:val="24"/>
        </w:rPr>
      </w:pPr>
    </w:p>
    <w:p w14:paraId="0D9BBAA2">
      <w:pPr>
        <w:adjustRightInd w:val="0"/>
        <w:snapToGrid w:val="0"/>
        <w:jc w:val="center"/>
        <w:rPr>
          <w:rFonts w:ascii="彩虹粗仿宋" w:hAnsi="宋体" w:eastAsia="彩虹粗仿宋" w:cs="Arial"/>
          <w:sz w:val="24"/>
        </w:rPr>
      </w:pPr>
    </w:p>
    <w:p w14:paraId="2A538330">
      <w:pPr>
        <w:adjustRightInd w:val="0"/>
        <w:snapToGrid w:val="0"/>
        <w:jc w:val="center"/>
        <w:rPr>
          <w:rFonts w:ascii="彩虹粗仿宋" w:hAnsi="宋体" w:eastAsia="彩虹粗仿宋" w:cs="Arial"/>
          <w:sz w:val="24"/>
        </w:rPr>
      </w:pPr>
    </w:p>
    <w:p w14:paraId="60DC93F7">
      <w:pPr>
        <w:adjustRightInd w:val="0"/>
        <w:snapToGrid w:val="0"/>
        <w:jc w:val="center"/>
        <w:rPr>
          <w:rFonts w:ascii="彩虹粗仿宋" w:hAnsi="宋体" w:eastAsia="彩虹粗仿宋" w:cs="Arial"/>
          <w:sz w:val="24"/>
        </w:rPr>
      </w:pPr>
    </w:p>
    <w:p w14:paraId="0925482B">
      <w:pPr>
        <w:adjustRightInd w:val="0"/>
        <w:snapToGrid w:val="0"/>
        <w:jc w:val="center"/>
        <w:rPr>
          <w:rFonts w:ascii="彩虹粗仿宋" w:hAnsi="宋体" w:eastAsia="彩虹粗仿宋" w:cs="Arial"/>
          <w:sz w:val="24"/>
        </w:rPr>
      </w:pPr>
    </w:p>
    <w:p w14:paraId="764E6080">
      <w:pPr>
        <w:adjustRightInd w:val="0"/>
        <w:snapToGrid w:val="0"/>
        <w:jc w:val="center"/>
        <w:rPr>
          <w:rFonts w:ascii="彩虹粗仿宋" w:hAnsi="宋体" w:eastAsia="彩虹粗仿宋" w:cs="Arial"/>
          <w:sz w:val="24"/>
        </w:rPr>
      </w:pPr>
    </w:p>
    <w:p w14:paraId="37D90842">
      <w:pPr>
        <w:adjustRightInd w:val="0"/>
        <w:snapToGrid w:val="0"/>
        <w:jc w:val="center"/>
        <w:rPr>
          <w:rFonts w:ascii="彩虹粗仿宋" w:hAnsi="宋体" w:eastAsia="彩虹粗仿宋" w:cs="Arial"/>
          <w:b/>
          <w:sz w:val="44"/>
        </w:rPr>
      </w:pPr>
      <w:r>
        <w:rPr>
          <w:rFonts w:hint="eastAsia" w:ascii="彩虹粗仿宋" w:hAnsi="宋体" w:eastAsia="彩虹粗仿宋" w:cs="Arial"/>
          <w:b/>
          <w:sz w:val="44"/>
        </w:rPr>
        <w:t>博时富洋纯债一年定期开放债券型发起式证券投资基金托管协议</w:t>
      </w:r>
    </w:p>
    <w:p w14:paraId="5FC34979">
      <w:pPr>
        <w:adjustRightInd w:val="0"/>
        <w:snapToGrid w:val="0"/>
        <w:jc w:val="center"/>
        <w:outlineLvl w:val="0"/>
        <w:rPr>
          <w:rFonts w:ascii="彩虹粗仿宋" w:hAnsi="宋体" w:eastAsia="彩虹粗仿宋" w:cs="Arial"/>
          <w:sz w:val="24"/>
        </w:rPr>
      </w:pPr>
    </w:p>
    <w:p w14:paraId="61E69D91">
      <w:pPr>
        <w:adjustRightInd w:val="0"/>
        <w:snapToGrid w:val="0"/>
        <w:jc w:val="center"/>
        <w:outlineLvl w:val="0"/>
        <w:rPr>
          <w:rFonts w:ascii="彩虹粗仿宋" w:hAnsi="宋体" w:eastAsia="彩虹粗仿宋" w:cs="Arial"/>
          <w:sz w:val="24"/>
        </w:rPr>
      </w:pPr>
    </w:p>
    <w:p w14:paraId="7EE96D71">
      <w:pPr>
        <w:adjustRightInd w:val="0"/>
        <w:snapToGrid w:val="0"/>
        <w:outlineLvl w:val="0"/>
        <w:rPr>
          <w:rFonts w:ascii="彩虹粗仿宋" w:hAnsi="宋体" w:eastAsia="彩虹粗仿宋" w:cs="Arial"/>
          <w:sz w:val="24"/>
        </w:rPr>
      </w:pPr>
    </w:p>
    <w:p w14:paraId="5C1896F0">
      <w:pPr>
        <w:adjustRightInd w:val="0"/>
        <w:snapToGrid w:val="0"/>
        <w:jc w:val="center"/>
        <w:outlineLvl w:val="0"/>
        <w:rPr>
          <w:rFonts w:ascii="彩虹粗仿宋" w:hAnsi="宋体" w:eastAsia="彩虹粗仿宋" w:cs="Arial"/>
          <w:sz w:val="24"/>
        </w:rPr>
      </w:pPr>
    </w:p>
    <w:p w14:paraId="36635E03">
      <w:pPr>
        <w:adjustRightInd w:val="0"/>
        <w:snapToGrid w:val="0"/>
        <w:jc w:val="center"/>
        <w:outlineLvl w:val="0"/>
        <w:rPr>
          <w:rFonts w:ascii="彩虹粗仿宋" w:hAnsi="宋体" w:eastAsia="彩虹粗仿宋" w:cs="Arial"/>
          <w:sz w:val="24"/>
        </w:rPr>
      </w:pPr>
    </w:p>
    <w:p w14:paraId="1D1A775A">
      <w:pPr>
        <w:adjustRightInd w:val="0"/>
        <w:snapToGrid w:val="0"/>
        <w:jc w:val="center"/>
        <w:outlineLvl w:val="0"/>
        <w:rPr>
          <w:rFonts w:ascii="彩虹粗仿宋" w:hAnsi="宋体" w:eastAsia="彩虹粗仿宋" w:cs="Arial"/>
          <w:sz w:val="24"/>
        </w:rPr>
      </w:pPr>
    </w:p>
    <w:p w14:paraId="1B617E81">
      <w:pPr>
        <w:adjustRightInd w:val="0"/>
        <w:snapToGrid w:val="0"/>
        <w:jc w:val="center"/>
        <w:outlineLvl w:val="0"/>
        <w:rPr>
          <w:rFonts w:ascii="彩虹粗仿宋" w:hAnsi="宋体" w:eastAsia="彩虹粗仿宋" w:cs="Arial"/>
          <w:sz w:val="24"/>
        </w:rPr>
      </w:pPr>
    </w:p>
    <w:p w14:paraId="063EE74B">
      <w:pPr>
        <w:adjustRightInd w:val="0"/>
        <w:snapToGrid w:val="0"/>
        <w:jc w:val="center"/>
        <w:outlineLvl w:val="0"/>
        <w:rPr>
          <w:rFonts w:ascii="彩虹粗仿宋" w:hAnsi="宋体" w:eastAsia="彩虹粗仿宋" w:cs="Arial"/>
          <w:sz w:val="24"/>
        </w:rPr>
      </w:pPr>
    </w:p>
    <w:p w14:paraId="363BE636">
      <w:pPr>
        <w:adjustRightInd w:val="0"/>
        <w:snapToGrid w:val="0"/>
        <w:outlineLvl w:val="0"/>
        <w:rPr>
          <w:rFonts w:ascii="彩虹粗仿宋" w:hAnsi="宋体" w:eastAsia="彩虹粗仿宋" w:cs="Arial"/>
          <w:b/>
          <w:bCs/>
          <w:sz w:val="28"/>
        </w:rPr>
      </w:pPr>
      <w:r>
        <w:rPr>
          <w:rFonts w:hint="eastAsia" w:ascii="彩虹粗仿宋" w:hAnsi="宋体" w:eastAsia="彩虹粗仿宋" w:cs="Arial"/>
          <w:sz w:val="24"/>
        </w:rPr>
        <w:t xml:space="preserve">                 </w:t>
      </w:r>
      <w:r>
        <w:rPr>
          <w:rFonts w:hint="eastAsia" w:ascii="彩虹粗仿宋" w:hAnsi="宋体" w:eastAsia="彩虹粗仿宋" w:cs="Arial"/>
          <w:b/>
          <w:bCs/>
          <w:sz w:val="28"/>
        </w:rPr>
        <w:t>基金管理人：博时基金管理有限公司</w:t>
      </w:r>
    </w:p>
    <w:p w14:paraId="32FB87C6">
      <w:pPr>
        <w:adjustRightInd w:val="0"/>
        <w:snapToGrid w:val="0"/>
        <w:outlineLvl w:val="0"/>
        <w:rPr>
          <w:rFonts w:ascii="彩虹粗仿宋" w:hAnsi="宋体" w:eastAsia="彩虹粗仿宋" w:cs="Arial"/>
          <w:b/>
          <w:bCs/>
          <w:sz w:val="28"/>
        </w:rPr>
      </w:pPr>
      <w:r>
        <w:rPr>
          <w:rFonts w:hint="eastAsia" w:ascii="彩虹粗仿宋" w:hAnsi="宋体" w:eastAsia="彩虹粗仿宋" w:cs="Arial"/>
          <w:sz w:val="24"/>
        </w:rPr>
        <w:t xml:space="preserve">                 </w:t>
      </w:r>
      <w:r>
        <w:rPr>
          <w:rFonts w:hint="eastAsia" w:ascii="彩虹粗仿宋" w:hAnsi="宋体" w:eastAsia="彩虹粗仿宋" w:cs="Arial"/>
          <w:b/>
          <w:bCs/>
          <w:sz w:val="28"/>
        </w:rPr>
        <w:t>基金托管人：上海银行股份有限公司</w:t>
      </w:r>
    </w:p>
    <w:p w14:paraId="76948ED1">
      <w:pPr>
        <w:adjustRightInd w:val="0"/>
        <w:snapToGrid w:val="0"/>
        <w:jc w:val="center"/>
        <w:outlineLvl w:val="0"/>
        <w:rPr>
          <w:rFonts w:ascii="彩虹粗仿宋" w:hAnsi="宋体" w:eastAsia="彩虹粗仿宋" w:cs="Arial"/>
          <w:sz w:val="24"/>
        </w:rPr>
      </w:pPr>
    </w:p>
    <w:p w14:paraId="3C37EA9A">
      <w:pPr>
        <w:adjustRightInd w:val="0"/>
        <w:snapToGrid w:val="0"/>
        <w:jc w:val="center"/>
        <w:outlineLvl w:val="0"/>
        <w:rPr>
          <w:rFonts w:ascii="彩虹粗仿宋" w:hAnsi="宋体" w:eastAsia="彩虹粗仿宋" w:cs="Arial"/>
          <w:sz w:val="24"/>
        </w:rPr>
      </w:pPr>
    </w:p>
    <w:p w14:paraId="482FE764">
      <w:pPr>
        <w:adjustRightInd w:val="0"/>
        <w:snapToGrid w:val="0"/>
        <w:jc w:val="center"/>
        <w:outlineLvl w:val="0"/>
        <w:rPr>
          <w:rFonts w:ascii="彩虹粗仿宋" w:hAnsi="宋体" w:eastAsia="彩虹粗仿宋" w:cs="Arial"/>
          <w:sz w:val="24"/>
        </w:rPr>
      </w:pPr>
    </w:p>
    <w:p w14:paraId="70CCD22C">
      <w:pPr>
        <w:adjustRightInd w:val="0"/>
        <w:snapToGrid w:val="0"/>
        <w:jc w:val="center"/>
        <w:outlineLvl w:val="0"/>
        <w:rPr>
          <w:rFonts w:ascii="彩虹粗仿宋" w:hAnsi="宋体" w:eastAsia="彩虹粗仿宋" w:cs="Arial"/>
          <w:sz w:val="24"/>
        </w:rPr>
      </w:pPr>
    </w:p>
    <w:p w14:paraId="7CA7E2EF">
      <w:pPr>
        <w:adjustRightInd w:val="0"/>
        <w:snapToGrid w:val="0"/>
        <w:jc w:val="center"/>
        <w:outlineLvl w:val="0"/>
        <w:rPr>
          <w:rFonts w:ascii="彩虹粗仿宋" w:hAnsi="宋体" w:eastAsia="彩虹粗仿宋" w:cs="Arial"/>
          <w:sz w:val="24"/>
        </w:rPr>
      </w:pPr>
    </w:p>
    <w:p w14:paraId="4FB9DBE4">
      <w:pPr>
        <w:adjustRightInd w:val="0"/>
        <w:snapToGrid w:val="0"/>
        <w:outlineLvl w:val="0"/>
        <w:rPr>
          <w:rFonts w:ascii="彩虹粗仿宋" w:hAnsi="宋体" w:eastAsia="彩虹粗仿宋" w:cs="Arial"/>
          <w:sz w:val="24"/>
        </w:rPr>
      </w:pPr>
      <w:r>
        <w:rPr>
          <w:rFonts w:hint="eastAsia" w:ascii="彩虹粗仿宋" w:hAnsi="宋体" w:eastAsia="彩虹粗仿宋" w:cs="Arial"/>
          <w:sz w:val="24"/>
        </w:rPr>
        <w:t xml:space="preserve">                            二零二</w:t>
      </w:r>
      <w:r>
        <w:rPr>
          <w:rFonts w:hint="eastAsia" w:ascii="彩虹粗仿宋" w:hAnsi="宋体" w:eastAsia="彩虹粗仿宋" w:cs="Arial"/>
          <w:sz w:val="24"/>
          <w:lang w:val="en-US" w:eastAsia="zh-CN"/>
        </w:rPr>
        <w:t>六</w:t>
      </w:r>
      <w:r>
        <w:rPr>
          <w:rFonts w:hint="eastAsia" w:ascii="彩虹粗仿宋" w:hAnsi="宋体" w:eastAsia="彩虹粗仿宋" w:cs="Arial"/>
          <w:sz w:val="24"/>
        </w:rPr>
        <w:t>年</w:t>
      </w:r>
      <w:r>
        <w:rPr>
          <w:rFonts w:hint="eastAsia" w:ascii="彩虹粗仿宋" w:hAnsi="宋体" w:eastAsia="彩虹粗仿宋" w:cs="Arial"/>
          <w:sz w:val="24"/>
          <w:lang w:val="en-US" w:eastAsia="zh-CN"/>
        </w:rPr>
        <w:t>六</w:t>
      </w:r>
      <w:r>
        <w:rPr>
          <w:rFonts w:hint="eastAsia" w:ascii="彩虹粗仿宋" w:hAnsi="宋体" w:eastAsia="彩虹粗仿宋" w:cs="Arial"/>
          <w:sz w:val="24"/>
        </w:rPr>
        <w:t>月</w:t>
      </w:r>
    </w:p>
    <w:p w14:paraId="2835976A">
      <w:pPr>
        <w:adjustRightInd w:val="0"/>
        <w:snapToGrid w:val="0"/>
        <w:jc w:val="center"/>
        <w:outlineLvl w:val="0"/>
        <w:rPr>
          <w:rFonts w:ascii="彩虹粗仿宋" w:hAnsi="宋体" w:eastAsia="彩虹粗仿宋" w:cs="Arial"/>
          <w:sz w:val="24"/>
        </w:rPr>
      </w:pPr>
    </w:p>
    <w:p w14:paraId="00EA13E7">
      <w:pPr>
        <w:adjustRightInd w:val="0"/>
        <w:snapToGrid w:val="0"/>
        <w:rPr>
          <w:rFonts w:ascii="彩虹粗仿宋" w:hAnsi="宋体" w:eastAsia="彩虹粗仿宋" w:cs="Arial"/>
          <w:bCs/>
          <w:sz w:val="24"/>
        </w:rPr>
        <w:sectPr>
          <w:footerReference r:id="rId3" w:type="even"/>
          <w:pgSz w:w="11906" w:h="16838"/>
          <w:pgMar w:top="1418" w:right="1701" w:bottom="1418" w:left="1701" w:header="851" w:footer="992" w:gutter="0"/>
          <w:cols w:space="425" w:num="1"/>
          <w:docGrid w:type="lines" w:linePitch="312" w:charSpace="0"/>
        </w:sectPr>
      </w:pPr>
    </w:p>
    <w:p w14:paraId="1AF9CB8F">
      <w:pPr>
        <w:jc w:val="center"/>
        <w:rPr>
          <w:rFonts w:ascii="彩虹粗仿宋" w:eastAsia="彩虹粗仿宋"/>
          <w:b/>
          <w:bCs/>
          <w:sz w:val="30"/>
        </w:rPr>
      </w:pPr>
      <w:r>
        <w:rPr>
          <w:rFonts w:hint="eastAsia" w:ascii="彩虹粗仿宋" w:eastAsia="彩虹粗仿宋"/>
          <w:b/>
          <w:bCs/>
          <w:sz w:val="30"/>
        </w:rPr>
        <w:t>目    录</w:t>
      </w:r>
    </w:p>
    <w:p w14:paraId="7C02FD58">
      <w:pPr>
        <w:pStyle w:val="20"/>
        <w:tabs>
          <w:tab w:val="right" w:leader="dot" w:pos="8494"/>
        </w:tabs>
        <w:rPr>
          <w:rFonts w:ascii="彩虹粗仿宋" w:hAnsi="宋体" w:eastAsia="彩虹粗仿宋"/>
          <w:sz w:val="28"/>
        </w:rPr>
      </w:pPr>
      <w:r>
        <w:rPr>
          <w:rFonts w:hint="eastAsia" w:ascii="彩虹粗仿宋" w:hAnsi="宋体" w:eastAsia="彩虹粗仿宋"/>
          <w:sz w:val="28"/>
        </w:rPr>
        <w:fldChar w:fldCharType="begin"/>
      </w:r>
      <w:r>
        <w:rPr>
          <w:rFonts w:hint="eastAsia" w:ascii="彩虹粗仿宋" w:hAnsi="宋体" w:eastAsia="彩虹粗仿宋"/>
          <w:sz w:val="28"/>
        </w:rPr>
        <w:instrText xml:space="preserve"> TOC \o "1-2" \h \z </w:instrText>
      </w:r>
      <w:r>
        <w:rPr>
          <w:rFonts w:hint="eastAsia" w:ascii="彩虹粗仿宋" w:hAnsi="宋体" w:eastAsia="彩虹粗仿宋"/>
          <w:sz w:val="28"/>
        </w:rPr>
        <w:fldChar w:fldCharType="separate"/>
      </w:r>
      <w:r>
        <w:fldChar w:fldCharType="begin"/>
      </w:r>
      <w:r>
        <w:instrText xml:space="preserve"> HYPERLINK \l "_Toc124325885" </w:instrText>
      </w:r>
      <w:r>
        <w:fldChar w:fldCharType="separate"/>
      </w:r>
      <w:r>
        <w:rPr>
          <w:rStyle w:val="30"/>
          <w:rFonts w:hint="eastAsia" w:ascii="彩虹粗仿宋" w:hAnsi="宋体" w:eastAsia="彩虹粗仿宋"/>
          <w:sz w:val="28"/>
          <w:szCs w:val="32"/>
        </w:rPr>
        <w:t>一、基金托管协议当事人</w:t>
      </w:r>
      <w:r>
        <w:rPr>
          <w:rFonts w:hint="eastAsia" w:ascii="彩虹粗仿宋" w:hAnsi="宋体" w:eastAsia="彩虹粗仿宋"/>
          <w:sz w:val="28"/>
        </w:rPr>
        <w:tab/>
      </w:r>
      <w:r>
        <w:rPr>
          <w:rFonts w:hint="eastAsia" w:ascii="彩虹粗仿宋" w:hAnsi="宋体" w:eastAsia="彩虹粗仿宋"/>
          <w:sz w:val="28"/>
        </w:rPr>
        <w:t>1-</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_Toc124325885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19BE155A">
      <w:pPr>
        <w:pStyle w:val="20"/>
        <w:tabs>
          <w:tab w:val="right" w:leader="dot" w:pos="8494"/>
        </w:tabs>
        <w:rPr>
          <w:rFonts w:ascii="彩虹粗仿宋" w:hAnsi="宋体" w:eastAsia="彩虹粗仿宋"/>
          <w:sz w:val="28"/>
        </w:rPr>
      </w:pPr>
      <w:r>
        <w:fldChar w:fldCharType="begin"/>
      </w:r>
      <w:r>
        <w:instrText xml:space="preserve"> HYPERLINK \l "_Toc124325886" </w:instrText>
      </w:r>
      <w:r>
        <w:fldChar w:fldCharType="separate"/>
      </w:r>
      <w:r>
        <w:rPr>
          <w:rStyle w:val="30"/>
          <w:rFonts w:hint="eastAsia" w:ascii="彩虹粗仿宋" w:hAnsi="宋体" w:eastAsia="彩虹粗仿宋"/>
          <w:sz w:val="28"/>
          <w:szCs w:val="32"/>
        </w:rPr>
        <w:t>二、基金托管协议的依据、目的和原则</w:t>
      </w:r>
      <w:r>
        <w:rPr>
          <w:rFonts w:hint="eastAsia" w:ascii="彩虹粗仿宋" w:hAnsi="宋体" w:eastAsia="彩虹粗仿宋"/>
          <w:sz w:val="28"/>
        </w:rPr>
        <w:tab/>
      </w:r>
      <w:r>
        <w:rPr>
          <w:rFonts w:hint="eastAsia" w:ascii="彩虹粗仿宋" w:hAnsi="宋体" w:eastAsia="彩虹粗仿宋"/>
          <w:sz w:val="28"/>
        </w:rPr>
        <w:t>2-</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_Toc124325886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2C45E541">
      <w:pPr>
        <w:pStyle w:val="20"/>
        <w:tabs>
          <w:tab w:val="right" w:leader="dot" w:pos="8494"/>
        </w:tabs>
        <w:rPr>
          <w:rFonts w:ascii="彩虹粗仿宋" w:hAnsi="宋体" w:eastAsia="彩虹粗仿宋"/>
          <w:sz w:val="28"/>
        </w:rPr>
      </w:pPr>
      <w:r>
        <w:fldChar w:fldCharType="begin"/>
      </w:r>
      <w:r>
        <w:instrText xml:space="preserve"> HYPERLINK \l "_Toc124325887" </w:instrText>
      </w:r>
      <w:r>
        <w:fldChar w:fldCharType="separate"/>
      </w:r>
      <w:r>
        <w:rPr>
          <w:rStyle w:val="30"/>
          <w:rFonts w:hint="eastAsia" w:ascii="彩虹粗仿宋" w:hAnsi="宋体" w:eastAsia="彩虹粗仿宋"/>
          <w:sz w:val="28"/>
          <w:szCs w:val="32"/>
        </w:rPr>
        <w:t>三、基金托管人对基金管理人的业务监督和核查</w:t>
      </w:r>
      <w:r>
        <w:rPr>
          <w:rFonts w:hint="eastAsia" w:ascii="彩虹粗仿宋" w:hAnsi="宋体" w:eastAsia="彩虹粗仿宋"/>
          <w:sz w:val="28"/>
        </w:rPr>
        <w:tab/>
      </w:r>
      <w:r>
        <w:rPr>
          <w:rFonts w:hint="eastAsia" w:ascii="彩虹粗仿宋" w:hAnsi="宋体" w:eastAsia="彩虹粗仿宋"/>
          <w:sz w:val="28"/>
        </w:rPr>
        <w:t>3-</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_Toc124325887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1078B400">
      <w:pPr>
        <w:pStyle w:val="20"/>
        <w:tabs>
          <w:tab w:val="right" w:leader="dot" w:pos="8494"/>
        </w:tabs>
        <w:rPr>
          <w:rFonts w:ascii="彩虹粗仿宋" w:hAnsi="宋体" w:eastAsia="彩虹粗仿宋"/>
          <w:sz w:val="28"/>
        </w:rPr>
      </w:pPr>
      <w:r>
        <w:fldChar w:fldCharType="begin"/>
      </w:r>
      <w:r>
        <w:instrText xml:space="preserve"> HYPERLINK \l "_Toc124325888" </w:instrText>
      </w:r>
      <w:r>
        <w:fldChar w:fldCharType="separate"/>
      </w:r>
      <w:r>
        <w:rPr>
          <w:rStyle w:val="30"/>
          <w:rFonts w:hint="eastAsia" w:ascii="彩虹粗仿宋" w:hAnsi="宋体" w:eastAsia="彩虹粗仿宋"/>
          <w:sz w:val="28"/>
          <w:szCs w:val="32"/>
        </w:rPr>
        <w:t>四、基金管理人对基金托管人的业务核查</w:t>
      </w:r>
      <w:r>
        <w:rPr>
          <w:rFonts w:hint="eastAsia" w:ascii="彩虹粗仿宋" w:hAnsi="宋体" w:eastAsia="彩虹粗仿宋"/>
          <w:sz w:val="28"/>
        </w:rPr>
        <w:tab/>
      </w:r>
      <w:r>
        <w:rPr>
          <w:rFonts w:hint="eastAsia" w:ascii="彩虹粗仿宋" w:hAnsi="宋体" w:eastAsia="彩虹粗仿宋"/>
          <w:sz w:val="28"/>
        </w:rPr>
        <w:t>4-</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_Toc124325888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019E1F1F">
      <w:pPr>
        <w:pStyle w:val="20"/>
        <w:tabs>
          <w:tab w:val="right" w:leader="dot" w:pos="8494"/>
        </w:tabs>
        <w:rPr>
          <w:rFonts w:ascii="彩虹粗仿宋" w:hAnsi="宋体" w:eastAsia="彩虹粗仿宋"/>
          <w:sz w:val="28"/>
        </w:rPr>
      </w:pPr>
      <w:r>
        <w:fldChar w:fldCharType="begin"/>
      </w:r>
      <w:r>
        <w:instrText xml:space="preserve"> HYPERLINK \l "_Toc124325889" </w:instrText>
      </w:r>
      <w:r>
        <w:fldChar w:fldCharType="separate"/>
      </w:r>
      <w:r>
        <w:rPr>
          <w:rStyle w:val="30"/>
          <w:rFonts w:hint="eastAsia" w:ascii="彩虹粗仿宋" w:hAnsi="宋体" w:eastAsia="彩虹粗仿宋"/>
          <w:sz w:val="28"/>
          <w:szCs w:val="32"/>
        </w:rPr>
        <w:t>五、基金财产的保管</w:t>
      </w:r>
      <w:r>
        <w:rPr>
          <w:rFonts w:hint="eastAsia" w:ascii="彩虹粗仿宋" w:hAnsi="宋体" w:eastAsia="彩虹粗仿宋"/>
          <w:sz w:val="28"/>
        </w:rPr>
        <w:tab/>
      </w:r>
      <w:r>
        <w:rPr>
          <w:rFonts w:hint="eastAsia" w:ascii="彩虹粗仿宋" w:hAnsi="宋体" w:eastAsia="彩虹粗仿宋"/>
          <w:sz w:val="28"/>
        </w:rPr>
        <w:t>5-</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_Toc124325889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2A1CA7CD">
      <w:pPr>
        <w:pStyle w:val="20"/>
        <w:tabs>
          <w:tab w:val="right" w:leader="dot" w:pos="8494"/>
        </w:tabs>
        <w:rPr>
          <w:rFonts w:ascii="彩虹粗仿宋" w:hAnsi="宋体" w:eastAsia="彩虹粗仿宋"/>
          <w:sz w:val="28"/>
        </w:rPr>
      </w:pPr>
      <w:r>
        <w:fldChar w:fldCharType="begin"/>
      </w:r>
      <w:r>
        <w:instrText xml:space="preserve"> HYPERLINK \l "_Toc124325890" </w:instrText>
      </w:r>
      <w:r>
        <w:fldChar w:fldCharType="separate"/>
      </w:r>
      <w:r>
        <w:rPr>
          <w:rStyle w:val="30"/>
          <w:rFonts w:hint="eastAsia" w:ascii="彩虹粗仿宋" w:hAnsi="宋体" w:eastAsia="彩虹粗仿宋"/>
          <w:sz w:val="28"/>
          <w:szCs w:val="32"/>
        </w:rPr>
        <w:t>六、指令的发送、确认及执行</w:t>
      </w:r>
      <w:r>
        <w:rPr>
          <w:rFonts w:hint="eastAsia" w:ascii="彩虹粗仿宋" w:hAnsi="宋体" w:eastAsia="彩虹粗仿宋"/>
          <w:sz w:val="28"/>
        </w:rPr>
        <w:tab/>
      </w:r>
      <w:r>
        <w:rPr>
          <w:rFonts w:hint="eastAsia" w:ascii="彩虹粗仿宋" w:hAnsi="宋体" w:eastAsia="彩虹粗仿宋"/>
          <w:sz w:val="28"/>
        </w:rPr>
        <w:t>6-</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_Toc124325890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285E3E83">
      <w:pPr>
        <w:pStyle w:val="20"/>
        <w:tabs>
          <w:tab w:val="right" w:leader="dot" w:pos="8494"/>
        </w:tabs>
        <w:rPr>
          <w:rFonts w:ascii="彩虹粗仿宋" w:hAnsi="宋体" w:eastAsia="彩虹粗仿宋"/>
          <w:sz w:val="28"/>
        </w:rPr>
      </w:pPr>
      <w:r>
        <w:fldChar w:fldCharType="begin"/>
      </w:r>
      <w:r>
        <w:instrText xml:space="preserve"> HYPERLINK \l "_Toc124325891" </w:instrText>
      </w:r>
      <w:r>
        <w:fldChar w:fldCharType="separate"/>
      </w:r>
      <w:r>
        <w:rPr>
          <w:rStyle w:val="30"/>
          <w:rFonts w:hint="eastAsia" w:ascii="彩虹粗仿宋" w:hAnsi="宋体" w:eastAsia="彩虹粗仿宋"/>
          <w:sz w:val="28"/>
          <w:szCs w:val="32"/>
        </w:rPr>
        <w:t>七、交易及清算交收安排</w:t>
      </w:r>
      <w:r>
        <w:rPr>
          <w:rFonts w:hint="eastAsia" w:ascii="彩虹粗仿宋" w:hAnsi="宋体" w:eastAsia="彩虹粗仿宋"/>
          <w:sz w:val="28"/>
        </w:rPr>
        <w:tab/>
      </w:r>
      <w:r>
        <w:rPr>
          <w:rFonts w:hint="eastAsia" w:ascii="彩虹粗仿宋" w:hAnsi="宋体" w:eastAsia="彩虹粗仿宋"/>
          <w:sz w:val="28"/>
        </w:rPr>
        <w:t>7-</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_Toc124325891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4291012B">
      <w:pPr>
        <w:pStyle w:val="20"/>
        <w:tabs>
          <w:tab w:val="right" w:leader="dot" w:pos="8494"/>
        </w:tabs>
        <w:rPr>
          <w:rFonts w:ascii="彩虹粗仿宋" w:hAnsi="宋体" w:eastAsia="彩虹粗仿宋"/>
          <w:sz w:val="28"/>
        </w:rPr>
      </w:pPr>
      <w:r>
        <w:fldChar w:fldCharType="begin"/>
      </w:r>
      <w:r>
        <w:instrText xml:space="preserve"> HYPERLINK \l "_Toc124325892" </w:instrText>
      </w:r>
      <w:r>
        <w:fldChar w:fldCharType="separate"/>
      </w:r>
      <w:r>
        <w:rPr>
          <w:rStyle w:val="30"/>
          <w:rFonts w:hint="eastAsia" w:ascii="彩虹粗仿宋" w:hAnsi="宋体" w:eastAsia="彩虹粗仿宋"/>
          <w:sz w:val="28"/>
          <w:szCs w:val="32"/>
        </w:rPr>
        <w:t>八、基金资产净值计算和会计核算</w:t>
      </w:r>
      <w:r>
        <w:rPr>
          <w:rFonts w:hint="eastAsia" w:ascii="彩虹粗仿宋" w:hAnsi="宋体" w:eastAsia="彩虹粗仿宋"/>
          <w:sz w:val="28"/>
        </w:rPr>
        <w:tab/>
      </w:r>
      <w:r>
        <w:rPr>
          <w:rFonts w:hint="eastAsia" w:ascii="彩虹粗仿宋" w:hAnsi="宋体" w:eastAsia="彩虹粗仿宋"/>
          <w:sz w:val="28"/>
        </w:rPr>
        <w:t>8-</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_Toc124325892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4FE69B16">
      <w:pPr>
        <w:pStyle w:val="20"/>
        <w:tabs>
          <w:tab w:val="right" w:leader="dot" w:pos="8494"/>
        </w:tabs>
        <w:rPr>
          <w:rFonts w:ascii="彩虹粗仿宋" w:hAnsi="宋体" w:eastAsia="彩虹粗仿宋"/>
          <w:sz w:val="28"/>
        </w:rPr>
      </w:pPr>
      <w:r>
        <w:fldChar w:fldCharType="begin"/>
      </w:r>
      <w:r>
        <w:instrText xml:space="preserve"> HYPERLINK \l "_Toc124325893" </w:instrText>
      </w:r>
      <w:r>
        <w:fldChar w:fldCharType="separate"/>
      </w:r>
      <w:r>
        <w:rPr>
          <w:rStyle w:val="30"/>
          <w:rFonts w:hint="eastAsia" w:ascii="彩虹粗仿宋" w:hAnsi="宋体" w:eastAsia="彩虹粗仿宋"/>
          <w:sz w:val="28"/>
          <w:szCs w:val="32"/>
        </w:rPr>
        <w:t>九、基金收益分配</w:t>
      </w:r>
      <w:r>
        <w:rPr>
          <w:rFonts w:hint="eastAsia" w:ascii="彩虹粗仿宋" w:hAnsi="宋体" w:eastAsia="彩虹粗仿宋"/>
          <w:sz w:val="28"/>
        </w:rPr>
        <w:tab/>
      </w:r>
      <w:r>
        <w:rPr>
          <w:rFonts w:hint="eastAsia" w:ascii="彩虹粗仿宋" w:hAnsi="宋体" w:eastAsia="彩虹粗仿宋"/>
          <w:sz w:val="28"/>
        </w:rPr>
        <w:t>9-</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_Toc124325893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5CD86FA9">
      <w:pPr>
        <w:pStyle w:val="20"/>
        <w:tabs>
          <w:tab w:val="right" w:leader="dot" w:pos="8494"/>
        </w:tabs>
        <w:rPr>
          <w:rFonts w:ascii="彩虹粗仿宋" w:hAnsi="宋体" w:eastAsia="彩虹粗仿宋"/>
          <w:sz w:val="28"/>
        </w:rPr>
      </w:pPr>
      <w:r>
        <w:fldChar w:fldCharType="begin"/>
      </w:r>
      <w:r>
        <w:instrText xml:space="preserve"> HYPERLINK \l "_Toc124325894" </w:instrText>
      </w:r>
      <w:r>
        <w:fldChar w:fldCharType="separate"/>
      </w:r>
      <w:r>
        <w:rPr>
          <w:rStyle w:val="30"/>
          <w:rFonts w:hint="eastAsia" w:ascii="彩虹粗仿宋" w:hAnsi="宋体" w:eastAsia="彩虹粗仿宋"/>
          <w:sz w:val="28"/>
          <w:szCs w:val="32"/>
        </w:rPr>
        <w:t>十、基金信息披露</w:t>
      </w:r>
      <w:r>
        <w:rPr>
          <w:rFonts w:hint="eastAsia" w:ascii="彩虹粗仿宋" w:hAnsi="宋体" w:eastAsia="彩虹粗仿宋"/>
          <w:sz w:val="28"/>
        </w:rPr>
        <w:tab/>
      </w:r>
      <w:r>
        <w:rPr>
          <w:rFonts w:hint="eastAsia" w:ascii="彩虹粗仿宋" w:hAnsi="宋体" w:eastAsia="彩虹粗仿宋"/>
          <w:sz w:val="28"/>
        </w:rPr>
        <w:t>10-</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_Toc124325894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764089F9">
      <w:pPr>
        <w:pStyle w:val="20"/>
        <w:tabs>
          <w:tab w:val="right" w:leader="dot" w:pos="8494"/>
        </w:tabs>
        <w:rPr>
          <w:rFonts w:ascii="彩虹粗仿宋" w:hAnsi="宋体" w:eastAsia="彩虹粗仿宋"/>
          <w:sz w:val="28"/>
        </w:rPr>
      </w:pPr>
      <w:r>
        <w:fldChar w:fldCharType="begin"/>
      </w:r>
      <w:r>
        <w:instrText xml:space="preserve"> HYPERLINK \l "_Toc124325895" </w:instrText>
      </w:r>
      <w:r>
        <w:fldChar w:fldCharType="separate"/>
      </w:r>
      <w:r>
        <w:rPr>
          <w:rStyle w:val="30"/>
          <w:rFonts w:hint="eastAsia" w:ascii="彩虹粗仿宋" w:hAnsi="宋体" w:eastAsia="彩虹粗仿宋"/>
          <w:sz w:val="28"/>
          <w:szCs w:val="32"/>
        </w:rPr>
        <w:t>十一、基金费用</w:t>
      </w:r>
      <w:r>
        <w:rPr>
          <w:rFonts w:hint="eastAsia" w:ascii="彩虹粗仿宋" w:hAnsi="宋体" w:eastAsia="彩虹粗仿宋"/>
          <w:sz w:val="28"/>
        </w:rPr>
        <w:tab/>
      </w:r>
      <w:r>
        <w:rPr>
          <w:rFonts w:hint="eastAsia" w:ascii="彩虹粗仿宋" w:hAnsi="宋体" w:eastAsia="彩虹粗仿宋"/>
          <w:sz w:val="28"/>
        </w:rPr>
        <w:t>11-</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_Toc124325895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24F9FEA9">
      <w:pPr>
        <w:pStyle w:val="20"/>
        <w:tabs>
          <w:tab w:val="right" w:leader="dot" w:pos="8494"/>
        </w:tabs>
        <w:rPr>
          <w:rFonts w:ascii="彩虹粗仿宋" w:hAnsi="宋体" w:eastAsia="彩虹粗仿宋"/>
          <w:sz w:val="28"/>
        </w:rPr>
      </w:pPr>
      <w:r>
        <w:fldChar w:fldCharType="begin"/>
      </w:r>
      <w:r>
        <w:instrText xml:space="preserve"> HYPERLINK \l "_Toc124325896" </w:instrText>
      </w:r>
      <w:r>
        <w:fldChar w:fldCharType="separate"/>
      </w:r>
      <w:r>
        <w:rPr>
          <w:rStyle w:val="30"/>
          <w:rFonts w:hint="eastAsia" w:ascii="彩虹粗仿宋" w:hAnsi="宋体" w:eastAsia="彩虹粗仿宋"/>
          <w:sz w:val="28"/>
          <w:szCs w:val="32"/>
        </w:rPr>
        <w:t>十二、基金份额持有人名册的保管</w:t>
      </w:r>
      <w:r>
        <w:rPr>
          <w:rFonts w:hint="eastAsia" w:ascii="彩虹粗仿宋" w:hAnsi="宋体" w:eastAsia="彩虹粗仿宋"/>
          <w:sz w:val="28"/>
        </w:rPr>
        <w:tab/>
      </w:r>
      <w:r>
        <w:rPr>
          <w:rFonts w:hint="eastAsia" w:ascii="彩虹粗仿宋" w:hAnsi="宋体" w:eastAsia="彩虹粗仿宋"/>
          <w:sz w:val="28"/>
        </w:rPr>
        <w:t>12-</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_Toc124325896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25AB4DC5">
      <w:pPr>
        <w:pStyle w:val="20"/>
        <w:tabs>
          <w:tab w:val="right" w:leader="dot" w:pos="8494"/>
        </w:tabs>
        <w:rPr>
          <w:rFonts w:ascii="彩虹粗仿宋" w:hAnsi="宋体" w:eastAsia="彩虹粗仿宋"/>
          <w:sz w:val="28"/>
        </w:rPr>
      </w:pPr>
      <w:r>
        <w:fldChar w:fldCharType="begin"/>
      </w:r>
      <w:r>
        <w:instrText xml:space="preserve"> HYPERLINK \l "_Toc124325897" </w:instrText>
      </w:r>
      <w:r>
        <w:fldChar w:fldCharType="separate"/>
      </w:r>
      <w:r>
        <w:rPr>
          <w:rStyle w:val="30"/>
          <w:rFonts w:hint="eastAsia" w:ascii="彩虹粗仿宋" w:hAnsi="宋体" w:eastAsia="彩虹粗仿宋"/>
          <w:sz w:val="28"/>
          <w:szCs w:val="32"/>
        </w:rPr>
        <w:t>十三、基金有关文件档案的保存</w:t>
      </w:r>
      <w:r>
        <w:rPr>
          <w:rFonts w:hint="eastAsia" w:ascii="彩虹粗仿宋" w:hAnsi="宋体" w:eastAsia="彩虹粗仿宋"/>
          <w:sz w:val="28"/>
        </w:rPr>
        <w:tab/>
      </w:r>
      <w:r>
        <w:rPr>
          <w:rFonts w:hint="eastAsia" w:ascii="彩虹粗仿宋" w:hAnsi="宋体" w:eastAsia="彩虹粗仿宋"/>
          <w:sz w:val="28"/>
        </w:rPr>
        <w:t>13-</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_Toc124325897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37D35722">
      <w:pPr>
        <w:pStyle w:val="20"/>
        <w:tabs>
          <w:tab w:val="right" w:leader="dot" w:pos="8494"/>
        </w:tabs>
        <w:rPr>
          <w:rFonts w:ascii="彩虹粗仿宋" w:hAnsi="宋体" w:eastAsia="彩虹粗仿宋"/>
          <w:sz w:val="28"/>
        </w:rPr>
      </w:pPr>
      <w:r>
        <w:fldChar w:fldCharType="begin"/>
      </w:r>
      <w:r>
        <w:instrText xml:space="preserve"> HYPERLINK \l "_Toc124325898" </w:instrText>
      </w:r>
      <w:r>
        <w:fldChar w:fldCharType="separate"/>
      </w:r>
      <w:r>
        <w:rPr>
          <w:rStyle w:val="30"/>
          <w:rFonts w:hint="eastAsia" w:ascii="彩虹粗仿宋" w:hAnsi="宋体" w:eastAsia="彩虹粗仿宋"/>
          <w:sz w:val="28"/>
          <w:szCs w:val="32"/>
        </w:rPr>
        <w:t>十四、基金管理人和基金托管人的更换</w:t>
      </w:r>
      <w:r>
        <w:rPr>
          <w:rFonts w:hint="eastAsia" w:ascii="彩虹粗仿宋" w:hAnsi="宋体" w:eastAsia="彩虹粗仿宋"/>
          <w:sz w:val="28"/>
        </w:rPr>
        <w:tab/>
      </w:r>
      <w:r>
        <w:rPr>
          <w:rFonts w:hint="eastAsia" w:ascii="彩虹粗仿宋" w:hAnsi="宋体" w:eastAsia="彩虹粗仿宋"/>
          <w:sz w:val="28"/>
        </w:rPr>
        <w:t>14-</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_Toc124325898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41C281A7">
      <w:pPr>
        <w:pStyle w:val="20"/>
        <w:tabs>
          <w:tab w:val="right" w:leader="dot" w:pos="8494"/>
        </w:tabs>
        <w:rPr>
          <w:rFonts w:ascii="彩虹粗仿宋" w:hAnsi="宋体" w:eastAsia="彩虹粗仿宋"/>
          <w:sz w:val="28"/>
        </w:rPr>
      </w:pPr>
      <w:r>
        <w:fldChar w:fldCharType="begin"/>
      </w:r>
      <w:r>
        <w:instrText xml:space="preserve"> HYPERLINK \l "_Toc124325899" </w:instrText>
      </w:r>
      <w:r>
        <w:fldChar w:fldCharType="separate"/>
      </w:r>
      <w:r>
        <w:rPr>
          <w:rStyle w:val="30"/>
          <w:rFonts w:hint="eastAsia" w:ascii="彩虹粗仿宋" w:hAnsi="宋体" w:eastAsia="彩虹粗仿宋"/>
          <w:sz w:val="28"/>
          <w:szCs w:val="32"/>
        </w:rPr>
        <w:t>十五、禁止行为</w:t>
      </w:r>
      <w:r>
        <w:rPr>
          <w:rFonts w:hint="eastAsia" w:ascii="彩虹粗仿宋" w:hAnsi="宋体" w:eastAsia="彩虹粗仿宋"/>
          <w:sz w:val="28"/>
        </w:rPr>
        <w:tab/>
      </w:r>
      <w:r>
        <w:rPr>
          <w:rFonts w:hint="eastAsia" w:ascii="彩虹粗仿宋" w:hAnsi="宋体" w:eastAsia="彩虹粗仿宋"/>
          <w:sz w:val="28"/>
        </w:rPr>
        <w:t>15-</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_Toc124325899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5DF4B663">
      <w:pPr>
        <w:pStyle w:val="20"/>
        <w:tabs>
          <w:tab w:val="right" w:leader="dot" w:pos="8494"/>
        </w:tabs>
        <w:rPr>
          <w:rFonts w:ascii="彩虹粗仿宋" w:hAnsi="宋体" w:eastAsia="彩虹粗仿宋"/>
          <w:sz w:val="28"/>
        </w:rPr>
      </w:pPr>
      <w:r>
        <w:fldChar w:fldCharType="begin"/>
      </w:r>
      <w:r>
        <w:instrText xml:space="preserve"> HYPERLINK \l "_Toc124325900" </w:instrText>
      </w:r>
      <w:r>
        <w:fldChar w:fldCharType="separate"/>
      </w:r>
      <w:r>
        <w:rPr>
          <w:rStyle w:val="30"/>
          <w:rFonts w:hint="eastAsia" w:ascii="彩虹粗仿宋" w:hAnsi="宋体" w:eastAsia="彩虹粗仿宋"/>
          <w:sz w:val="28"/>
          <w:szCs w:val="32"/>
        </w:rPr>
        <w:t>十六、托管协议的变更、终止与基金财产的清算</w:t>
      </w:r>
      <w:r>
        <w:rPr>
          <w:rFonts w:hint="eastAsia" w:ascii="彩虹粗仿宋" w:hAnsi="宋体" w:eastAsia="彩虹粗仿宋"/>
          <w:sz w:val="28"/>
        </w:rPr>
        <w:tab/>
      </w:r>
      <w:r>
        <w:rPr>
          <w:rFonts w:hint="eastAsia" w:ascii="彩虹粗仿宋" w:hAnsi="宋体" w:eastAsia="彩虹粗仿宋"/>
          <w:sz w:val="28"/>
        </w:rPr>
        <w:t>16-</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_Toc124325900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1005E230">
      <w:pPr>
        <w:pStyle w:val="20"/>
        <w:tabs>
          <w:tab w:val="right" w:leader="dot" w:pos="8494"/>
        </w:tabs>
        <w:rPr>
          <w:rFonts w:ascii="彩虹粗仿宋" w:hAnsi="宋体" w:eastAsia="彩虹粗仿宋"/>
          <w:sz w:val="28"/>
        </w:rPr>
      </w:pPr>
      <w:r>
        <w:fldChar w:fldCharType="begin"/>
      </w:r>
      <w:r>
        <w:instrText xml:space="preserve"> HYPERLINK \l "_Toc124325901" </w:instrText>
      </w:r>
      <w:r>
        <w:fldChar w:fldCharType="separate"/>
      </w:r>
      <w:r>
        <w:rPr>
          <w:rStyle w:val="30"/>
          <w:rFonts w:hint="eastAsia" w:ascii="彩虹粗仿宋" w:hAnsi="宋体" w:eastAsia="彩虹粗仿宋"/>
          <w:sz w:val="28"/>
          <w:szCs w:val="32"/>
        </w:rPr>
        <w:t>十七、违约责任</w:t>
      </w:r>
      <w:r>
        <w:rPr>
          <w:rFonts w:hint="eastAsia" w:ascii="彩虹粗仿宋" w:hAnsi="宋体" w:eastAsia="彩虹粗仿宋"/>
          <w:sz w:val="28"/>
        </w:rPr>
        <w:tab/>
      </w:r>
      <w:r>
        <w:rPr>
          <w:rFonts w:hint="eastAsia" w:ascii="彩虹粗仿宋" w:hAnsi="宋体" w:eastAsia="彩虹粗仿宋"/>
          <w:sz w:val="28"/>
        </w:rPr>
        <w:t>17-</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_Toc124325901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4CC30655">
      <w:pPr>
        <w:pStyle w:val="20"/>
        <w:tabs>
          <w:tab w:val="right" w:leader="dot" w:pos="8494"/>
        </w:tabs>
        <w:rPr>
          <w:rFonts w:ascii="彩虹粗仿宋" w:hAnsi="宋体" w:eastAsia="彩虹粗仿宋"/>
          <w:sz w:val="28"/>
        </w:rPr>
      </w:pPr>
      <w:r>
        <w:fldChar w:fldCharType="begin"/>
      </w:r>
      <w:r>
        <w:instrText xml:space="preserve"> HYPERLINK \l "_Toc124325902" </w:instrText>
      </w:r>
      <w:r>
        <w:fldChar w:fldCharType="separate"/>
      </w:r>
      <w:r>
        <w:rPr>
          <w:rStyle w:val="30"/>
          <w:rFonts w:hint="eastAsia" w:ascii="彩虹粗仿宋" w:hAnsi="宋体" w:eastAsia="彩虹粗仿宋"/>
          <w:sz w:val="28"/>
          <w:szCs w:val="32"/>
        </w:rPr>
        <w:t>十八、争议解决方式</w:t>
      </w:r>
      <w:r>
        <w:rPr>
          <w:rFonts w:hint="eastAsia" w:ascii="彩虹粗仿宋" w:hAnsi="宋体" w:eastAsia="彩虹粗仿宋"/>
          <w:sz w:val="28"/>
        </w:rPr>
        <w:tab/>
      </w:r>
      <w:r>
        <w:rPr>
          <w:rFonts w:hint="eastAsia" w:ascii="彩虹粗仿宋" w:hAnsi="宋体" w:eastAsia="彩虹粗仿宋"/>
          <w:sz w:val="28"/>
        </w:rPr>
        <w:t>18-</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_Toc124325902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70D6BBE0">
      <w:pPr>
        <w:pStyle w:val="20"/>
        <w:tabs>
          <w:tab w:val="right" w:leader="dot" w:pos="8494"/>
        </w:tabs>
        <w:rPr>
          <w:rFonts w:ascii="彩虹粗仿宋" w:hAnsi="宋体" w:eastAsia="彩虹粗仿宋"/>
          <w:sz w:val="28"/>
        </w:rPr>
      </w:pPr>
      <w:r>
        <w:fldChar w:fldCharType="begin"/>
      </w:r>
      <w:r>
        <w:instrText xml:space="preserve"> HYPERLINK \l "_Toc124325903" </w:instrText>
      </w:r>
      <w:r>
        <w:fldChar w:fldCharType="separate"/>
      </w:r>
      <w:r>
        <w:rPr>
          <w:rStyle w:val="30"/>
          <w:rFonts w:hint="eastAsia" w:ascii="彩虹粗仿宋" w:hAnsi="宋体" w:eastAsia="彩虹粗仿宋"/>
          <w:sz w:val="28"/>
          <w:szCs w:val="32"/>
        </w:rPr>
        <w:t>十九、托管协议的效力</w:t>
      </w:r>
      <w:r>
        <w:rPr>
          <w:rFonts w:hint="eastAsia" w:ascii="彩虹粗仿宋" w:hAnsi="宋体" w:eastAsia="彩虹粗仿宋"/>
          <w:sz w:val="28"/>
        </w:rPr>
        <w:tab/>
      </w:r>
      <w:r>
        <w:rPr>
          <w:rFonts w:hint="eastAsia" w:ascii="彩虹粗仿宋" w:hAnsi="宋体" w:eastAsia="彩虹粗仿宋"/>
          <w:sz w:val="28"/>
        </w:rPr>
        <w:t>19-</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_Toc124325903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78F267C6">
      <w:pPr>
        <w:pStyle w:val="20"/>
        <w:tabs>
          <w:tab w:val="right" w:leader="dot" w:pos="8494"/>
        </w:tabs>
        <w:rPr>
          <w:rFonts w:ascii="彩虹粗仿宋" w:hAnsi="宋体" w:eastAsia="彩虹粗仿宋"/>
          <w:sz w:val="28"/>
        </w:rPr>
      </w:pPr>
      <w:r>
        <w:fldChar w:fldCharType="begin"/>
      </w:r>
      <w:r>
        <w:instrText xml:space="preserve"> HYPERLINK \l "_Toc124325904" </w:instrText>
      </w:r>
      <w:r>
        <w:fldChar w:fldCharType="separate"/>
      </w:r>
      <w:r>
        <w:rPr>
          <w:rStyle w:val="30"/>
          <w:rFonts w:hint="eastAsia" w:ascii="彩虹粗仿宋" w:hAnsi="宋体" w:eastAsia="彩虹粗仿宋"/>
          <w:sz w:val="28"/>
          <w:szCs w:val="32"/>
        </w:rPr>
        <w:t>二十、其他事项</w:t>
      </w:r>
      <w:r>
        <w:rPr>
          <w:rFonts w:hint="eastAsia" w:ascii="彩虹粗仿宋" w:hAnsi="宋体" w:eastAsia="彩虹粗仿宋"/>
          <w:sz w:val="28"/>
        </w:rPr>
        <w:tab/>
      </w:r>
      <w:r>
        <w:rPr>
          <w:rFonts w:hint="eastAsia" w:ascii="彩虹粗仿宋" w:hAnsi="宋体" w:eastAsia="彩虹粗仿宋"/>
          <w:sz w:val="28"/>
        </w:rPr>
        <w:t>20-</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_Toc124325904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06840A40">
      <w:pPr>
        <w:pStyle w:val="20"/>
        <w:tabs>
          <w:tab w:val="right" w:leader="dot" w:pos="8494"/>
        </w:tabs>
        <w:rPr>
          <w:rFonts w:ascii="彩虹粗仿宋" w:hAnsi="宋体" w:eastAsia="彩虹粗仿宋"/>
          <w:sz w:val="28"/>
        </w:rPr>
      </w:pPr>
      <w:r>
        <w:fldChar w:fldCharType="begin"/>
      </w:r>
      <w:r>
        <w:instrText xml:space="preserve"> HYPERLINK \l "_Toc124325905" </w:instrText>
      </w:r>
      <w:r>
        <w:fldChar w:fldCharType="separate"/>
      </w:r>
      <w:r>
        <w:rPr>
          <w:rStyle w:val="30"/>
          <w:rFonts w:hint="eastAsia" w:ascii="彩虹粗仿宋" w:hAnsi="宋体" w:eastAsia="彩虹粗仿宋"/>
          <w:sz w:val="28"/>
          <w:szCs w:val="32"/>
        </w:rPr>
        <w:t>二十一、托管协议的签订</w:t>
      </w:r>
      <w:r>
        <w:rPr>
          <w:rFonts w:hint="eastAsia" w:ascii="彩虹粗仿宋" w:hAnsi="宋体" w:eastAsia="彩虹粗仿宋"/>
          <w:sz w:val="28"/>
        </w:rPr>
        <w:tab/>
      </w:r>
      <w:r>
        <w:rPr>
          <w:rFonts w:hint="eastAsia" w:ascii="彩虹粗仿宋" w:hAnsi="宋体" w:eastAsia="彩虹粗仿宋"/>
          <w:sz w:val="28"/>
        </w:rPr>
        <w:t>21-</w:t>
      </w:r>
      <w:r>
        <w:rPr>
          <w:rFonts w:hint="eastAsia" w:ascii="彩虹粗仿宋" w:hAnsi="宋体" w:eastAsia="彩虹粗仿宋"/>
          <w:sz w:val="28"/>
        </w:rPr>
        <w:fldChar w:fldCharType="begin"/>
      </w:r>
      <w:r>
        <w:rPr>
          <w:rFonts w:hint="eastAsia" w:ascii="彩虹粗仿宋" w:hAnsi="宋体" w:eastAsia="彩虹粗仿宋"/>
          <w:sz w:val="28"/>
        </w:rPr>
        <w:instrText xml:space="preserve"> PAGEREF _Toc124325905 \h </w:instrText>
      </w:r>
      <w:r>
        <w:rPr>
          <w:rFonts w:hint="eastAsia" w:ascii="彩虹粗仿宋" w:hAnsi="宋体" w:eastAsia="彩虹粗仿宋"/>
          <w:sz w:val="28"/>
        </w:rPr>
        <w:fldChar w:fldCharType="separate"/>
      </w:r>
      <w:r>
        <w:rPr>
          <w:rFonts w:ascii="彩虹粗仿宋" w:hAnsi="宋体" w:eastAsia="彩虹粗仿宋"/>
          <w:sz w:val="28"/>
        </w:rPr>
        <w:t>1</w:t>
      </w:r>
      <w:r>
        <w:rPr>
          <w:rFonts w:hint="eastAsia" w:ascii="彩虹粗仿宋" w:hAnsi="宋体" w:eastAsia="彩虹粗仿宋"/>
          <w:sz w:val="28"/>
        </w:rPr>
        <w:fldChar w:fldCharType="end"/>
      </w:r>
      <w:r>
        <w:rPr>
          <w:rFonts w:hint="eastAsia" w:ascii="彩虹粗仿宋" w:hAnsi="宋体" w:eastAsia="彩虹粗仿宋"/>
          <w:sz w:val="28"/>
        </w:rPr>
        <w:fldChar w:fldCharType="end"/>
      </w:r>
    </w:p>
    <w:p w14:paraId="34553EE6">
      <w:pPr>
        <w:ind w:firstLine="560"/>
        <w:rPr>
          <w:rFonts w:ascii="彩虹粗仿宋" w:hAnsi="宋体" w:eastAsia="彩虹粗仿宋" w:cs="Arial"/>
          <w:kern w:val="0"/>
          <w:sz w:val="24"/>
        </w:rPr>
        <w:sectPr>
          <w:headerReference r:id="rId4" w:type="default"/>
          <w:footerReference r:id="rId5" w:type="default"/>
          <w:pgSz w:w="11906" w:h="16838"/>
          <w:pgMar w:top="1418" w:right="1701" w:bottom="1418" w:left="1701" w:header="851" w:footer="992" w:gutter="0"/>
          <w:pgNumType w:start="0"/>
          <w:cols w:space="425" w:num="1"/>
          <w:titlePg/>
          <w:docGrid w:type="lines" w:linePitch="312" w:charSpace="0"/>
        </w:sectPr>
      </w:pPr>
      <w:r>
        <w:rPr>
          <w:rFonts w:hint="eastAsia" w:ascii="彩虹粗仿宋" w:hAnsi="宋体" w:eastAsia="彩虹粗仿宋"/>
          <w:sz w:val="28"/>
        </w:rPr>
        <w:fldChar w:fldCharType="end"/>
      </w:r>
    </w:p>
    <w:p w14:paraId="08DAC648">
      <w:pPr>
        <w:widowControl/>
        <w:adjustRightInd w:val="0"/>
        <w:snapToGrid w:val="0"/>
        <w:spacing w:line="360" w:lineRule="auto"/>
        <w:ind w:firstLine="480" w:firstLineChars="200"/>
        <w:rPr>
          <w:rFonts w:ascii="彩虹粗仿宋" w:hAnsi="宋体" w:eastAsia="彩虹粗仿宋" w:cs="Arial"/>
          <w:kern w:val="0"/>
          <w:sz w:val="24"/>
        </w:rPr>
      </w:pPr>
      <w:r>
        <w:rPr>
          <w:rFonts w:hint="eastAsia" w:ascii="彩虹粗仿宋" w:hAnsi="宋体" w:eastAsia="彩虹粗仿宋" w:cs="Arial"/>
          <w:kern w:val="0"/>
          <w:sz w:val="24"/>
        </w:rPr>
        <w:t>鉴于</w:t>
      </w:r>
      <w:r>
        <w:rPr>
          <w:rFonts w:hint="eastAsia" w:ascii="彩虹粗仿宋" w:hAnsi="宋体" w:eastAsia="彩虹粗仿宋" w:cs="Arial"/>
          <w:sz w:val="24"/>
        </w:rPr>
        <w:t>博时</w:t>
      </w:r>
      <w:r>
        <w:rPr>
          <w:rFonts w:hint="eastAsia" w:ascii="彩虹粗仿宋" w:hAnsi="宋体" w:eastAsia="彩虹粗仿宋" w:cs="Arial"/>
          <w:kern w:val="0"/>
          <w:sz w:val="24"/>
        </w:rPr>
        <w:t>基金管理有限公司系一家依照中国法律合法成立并有效存续的有限责任公司，按照相关法律法规的规定具备担任基金管理人的资格和能力；</w:t>
      </w:r>
    </w:p>
    <w:p w14:paraId="4BF57C31">
      <w:pPr>
        <w:widowControl/>
        <w:adjustRightInd w:val="0"/>
        <w:snapToGrid w:val="0"/>
        <w:spacing w:line="360" w:lineRule="auto"/>
        <w:ind w:firstLine="480" w:firstLineChars="200"/>
        <w:rPr>
          <w:rFonts w:ascii="彩虹粗仿宋" w:hAnsi="宋体" w:eastAsia="彩虹粗仿宋" w:cs="Arial"/>
          <w:kern w:val="0"/>
          <w:sz w:val="24"/>
        </w:rPr>
      </w:pPr>
      <w:r>
        <w:rPr>
          <w:rFonts w:hint="eastAsia" w:ascii="彩虹粗仿宋" w:hAnsi="宋体" w:eastAsia="彩虹粗仿宋" w:cs="Arial"/>
          <w:kern w:val="0"/>
          <w:sz w:val="24"/>
        </w:rPr>
        <w:t>鉴于上海银行股份有限公司系一家依照中国法律合法成立并有效存续的银行，按照相关法律法规的规定具备担任基金托管人的资格和能力；</w:t>
      </w:r>
    </w:p>
    <w:p w14:paraId="23AA3AF2">
      <w:pPr>
        <w:widowControl/>
        <w:adjustRightInd w:val="0"/>
        <w:snapToGrid w:val="0"/>
        <w:spacing w:line="360" w:lineRule="auto"/>
        <w:ind w:firstLine="480" w:firstLineChars="200"/>
        <w:rPr>
          <w:rFonts w:ascii="彩虹粗仿宋" w:hAnsi="宋体" w:eastAsia="彩虹粗仿宋" w:cs="Arial"/>
          <w:kern w:val="0"/>
          <w:sz w:val="24"/>
        </w:rPr>
      </w:pPr>
      <w:r>
        <w:rPr>
          <w:rFonts w:hint="eastAsia" w:ascii="彩虹粗仿宋" w:hAnsi="宋体" w:eastAsia="彩虹粗仿宋" w:cs="Arial"/>
          <w:kern w:val="0"/>
          <w:sz w:val="24"/>
        </w:rPr>
        <w:t>鉴于</w:t>
      </w:r>
      <w:r>
        <w:rPr>
          <w:rFonts w:hint="eastAsia" w:ascii="彩虹粗仿宋" w:hAnsi="宋体" w:eastAsia="彩虹粗仿宋" w:cs="Arial"/>
          <w:sz w:val="24"/>
        </w:rPr>
        <w:t>博时</w:t>
      </w:r>
      <w:r>
        <w:rPr>
          <w:rFonts w:hint="eastAsia" w:ascii="彩虹粗仿宋" w:hAnsi="宋体" w:eastAsia="彩虹粗仿宋" w:cs="Arial"/>
          <w:kern w:val="0"/>
          <w:sz w:val="24"/>
        </w:rPr>
        <w:t>基金管理有限公司拟担任</w:t>
      </w:r>
      <w:r>
        <w:rPr>
          <w:rFonts w:hint="eastAsia" w:ascii="彩虹粗仿宋" w:hAnsi="宋体" w:eastAsia="彩虹粗仿宋" w:cs="Arial"/>
          <w:sz w:val="24"/>
        </w:rPr>
        <w:t>博时富洋纯债一年定期开放债券型发起式证券投资基金</w:t>
      </w:r>
      <w:r>
        <w:rPr>
          <w:rFonts w:hint="eastAsia" w:ascii="彩虹粗仿宋" w:hAnsi="宋体" w:eastAsia="彩虹粗仿宋" w:cs="Arial"/>
          <w:kern w:val="0"/>
          <w:sz w:val="24"/>
        </w:rPr>
        <w:t>的基金管理人，上海银行股份有限公司拟担任</w:t>
      </w:r>
      <w:r>
        <w:rPr>
          <w:rFonts w:hint="eastAsia" w:ascii="彩虹粗仿宋" w:hAnsi="宋体" w:eastAsia="彩虹粗仿宋" w:cs="Arial"/>
          <w:sz w:val="24"/>
        </w:rPr>
        <w:t>博时富洋纯债一年定期开放债券型发起式证券投资基金</w:t>
      </w:r>
      <w:r>
        <w:rPr>
          <w:rFonts w:hint="eastAsia" w:ascii="彩虹粗仿宋" w:hAnsi="宋体" w:eastAsia="彩虹粗仿宋" w:cs="Arial"/>
          <w:kern w:val="0"/>
          <w:sz w:val="24"/>
        </w:rPr>
        <w:t>的基金托管人；</w:t>
      </w:r>
    </w:p>
    <w:p w14:paraId="54A412E8">
      <w:pPr>
        <w:widowControl/>
        <w:adjustRightInd w:val="0"/>
        <w:snapToGrid w:val="0"/>
        <w:spacing w:line="360" w:lineRule="auto"/>
        <w:ind w:firstLine="480" w:firstLineChars="200"/>
        <w:rPr>
          <w:rFonts w:ascii="彩虹粗仿宋" w:hAnsi="宋体" w:eastAsia="彩虹粗仿宋" w:cs="Arial"/>
          <w:kern w:val="0"/>
          <w:sz w:val="24"/>
        </w:rPr>
      </w:pPr>
      <w:r>
        <w:rPr>
          <w:rFonts w:hint="eastAsia" w:ascii="彩虹粗仿宋" w:hAnsi="宋体" w:eastAsia="彩虹粗仿宋" w:cs="Arial"/>
          <w:kern w:val="0"/>
          <w:sz w:val="24"/>
        </w:rPr>
        <w:t>为明确</w:t>
      </w:r>
      <w:r>
        <w:rPr>
          <w:rFonts w:hint="eastAsia" w:ascii="彩虹粗仿宋" w:hAnsi="宋体" w:eastAsia="彩虹粗仿宋" w:cs="Arial"/>
          <w:sz w:val="24"/>
        </w:rPr>
        <w:t>博时富洋纯债一年定期开放债券型发起式证券投资基金</w:t>
      </w:r>
      <w:r>
        <w:rPr>
          <w:rFonts w:hint="eastAsia" w:ascii="彩虹粗仿宋" w:hAnsi="宋体" w:eastAsia="彩虹粗仿宋" w:cs="Arial"/>
          <w:kern w:val="0"/>
          <w:sz w:val="24"/>
        </w:rPr>
        <w:t>的基金管理人和基金托管人之间的权利义务关系，特制订本托管协议；</w:t>
      </w:r>
    </w:p>
    <w:p w14:paraId="35762294">
      <w:pPr>
        <w:widowControl/>
        <w:adjustRightInd w:val="0"/>
        <w:snapToGrid w:val="0"/>
        <w:spacing w:line="360" w:lineRule="auto"/>
        <w:ind w:firstLine="480" w:firstLineChars="200"/>
        <w:rPr>
          <w:rFonts w:ascii="彩虹粗仿宋" w:hAnsi="宋体" w:eastAsia="彩虹粗仿宋" w:cs="Arial"/>
          <w:kern w:val="0"/>
          <w:sz w:val="24"/>
          <w:lang w:val="en-GB"/>
        </w:rPr>
      </w:pPr>
      <w:r>
        <w:rPr>
          <w:rFonts w:hint="eastAsia" w:ascii="彩虹粗仿宋" w:hAnsi="宋体" w:eastAsia="彩虹粗仿宋" w:cs="Arial"/>
          <w:kern w:val="0"/>
          <w:sz w:val="24"/>
          <w:lang w:val="en-GB"/>
        </w:rPr>
        <w:t>除非另有约定，《</w:t>
      </w:r>
      <w:r>
        <w:rPr>
          <w:rFonts w:hint="eastAsia" w:ascii="彩虹粗仿宋" w:hAnsi="宋体" w:eastAsia="彩虹粗仿宋" w:cs="Arial"/>
          <w:sz w:val="24"/>
        </w:rPr>
        <w:t>博时富洋纯债一年定期开放债券型发起式证券投资基金</w:t>
      </w:r>
      <w:r>
        <w:rPr>
          <w:rFonts w:hint="eastAsia" w:ascii="彩虹粗仿宋" w:hAnsi="宋体" w:eastAsia="彩虹粗仿宋" w:cs="Arial"/>
          <w:kern w:val="0"/>
          <w:sz w:val="24"/>
          <w:lang w:val="en-GB"/>
        </w:rPr>
        <w:t>基金合同》(以下简称“基金合同”)中定义的术语在用于本托管协议时应具有相同的含义；若有抵触应以《基金合同》为准，并依其</w:t>
      </w:r>
      <w:r>
        <w:rPr>
          <w:rFonts w:hint="eastAsia" w:ascii="彩虹粗仿宋" w:hAnsi="宋体" w:eastAsia="彩虹粗仿宋" w:cs="Arial"/>
          <w:kern w:val="0"/>
          <w:sz w:val="24"/>
        </w:rPr>
        <w:t>条款</w:t>
      </w:r>
      <w:r>
        <w:rPr>
          <w:rFonts w:hint="eastAsia" w:ascii="彩虹粗仿宋" w:hAnsi="宋体" w:eastAsia="彩虹粗仿宋" w:cs="Arial"/>
          <w:kern w:val="0"/>
          <w:sz w:val="24"/>
          <w:lang w:val="en-GB"/>
        </w:rPr>
        <w:t>解释。</w:t>
      </w:r>
    </w:p>
    <w:p w14:paraId="10194882">
      <w:pPr>
        <w:rPr>
          <w:rFonts w:ascii="彩虹粗仿宋" w:eastAsia="彩虹粗仿宋"/>
          <w:sz w:val="24"/>
          <w:lang w:val="en-GB"/>
        </w:rPr>
      </w:pPr>
    </w:p>
    <w:p w14:paraId="3D9F07B0">
      <w:pPr>
        <w:rPr>
          <w:rFonts w:ascii="彩虹粗仿宋" w:eastAsia="彩虹粗仿宋"/>
          <w:sz w:val="24"/>
          <w:lang w:val="en-GB"/>
        </w:rPr>
        <w:sectPr>
          <w:headerReference r:id="rId6" w:type="default"/>
          <w:footerReference r:id="rId7" w:type="default"/>
          <w:pgSz w:w="11906" w:h="16838"/>
          <w:pgMar w:top="1418" w:right="1701" w:bottom="1418" w:left="1701" w:header="851" w:footer="992" w:gutter="0"/>
          <w:cols w:space="425" w:num="1"/>
          <w:docGrid w:type="lines" w:linePitch="312" w:charSpace="0"/>
        </w:sectPr>
      </w:pPr>
    </w:p>
    <w:p w14:paraId="43D20E3A">
      <w:pPr>
        <w:rPr>
          <w:rFonts w:ascii="彩虹粗仿宋" w:eastAsia="彩虹粗仿宋"/>
          <w:sz w:val="24"/>
          <w:lang w:val="en-GB"/>
        </w:rPr>
      </w:pPr>
    </w:p>
    <w:p w14:paraId="34FF544E">
      <w:pPr>
        <w:pStyle w:val="2"/>
        <w:jc w:val="center"/>
        <w:rPr>
          <w:rFonts w:ascii="彩虹粗仿宋" w:eastAsia="彩虹粗仿宋"/>
        </w:rPr>
      </w:pPr>
      <w:bookmarkStart w:id="0" w:name="_Toc124325885"/>
      <w:r>
        <w:rPr>
          <w:rFonts w:hint="eastAsia" w:ascii="彩虹粗仿宋" w:eastAsia="彩虹粗仿宋"/>
        </w:rPr>
        <w:t>一、基金托管协议当事人</w:t>
      </w:r>
      <w:bookmarkEnd w:id="0"/>
    </w:p>
    <w:p w14:paraId="120C17D1">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（一）基金管理人</w:t>
      </w:r>
    </w:p>
    <w:p w14:paraId="4348ACF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名称：博时基金管理有限公司</w:t>
      </w:r>
    </w:p>
    <w:p w14:paraId="56213AF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注册地址：深圳市福田区莲花街道福新社区益田路5999号基金大厦21层</w:t>
      </w:r>
    </w:p>
    <w:p w14:paraId="271B58D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办公地址：广东省深圳市福田区益田路5999号基金大厦21层</w:t>
      </w:r>
    </w:p>
    <w:p w14:paraId="53DF82B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法定代表人：</w:t>
      </w:r>
      <w:r>
        <w:rPr>
          <w:rFonts w:hint="eastAsia" w:ascii="彩虹粗仿宋" w:hAnsi="宋体" w:eastAsia="彩虹粗仿宋" w:cs="Arial"/>
          <w:sz w:val="24"/>
          <w:lang w:val="en-US" w:eastAsia="zh-CN"/>
        </w:rPr>
        <w:t>张东</w:t>
      </w:r>
    </w:p>
    <w:p w14:paraId="07EC3E5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邮政编码：518400</w:t>
      </w:r>
    </w:p>
    <w:p w14:paraId="40A5E19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成立日期：1998年7月13日</w:t>
      </w:r>
    </w:p>
    <w:p w14:paraId="36CD6D6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批准设立机关及批准设立文号：中国证监会证监基字【1998】26号</w:t>
      </w:r>
    </w:p>
    <w:p w14:paraId="01E9C2D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组织形式： 有限责任公司</w:t>
      </w:r>
    </w:p>
    <w:p w14:paraId="7FE43FB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注册资本：2.5亿元人民币</w:t>
      </w:r>
    </w:p>
    <w:p w14:paraId="726E381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存续期限：持续经营</w:t>
      </w:r>
    </w:p>
    <w:p w14:paraId="74FA598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电话：0755-83169999</w:t>
      </w:r>
    </w:p>
    <w:p w14:paraId="7967AD1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（二）基金托管人</w:t>
      </w:r>
      <w:bookmarkStart w:id="98" w:name="_GoBack"/>
      <w:bookmarkEnd w:id="98"/>
    </w:p>
    <w:p w14:paraId="42C67702">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名称：上海银行股份有限公司(简称：上海银行)</w:t>
      </w:r>
    </w:p>
    <w:p w14:paraId="52D059D9">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注册地址：中国(上海)自由贸易试验区银城中路168号</w:t>
      </w:r>
    </w:p>
    <w:p w14:paraId="1E13B6AC">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办公地址：中国(上海)自由贸易试验区银城中路168号</w:t>
      </w:r>
    </w:p>
    <w:p w14:paraId="755399FB">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邮政编码：200120</w:t>
      </w:r>
    </w:p>
    <w:p w14:paraId="2347268D">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法定代表人：</w:t>
      </w:r>
      <w:r>
        <w:rPr>
          <w:rFonts w:hint="eastAsia" w:ascii="宋体" w:hAnsi="宋体" w:cs="Arial"/>
          <w:color w:val="000000"/>
          <w:spacing w:val="6"/>
          <w:sz w:val="24"/>
          <w:szCs w:val="24"/>
        </w:rPr>
        <w:t>顾建忠</w:t>
      </w:r>
    </w:p>
    <w:p w14:paraId="7B9EA624">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成立日期：1995年12月29日</w:t>
      </w:r>
    </w:p>
    <w:p w14:paraId="1058B8C1">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批准设立机关和批准设立文号：中国人民银行 银复[1995]469号《关于上海城市合作银行开业的批复》，中国人民银行 银复[1998]215号《关于上海城市合作银行更改行名的批复》</w:t>
      </w:r>
    </w:p>
    <w:p w14:paraId="36B47963">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基金托管业务批准文号：中国证监会证监许可[2009]814号</w:t>
      </w:r>
    </w:p>
    <w:p w14:paraId="44A1AA6C">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组织形式：股份有限公司（中外合资、上市）</w:t>
      </w:r>
    </w:p>
    <w:p w14:paraId="0913DAD0">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注册资本：人民币142.065287亿元</w:t>
      </w:r>
    </w:p>
    <w:p w14:paraId="59BE0E6A">
      <w:pPr>
        <w:tabs>
          <w:tab w:val="left" w:pos="540"/>
        </w:tabs>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存续期间：持续经营</w:t>
      </w:r>
    </w:p>
    <w:p w14:paraId="355203D9">
      <w:pPr>
        <w:tabs>
          <w:tab w:val="left" w:pos="540"/>
        </w:tabs>
        <w:adjustRightInd w:val="0"/>
        <w:snapToGrid w:val="0"/>
        <w:spacing w:line="360" w:lineRule="auto"/>
        <w:ind w:firstLine="480" w:firstLineChars="200"/>
        <w:rPr>
          <w:rFonts w:ascii="彩虹粗仿宋" w:hAnsi="宋体" w:eastAsia="彩虹粗仿宋" w:cs="Arial"/>
          <w:sz w:val="24"/>
        </w:rPr>
        <w:sectPr>
          <w:footerReference r:id="rId8" w:type="default"/>
          <w:pgSz w:w="11906" w:h="16838"/>
          <w:pgMar w:top="1418" w:right="1701" w:bottom="1418" w:left="1701" w:header="851" w:footer="992" w:gutter="0"/>
          <w:pgNumType w:start="1"/>
          <w:cols w:space="425" w:num="1"/>
          <w:docGrid w:type="lines" w:linePitch="312" w:charSpace="0"/>
        </w:sectPr>
      </w:pPr>
      <w:r>
        <w:rPr>
          <w:rFonts w:hint="eastAsia" w:ascii="彩虹粗仿宋" w:hAnsi="宋体" w:eastAsia="彩虹粗仿宋" w:cs="Arial"/>
          <w:sz w:val="24"/>
        </w:rPr>
        <w:t>经营范围：人民币存贷款等</w:t>
      </w:r>
    </w:p>
    <w:p w14:paraId="74498543">
      <w:pPr>
        <w:tabs>
          <w:tab w:val="left" w:pos="540"/>
        </w:tabs>
        <w:adjustRightInd w:val="0"/>
        <w:snapToGrid w:val="0"/>
        <w:ind w:firstLine="480" w:firstLineChars="200"/>
        <w:rPr>
          <w:rFonts w:ascii="彩虹粗仿宋" w:eastAsia="彩虹粗仿宋"/>
          <w:sz w:val="24"/>
        </w:rPr>
      </w:pPr>
    </w:p>
    <w:p w14:paraId="438A606A">
      <w:pPr>
        <w:pStyle w:val="2"/>
        <w:jc w:val="center"/>
        <w:rPr>
          <w:rFonts w:ascii="彩虹粗仿宋" w:eastAsia="彩虹粗仿宋"/>
          <w:sz w:val="30"/>
        </w:rPr>
      </w:pPr>
      <w:bookmarkStart w:id="1" w:name="_Toc124325886"/>
      <w:r>
        <w:rPr>
          <w:rFonts w:hint="eastAsia" w:ascii="彩虹粗仿宋" w:eastAsia="彩虹粗仿宋"/>
          <w:sz w:val="30"/>
        </w:rPr>
        <w:t>二、基金托管协议的依据、目的和原则</w:t>
      </w:r>
      <w:bookmarkEnd w:id="1"/>
    </w:p>
    <w:p w14:paraId="2EA18CC3">
      <w:pPr>
        <w:adjustRightInd w:val="0"/>
        <w:snapToGrid w:val="0"/>
        <w:spacing w:line="360" w:lineRule="auto"/>
        <w:ind w:firstLine="480" w:firstLineChars="200"/>
        <w:rPr>
          <w:rFonts w:ascii="彩虹粗仿宋" w:eastAsia="彩虹粗仿宋"/>
          <w:sz w:val="24"/>
          <w:szCs w:val="30"/>
        </w:rPr>
      </w:pPr>
      <w:r>
        <w:rPr>
          <w:rFonts w:hint="eastAsia" w:ascii="彩虹粗仿宋" w:hAnsi="宋体" w:eastAsia="彩虹粗仿宋" w:cs="Arial"/>
          <w:sz w:val="24"/>
        </w:rPr>
        <w:t>（一）订立托管协议的依据</w:t>
      </w:r>
    </w:p>
    <w:p w14:paraId="06A1EEE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本协议依据《中华人民共和国证券投资基金法》(以下简称“《基金法》”)</w:t>
      </w:r>
      <w:r>
        <w:rPr>
          <w:rFonts w:hint="eastAsia"/>
        </w:rPr>
        <w:t xml:space="preserve"> </w:t>
      </w:r>
      <w:r>
        <w:rPr>
          <w:rFonts w:hint="eastAsia" w:ascii="彩虹粗仿宋" w:hAnsi="宋体" w:eastAsia="彩虹粗仿宋" w:cs="Arial"/>
          <w:sz w:val="24"/>
        </w:rPr>
        <w:t>、《公开募集开放式证券投资基金流动性风险管理规定》等有关法律法规、《基金合同》及其他有关规定制订。</w:t>
      </w:r>
    </w:p>
    <w:p w14:paraId="0D56FA8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（二）订立托管协议的目的</w:t>
      </w:r>
    </w:p>
    <w:p w14:paraId="5CD4A729">
      <w:pPr>
        <w:adjustRightInd w:val="0"/>
        <w:snapToGrid w:val="0"/>
        <w:spacing w:line="360" w:lineRule="auto"/>
        <w:ind w:firstLine="480" w:firstLineChars="200"/>
        <w:rPr>
          <w:rFonts w:ascii="彩虹粗仿宋" w:eastAsia="彩虹粗仿宋"/>
          <w:sz w:val="24"/>
          <w:szCs w:val="30"/>
        </w:rPr>
      </w:pPr>
      <w:r>
        <w:rPr>
          <w:rFonts w:hint="eastAsia" w:ascii="彩虹粗仿宋" w:hAnsi="宋体" w:eastAsia="彩虹粗仿宋" w:cs="Arial"/>
          <w:sz w:val="24"/>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651DC59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（三）订立托管协议的原则</w:t>
      </w:r>
    </w:p>
    <w:p w14:paraId="7505CC05">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基金管理人和基金托管人本着平等自愿、诚实信用、充分保护基金份额持有人合法权益的原则，经协商一致，签订本协议。</w:t>
      </w:r>
    </w:p>
    <w:p w14:paraId="6A132CC1">
      <w:pPr>
        <w:spacing w:line="360" w:lineRule="auto"/>
        <w:ind w:firstLine="480" w:firstLineChars="200"/>
        <w:rPr>
          <w:rFonts w:ascii="宋体" w:hAnsi="宋体"/>
          <w:sz w:val="24"/>
        </w:rPr>
      </w:pPr>
      <w:r>
        <w:rPr>
          <w:rFonts w:hint="eastAsia" w:ascii="宋体" w:hAnsi="宋体"/>
          <w:sz w:val="24"/>
        </w:rPr>
        <w:t>（四）若本基金实施侧袋机制的，侧袋机制实施期间的相关安排见基金合同和招募说明书的规定</w:t>
      </w:r>
    </w:p>
    <w:p w14:paraId="1FAEBA2C">
      <w:pPr>
        <w:adjustRightInd w:val="0"/>
        <w:snapToGrid w:val="0"/>
        <w:spacing w:line="360" w:lineRule="auto"/>
        <w:ind w:firstLine="480" w:firstLineChars="200"/>
        <w:rPr>
          <w:rFonts w:ascii="彩虹粗仿宋" w:hAnsi="宋体" w:eastAsia="彩虹粗仿宋" w:cs="Arial"/>
          <w:sz w:val="24"/>
        </w:rPr>
      </w:pPr>
    </w:p>
    <w:p w14:paraId="1F57F7AC">
      <w:pPr>
        <w:adjustRightInd w:val="0"/>
        <w:snapToGrid w:val="0"/>
        <w:spacing w:line="360" w:lineRule="auto"/>
        <w:ind w:firstLine="480" w:firstLineChars="200"/>
        <w:rPr>
          <w:rFonts w:ascii="彩虹粗仿宋" w:hAnsi="宋体" w:eastAsia="彩虹粗仿宋" w:cs="Arial"/>
          <w:sz w:val="24"/>
        </w:rPr>
        <w:sectPr>
          <w:footerReference r:id="rId10" w:type="first"/>
          <w:footerReference r:id="rId9" w:type="default"/>
          <w:pgSz w:w="11906" w:h="16838"/>
          <w:pgMar w:top="1418" w:right="1701" w:bottom="1418" w:left="1701" w:header="851" w:footer="992" w:gutter="0"/>
          <w:pgNumType w:start="1" w:chapStyle="1"/>
          <w:cols w:space="425" w:num="1"/>
          <w:docGrid w:type="lines" w:linePitch="312" w:charSpace="0"/>
        </w:sectPr>
      </w:pPr>
    </w:p>
    <w:p w14:paraId="4232B2DC">
      <w:pPr>
        <w:adjustRightInd w:val="0"/>
        <w:snapToGrid w:val="0"/>
        <w:rPr>
          <w:rFonts w:ascii="彩虹粗仿宋" w:hAnsi="宋体" w:eastAsia="彩虹粗仿宋" w:cs="Arial"/>
          <w:sz w:val="24"/>
        </w:rPr>
      </w:pPr>
    </w:p>
    <w:p w14:paraId="7D34F7B3">
      <w:pPr>
        <w:pStyle w:val="2"/>
        <w:jc w:val="center"/>
        <w:rPr>
          <w:rFonts w:ascii="彩虹粗仿宋" w:eastAsia="彩虹粗仿宋"/>
          <w:sz w:val="30"/>
          <w:szCs w:val="24"/>
        </w:rPr>
      </w:pPr>
      <w:bookmarkStart w:id="2" w:name="_Toc124325887"/>
      <w:r>
        <w:rPr>
          <w:rFonts w:hint="eastAsia" w:ascii="彩虹粗仿宋" w:eastAsia="彩虹粗仿宋"/>
          <w:sz w:val="30"/>
        </w:rPr>
        <w:t>三、基金托管人对基金管理人的业务监督和核查</w:t>
      </w:r>
      <w:bookmarkEnd w:id="2"/>
    </w:p>
    <w:p w14:paraId="740F7A7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14:paraId="00D3E72B">
      <w:pPr>
        <w:adjustRightInd w:val="0"/>
        <w:snapToGrid w:val="0"/>
        <w:spacing w:line="360" w:lineRule="auto"/>
        <w:ind w:firstLine="480" w:firstLineChars="200"/>
        <w:rPr>
          <w:rFonts w:ascii="彩虹粗仿宋" w:hAnsi="宋体" w:eastAsia="彩虹粗仿宋" w:cs="Arial"/>
          <w:bCs/>
          <w:sz w:val="24"/>
        </w:rPr>
      </w:pPr>
      <w:r>
        <w:rPr>
          <w:rFonts w:hint="eastAsia" w:ascii="彩虹粗仿宋" w:hAnsi="宋体" w:eastAsia="彩虹粗仿宋" w:cs="Arial"/>
          <w:bCs/>
          <w:sz w:val="24"/>
        </w:rPr>
        <w:t>本基金的投资范围主要为具有良好流动性的金融工具，包括</w:t>
      </w:r>
      <w:r>
        <w:rPr>
          <w:rFonts w:hint="eastAsia"/>
          <w:bCs/>
          <w:sz w:val="24"/>
        </w:rPr>
        <w:t>债券（含</w:t>
      </w:r>
      <w:r>
        <w:rPr>
          <w:rFonts w:hint="eastAsia" w:ascii="彩虹粗仿宋" w:hAnsi="宋体" w:eastAsia="彩虹粗仿宋" w:cs="Arial"/>
          <w:bCs/>
          <w:sz w:val="24"/>
        </w:rPr>
        <w:t>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w:t>
      </w:r>
    </w:p>
    <w:p w14:paraId="5C58121E">
      <w:pPr>
        <w:adjustRightInd w:val="0"/>
        <w:snapToGrid w:val="0"/>
        <w:spacing w:line="360" w:lineRule="auto"/>
        <w:ind w:firstLine="480" w:firstLineChars="200"/>
        <w:rPr>
          <w:rFonts w:ascii="彩虹粗仿宋" w:hAnsi="宋体" w:eastAsia="彩虹粗仿宋" w:cs="Arial"/>
          <w:bCs/>
          <w:sz w:val="24"/>
        </w:rPr>
      </w:pPr>
      <w:r>
        <w:rPr>
          <w:rFonts w:hint="eastAsia" w:ascii="彩虹粗仿宋" w:hAnsi="宋体" w:eastAsia="彩虹粗仿宋" w:cs="Arial"/>
          <w:bCs/>
          <w:sz w:val="24"/>
        </w:rPr>
        <w:t>本基金不投资于股票等资产，也不投资于可转换债券、可交换债券。</w:t>
      </w:r>
    </w:p>
    <w:p w14:paraId="39BBFD44">
      <w:pPr>
        <w:adjustRightInd w:val="0"/>
        <w:snapToGrid w:val="0"/>
        <w:spacing w:line="360" w:lineRule="auto"/>
        <w:ind w:firstLine="480" w:firstLineChars="200"/>
        <w:rPr>
          <w:rFonts w:ascii="彩虹粗仿宋" w:hAnsi="宋体" w:eastAsia="彩虹粗仿宋" w:cs="Arial"/>
          <w:bCs/>
          <w:sz w:val="24"/>
        </w:rPr>
      </w:pPr>
      <w:r>
        <w:rPr>
          <w:rFonts w:hint="eastAsia" w:ascii="彩虹粗仿宋" w:hAnsi="宋体" w:eastAsia="彩虹粗仿宋" w:cs="Arial"/>
          <w:bCs/>
          <w:sz w:val="24"/>
        </w:rPr>
        <w:t>如法律法规或监管机构以后允许基金投资其他品种，基金管理人在履行适当程序后，可以将其纳入投资范围。</w:t>
      </w:r>
    </w:p>
    <w:p w14:paraId="7BEFDC03">
      <w:pPr>
        <w:adjustRightInd w:val="0"/>
        <w:snapToGrid w:val="0"/>
        <w:spacing w:line="360" w:lineRule="auto"/>
        <w:ind w:firstLine="480" w:firstLineChars="200"/>
        <w:rPr>
          <w:rFonts w:ascii="彩虹粗仿宋" w:hAnsi="宋体" w:eastAsia="彩虹粗仿宋" w:cs="Arial"/>
          <w:bCs/>
          <w:sz w:val="24"/>
        </w:rPr>
      </w:pPr>
      <w:r>
        <w:rPr>
          <w:rFonts w:hint="eastAsia" w:ascii="彩虹粗仿宋" w:hAnsi="宋体" w:eastAsia="彩虹粗仿宋" w:cs="Arial"/>
          <w:bCs/>
          <w:sz w:val="24"/>
        </w:rPr>
        <w:t>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769249CE">
      <w:pPr>
        <w:adjustRightInd w:val="0"/>
        <w:snapToGrid w:val="0"/>
        <w:spacing w:line="360" w:lineRule="auto"/>
        <w:ind w:firstLine="480" w:firstLineChars="200"/>
        <w:rPr>
          <w:rFonts w:ascii="彩虹粗仿宋" w:hAnsi="宋体" w:eastAsia="彩虹粗仿宋" w:cs="Arial"/>
          <w:bCs/>
          <w:sz w:val="24"/>
        </w:rPr>
      </w:pPr>
      <w:r>
        <w:rPr>
          <w:rFonts w:hint="eastAsia" w:ascii="彩虹粗仿宋" w:hAnsi="宋体" w:eastAsia="彩虹粗仿宋" w:cs="Arial"/>
          <w:bCs/>
          <w:sz w:val="24"/>
        </w:rPr>
        <w:t>若法律法规的相关规定发生变更或监管机构允许，本基金管理人在履行适当程序后，可对上述资产配置比例进行调整。</w:t>
      </w:r>
    </w:p>
    <w:p w14:paraId="43CDDDA3">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（二）基金托管人根据有关法律法规的规定及《基金合同》的约定，对基金投资、融资比例进行监督。基金托管人按下述比例和调整期限进行监督：</w:t>
      </w:r>
    </w:p>
    <w:p w14:paraId="74347C87">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（1）本基金投资于债券资产比例不低于基金资产的80%，但应开放期流动性需要，为保护基金份额持有人利益，在每次开放期开始前1个月、开放期及开放期结束后1个月的期间内，基金投资不受上述比例限制；</w:t>
      </w:r>
    </w:p>
    <w:p w14:paraId="1C9A4646">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6586AF3D">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（3）本基金持有一家公司发行的证券，其市值不超过基金资产净值的10％；</w:t>
      </w:r>
    </w:p>
    <w:p w14:paraId="7AFD9FC2">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（4）本基金管理人管理的全部基金持有一家公司发行的证券，不超过该证券的10％；</w:t>
      </w:r>
    </w:p>
    <w:p w14:paraId="6EE6C531">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（5）本基金进入全国银行间同业市场进行债券回购的资金余额不得超过基金资产净值的40%；在全国银行间同业市场中的债券回购最长期限为1年，债券回购到期后不展期；</w:t>
      </w:r>
    </w:p>
    <w:p w14:paraId="2627E269">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（6）本基金投资于同一原始权益人的各类资产支持证券的比例，不得超过基金资产净值的10％；</w:t>
      </w:r>
    </w:p>
    <w:p w14:paraId="6325A87D">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（7）本基金持有的全部资产支持证券，其市值不得超过基金资产净值的20％；</w:t>
      </w:r>
    </w:p>
    <w:p w14:paraId="36BDB527">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（8）本基金持有的同一(指同一信用级别)资产支持证券的比例，不得超过该资产支持证券规模的10％；</w:t>
      </w:r>
    </w:p>
    <w:p w14:paraId="26DB68AB">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（9）本基金管理人管理的全部基金投资于同一原始权益人的各类资产支持证券，不得超过其各类资产支持证券合计规模的10％；</w:t>
      </w:r>
    </w:p>
    <w:p w14:paraId="4A4B373F">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（10）本基金应投资于信用级别评级为BBB以上(含BBB)的资产支持证券。基金持有资产支持证券期间，如果其信用等级下降、不再符合投资标准，应在评级报告发布之日起3个月内予以全部卖出；</w:t>
      </w:r>
    </w:p>
    <w:p w14:paraId="25D2CEA9">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（11）本基金若参与国债期货交易，需遵守下列投资比例限制：</w:t>
      </w:r>
    </w:p>
    <w:p w14:paraId="234EE869">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1）本基金在任何交易日日终，持有的买入国债期货合约价值，不得超过基金资产净值的15%；</w:t>
      </w:r>
    </w:p>
    <w:p w14:paraId="2536D4C5">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2）本基金在任何交易日日终，持有的卖出国债期货合约价值不得超过基金持有的债券总市值的30%；</w:t>
      </w:r>
    </w:p>
    <w:p w14:paraId="438D4E20">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3）本基金在任何交易日内交易（不包括平仓）的国债期货合约的成交金额不得超过上一交易日基金资产净值的30%；</w:t>
      </w:r>
    </w:p>
    <w:p w14:paraId="1EFB032F">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4）本基金所持有的债券（不含到期日在一年以内的政府债券）市值和买入、卖出国债期货合约价值，合计（轧差计算）应当符合基金合同关于债券投资比例的有关约定；</w:t>
      </w:r>
    </w:p>
    <w:p w14:paraId="1EB5E896">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（12）开放期内，本基金资产总值不得超过基金资产净值的140%；封闭期内，本基金资产总值不得超过基金资产净值的200%；</w:t>
      </w:r>
    </w:p>
    <w:p w14:paraId="43A8730C">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（13）开放期内，本基金主动投资于流动性受限资产的市值合计不得超过基金资产净值的 15%；封闭期内不受此限；</w:t>
      </w:r>
    </w:p>
    <w:p w14:paraId="305261D0">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因证券市场波动、基金规模变动等基金管理人之外的因素致使基金不符合前款所规定比例限制的，基金管理人不得主动新增流动性受限资产的投资；</w:t>
      </w:r>
    </w:p>
    <w:p w14:paraId="637F22DB">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（14）本基金与私募类证券资管产品及中国证监会认定的其他主体为交易对手开展逆回购交易的，可接受质押品的资质要求应当与基金合同约定的投资范围保持一致；</w:t>
      </w:r>
    </w:p>
    <w:p w14:paraId="4C124C1B">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（15）法律法规及中国证监会规定的和《基金合同》约定的其他投资限制。</w:t>
      </w:r>
    </w:p>
    <w:p w14:paraId="74FE75CE">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除上述第（2）、（10）、（13）、（14）条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60FA6369">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00C48B7D">
      <w:pPr>
        <w:adjustRightInd w:val="0"/>
        <w:snapToGrid w:val="0"/>
        <w:spacing w:line="360" w:lineRule="auto"/>
        <w:ind w:firstLine="480" w:firstLineChars="200"/>
        <w:rPr>
          <w:rFonts w:ascii="彩虹粗仿宋" w:eastAsia="彩虹粗仿宋"/>
          <w:sz w:val="24"/>
        </w:rPr>
      </w:pPr>
      <w:r>
        <w:rPr>
          <w:rFonts w:hint="eastAsia" w:ascii="彩虹粗仿宋" w:eastAsia="彩虹粗仿宋"/>
          <w:sz w:val="24"/>
        </w:rPr>
        <w:t>法律法规或监管部门取消或调整上述限制，如适用于本基金，基金管理人在履行适当程序后，则本基金投资不再受相关限制或按调整后的规定执行。</w:t>
      </w:r>
    </w:p>
    <w:p w14:paraId="33679C4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（三）基金托管人</w:t>
      </w:r>
      <w:bookmarkStart w:id="3" w:name="OLE_LINK1"/>
      <w:r>
        <w:rPr>
          <w:rFonts w:hint="eastAsia" w:ascii="彩虹粗仿宋" w:hAnsi="宋体" w:eastAsia="彩虹粗仿宋" w:cs="Arial"/>
          <w:sz w:val="24"/>
        </w:rPr>
        <w:t>根据有关法律法规的规定及《基金合同》的约定，</w:t>
      </w:r>
      <w:bookmarkEnd w:id="3"/>
      <w:r>
        <w:rPr>
          <w:rFonts w:hint="eastAsia" w:ascii="彩虹粗仿宋" w:hAnsi="宋体" w:eastAsia="彩虹粗仿宋" w:cs="Arial"/>
          <w:sz w:val="24"/>
        </w:rPr>
        <w:t>对本托管协议第十五条第九款基金投资禁止行为通过事后监督方式进行监督。</w:t>
      </w:r>
    </w:p>
    <w:p w14:paraId="28E240E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w:t>
      </w:r>
      <w:r>
        <w:rPr>
          <w:rFonts w:hint="eastAsia" w:cs="Arial" w:asciiTheme="minorEastAsia" w:hAnsiTheme="minorEastAsia" w:eastAsiaTheme="minorEastAsia"/>
          <w:sz w:val="24"/>
        </w:rPr>
        <w:t>重大关联交易应提交基金管理人董事会审议，并经过三分之二以上的独立董事通过。基金管理人董事会应至少每半年对关联交易事项进行审查。</w:t>
      </w:r>
    </w:p>
    <w:p w14:paraId="0AE0CF37">
      <w:pPr>
        <w:adjustRightInd w:val="0"/>
        <w:snapToGrid w:val="0"/>
        <w:spacing w:line="360" w:lineRule="auto"/>
        <w:ind w:firstLine="480" w:firstLineChars="200"/>
        <w:rPr>
          <w:rFonts w:ascii="彩虹粗仿宋" w:hAnsi="宋体" w:eastAsia="彩虹粗仿宋" w:cs="Arial"/>
        </w:rPr>
      </w:pPr>
      <w:r>
        <w:rPr>
          <w:rFonts w:hint="eastAsia" w:ascii="彩虹粗仿宋" w:hAnsi="宋体" w:eastAsia="彩虹粗仿宋" w:cs="Arial"/>
          <w:sz w:val="24"/>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14:paraId="6D7A16AB">
      <w:pPr>
        <w:adjustRightInd w:val="0"/>
        <w:snapToGrid w:val="0"/>
        <w:spacing w:line="360" w:lineRule="auto"/>
        <w:ind w:firstLine="480" w:firstLineChars="200"/>
        <w:rPr>
          <w:rFonts w:ascii="彩虹粗仿宋" w:hAnsi="宋体" w:eastAsia="彩虹粗仿宋" w:cs="Arial"/>
        </w:rPr>
      </w:pPr>
      <w:r>
        <w:rPr>
          <w:rFonts w:hint="eastAsia" w:ascii="彩虹粗仿宋" w:hAnsi="宋体" w:eastAsia="彩虹粗仿宋" w:cs="Arial"/>
          <w:color w:val="000000"/>
          <w:sz w:val="24"/>
        </w:rPr>
        <w:t>基金管理人负责对交易对手的资信控制，按银行间债券市场的交易规则进行交易，并</w:t>
      </w:r>
      <w:r>
        <w:rPr>
          <w:rFonts w:hint="eastAsia" w:ascii="彩虹粗仿宋" w:eastAsia="彩虹粗仿宋"/>
          <w:sz w:val="24"/>
        </w:rPr>
        <w:t>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w:t>
      </w:r>
      <w:r>
        <w:rPr>
          <w:rFonts w:hint="eastAsia" w:ascii="彩虹粗仿宋" w:hAnsi="宋体" w:eastAsia="彩虹粗仿宋" w:cs="Arial"/>
          <w:color w:val="000000"/>
          <w:sz w:val="24"/>
        </w:rPr>
        <w:t>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14:paraId="0CB23B5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五）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14:paraId="2C9C48F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六）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14:paraId="02A7C79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七）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79A14EA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（八）若基金托管人发现基金管理人依据交易程序已经生效的指令违反法律、行政法规和其他有关规定，或者违反《基金合同》约定的，应当立即通知基金管理人，由此造成的损失由基金管理人承担。</w:t>
      </w:r>
    </w:p>
    <w:p w14:paraId="3C53A2E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九）基金托管人发现基金管理人有重大违规行为，应及时报告中国证监会，同时通知基金管理人限期纠正，并将纠正结果报告中国证监会。基金管理人无正当理由，拒绝、阻挠基金托管人根据本托管协议规定行使监督权，或采取拖延、欺诈等手段妨碍基金托管人进行有效监督，情节严重或经基金托管人提出警告仍不改正的，基金托管人应报告中国证监会。</w:t>
      </w:r>
    </w:p>
    <w:p w14:paraId="71C16F40">
      <w:pPr>
        <w:spacing w:line="360" w:lineRule="auto"/>
        <w:ind w:firstLine="480" w:firstLineChars="200"/>
        <w:rPr>
          <w:rFonts w:ascii="宋体" w:hAnsi="宋体"/>
          <w:sz w:val="24"/>
        </w:rPr>
      </w:pPr>
      <w:r>
        <w:rPr>
          <w:rFonts w:hint="eastAsia" w:ascii="宋体" w:hAnsi="宋体"/>
          <w:sz w:val="24"/>
        </w:rPr>
        <w:t>（十）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24D5D793">
      <w:pPr>
        <w:spacing w:line="360" w:lineRule="auto"/>
        <w:ind w:firstLine="480" w:firstLineChars="200"/>
        <w:rPr>
          <w:rFonts w:ascii="宋体" w:hAnsi="宋体"/>
          <w:sz w:val="24"/>
        </w:rPr>
      </w:pPr>
      <w:r>
        <w:rPr>
          <w:rFonts w:hint="eastAsia" w:ascii="宋体" w:hAnsi="宋体"/>
          <w:sz w:val="24"/>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597D92DE">
      <w:pPr>
        <w:spacing w:line="360" w:lineRule="auto"/>
        <w:ind w:firstLine="480" w:firstLineChars="200"/>
        <w:rPr>
          <w:rFonts w:ascii="宋体" w:hAnsi="宋体"/>
          <w:sz w:val="24"/>
        </w:rPr>
      </w:pPr>
      <w:r>
        <w:rPr>
          <w:rFonts w:hint="eastAsia" w:ascii="宋体" w:hAnsi="宋体"/>
          <w:sz w:val="24"/>
        </w:rPr>
        <w:t>（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1783766">
      <w:pPr>
        <w:spacing w:line="360" w:lineRule="auto"/>
        <w:ind w:firstLine="480" w:firstLineChars="200"/>
        <w:rPr>
          <w:rFonts w:ascii="宋体" w:hAnsi="宋体"/>
          <w:sz w:val="24"/>
        </w:rPr>
      </w:pPr>
      <w:r>
        <w:rPr>
          <w:rFonts w:hint="eastAsia" w:ascii="宋体" w:hAnsi="宋体"/>
          <w:sz w:val="24"/>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46E7CE82">
      <w:pPr>
        <w:rPr>
          <w:rFonts w:ascii="彩虹粗仿宋" w:eastAsia="彩虹粗仿宋"/>
          <w:sz w:val="24"/>
        </w:rPr>
        <w:sectPr>
          <w:footerReference r:id="rId11" w:type="default"/>
          <w:pgSz w:w="11906" w:h="16838"/>
          <w:pgMar w:top="1418" w:right="1701" w:bottom="1418" w:left="1701" w:header="851" w:footer="992" w:gutter="0"/>
          <w:pgNumType w:start="1"/>
          <w:cols w:space="425" w:num="1"/>
          <w:docGrid w:type="lines" w:linePitch="312" w:charSpace="0"/>
        </w:sectPr>
      </w:pPr>
    </w:p>
    <w:p w14:paraId="6F9E66D7">
      <w:pPr>
        <w:rPr>
          <w:rFonts w:ascii="彩虹粗仿宋" w:eastAsia="彩虹粗仿宋"/>
          <w:sz w:val="24"/>
        </w:rPr>
      </w:pPr>
    </w:p>
    <w:p w14:paraId="2ADC32E7">
      <w:pPr>
        <w:pStyle w:val="2"/>
        <w:jc w:val="center"/>
        <w:rPr>
          <w:rFonts w:ascii="彩虹粗仿宋" w:eastAsia="彩虹粗仿宋"/>
          <w:sz w:val="30"/>
        </w:rPr>
      </w:pPr>
      <w:bookmarkStart w:id="4" w:name="_Toc124325888"/>
      <w:bookmarkStart w:id="5" w:name="_Toc110765660"/>
      <w:bookmarkStart w:id="6" w:name="_Toc110830492"/>
      <w:bookmarkStart w:id="7" w:name="_Toc118774803"/>
      <w:bookmarkStart w:id="8" w:name="_Toc86225291"/>
      <w:bookmarkStart w:id="9" w:name="_Toc86727355"/>
      <w:bookmarkStart w:id="10" w:name="_Toc86649722"/>
      <w:bookmarkStart w:id="11" w:name="_Toc86726439"/>
      <w:bookmarkStart w:id="12" w:name="_Toc89163368"/>
      <w:bookmarkStart w:id="13" w:name="_Toc119402710"/>
      <w:bookmarkStart w:id="14" w:name="_Toc118972648"/>
      <w:bookmarkStart w:id="15" w:name="_Toc120435783"/>
      <w:bookmarkStart w:id="16" w:name="_Toc110761796"/>
      <w:bookmarkStart w:id="17" w:name="_Toc108512358"/>
      <w:bookmarkStart w:id="18" w:name="_Toc86223242"/>
      <w:bookmarkStart w:id="19" w:name="_Toc86737929"/>
      <w:bookmarkStart w:id="20" w:name="_Toc118212950"/>
      <w:r>
        <w:rPr>
          <w:rFonts w:hint="eastAsia" w:ascii="彩虹粗仿宋" w:eastAsia="彩虹粗仿宋"/>
          <w:sz w:val="30"/>
        </w:rPr>
        <w:t>四、基金管理人对基金托管人的业务核查</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5C9997DD">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0B63F239">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14502EA1">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三）基金管理人发现基金托管人有重大违规行为，应及时报告中国证监会，同时通知基金托管人限期纠正，并将纠正结果报告中国证监会。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2529AF4C">
      <w:pPr>
        <w:rPr>
          <w:rFonts w:ascii="彩虹粗仿宋" w:eastAsia="彩虹粗仿宋"/>
          <w:sz w:val="24"/>
        </w:rPr>
        <w:sectPr>
          <w:footerReference r:id="rId12" w:type="default"/>
          <w:pgSz w:w="11906" w:h="16838"/>
          <w:pgMar w:top="1418" w:right="1701" w:bottom="1418" w:left="1701" w:header="851" w:footer="992" w:gutter="0"/>
          <w:pgNumType w:start="1"/>
          <w:cols w:space="425" w:num="1"/>
          <w:docGrid w:type="lines" w:linePitch="312" w:charSpace="0"/>
        </w:sectPr>
      </w:pPr>
    </w:p>
    <w:p w14:paraId="6319999F">
      <w:pPr>
        <w:rPr>
          <w:rFonts w:ascii="彩虹粗仿宋" w:eastAsia="彩虹粗仿宋"/>
          <w:sz w:val="24"/>
        </w:rPr>
      </w:pPr>
    </w:p>
    <w:p w14:paraId="68275F5F">
      <w:pPr>
        <w:pStyle w:val="2"/>
        <w:jc w:val="center"/>
        <w:rPr>
          <w:rFonts w:ascii="彩虹粗仿宋" w:eastAsia="彩虹粗仿宋"/>
          <w:sz w:val="30"/>
        </w:rPr>
      </w:pPr>
      <w:bookmarkStart w:id="21" w:name="_Toc86649723"/>
      <w:bookmarkStart w:id="22" w:name="_Toc86225292"/>
      <w:bookmarkStart w:id="23" w:name="_Toc108512359"/>
      <w:bookmarkStart w:id="24" w:name="_Toc86223243"/>
      <w:bookmarkStart w:id="25" w:name="_Toc118774804"/>
      <w:bookmarkStart w:id="26" w:name="_Toc110830493"/>
      <w:bookmarkStart w:id="27" w:name="_Toc86726440"/>
      <w:bookmarkStart w:id="28" w:name="_Toc110765661"/>
      <w:bookmarkStart w:id="29" w:name="_Toc119402711"/>
      <w:bookmarkStart w:id="30" w:name="_Toc86204789"/>
      <w:bookmarkStart w:id="31" w:name="_Toc89163369"/>
      <w:bookmarkStart w:id="32" w:name="_Toc84234388"/>
      <w:bookmarkStart w:id="33" w:name="_Toc120435784"/>
      <w:bookmarkStart w:id="34" w:name="_Toc86727356"/>
      <w:bookmarkStart w:id="35" w:name="_Toc118972649"/>
      <w:bookmarkStart w:id="36" w:name="_Toc86737930"/>
      <w:bookmarkStart w:id="37" w:name="_Toc118212951"/>
      <w:bookmarkStart w:id="38" w:name="_Toc124325889"/>
      <w:bookmarkStart w:id="39" w:name="_Toc110761797"/>
      <w:bookmarkStart w:id="40" w:name="_Toc84133786"/>
      <w:bookmarkStart w:id="41" w:name="_Toc84234435"/>
      <w:r>
        <w:rPr>
          <w:rFonts w:hint="eastAsia" w:ascii="彩虹粗仿宋" w:eastAsia="彩虹粗仿宋"/>
          <w:sz w:val="30"/>
        </w:rPr>
        <w:t>五、基金财产的保管</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4982ADF5">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（一）基金财产保管的原则</w:t>
      </w:r>
    </w:p>
    <w:p w14:paraId="35585FCE">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1.基金财产应独立于基金管理人、基金托管人的固有财产。</w:t>
      </w:r>
    </w:p>
    <w:p w14:paraId="1A602679">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2.基金托管人应安全保管基金财产，不对</w:t>
      </w:r>
      <w:r>
        <w:rPr>
          <w:rFonts w:ascii="彩虹粗仿宋" w:hAnsi="宋体" w:eastAsia="彩虹粗仿宋" w:cs="Arial"/>
          <w:sz w:val="24"/>
        </w:rPr>
        <w:t>处于</w:t>
      </w:r>
      <w:r>
        <w:rPr>
          <w:rFonts w:hint="eastAsia" w:ascii="彩虹粗仿宋" w:hAnsi="宋体" w:eastAsia="彩虹粗仿宋" w:cs="Arial"/>
          <w:sz w:val="24"/>
        </w:rPr>
        <w:t>基金</w:t>
      </w:r>
      <w:r>
        <w:rPr>
          <w:rFonts w:ascii="彩虹粗仿宋" w:hAnsi="宋体" w:eastAsia="彩虹粗仿宋" w:cs="Arial"/>
          <w:sz w:val="24"/>
        </w:rPr>
        <w:t>托管人实际控制之外的账户或财产承担责任</w:t>
      </w:r>
      <w:r>
        <w:rPr>
          <w:rFonts w:hint="eastAsia" w:ascii="彩虹粗仿宋" w:hAnsi="宋体" w:eastAsia="彩虹粗仿宋" w:cs="Arial"/>
          <w:sz w:val="24"/>
        </w:rPr>
        <w:t>。</w:t>
      </w:r>
    </w:p>
    <w:p w14:paraId="75B0B21E">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3.基金托管人按照规定开设基金财产的资金账户、证券账户等投资所需其他账户。</w:t>
      </w:r>
    </w:p>
    <w:p w14:paraId="16AE11A7">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4.基金托管人对所托管的不同基金财产分别设置账户，确保基金财产的完整与独立。</w:t>
      </w:r>
    </w:p>
    <w:p w14:paraId="2EE7E4BF">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5.基金托管人按照《基金合同》和本协议的约定保管基金财产，如有特殊情况双方可另行协商解决。基金</w:t>
      </w:r>
      <w:r>
        <w:rPr>
          <w:rFonts w:hint="eastAsia" w:ascii="彩虹粗仿宋" w:eastAsia="彩虹粗仿宋"/>
          <w:sz w:val="24"/>
        </w:rPr>
        <w:t>托管人未经基金管理人的指令，不得自行运用、处分、分配本基金的任何资产（不包含基金托管人依据中国证券登记结算有限责任公司结算数据完成场内交易交收、托管资产开户银行扣收结算费和账户维护费等费用）。</w:t>
      </w:r>
    </w:p>
    <w:p w14:paraId="113F4C41">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14:paraId="445D1D6C">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7.除依据法律法规和《基金合同》的规定外，基金托管人不得委托第三人托管基金财产。</w:t>
      </w:r>
    </w:p>
    <w:p w14:paraId="6B8ED6E9">
      <w:pPr>
        <w:adjustRightInd w:val="0"/>
        <w:snapToGrid w:val="0"/>
        <w:spacing w:line="360" w:lineRule="auto"/>
        <w:ind w:firstLine="482"/>
        <w:rPr>
          <w:rFonts w:ascii="彩虹粗仿宋" w:hAnsi="宋体" w:eastAsia="彩虹粗仿宋" w:cs="Arial"/>
          <w:sz w:val="24"/>
        </w:rPr>
      </w:pPr>
      <w:r>
        <w:rPr>
          <w:rFonts w:hint="eastAsia" w:ascii="彩虹粗仿宋" w:hAnsi="宋体" w:eastAsia="彩虹粗仿宋" w:cs="Arial"/>
          <w:sz w:val="24"/>
        </w:rPr>
        <w:t>（二）基金募集期间及募集资金的验资</w:t>
      </w:r>
    </w:p>
    <w:p w14:paraId="61D78EC5">
      <w:pPr>
        <w:adjustRightInd w:val="0"/>
        <w:snapToGrid w:val="0"/>
        <w:spacing w:line="360" w:lineRule="auto"/>
        <w:ind w:firstLine="482"/>
        <w:rPr>
          <w:rFonts w:ascii="彩虹粗仿宋" w:hAnsi="宋体" w:eastAsia="彩虹粗仿宋" w:cs="Arial"/>
          <w:sz w:val="24"/>
        </w:rPr>
      </w:pPr>
      <w:r>
        <w:rPr>
          <w:rFonts w:hint="eastAsia" w:ascii="彩虹粗仿宋" w:hAnsi="宋体" w:eastAsia="彩虹粗仿宋" w:cs="Arial"/>
          <w:sz w:val="24"/>
        </w:rPr>
        <w:t>1.基金募集期间募集的资金应存于基金管理人在</w:t>
      </w:r>
      <w:r>
        <w:rPr>
          <w:rFonts w:cs="Arial" w:asciiTheme="minorEastAsia" w:hAnsiTheme="minorEastAsia"/>
          <w:sz w:val="24"/>
        </w:rPr>
        <w:t>具有托管资格的商业银行</w:t>
      </w:r>
      <w:r>
        <w:rPr>
          <w:rFonts w:hint="eastAsia" w:ascii="彩虹粗仿宋" w:hAnsi="宋体" w:eastAsia="彩虹粗仿宋" w:cs="Arial"/>
          <w:sz w:val="24"/>
        </w:rPr>
        <w:t>开立的“基金募集专户”。该账户由基金管理人开立并管理。</w:t>
      </w:r>
    </w:p>
    <w:p w14:paraId="258D0B96">
      <w:pPr>
        <w:adjustRightInd w:val="0"/>
        <w:snapToGrid w:val="0"/>
        <w:spacing w:line="360" w:lineRule="auto"/>
        <w:ind w:firstLine="482"/>
        <w:rPr>
          <w:rFonts w:ascii="彩虹粗仿宋" w:hAnsi="宋体" w:eastAsia="彩虹粗仿宋" w:cs="Arial"/>
          <w:sz w:val="24"/>
        </w:rPr>
      </w:pPr>
      <w:r>
        <w:rPr>
          <w:rFonts w:hint="eastAsia" w:ascii="彩虹粗仿宋" w:hAnsi="宋体" w:eastAsia="彩虹粗仿宋" w:cs="Arial"/>
          <w:sz w:val="24"/>
        </w:rPr>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w:t>
      </w:r>
      <w:r>
        <w:rPr>
          <w:rFonts w:ascii="彩虹粗仿宋" w:hAnsi="宋体" w:eastAsia="彩虹粗仿宋" w:cs="Arial"/>
          <w:sz w:val="24"/>
        </w:rPr>
        <w:t>验资报告需对发起资金的持有人及其持有份额进行专门说明</w:t>
      </w:r>
      <w:r>
        <w:rPr>
          <w:rFonts w:hint="eastAsia" w:ascii="彩虹粗仿宋" w:hAnsi="宋体" w:eastAsia="彩虹粗仿宋" w:cs="Arial"/>
          <w:sz w:val="24"/>
        </w:rPr>
        <w:t>。出具的验资报告由参加验资的2名或2名以上中国注册会计师签字方为有效。</w:t>
      </w:r>
    </w:p>
    <w:p w14:paraId="6339184A">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3.若基金募集期限届满，未能达到《基金合同》生效的条件，由基金管理人按规定办理退款等事宜。</w:t>
      </w:r>
    </w:p>
    <w:p w14:paraId="60D4F0E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（三）基金托管账户的开立和管理</w:t>
      </w:r>
    </w:p>
    <w:p w14:paraId="642AA129">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1.基金托管人应以本基金的名义在其营业机构开立基金的托管账户，并根据基金管理人合法合规的指令办理资金收付。</w:t>
      </w:r>
    </w:p>
    <w:p w14:paraId="52759A87">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2.基金托管账户的开立和使用，限于满足开展本基金业务的需要。基金托管人和基金管理人不得假借本基金的名义开立任何其他银行账户；亦不得使用基金的任何账户进行本基金业务以外的活动。</w:t>
      </w:r>
    </w:p>
    <w:p w14:paraId="04B617D2">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3.基金托管账户的开立和管理应符合银行业监督管理机构的有关规定。</w:t>
      </w:r>
    </w:p>
    <w:p w14:paraId="58BC808B">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4.在符合法律法规规定的条件下，基金托管人可以通过基金托管人专用账户办理基金资产的支付。</w:t>
      </w:r>
    </w:p>
    <w:p w14:paraId="529C499C">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（四）基金证券账户和结算备付金账户的开立和管理</w:t>
      </w:r>
    </w:p>
    <w:p w14:paraId="50C0BBD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1.基金托管人在中国证券登记结算有限责任公司上海分公司、深圳分公司为基金开立证券账户。</w:t>
      </w:r>
    </w:p>
    <w:p w14:paraId="0CF2FC9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60D15D1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3.基金证券账户的开立、变更和证券账户卡的保管由基金托管人负责，账户资产的管理和运用由基金管理人负责。</w:t>
      </w:r>
    </w:p>
    <w:p w14:paraId="5AECF73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证券账户开户费由本基金财产承担，若因基金银行存款余额不足导致证券账户开户费无法扣收，由基金</w:t>
      </w:r>
      <w:r>
        <w:rPr>
          <w:rFonts w:ascii="彩虹粗仿宋" w:hAnsi="宋体" w:eastAsia="彩虹粗仿宋" w:cs="Arial"/>
          <w:sz w:val="24"/>
        </w:rPr>
        <w:t>管理人先行垫付</w:t>
      </w:r>
      <w:r>
        <w:rPr>
          <w:rFonts w:hint="eastAsia" w:ascii="彩虹粗仿宋" w:hAnsi="宋体" w:eastAsia="彩虹粗仿宋" w:cs="Arial"/>
          <w:sz w:val="24"/>
        </w:rPr>
        <w:t>。</w:t>
      </w:r>
    </w:p>
    <w:p w14:paraId="4FD5249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14:paraId="3EE8A6D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5.若中国证监会或其他监管机构在本托管协议订立日之后允许基金从事其他投资品种的投资业务，涉及相关账户的开立、使用的，若无相关规定，则基金托管人比照上述关于账户开立、使用的规定执行。</w:t>
      </w:r>
    </w:p>
    <w:p w14:paraId="7E56647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（五）债券托管账户的开立和管理</w:t>
      </w:r>
    </w:p>
    <w:p w14:paraId="535936E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w:t>
      </w:r>
    </w:p>
    <w:p w14:paraId="209CC1C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（六）其他账户的开立和管理</w:t>
      </w:r>
    </w:p>
    <w:p w14:paraId="38C35C3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w:t>
      </w:r>
      <w:r>
        <w:rPr>
          <w:rFonts w:hint="eastAsia" w:ascii="彩虹粗仿宋" w:eastAsia="彩虹粗仿宋"/>
          <w:szCs w:val="21"/>
        </w:rPr>
        <w:t xml:space="preserve"> </w:t>
      </w:r>
      <w:r>
        <w:rPr>
          <w:rFonts w:hint="eastAsia" w:ascii="彩虹粗仿宋" w:hAnsi="宋体" w:eastAsia="彩虹粗仿宋" w:cs="Arial"/>
          <w:sz w:val="24"/>
        </w:rPr>
        <w:t>在本托管协议订立日之后，本基金被允许从事符合法律法规规定和《基金合同》约定的其他投资品种的投资业务时，如果涉及相关账户的开设和使用，按有关规则进行开立</w:t>
      </w:r>
      <w:r>
        <w:rPr>
          <w:rFonts w:ascii="彩虹粗仿宋" w:hAnsi="宋体" w:eastAsia="彩虹粗仿宋" w:cs="Arial"/>
          <w:sz w:val="24"/>
        </w:rPr>
        <w:t>和</w:t>
      </w:r>
      <w:r>
        <w:rPr>
          <w:rFonts w:hint="eastAsia" w:ascii="彩虹粗仿宋" w:hAnsi="宋体" w:eastAsia="彩虹粗仿宋" w:cs="Arial"/>
          <w:sz w:val="24"/>
        </w:rPr>
        <w:t>使用。</w:t>
      </w:r>
    </w:p>
    <w:p w14:paraId="39B59128">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2.法律法规等有关规定对相关账户的开立和管理另有规定的，从其规定办理。</w:t>
      </w:r>
    </w:p>
    <w:p w14:paraId="058E89F2">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（七）基金财产投资的有关有价凭证等的保管</w:t>
      </w:r>
    </w:p>
    <w:p w14:paraId="484EB74B">
      <w:pPr>
        <w:adjustRightInd w:val="0"/>
        <w:snapToGrid w:val="0"/>
        <w:spacing w:line="360" w:lineRule="auto"/>
        <w:ind w:firstLine="480" w:firstLineChars="200"/>
        <w:rPr>
          <w:rFonts w:ascii="彩虹粗仿宋" w:hAnsi="宋体" w:eastAsia="彩虹粗仿宋" w:cs="Arial"/>
        </w:rPr>
      </w:pPr>
      <w:r>
        <w:rPr>
          <w:rFonts w:hint="eastAsia" w:ascii="彩虹粗仿宋" w:hAnsi="宋体" w:eastAsia="彩虹粗仿宋" w:cs="Arial"/>
          <w:sz w:val="24"/>
        </w:rPr>
        <w:t>基金财产投资的有关实物证券、银行</w:t>
      </w:r>
      <w:r>
        <w:rPr>
          <w:rFonts w:hint="eastAsia" w:ascii="彩虹粗仿宋" w:eastAsia="彩虹粗仿宋"/>
          <w:sz w:val="24"/>
        </w:rPr>
        <w:t>存款开户证实书</w:t>
      </w:r>
      <w:r>
        <w:rPr>
          <w:rFonts w:hint="eastAsia" w:ascii="彩虹粗仿宋" w:hAnsi="宋体" w:eastAsia="彩虹粗仿宋" w:cs="Arial"/>
          <w:sz w:val="24"/>
        </w:rPr>
        <w:t>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的资产不承担保管责任。</w:t>
      </w:r>
    </w:p>
    <w:p w14:paraId="0EDAA2C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（八）与基金财产有关的重大合同的保管</w:t>
      </w:r>
    </w:p>
    <w:p w14:paraId="74A42AD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14:paraId="590BBBC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对于无法取得二份以上的正本的，基金管理人应向基金托管人提供合同复印件，并在复印件上加盖公章，未经双方协商或未在合同约定范围内，合同原件不得转移。</w:t>
      </w:r>
    </w:p>
    <w:p w14:paraId="6AACE86E">
      <w:pPr>
        <w:rPr>
          <w:rFonts w:ascii="彩虹粗仿宋" w:eastAsia="彩虹粗仿宋"/>
          <w:sz w:val="24"/>
        </w:rPr>
        <w:sectPr>
          <w:footerReference r:id="rId13" w:type="default"/>
          <w:pgSz w:w="11906" w:h="16838"/>
          <w:pgMar w:top="1418" w:right="1701" w:bottom="1418" w:left="1701" w:header="851" w:footer="992" w:gutter="0"/>
          <w:pgNumType w:start="1"/>
          <w:cols w:space="425" w:num="1"/>
          <w:docGrid w:type="lines" w:linePitch="312" w:charSpace="0"/>
        </w:sectPr>
      </w:pPr>
    </w:p>
    <w:p w14:paraId="322F233F">
      <w:pPr>
        <w:rPr>
          <w:rFonts w:ascii="彩虹粗仿宋" w:eastAsia="彩虹粗仿宋"/>
          <w:sz w:val="24"/>
        </w:rPr>
      </w:pPr>
    </w:p>
    <w:p w14:paraId="556807F2">
      <w:pPr>
        <w:pStyle w:val="2"/>
        <w:jc w:val="center"/>
        <w:rPr>
          <w:rFonts w:ascii="彩虹粗仿宋" w:eastAsia="彩虹粗仿宋"/>
          <w:sz w:val="30"/>
        </w:rPr>
      </w:pPr>
      <w:bookmarkStart w:id="42" w:name="_Toc86225293"/>
      <w:bookmarkStart w:id="43" w:name="_Toc120435785"/>
      <w:bookmarkStart w:id="44" w:name="_Toc118972650"/>
      <w:bookmarkStart w:id="45" w:name="_Toc110761798"/>
      <w:bookmarkStart w:id="46" w:name="_Toc118774805"/>
      <w:bookmarkStart w:id="47" w:name="_Toc84234436"/>
      <w:bookmarkStart w:id="48" w:name="_Toc86649724"/>
      <w:bookmarkStart w:id="49" w:name="_Toc86727357"/>
      <w:bookmarkStart w:id="50" w:name="_Toc86204790"/>
      <w:bookmarkStart w:id="51" w:name="_Toc84133787"/>
      <w:bookmarkStart w:id="52" w:name="_Toc86726441"/>
      <w:bookmarkStart w:id="53" w:name="_Toc110830494"/>
      <w:bookmarkStart w:id="54" w:name="_Toc124325890"/>
      <w:bookmarkStart w:id="55" w:name="_Toc119402712"/>
      <w:bookmarkStart w:id="56" w:name="_Toc86737931"/>
      <w:bookmarkStart w:id="57" w:name="_Toc86223244"/>
      <w:bookmarkStart w:id="58" w:name="_Toc110765662"/>
      <w:bookmarkStart w:id="59" w:name="_Toc89163370"/>
      <w:bookmarkStart w:id="60" w:name="_Toc108512360"/>
      <w:bookmarkStart w:id="61" w:name="_Toc118212952"/>
      <w:bookmarkStart w:id="62" w:name="_Toc84234389"/>
      <w:r>
        <w:rPr>
          <w:rFonts w:hint="eastAsia" w:ascii="彩虹粗仿宋" w:eastAsia="彩虹粗仿宋"/>
          <w:sz w:val="30"/>
        </w:rPr>
        <w:t>六、指令的发送、确认及执行</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305A383">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基金管理人在运用基金财产时向基金托管人发送资金划拨及其他款项付款指令，基金托管人执行基金管理人的指令、办理基金名下的资金往来等有关事项。</w:t>
      </w:r>
    </w:p>
    <w:p w14:paraId="5A5E8ED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（一）基金管理人对发送指令人员的书面授权</w:t>
      </w:r>
    </w:p>
    <w:p w14:paraId="789A950F">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1.基金管理人应指定专人向基金托管人发送指令。</w:t>
      </w:r>
    </w:p>
    <w:p w14:paraId="5D55612D">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2.基金管理人应向基金托管人提供书面授权文件，内容包括被授权人名单、预留印鉴及被授权人签字样本，授权文件应注明被授权人相应的权限。</w:t>
      </w:r>
    </w:p>
    <w:p w14:paraId="2F7DD79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基金托管人在收到授权文件原件并经电话确认后，授权文件即生效。如果授权文件中载明具体生效时间的，该生效时间不得早于基金托管人收到授权文件并经电话确认的时点。如早于前述时间，则以基金托管人收到授权文件并经电话确认的时点为授权文件的生效时间。</w:t>
      </w:r>
    </w:p>
    <w:p w14:paraId="09C45FF9">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4.基金管理人和基金托管人对授权文件负有保密义务，其内容不得向被授权人及相关操作人员以外的任何人泄露。但法律法规规定或有权机关要求的除外。</w:t>
      </w:r>
    </w:p>
    <w:p w14:paraId="4DA29C1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（二）指令的内容</w:t>
      </w:r>
    </w:p>
    <w:p w14:paraId="7249EC0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1.指令包括付款指令以及其他资金划拨指令等。</w:t>
      </w:r>
    </w:p>
    <w:p w14:paraId="18F096B2">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2.基金管理人发给基金托管人的指令应写明款项事由、支付时间、到账时间、金额、账户等，加盖预留印鉴并由被授权人签字。</w:t>
      </w:r>
    </w:p>
    <w:p w14:paraId="242741F1">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同意基金托管人根据其收到的中国证券登记结算有限责任公司或深、沪证券交易所的交易数据与中国证券登记结算有限责任公司进行交收。基金财产投资发生的所有场内交易的清算交收，由基金托管人根据相关登记结算公司的结算规则办理，基金管理人不需要另行出具指令。</w:t>
      </w:r>
    </w:p>
    <w:p w14:paraId="111990CC">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遵照中登上海预交收制度、中登深圳结算互保金制度、中登上海深圳备付金管理办法等有关规定所做的结算备付金、保证金及最低结算备付金的调整也视为基金管理人向基金托管人发出的有效指令，无须基金管理人向基金托管人另行出具指令，基金托管人应予以执行。</w:t>
      </w:r>
    </w:p>
    <w:p w14:paraId="7E591F7B">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本基金银行账户发生的银行结算费用等银行费用，由基金托管人直接从银行账户中扣划，无须基金管理人出具指令。</w:t>
      </w:r>
    </w:p>
    <w:p w14:paraId="60D1EF8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（三）指令的发送、确认及执行的时间和程序</w:t>
      </w:r>
    </w:p>
    <w:p w14:paraId="70DEBEBE">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1.指令的发送</w:t>
      </w:r>
    </w:p>
    <w:p w14:paraId="2C4881C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基金管理人发送指令应采用加密传真方式或双方协商一致的其他方式。</w:t>
      </w:r>
    </w:p>
    <w:p w14:paraId="74A7616B">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应按照法律法规和《基金合同》的规定，在其合法的经营权限和交易权限内发送指令；被授权人应严格按照其授权权限发送指令。对于被授权人依约定程序发出的指令，基金管理人不得否认其效力。但如果基金管理人已经撤销或更改对被授权人员的授权，并且基金托管人根据本协议确认后，则对于此后该交易指令发送人员无权发送的指令，或超权限发送的指令，基金管理人不承担责任，授权已更改但未经基金托管人确认的情况除外。</w:t>
      </w:r>
    </w:p>
    <w:p w14:paraId="54513391">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指令发出后，基金管理人应及时以电话方式向基金托管人确认。</w:t>
      </w:r>
    </w:p>
    <w:p w14:paraId="4A341884">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基金管理人应在交易结束后将银行间同业市场债券交易成交单加盖预留印鉴后及时传真给基金托管人，并电话确认。如果银行间簿记系统已经生成的交易需要取消或终止，基金管理人要书面通知基金托管人。</w:t>
      </w:r>
    </w:p>
    <w:p w14:paraId="4B9D6DCC">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2.指令的确认</w:t>
      </w:r>
    </w:p>
    <w:p w14:paraId="718A0FE3">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托管人应指定专人接收基金管理人的指令，预先通知基金管理人其名单，并与基金管理人商定指令发送和接收方式。指令到达基金托管人后，基金托管人应指定专人立即审慎验证有关内容及印鉴和签名，如有疑问必须及时通知基金管理人。</w:t>
      </w:r>
    </w:p>
    <w:p w14:paraId="58905D11">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3.指令的时间和执行</w:t>
      </w:r>
    </w:p>
    <w:p w14:paraId="354F3AB4">
      <w:pPr>
        <w:pStyle w:val="8"/>
        <w:spacing w:line="360" w:lineRule="auto"/>
        <w:ind w:firstLineChars="0"/>
        <w:rPr>
          <w:rFonts w:ascii="彩虹粗仿宋" w:hAnsi="宋体" w:eastAsia="彩虹粗仿宋" w:cs="Arial"/>
          <w:shd w:val="clear" w:color="FFFFFF" w:fill="D9D9D9"/>
        </w:rPr>
      </w:pPr>
      <w:r>
        <w:rPr>
          <w:rFonts w:hint="eastAsia" w:ascii="彩虹粗仿宋" w:hAnsi="宋体" w:eastAsia="彩虹粗仿宋" w:cs="Arial"/>
        </w:rPr>
        <w:t>基金管理人尽量于划款前1个工作日向基金托管人发送指令并确认。对于要求当天到账的指令，必须在当天15:30前向基金托管人发送，15:30之后发送的，基金托管人尽力执行，但不能保证划账成功。如果要求当天某一时点到账的指令，则指令需要提前2个工作小时发送，并相关付款条件已经具备。基金托管人将视付款条件具备时为指令送达时间。</w:t>
      </w:r>
      <w:r>
        <w:rPr>
          <w:rFonts w:hint="eastAsia" w:ascii="彩虹粗仿宋" w:hAnsi="宋体" w:eastAsia="彩虹粗仿宋" w:cs="Arial"/>
          <w:szCs w:val="24"/>
        </w:rPr>
        <w:t>因基金管理人指令传输不及时，致使资金未能及时划入中登公司所造成的损失由基金管理人承担，包括赔偿在深圳市场引起其他托管客户交易失败、赔偿因占用</w:t>
      </w:r>
      <w:r>
        <w:rPr>
          <w:rFonts w:hint="eastAsia" w:ascii="彩虹粗仿宋" w:hAnsi="宋体" w:eastAsia="彩虹粗仿宋" w:cs="Arial"/>
        </w:rPr>
        <w:t>结算参与人</w:t>
      </w:r>
      <w:r>
        <w:rPr>
          <w:rFonts w:hint="eastAsia" w:ascii="彩虹粗仿宋" w:hAnsi="宋体" w:eastAsia="彩虹粗仿宋" w:cs="Arial"/>
          <w:szCs w:val="24"/>
        </w:rPr>
        <w:t>最低备付金带来的利息损失</w:t>
      </w:r>
      <w:r>
        <w:rPr>
          <w:rFonts w:hint="eastAsia" w:ascii="彩虹粗仿宋" w:hAnsi="宋体" w:eastAsia="彩虹粗仿宋" w:cs="Arial"/>
        </w:rPr>
        <w:t>。</w:t>
      </w:r>
      <w:r>
        <w:rPr>
          <w:rFonts w:hint="eastAsia" w:ascii="彩虹粗仿宋" w:hAnsi="宋体" w:eastAsia="彩虹粗仿宋" w:cs="Arial"/>
          <w:szCs w:val="24"/>
        </w:rPr>
        <w:t>基金管理人应确保基金托管人在执行指令时，基金资金账户有足够的资金余额，</w:t>
      </w:r>
      <w:r>
        <w:rPr>
          <w:rFonts w:hint="eastAsia" w:ascii="彩虹粗仿宋" w:hAnsi="宋体" w:eastAsia="彩虹粗仿宋" w:cs="Arial"/>
        </w:rPr>
        <w:t>在基金资金头寸充足的情况下，基金托管人对基金管理人符合法律法规、《基金合同》、本协议的指令不得拖延或拒绝执行。</w:t>
      </w:r>
    </w:p>
    <w:p w14:paraId="3B8BE9F3">
      <w:pPr>
        <w:pStyle w:val="8"/>
        <w:spacing w:line="360" w:lineRule="auto"/>
        <w:ind w:firstLineChars="0"/>
        <w:rPr>
          <w:rFonts w:ascii="彩虹粗仿宋" w:hAnsi="宋体" w:eastAsia="彩虹粗仿宋" w:cs="Arial"/>
        </w:rPr>
      </w:pPr>
      <w:r>
        <w:rPr>
          <w:rFonts w:hint="eastAsia" w:ascii="彩虹粗仿宋" w:hAnsi="宋体" w:eastAsia="彩虹粗仿宋" w:cs="Arial"/>
        </w:rPr>
        <w:t>（四）基金管理人发送错误指令的情形和处理程序</w:t>
      </w:r>
    </w:p>
    <w:p w14:paraId="019AF1F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基金管理人发送错误指令的情形包括指令违反法律法规和《基金合同》，指令发送人员无权或超越权限发送指令</w:t>
      </w:r>
      <w:r>
        <w:rPr>
          <w:rFonts w:hint="eastAsia" w:ascii="宋体" w:hAnsi="宋体" w:cs="Arial"/>
          <w:sz w:val="24"/>
        </w:rPr>
        <w:t>及交割信息错误，指令中重要信息模糊不清或不全等</w:t>
      </w:r>
      <w:r>
        <w:rPr>
          <w:rFonts w:hint="eastAsia" w:ascii="彩虹粗仿宋" w:hAnsi="宋体" w:eastAsia="彩虹粗仿宋" w:cs="Arial"/>
          <w:sz w:val="24"/>
        </w:rPr>
        <w:t>。</w:t>
      </w:r>
    </w:p>
    <w:p w14:paraId="3041265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基金托管人在履行监督职能时，发现基金管理人的指令错误时，有权拒绝执行，并及时通知基金管理人改正。如需撤销指令，基金管理人应出具书面说明，并加盖业务用章。</w:t>
      </w:r>
    </w:p>
    <w:p w14:paraId="4E678A8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（五）基金托管人依照法律法规暂缓、拒绝执行指令的情形和处理程序</w:t>
      </w:r>
    </w:p>
    <w:p w14:paraId="753A3C9C">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若基金托管人发现基金管理人的指令违反法律法规，或者违反《基金合同》约定的，有权视情况暂缓或拒绝执行，立即通知基金管理人。</w:t>
      </w:r>
    </w:p>
    <w:p w14:paraId="563433D7">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（六）基金托管人未按照基金管理人指令执行的处理方法</w:t>
      </w:r>
    </w:p>
    <w:p w14:paraId="2BB5B305">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基金托管人由于自身原因，未按照基金管理人发送的指令执行并对基金财产或投资人造成的直接损失，由基金托管人</w:t>
      </w:r>
      <w:r>
        <w:rPr>
          <w:rFonts w:hint="eastAsia" w:ascii="彩虹粗仿宋" w:eastAsia="彩虹粗仿宋"/>
          <w:sz w:val="24"/>
        </w:rPr>
        <w:t>赔偿由此造成的直接损失</w:t>
      </w:r>
    </w:p>
    <w:p w14:paraId="74A1A094">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（七）更换被授权人的程序</w:t>
      </w:r>
    </w:p>
    <w:p w14:paraId="779A3ED4">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更换被授权人、更改或终止对被授权人的授权，应立即将新的授权文件以传真方式通知基金托管人，并经电话确认后生效，原授权文件同时废止。新的授权文件在传真发出后七个工作日内送达文件正本。新的授权文件生效之后，正本送达之前，基金托管人按照新的授权文件传真件内容执行有关业务，如果新的授权文件正本与传真件内容不同</w:t>
      </w:r>
      <w:r>
        <w:rPr>
          <w:rFonts w:hint="eastAsia" w:ascii="宋体" w:hAnsi="宋体" w:cs="Arial"/>
          <w:sz w:val="24"/>
        </w:rPr>
        <w:t>，以基金托管人收到的传真件为准</w:t>
      </w:r>
      <w:r>
        <w:rPr>
          <w:rFonts w:hint="eastAsia" w:ascii="彩虹粗仿宋" w:eastAsia="彩虹粗仿宋"/>
          <w:sz w:val="24"/>
        </w:rPr>
        <w:t>。</w:t>
      </w:r>
      <w:r>
        <w:rPr>
          <w:rFonts w:hint="eastAsia" w:ascii="彩虹粗仿宋" w:hAnsi="宋体" w:eastAsia="彩虹粗仿宋" w:cs="Arial"/>
          <w:sz w:val="24"/>
        </w:rPr>
        <w:t>基金托管人更换接受基金管理人指令的人员，应提前通过录音电话通知基金管理人。</w:t>
      </w:r>
    </w:p>
    <w:p w14:paraId="73694EF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（八）其他事项</w:t>
      </w:r>
    </w:p>
    <w:p w14:paraId="2A072EA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托管人在接收指令时，应对指令的要素是否齐全、印鉴与被授权人是否与预留的授权文件内容相符进行检查，如发现问题，应及时报告基金管理人，基金托管人对执行基金管理人的合法指令对基金财产造成的损失不承担赔偿责任。</w:t>
      </w:r>
    </w:p>
    <w:p w14:paraId="70948252">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基金参与认购未上市债券时，基金管理人应代表本基金与对手方签署相关合同或协议，明确约定债券过户具体事宜。否则，基金管理人需对所认购债券的过户事宜承担相应责任。</w:t>
      </w:r>
    </w:p>
    <w:p w14:paraId="7D5B9406">
      <w:pPr>
        <w:adjustRightInd w:val="0"/>
        <w:snapToGrid w:val="0"/>
        <w:rPr>
          <w:rFonts w:ascii="彩虹粗仿宋" w:hAnsi="宋体" w:eastAsia="彩虹粗仿宋" w:cs="Arial"/>
          <w:sz w:val="24"/>
        </w:rPr>
        <w:sectPr>
          <w:footerReference r:id="rId14" w:type="default"/>
          <w:pgSz w:w="11906" w:h="16838"/>
          <w:pgMar w:top="1418" w:right="1701" w:bottom="1418" w:left="1701" w:header="851" w:footer="992" w:gutter="0"/>
          <w:pgNumType w:start="1"/>
          <w:cols w:space="425" w:num="1"/>
          <w:docGrid w:type="lines" w:linePitch="312" w:charSpace="0"/>
        </w:sectPr>
      </w:pPr>
    </w:p>
    <w:p w14:paraId="0C586799">
      <w:pPr>
        <w:adjustRightInd w:val="0"/>
        <w:snapToGrid w:val="0"/>
        <w:rPr>
          <w:rFonts w:ascii="彩虹粗仿宋" w:hAnsi="宋体" w:eastAsia="彩虹粗仿宋" w:cs="Arial"/>
          <w:sz w:val="24"/>
        </w:rPr>
      </w:pPr>
    </w:p>
    <w:p w14:paraId="368B09F6">
      <w:pPr>
        <w:pStyle w:val="2"/>
        <w:jc w:val="center"/>
        <w:rPr>
          <w:rFonts w:ascii="彩虹粗仿宋" w:eastAsia="彩虹粗仿宋"/>
          <w:sz w:val="30"/>
        </w:rPr>
      </w:pPr>
      <w:bookmarkStart w:id="63" w:name="_Toc84234437"/>
      <w:bookmarkStart w:id="64" w:name="_Toc118972651"/>
      <w:bookmarkStart w:id="65" w:name="_Toc84234390"/>
      <w:bookmarkStart w:id="66" w:name="_Toc86737932"/>
      <w:bookmarkStart w:id="67" w:name="_Toc118212953"/>
      <w:bookmarkStart w:id="68" w:name="_Toc89163371"/>
      <w:bookmarkStart w:id="69" w:name="_Toc118774806"/>
      <w:bookmarkStart w:id="70" w:name="_Toc108512361"/>
      <w:bookmarkStart w:id="71" w:name="_Toc119402713"/>
      <w:bookmarkStart w:id="72" w:name="_Toc120435786"/>
      <w:bookmarkStart w:id="73" w:name="_Toc86223245"/>
      <w:bookmarkStart w:id="74" w:name="_Toc110765663"/>
      <w:bookmarkStart w:id="75" w:name="_Toc110761799"/>
      <w:bookmarkStart w:id="76" w:name="_Toc86649725"/>
      <w:bookmarkStart w:id="77" w:name="_Toc86727358"/>
      <w:bookmarkStart w:id="78" w:name="_Toc86726442"/>
      <w:bookmarkStart w:id="79" w:name="_Toc86225294"/>
      <w:bookmarkStart w:id="80" w:name="_Toc86204791"/>
      <w:bookmarkStart w:id="81" w:name="_Toc84133788"/>
      <w:bookmarkStart w:id="82" w:name="_Toc110830495"/>
      <w:bookmarkStart w:id="83" w:name="_Toc124325891"/>
      <w:r>
        <w:rPr>
          <w:rFonts w:hint="eastAsia" w:ascii="彩虹粗仿宋" w:eastAsia="彩虹粗仿宋"/>
          <w:sz w:val="30"/>
        </w:rPr>
        <w:t>七、交易及清算交收安排</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0F09F0BF">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（一）选择证券买卖的证券、期货经营机构</w:t>
      </w:r>
    </w:p>
    <w:p w14:paraId="0B6582B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应设计选择证券买卖的证券经营机构的标准和程序。基金管理人负责选择证券经营机构，租用其交易单元作为基金的专用交易单元。基金管理人和被选中的证券经营机构签订委托协议，基金管理人应提前通知基金托管人，并依据基金托管人要求提供相关资料，以便基金托管人申请办理接收结算数据手续。基金管理人应根据有关规定，在基金的中期报告和年度报告中将所选证券经营机构的有关情况及交易信息予以披露，并将该等情况及基金交易单元号、佣金费率等基本信息以及变更情况及时以书面形式通知基金托管人。</w:t>
      </w:r>
    </w:p>
    <w:p w14:paraId="68AE476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负责选择代理本基金国债期货交易的期货经纪机构，并与其签订期货经纪合同，其他事宜根据法律法规、基金合同的相关规定执行，若无明确规定的，可参照有关证券买卖、证券经纪机构选择的规则执行。</w:t>
      </w:r>
    </w:p>
    <w:p w14:paraId="517BA19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（二）基金投资证券后的清算交收安排</w:t>
      </w:r>
    </w:p>
    <w:p w14:paraId="0EF3D184">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1.清算与交割</w:t>
      </w:r>
    </w:p>
    <w:p w14:paraId="3AB96163">
      <w:pPr>
        <w:adjustRightInd w:val="0"/>
        <w:snapToGrid w:val="0"/>
        <w:spacing w:line="360" w:lineRule="auto"/>
        <w:ind w:firstLine="480"/>
        <w:rPr>
          <w:rFonts w:ascii="彩虹粗仿宋" w:eastAsia="彩虹粗仿宋"/>
          <w:sz w:val="24"/>
        </w:rPr>
      </w:pPr>
      <w:r>
        <w:rPr>
          <w:rFonts w:hint="eastAsia" w:ascii="彩虹粗仿宋" w:eastAsia="彩虹粗仿宋"/>
          <w:sz w:val="24"/>
        </w:rPr>
        <w:t>基金管理人与基金托管人应根据有关法律法规及相关业务规则，签订《托管</w:t>
      </w:r>
    </w:p>
    <w:p w14:paraId="74D9E1C9">
      <w:pPr>
        <w:adjustRightInd w:val="0"/>
        <w:snapToGrid w:val="0"/>
        <w:spacing w:line="360" w:lineRule="auto"/>
        <w:rPr>
          <w:rFonts w:ascii="彩虹粗仿宋" w:eastAsia="彩虹粗仿宋"/>
          <w:sz w:val="24"/>
        </w:rPr>
      </w:pPr>
      <w:r>
        <w:rPr>
          <w:rFonts w:hint="eastAsia" w:ascii="彩虹粗仿宋" w:eastAsia="彩虹粗仿宋"/>
          <w:sz w:val="24"/>
        </w:rPr>
        <w:t>银行证券资金结算协议》，用以具体明确基金管理人与基金托管人在证券交易资金结算业务中的责任。</w:t>
      </w:r>
    </w:p>
    <w:p w14:paraId="65B7DF84">
      <w:pPr>
        <w:adjustRightInd w:val="0"/>
        <w:snapToGrid w:val="0"/>
        <w:spacing w:line="360" w:lineRule="auto"/>
        <w:ind w:firstLine="480"/>
        <w:rPr>
          <w:rFonts w:ascii="彩虹粗仿宋" w:hAnsi="宋体" w:eastAsia="彩虹粗仿宋" w:cs="Arial"/>
          <w:sz w:val="24"/>
        </w:rPr>
      </w:pPr>
      <w:r>
        <w:rPr>
          <w:rFonts w:hint="eastAsia" w:ascii="彩虹粗仿宋" w:eastAsia="彩虹粗仿宋"/>
          <w:sz w:val="24"/>
        </w:rPr>
        <w:t>根据中国证券登记结算有限责任公司规定，在每月前3个工作日内，中国证券登记结算有限责任公司对结算参与人的最低结算备付金、结算保证金限额进行重新核算、调整。基金托管人在中国证券登记结算有限责任公司调整最低结算备付金、结算保证金当日，在账户资金报告中反映调整后的最低备付金和结算保证金。基金管理人应预留最低备付金和结算保证金，并根据中国证券登记结算有限责任公司确定的实际最低备付金、结算保证金数据为依据安排资金运作，调整所需的现金头寸。</w:t>
      </w:r>
    </w:p>
    <w:p w14:paraId="5A06C2C3">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基金托管人负责基金买卖证券的清算交收。场内资金结算由基金托管人根据中国证券登记结算有限责任公司结算数据办理；场外资金汇划由基金托管人根据基金管理人的交易划款指令具体办理。</w:t>
      </w:r>
    </w:p>
    <w:p w14:paraId="506A9DB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如果因为基金托管人自身原因在清算上造成基金财产的直接损失，应由基金托管人负责赔偿；如果因为基金管理人未事先通知基金托管人增加交易单元等事宜，致使基金托管人接收数据不完整，造成清算差错的责任由基金管理人承担；如果因为基金管理人未事先通知需要单独结算的交易，造成基金资产损失的由基金管理人承担；如果由于基金管理人违反市场操作规则的规定进行超买、超卖及质押券欠库等原因造成基金投资清算困难和风险的，基金托管人发现后应立即通知基金管理人，由基金管理人负责解决，由此给基金托管人、本基金和基金托管人托管的其他资产造成的直接损失由基金管理人承担。</w:t>
      </w:r>
    </w:p>
    <w:p w14:paraId="25304387">
      <w:pPr>
        <w:adjustRightInd w:val="0"/>
        <w:snapToGrid w:val="0"/>
        <w:spacing w:line="360" w:lineRule="auto"/>
        <w:ind w:firstLine="480"/>
        <w:rPr>
          <w:rFonts w:ascii="彩虹粗仿宋" w:hAnsi="宋体" w:eastAsia="彩虹粗仿宋" w:cs="宋体"/>
          <w:color w:val="000000"/>
          <w:kern w:val="0"/>
          <w:sz w:val="24"/>
          <w:shd w:val="pct15" w:color="auto" w:fill="FFFFFF"/>
        </w:rPr>
      </w:pPr>
      <w:r>
        <w:rPr>
          <w:rFonts w:hint="eastAsia" w:ascii="彩虹粗仿宋" w:hAnsi="宋体" w:eastAsia="彩虹粗仿宋" w:cs="宋体"/>
          <w:color w:val="000000"/>
          <w:kern w:val="0"/>
          <w:sz w:val="24"/>
        </w:rPr>
        <w:t>基金管理人应采取合理、必要措施，确保T日日终有足够的资金头寸完成 T+1日的投资交易资金结算；如因基金管理人原因导致资金头寸不足，基金管理人应在T+1日上午10：00前补足透支款项，确保资金清算。如果未遵循上述规定备足资金头寸，影响基金资产的清算交收及基金托管人与中国证券登记结算有限责任公司之间的一级清算，由此给基金托管人、基金资产及基金托管人托管的其他资产造成的直接损失由基金管理人负责。</w:t>
      </w:r>
    </w:p>
    <w:p w14:paraId="479B5CA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宋体"/>
          <w:color w:val="000000"/>
          <w:kern w:val="0"/>
          <w:sz w:val="24"/>
        </w:rPr>
        <w:t>根据中国证券登记结算有限责任公司结算规定，基金管理人在进行融资回购业务时，用于融资回购的债券将作为偿还融资回购到期购回款的质押券。如因基金管理人原因造成债券回购交收违约或因折算率变化造成质押欠库，导致中国证券登记结算有限责任公司欠库扣款或对质押券进行处置造成的投资风险和损失由基金管理人承担。</w:t>
      </w:r>
    </w:p>
    <w:p w14:paraId="2E3F0907">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实行场内T+0交收的资金清算按照基金托管人的相关规定流程执行。</w:t>
      </w:r>
    </w:p>
    <w:p w14:paraId="434A2384">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2.交易记录、资金和证券账目核对的时间和方式</w:t>
      </w:r>
    </w:p>
    <w:p w14:paraId="0E414DDB">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（1）交易记录的核对</w:t>
      </w:r>
    </w:p>
    <w:p w14:paraId="7A54884C">
      <w:pPr>
        <w:adjustRightInd w:val="0"/>
        <w:snapToGrid w:val="0"/>
        <w:spacing w:line="360" w:lineRule="auto"/>
        <w:ind w:firstLine="480" w:firstLineChars="200"/>
        <w:rPr>
          <w:rFonts w:ascii="彩虹粗仿宋" w:hAnsi="宋体" w:eastAsia="彩虹粗仿宋" w:cs="Arial"/>
          <w:sz w:val="24"/>
        </w:rPr>
      </w:pPr>
      <w:r>
        <w:rPr>
          <w:rFonts w:hint="eastAsia" w:ascii="彩虹粗仿宋" w:eastAsia="彩虹粗仿宋"/>
          <w:kern w:val="0"/>
          <w:sz w:val="24"/>
        </w:rPr>
        <w:t>基金管理人、基金托管人按日进行交易记录的核对。每日对外披露净值之前，必须保证当天所有实际交易记录与基金会计账簿上的交易记录完全一致。如果实际交易记录与会计账簿记录不一致，造成基金会计核算不完整或不真实，由此导致的损失由基金管理人承担。</w:t>
      </w:r>
    </w:p>
    <w:p w14:paraId="17FDBF3A">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（2）资金账目的核对</w:t>
      </w:r>
    </w:p>
    <w:p w14:paraId="7C9DD208">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资金账目由基金管理人和基金托管人按日核实。</w:t>
      </w:r>
    </w:p>
    <w:p w14:paraId="4D8F856D">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（3）证券账目的核对</w:t>
      </w:r>
    </w:p>
    <w:p w14:paraId="15FE7EA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基金管理人和基金托管人每交易日结束后核对基金证券账目，确保双方账目相符。基金管理人和基金托管人每月月末核对实物证券账目。</w:t>
      </w:r>
    </w:p>
    <w:p w14:paraId="5F4D1D76">
      <w:pPr>
        <w:adjustRightInd w:val="0"/>
        <w:snapToGrid w:val="0"/>
        <w:spacing w:line="360" w:lineRule="auto"/>
        <w:ind w:firstLine="480"/>
        <w:outlineLvl w:val="0"/>
        <w:rPr>
          <w:rFonts w:ascii="彩虹粗仿宋" w:hAnsi="宋体" w:eastAsia="彩虹粗仿宋" w:cs="Arial"/>
          <w:sz w:val="24"/>
        </w:rPr>
      </w:pPr>
      <w:r>
        <w:rPr>
          <w:rFonts w:hint="eastAsia" w:ascii="彩虹粗仿宋" w:hAnsi="宋体" w:eastAsia="彩虹粗仿宋" w:cs="Arial"/>
          <w:sz w:val="24"/>
        </w:rPr>
        <w:t>（三）基金申购和赎回业务处理的基本规定</w:t>
      </w:r>
    </w:p>
    <w:p w14:paraId="2C70277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1.基金份额申购、赎回的确认、清算由基金管理人或其委托的登记机构负责。</w:t>
      </w:r>
    </w:p>
    <w:p w14:paraId="65A5B8EB">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基金管理人应将每个开放日的申购、赎回、转换开放式基金的数据传送给基金托管人。基金管理人应对传递的申购、赎回、转换开放式基金的数据真实性负责。基金托管人应及时查收申购及转入资金的到账情况并根据基金管理人指令及时划付赎回及转出款项。</w:t>
      </w:r>
    </w:p>
    <w:p w14:paraId="21B40948">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3.基金管理人应保证本基金（或本基金管理人委托）的登记机构每个工作日15:00前向基金托管人发送前一开放日上述有关数据，并保证相关数据的准确、完整。</w:t>
      </w:r>
    </w:p>
    <w:p w14:paraId="12D4D6F1">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4.登记机构应通过与基金托管人建立的加密系统发送有关数据(包括电子数据和盖章生效的纸制清算汇总表)，如因各种原因，该系统无法正常发送，双方可协商解决处理方式。基金管理人向基金托管人发送的数据，双方各自按有关规定保存。</w:t>
      </w:r>
    </w:p>
    <w:p w14:paraId="0A468F7B">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5.如基金管理人委托其他机构办理本基金的登记业务，应保证上述相关事宜按时进行。否则，由基金管理人承担相应的责任。</w:t>
      </w:r>
    </w:p>
    <w:p w14:paraId="4FFB107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6.关于清算专用账户的设立和管理</w:t>
      </w:r>
    </w:p>
    <w:p w14:paraId="6DB27FB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为满足申购、赎回及分红资金汇划的需要，由基金管理人开立资金清算的专用账户，该账户由登记机构管理。</w:t>
      </w:r>
    </w:p>
    <w:p w14:paraId="73DA5FF3">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7.对于基金申购过程中产生的应收款，应由基金管理人负责与有关当事人确定到账日期并通知基金托管人，到账日应收款没有到达基金资金账户的，基金托管人应及时通知基金管理人采取措施进行催收，由此造成基金损失的，基金管理人应负责向有关当事人追偿基金的损失。</w:t>
      </w:r>
    </w:p>
    <w:p w14:paraId="1B9FF0C7">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8.赎回和分红资金划拨规定</w:t>
      </w:r>
    </w:p>
    <w:p w14:paraId="61E4D3BD">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拨付赎回款或进行基金分红时，如基金资金账户有足够的资金，基金托管人应按时拨付；因基金资金账户没有足够的资金，导致基金托管人不能按时拨付，如系基金管理人的原因造成，责任由基金管理人承担，基金托管人不承担垫款义务。</w:t>
      </w:r>
    </w:p>
    <w:p w14:paraId="229BE483">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9.资金指令</w:t>
      </w:r>
    </w:p>
    <w:p w14:paraId="519A29D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除申购款项到达基金资金账户需双方按约定方式对账外，回购到期付款和与投资有关的付款、赎回和分红资金划拨时，基金管理人需向基金托管人下达指令。</w:t>
      </w:r>
    </w:p>
    <w:p w14:paraId="2243018E">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资金指令的格式、内容、发送、接收和确认方式等与投资指令相同。</w:t>
      </w:r>
    </w:p>
    <w:p w14:paraId="7F9F7B20">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（四）申赎净额结算</w:t>
      </w:r>
    </w:p>
    <w:p w14:paraId="244372F6">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托管账户与“基金清算账户”间的资金结算遵循“全额清算、净额交收”的原则，每日按照托管账户应收资金(申购申请对应申购金额与基金转换入申请对应金额之和)与应付资金(赎回申请对应赎回金额扣除归基金资产的费用与基金转换出申请对应金额扣除归基金资产的费用之和)的差额来确定托管账户净应收额或净应付额，以此确定资金交收额。当存在托管账户净应收额时，基金管理人应在交收日15:00之前从基金清算账户划到基金托管账户；当存在托管账户净应付额时，基金管理人应提前将划款指令发送给基金托管人，基金托管人按基金管理人的划款指令将托管账户净应付额在交收日12:00之前划往基金清算账户。</w:t>
      </w:r>
    </w:p>
    <w:p w14:paraId="4A9E166B">
      <w:pPr>
        <w:adjustRightInd w:val="0"/>
        <w:snapToGrid w:val="0"/>
        <w:spacing w:line="360" w:lineRule="auto"/>
        <w:ind w:firstLine="480"/>
        <w:outlineLvl w:val="0"/>
        <w:rPr>
          <w:rFonts w:ascii="彩虹粗仿宋" w:hAnsi="宋体" w:eastAsia="彩虹粗仿宋" w:cs="Arial"/>
          <w:sz w:val="24"/>
        </w:rPr>
      </w:pPr>
      <w:r>
        <w:rPr>
          <w:rFonts w:hint="eastAsia" w:ascii="彩虹粗仿宋" w:hAnsi="宋体" w:eastAsia="彩虹粗仿宋" w:cs="Arial"/>
          <w:sz w:val="24"/>
        </w:rPr>
        <w:t>（五）基金转换</w:t>
      </w:r>
    </w:p>
    <w:p w14:paraId="2DCED28D">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1.在本基金与基金管理人管理的其它基金开展转换业务之前，基金管理人应函告基金托管人并就相关事宜进行协商。</w:t>
      </w:r>
    </w:p>
    <w:p w14:paraId="7270303B">
      <w:pPr>
        <w:adjustRightInd w:val="0"/>
        <w:snapToGrid w:val="0"/>
        <w:spacing w:line="360" w:lineRule="auto"/>
        <w:ind w:firstLine="480"/>
        <w:outlineLvl w:val="0"/>
        <w:rPr>
          <w:rFonts w:ascii="彩虹粗仿宋" w:hAnsi="宋体" w:eastAsia="彩虹粗仿宋" w:cs="Arial"/>
          <w:sz w:val="24"/>
        </w:rPr>
      </w:pPr>
      <w:r>
        <w:rPr>
          <w:rFonts w:hint="eastAsia" w:ascii="彩虹粗仿宋" w:hAnsi="宋体" w:eastAsia="彩虹粗仿宋" w:cs="Arial"/>
          <w:sz w:val="24"/>
        </w:rPr>
        <w:t>2.基金托管人将根据基金管理人传送的基金转换数据进行账务处理，具体资金清算和数据传递的时间、程序及托管协议当事人承担的权责按基金管理人届时的公告执行。</w:t>
      </w:r>
    </w:p>
    <w:p w14:paraId="54F72C70">
      <w:pPr>
        <w:adjustRightInd w:val="0"/>
        <w:snapToGrid w:val="0"/>
        <w:spacing w:line="360" w:lineRule="auto"/>
        <w:ind w:firstLine="480"/>
        <w:outlineLvl w:val="0"/>
        <w:rPr>
          <w:rFonts w:ascii="彩虹粗仿宋" w:hAnsi="宋体" w:eastAsia="彩虹粗仿宋" w:cs="Arial"/>
          <w:sz w:val="24"/>
        </w:rPr>
      </w:pPr>
      <w:r>
        <w:rPr>
          <w:rFonts w:hint="eastAsia" w:ascii="彩虹粗仿宋" w:hAnsi="宋体" w:eastAsia="彩虹粗仿宋" w:cs="Arial"/>
          <w:sz w:val="24"/>
        </w:rPr>
        <w:t>3.本基金开展基金转换业务应按相关法律法规规定及《基金合同》的约定进行公告。</w:t>
      </w:r>
    </w:p>
    <w:p w14:paraId="297098D5">
      <w:pPr>
        <w:adjustRightInd w:val="0"/>
        <w:snapToGrid w:val="0"/>
        <w:spacing w:line="360" w:lineRule="auto"/>
        <w:ind w:firstLine="480"/>
        <w:outlineLvl w:val="0"/>
        <w:rPr>
          <w:rFonts w:ascii="彩虹粗仿宋" w:hAnsi="宋体" w:eastAsia="彩虹粗仿宋" w:cs="Arial"/>
          <w:sz w:val="24"/>
        </w:rPr>
      </w:pPr>
      <w:r>
        <w:rPr>
          <w:rFonts w:hint="eastAsia" w:ascii="彩虹粗仿宋" w:hAnsi="宋体" w:eastAsia="彩虹粗仿宋" w:cs="Arial"/>
          <w:sz w:val="24"/>
        </w:rPr>
        <w:t>（六）基金现金分红</w:t>
      </w:r>
    </w:p>
    <w:p w14:paraId="5FA3FC8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1.基金管理人确定分红方案通知基金托管人，双方核定后</w:t>
      </w:r>
      <w:r>
        <w:rPr>
          <w:rFonts w:hint="eastAsia" w:ascii="彩虹粗仿宋" w:eastAsia="彩虹粗仿宋"/>
          <w:sz w:val="24"/>
          <w:szCs w:val="18"/>
        </w:rPr>
        <w:t>依照《信息披露办法》的有关规定在中国证监会指定媒介上公告</w:t>
      </w:r>
      <w:r>
        <w:rPr>
          <w:rFonts w:hint="eastAsia" w:ascii="彩虹粗仿宋" w:hAnsi="宋体" w:eastAsia="彩虹粗仿宋" w:cs="Arial"/>
          <w:sz w:val="24"/>
        </w:rPr>
        <w:t>。</w:t>
      </w:r>
    </w:p>
    <w:p w14:paraId="311C402E">
      <w:pPr>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2.基金托管人和基金管理人对基金分红进行账务处理并核对后，基金管理人向基金托管人发送现金红利的划款指令，基金托管人应及时将资金划入专用账户。</w:t>
      </w:r>
    </w:p>
    <w:p w14:paraId="23D6FCD4">
      <w:pPr>
        <w:spacing w:line="360" w:lineRule="auto"/>
        <w:ind w:firstLine="480"/>
        <w:rPr>
          <w:rFonts w:ascii="彩虹粗仿宋" w:hAnsi="宋体" w:eastAsia="彩虹粗仿宋" w:cs="Arial"/>
          <w:sz w:val="24"/>
        </w:rPr>
      </w:pPr>
      <w:r>
        <w:rPr>
          <w:rFonts w:hint="eastAsia" w:ascii="彩虹粗仿宋" w:hAnsi="宋体" w:eastAsia="彩虹粗仿宋" w:cs="Arial"/>
          <w:sz w:val="24"/>
        </w:rPr>
        <w:t>3.基金管理人在下达指令时，应给基金托管人留出必需的划款时间。</w:t>
      </w:r>
    </w:p>
    <w:p w14:paraId="09AE1BDF">
      <w:pPr>
        <w:spacing w:line="360" w:lineRule="auto"/>
        <w:ind w:firstLine="480"/>
        <w:rPr>
          <w:rFonts w:ascii="彩虹粗仿宋" w:hAnsi="宋体" w:eastAsia="彩虹粗仿宋" w:cs="Arial"/>
          <w:sz w:val="24"/>
        </w:rPr>
      </w:pPr>
      <w:r>
        <w:rPr>
          <w:rFonts w:hint="eastAsia" w:ascii="彩虹粗仿宋" w:hAnsi="宋体" w:eastAsia="彩虹粗仿宋" w:cs="Arial"/>
          <w:sz w:val="24"/>
        </w:rPr>
        <w:t>（七）投资银行存款的特别约定</w:t>
      </w:r>
    </w:p>
    <w:p w14:paraId="776FFF18">
      <w:pPr>
        <w:spacing w:line="360" w:lineRule="auto"/>
        <w:ind w:firstLine="480"/>
        <w:rPr>
          <w:rFonts w:ascii="彩虹粗仿宋" w:hAnsi="宋体" w:eastAsia="彩虹粗仿宋" w:cs="Arial"/>
          <w:sz w:val="24"/>
        </w:rPr>
      </w:pPr>
      <w:r>
        <w:rPr>
          <w:rFonts w:ascii="彩虹粗仿宋" w:hAnsi="宋体" w:eastAsia="彩虹粗仿宋" w:cs="Arial"/>
          <w:sz w:val="24"/>
        </w:rPr>
        <w:t>1</w:t>
      </w:r>
      <w:r>
        <w:rPr>
          <w:rFonts w:hint="eastAsia" w:ascii="彩虹粗仿宋" w:hAnsi="宋体" w:eastAsia="彩虹粗仿宋" w:cs="Arial"/>
          <w:sz w:val="24"/>
        </w:rPr>
        <w:t>.本基金投资银行存款，必须采用双方认可的方式办理。存款账户预留印鉴至少包含一枚基金托管人指定人名章，由基金托管人保管和使用。本息到期归还或提前支取的所有款项必须划至托管账户，不得划入其他任何账户。</w:t>
      </w:r>
    </w:p>
    <w:p w14:paraId="1E9A27B1">
      <w:pPr>
        <w:spacing w:line="360" w:lineRule="auto"/>
        <w:ind w:firstLine="480"/>
        <w:rPr>
          <w:rFonts w:ascii="彩虹粗仿宋" w:hAnsi="宋体" w:eastAsia="彩虹粗仿宋" w:cs="Arial"/>
          <w:sz w:val="24"/>
        </w:rPr>
      </w:pPr>
      <w:r>
        <w:rPr>
          <w:rFonts w:ascii="彩虹粗仿宋" w:hAnsi="宋体" w:eastAsia="彩虹粗仿宋" w:cs="Arial"/>
          <w:sz w:val="24"/>
        </w:rPr>
        <w:t>2</w:t>
      </w:r>
      <w:r>
        <w:rPr>
          <w:rFonts w:hint="eastAsia" w:ascii="彩虹粗仿宋" w:hAnsi="宋体" w:eastAsia="彩虹粗仿宋" w:cs="Arial"/>
          <w:sz w:val="24"/>
        </w:rPr>
        <w:t>.基金管理人投资银行存款或办理存款支取时，应提前书面通知基金托管人，以便基金托管人有足够的时间履行相应的业务操作程序。</w:t>
      </w:r>
    </w:p>
    <w:p w14:paraId="7EBA247C">
      <w:pPr>
        <w:adjustRightInd w:val="0"/>
        <w:snapToGrid w:val="0"/>
        <w:rPr>
          <w:rFonts w:ascii="彩虹粗仿宋" w:hAnsi="宋体" w:eastAsia="彩虹粗仿宋" w:cs="Arial"/>
          <w:sz w:val="24"/>
        </w:rPr>
        <w:sectPr>
          <w:footerReference r:id="rId15" w:type="default"/>
          <w:pgSz w:w="11906" w:h="16838"/>
          <w:pgMar w:top="1418" w:right="1701" w:bottom="1418" w:left="1701" w:header="851" w:footer="992" w:gutter="0"/>
          <w:pgNumType w:start="1"/>
          <w:cols w:space="425" w:num="1"/>
          <w:docGrid w:type="lines" w:linePitch="312" w:charSpace="0"/>
        </w:sectPr>
      </w:pPr>
    </w:p>
    <w:p w14:paraId="1AF18167">
      <w:pPr>
        <w:adjustRightInd w:val="0"/>
        <w:snapToGrid w:val="0"/>
        <w:rPr>
          <w:rFonts w:ascii="彩虹粗仿宋" w:hAnsi="宋体" w:eastAsia="彩虹粗仿宋" w:cs="Arial"/>
          <w:sz w:val="24"/>
        </w:rPr>
      </w:pPr>
    </w:p>
    <w:p w14:paraId="3DFE0690">
      <w:pPr>
        <w:pStyle w:val="2"/>
        <w:jc w:val="center"/>
        <w:rPr>
          <w:rFonts w:ascii="彩虹粗仿宋" w:eastAsia="彩虹粗仿宋"/>
          <w:sz w:val="30"/>
        </w:rPr>
      </w:pPr>
      <w:bookmarkStart w:id="84" w:name="_Toc124325892"/>
      <w:r>
        <w:rPr>
          <w:rFonts w:hint="eastAsia" w:ascii="彩虹粗仿宋" w:eastAsia="彩虹粗仿宋"/>
          <w:sz w:val="30"/>
        </w:rPr>
        <w:t xml:space="preserve"> 八、基金资产净值计算和会计核算</w:t>
      </w:r>
      <w:bookmarkEnd w:id="84"/>
    </w:p>
    <w:p w14:paraId="554E9A5A">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（一）基金资产净值的计算、复核与完成的时间及程序</w:t>
      </w:r>
    </w:p>
    <w:p w14:paraId="438458F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资产净值是指基金资产总值减去负债后的金额。基金份额净值是按照每个交易日闭市后，基金资产净值除以当日基金份额的余额数量计算，精确到0.0001元，小数点后第五位四舍五入。国家另有规定的，从其规定。</w:t>
      </w:r>
    </w:p>
    <w:p w14:paraId="4755051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基金管理人每个交易日计算基金资产净值及基金份额净值，并按规定公告。</w:t>
      </w:r>
    </w:p>
    <w:p w14:paraId="23B23B7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管理人应每交易日对基金资产估值。但基金管理人根据法律法规或《基金合同》的规定暂停估值时除外。基金管理人每个交易日对基金资产估值后，将基金份额净值结果发送基金托管人，经基金托管人复核无误后，由基金管理人按约定对外公布。</w:t>
      </w:r>
    </w:p>
    <w:p w14:paraId="07A14AAF">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（二）基金资产估值方法和特殊情形的处理</w:t>
      </w:r>
    </w:p>
    <w:p w14:paraId="51BAE35B">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1.估值对象</w:t>
      </w:r>
    </w:p>
    <w:p w14:paraId="09B0F45A">
      <w:pPr>
        <w:adjustRightInd w:val="0"/>
        <w:snapToGrid w:val="0"/>
        <w:spacing w:line="360" w:lineRule="auto"/>
        <w:ind w:firstLine="480" w:firstLineChars="200"/>
        <w:outlineLvl w:val="0"/>
        <w:rPr>
          <w:rFonts w:ascii="彩虹粗仿宋" w:hAnsi="宋体" w:eastAsia="彩虹粗仿宋" w:cs="Arial"/>
          <w:sz w:val="24"/>
        </w:rPr>
      </w:pPr>
      <w:r>
        <w:rPr>
          <w:rFonts w:ascii="彩虹粗仿宋" w:hAnsi="宋体" w:eastAsia="彩虹粗仿宋" w:cs="Arial"/>
          <w:sz w:val="24"/>
        </w:rPr>
        <w:t>基金所拥有的债券</w:t>
      </w:r>
      <w:r>
        <w:rPr>
          <w:rFonts w:hint="eastAsia" w:ascii="彩虹粗仿宋" w:hAnsi="宋体" w:eastAsia="彩虹粗仿宋" w:cs="Arial"/>
          <w:sz w:val="24"/>
        </w:rPr>
        <w:t>、国债期货合约</w:t>
      </w:r>
      <w:r>
        <w:rPr>
          <w:rFonts w:ascii="彩虹粗仿宋" w:hAnsi="宋体" w:eastAsia="彩虹粗仿宋" w:cs="Arial"/>
          <w:sz w:val="24"/>
        </w:rPr>
        <w:t>和银行存款本息、应收款项、其它投资等资产及负债。</w:t>
      </w:r>
    </w:p>
    <w:p w14:paraId="649ACF73">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2.估值方法</w:t>
      </w:r>
    </w:p>
    <w:p w14:paraId="221555CE">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w:t>
      </w:r>
      <w:r>
        <w:rPr>
          <w:rFonts w:ascii="彩虹粗仿宋" w:hAnsi="宋体" w:eastAsia="彩虹粗仿宋" w:cs="Arial"/>
          <w:sz w:val="24"/>
        </w:rPr>
        <w:t>1</w:t>
      </w:r>
      <w:r>
        <w:rPr>
          <w:rFonts w:hint="eastAsia" w:ascii="彩虹粗仿宋" w:hAnsi="宋体" w:eastAsia="彩虹粗仿宋" w:cs="Arial"/>
          <w:sz w:val="24"/>
        </w:rPr>
        <w:t>）</w:t>
      </w:r>
      <w:r>
        <w:rPr>
          <w:rFonts w:ascii="彩虹粗仿宋" w:hAnsi="宋体" w:eastAsia="彩虹粗仿宋" w:cs="Arial"/>
          <w:sz w:val="24"/>
        </w:rPr>
        <w:t>证券交易所上市的有价证券的估值</w:t>
      </w:r>
    </w:p>
    <w:p w14:paraId="637203AF">
      <w:pPr>
        <w:adjustRightInd w:val="0"/>
        <w:snapToGrid w:val="0"/>
        <w:spacing w:line="360" w:lineRule="auto"/>
        <w:ind w:firstLine="480" w:firstLineChars="200"/>
        <w:outlineLvl w:val="0"/>
        <w:rPr>
          <w:rFonts w:ascii="彩虹粗仿宋" w:hAnsi="宋体" w:eastAsia="彩虹粗仿宋" w:cs="Arial"/>
          <w:sz w:val="24"/>
        </w:rPr>
      </w:pPr>
      <w:r>
        <w:rPr>
          <w:rFonts w:ascii="彩虹粗仿宋" w:hAnsi="宋体" w:eastAsia="彩虹粗仿宋" w:cs="Arial"/>
          <w:sz w:val="24"/>
        </w:rPr>
        <w:t>（</w:t>
      </w:r>
      <w:r>
        <w:rPr>
          <w:rFonts w:hint="eastAsia" w:ascii="彩虹粗仿宋" w:hAnsi="宋体" w:eastAsia="彩虹粗仿宋" w:cs="Arial"/>
          <w:sz w:val="24"/>
        </w:rPr>
        <w:t>A</w:t>
      </w:r>
      <w:r>
        <w:rPr>
          <w:rFonts w:ascii="彩虹粗仿宋" w:hAnsi="宋体" w:eastAsia="彩虹粗仿宋" w:cs="Arial"/>
          <w:sz w:val="24"/>
        </w:rPr>
        <w:t>）交易所上市</w:t>
      </w:r>
      <w:r>
        <w:rPr>
          <w:rFonts w:hint="eastAsia" w:ascii="彩虹粗仿宋" w:hAnsi="宋体" w:eastAsia="彩虹粗仿宋" w:cs="Arial"/>
          <w:sz w:val="24"/>
        </w:rPr>
        <w:t>交易或挂牌转让的固定收益品种（基金合同另有规定的除外），选取估值日第三方估值机构提供的相应品种对应的估值净价估值，具体估值机构由基金管理人与基金托管人另行协商约定；</w:t>
      </w:r>
    </w:p>
    <w:p w14:paraId="45403AA2">
      <w:pPr>
        <w:adjustRightInd w:val="0"/>
        <w:snapToGrid w:val="0"/>
        <w:spacing w:line="360" w:lineRule="auto"/>
        <w:ind w:firstLine="480" w:firstLineChars="200"/>
        <w:outlineLvl w:val="0"/>
        <w:rPr>
          <w:rFonts w:ascii="彩虹粗仿宋" w:hAnsi="宋体" w:eastAsia="彩虹粗仿宋" w:cs="Arial"/>
          <w:sz w:val="24"/>
        </w:rPr>
      </w:pPr>
      <w:r>
        <w:rPr>
          <w:rFonts w:ascii="彩虹粗仿宋" w:hAnsi="宋体" w:eastAsia="彩虹粗仿宋" w:cs="Arial"/>
          <w:sz w:val="24"/>
        </w:rPr>
        <w:t>（</w:t>
      </w:r>
      <w:r>
        <w:rPr>
          <w:rFonts w:hint="eastAsia" w:ascii="彩虹粗仿宋" w:hAnsi="宋体" w:eastAsia="彩虹粗仿宋" w:cs="Arial"/>
          <w:sz w:val="24"/>
        </w:rPr>
        <w:t>B</w:t>
      </w:r>
      <w:r>
        <w:rPr>
          <w:rFonts w:ascii="彩虹粗仿宋" w:hAnsi="宋体" w:eastAsia="彩虹粗仿宋" w:cs="Arial"/>
          <w:sz w:val="24"/>
        </w:rPr>
        <w:t>）交易所上市不存在活跃市场的有价证券，采用估值技术确定公允价值。交易所上市的资产支持证券，采用估值技术确定公允价值，在估值技术难以可靠计量公允价值的情况下，按成本估值。</w:t>
      </w:r>
    </w:p>
    <w:p w14:paraId="4C1636D0">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w:t>
      </w:r>
      <w:r>
        <w:rPr>
          <w:rFonts w:ascii="彩虹粗仿宋" w:hAnsi="宋体" w:eastAsia="彩虹粗仿宋" w:cs="Arial"/>
          <w:sz w:val="24"/>
        </w:rPr>
        <w:t>2</w:t>
      </w:r>
      <w:r>
        <w:rPr>
          <w:rFonts w:hint="eastAsia" w:ascii="彩虹粗仿宋" w:hAnsi="宋体" w:eastAsia="彩虹粗仿宋" w:cs="Arial"/>
          <w:sz w:val="24"/>
        </w:rPr>
        <w:t>)</w:t>
      </w:r>
      <w:r>
        <w:rPr>
          <w:rFonts w:ascii="彩虹粗仿宋" w:hAnsi="宋体" w:eastAsia="彩虹粗仿宋" w:cs="Arial"/>
          <w:sz w:val="24"/>
        </w:rPr>
        <w:t>首次公开发行未上市的债券，采用估值技术确定公允价值，在估值技术难以可靠计量公允价值的情况下，按成本估值</w:t>
      </w:r>
      <w:r>
        <w:rPr>
          <w:rFonts w:hint="eastAsia" w:ascii="彩虹粗仿宋" w:hAnsi="宋体" w:eastAsia="彩虹粗仿宋" w:cs="Arial"/>
          <w:sz w:val="24"/>
        </w:rPr>
        <w:t>；</w:t>
      </w:r>
    </w:p>
    <w:p w14:paraId="0B419ADD">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w:t>
      </w:r>
      <w:r>
        <w:rPr>
          <w:rFonts w:ascii="彩虹粗仿宋" w:hAnsi="宋体" w:eastAsia="彩虹粗仿宋" w:cs="Arial"/>
          <w:sz w:val="24"/>
        </w:rPr>
        <w:t>3</w:t>
      </w:r>
      <w:r>
        <w:rPr>
          <w:rFonts w:hint="eastAsia" w:ascii="彩虹粗仿宋" w:hAnsi="宋体" w:eastAsia="彩虹粗仿宋" w:cs="Arial"/>
          <w:sz w:val="24"/>
        </w:rPr>
        <w:t>)同业存单、</w:t>
      </w:r>
      <w:r>
        <w:rPr>
          <w:rFonts w:ascii="彩虹粗仿宋" w:hAnsi="宋体" w:eastAsia="彩虹粗仿宋" w:cs="Arial"/>
          <w:sz w:val="24"/>
        </w:rPr>
        <w:t>全国银行间债券市场交易的债券、资产支持证券等固定收益品种，采用估值技术确定公允价值。</w:t>
      </w:r>
    </w:p>
    <w:p w14:paraId="6EDEC6D5">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(4)同一债券同时在两个或两个以上市场交易的，按债券所处的市场分别估值。</w:t>
      </w:r>
    </w:p>
    <w:p w14:paraId="27814478">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(5)基金投资的国债期货合约，一般以估值当日结算价进行估值，估值当日无结算价的，且最近交易日后经济环境未发生重大变化的，采用最近交易日结算价估值。</w:t>
      </w:r>
    </w:p>
    <w:p w14:paraId="4223AD54">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（6）开放期内，当发生大额申购或赎回情形时，基金管理人可以采用摆动定价机制，以确保基金估值的公平性。</w:t>
      </w:r>
    </w:p>
    <w:p w14:paraId="64E15DC9">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(7)</w:t>
      </w:r>
      <w:r>
        <w:rPr>
          <w:rFonts w:ascii="彩虹粗仿宋" w:hAnsi="宋体" w:eastAsia="彩虹粗仿宋" w:cs="Arial"/>
          <w:sz w:val="24"/>
        </w:rPr>
        <w:t>如有确凿证据表明按上述方法进行估值不能客观反映其公允价值的，基金管理人可根据具体情况与基金托管人商定后，按最能反映公允价值的价格估值。</w:t>
      </w:r>
    </w:p>
    <w:p w14:paraId="34D7D5CA">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(8)</w:t>
      </w:r>
      <w:r>
        <w:rPr>
          <w:rFonts w:ascii="彩虹粗仿宋" w:hAnsi="宋体" w:eastAsia="彩虹粗仿宋" w:cs="Arial"/>
          <w:sz w:val="24"/>
        </w:rPr>
        <w:t>相关法律法规以及监管部门有强制规定的，从其规定。如有新增事项，按国家最新规定估值。</w:t>
      </w:r>
    </w:p>
    <w:p w14:paraId="57318431">
      <w:pPr>
        <w:adjustRightInd w:val="0"/>
        <w:snapToGrid w:val="0"/>
        <w:spacing w:line="360" w:lineRule="auto"/>
        <w:ind w:firstLine="480" w:firstLineChars="200"/>
        <w:rPr>
          <w:rStyle w:val="36"/>
          <w:rFonts w:ascii="彩虹粗仿宋" w:hAnsi="宋体" w:eastAsia="彩虹粗仿宋" w:cs="Arial"/>
          <w:sz w:val="24"/>
        </w:rPr>
      </w:pPr>
      <w:r>
        <w:rPr>
          <w:rStyle w:val="36"/>
          <w:rFonts w:ascii="彩虹粗仿宋" w:hAnsi="宋体" w:eastAsia="彩虹粗仿宋" w:cs="Arial"/>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3773AD4">
      <w:pPr>
        <w:adjustRightInd w:val="0"/>
        <w:snapToGrid w:val="0"/>
        <w:spacing w:line="360" w:lineRule="auto"/>
        <w:ind w:firstLine="480" w:firstLineChars="200"/>
        <w:outlineLvl w:val="0"/>
        <w:rPr>
          <w:rFonts w:ascii="彩虹粗仿宋" w:hAnsi="宋体" w:eastAsia="彩虹粗仿宋" w:cs="Arial"/>
          <w:sz w:val="24"/>
        </w:rPr>
      </w:pPr>
      <w:r>
        <w:rPr>
          <w:rFonts w:ascii="彩虹粗仿宋" w:hAnsi="宋体" w:eastAsia="彩虹粗仿宋" w:cs="Arial"/>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54F38D4">
      <w:pPr>
        <w:adjustRightInd w:val="0"/>
        <w:snapToGrid w:val="0"/>
        <w:spacing w:line="360" w:lineRule="auto"/>
        <w:ind w:firstLine="480"/>
        <w:rPr>
          <w:rStyle w:val="36"/>
          <w:rFonts w:ascii="彩虹粗仿宋" w:hAnsi="宋体" w:eastAsia="彩虹粗仿宋" w:cs="Arial"/>
          <w:sz w:val="24"/>
        </w:rPr>
      </w:pPr>
      <w:r>
        <w:rPr>
          <w:rStyle w:val="36"/>
          <w:rFonts w:hint="eastAsia" w:ascii="彩虹粗仿宋" w:hAnsi="宋体" w:eastAsia="彩虹粗仿宋" w:cs="Arial"/>
          <w:sz w:val="24"/>
        </w:rPr>
        <w:t>3.特殊情形的处理</w:t>
      </w:r>
    </w:p>
    <w:p w14:paraId="4B43C4CD">
      <w:pPr>
        <w:adjustRightInd w:val="0"/>
        <w:snapToGrid w:val="0"/>
        <w:spacing w:line="360" w:lineRule="auto"/>
        <w:ind w:firstLine="480" w:firstLineChars="200"/>
        <w:rPr>
          <w:rStyle w:val="36"/>
          <w:rFonts w:ascii="彩虹粗仿宋" w:eastAsia="彩虹粗仿宋"/>
          <w:sz w:val="24"/>
        </w:rPr>
      </w:pPr>
      <w:r>
        <w:rPr>
          <w:rStyle w:val="36"/>
          <w:rFonts w:hint="eastAsia" w:ascii="彩虹粗仿宋" w:hAnsi="宋体" w:eastAsia="彩虹粗仿宋" w:cs="Arial"/>
          <w:sz w:val="24"/>
        </w:rPr>
        <w:t>基金管理人、基金托管人按估值方法的第7项进行估值时，所造成的误差不作为</w:t>
      </w:r>
      <w:r>
        <w:rPr>
          <w:rFonts w:hint="eastAsia"/>
          <w:bCs/>
          <w:sz w:val="24"/>
        </w:rPr>
        <w:t>基金资产估值</w:t>
      </w:r>
      <w:r>
        <w:rPr>
          <w:rStyle w:val="36"/>
          <w:rFonts w:hint="eastAsia" w:ascii="彩虹粗仿宋" w:eastAsia="彩虹粗仿宋"/>
          <w:sz w:val="24"/>
        </w:rPr>
        <w:t>错误处理。</w:t>
      </w:r>
    </w:p>
    <w:p w14:paraId="01E1D7A0">
      <w:pPr>
        <w:adjustRightInd w:val="0"/>
        <w:snapToGrid w:val="0"/>
        <w:spacing w:line="360" w:lineRule="auto"/>
        <w:ind w:firstLine="480" w:firstLineChars="200"/>
        <w:rPr>
          <w:rFonts w:ascii="彩虹粗仿宋" w:eastAsia="彩虹粗仿宋"/>
          <w:bCs/>
          <w:sz w:val="24"/>
        </w:rPr>
      </w:pPr>
      <w:r>
        <w:rPr>
          <w:rFonts w:hint="eastAsia" w:ascii="彩虹粗仿宋" w:eastAsia="彩虹粗仿宋"/>
          <w:bCs/>
          <w:sz w:val="24"/>
        </w:rPr>
        <w:t>由于不可抗力原因，或由于证券、期货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5019BEDC">
      <w:pPr>
        <w:adjustRightInd w:val="0"/>
        <w:snapToGrid w:val="0"/>
        <w:spacing w:line="360" w:lineRule="auto"/>
        <w:ind w:firstLine="480" w:firstLineChars="200"/>
        <w:rPr>
          <w:rStyle w:val="36"/>
          <w:rFonts w:ascii="彩虹粗仿宋" w:eastAsia="彩虹粗仿宋"/>
          <w:sz w:val="24"/>
        </w:rPr>
      </w:pPr>
      <w:r>
        <w:rPr>
          <w:rStyle w:val="36"/>
          <w:rFonts w:hint="eastAsia" w:ascii="彩虹粗仿宋" w:eastAsia="彩虹粗仿宋"/>
          <w:sz w:val="24"/>
        </w:rPr>
        <w:t>（三）基金份额净值错误的处理方式</w:t>
      </w:r>
    </w:p>
    <w:p w14:paraId="06BBDE70">
      <w:pPr>
        <w:adjustRightInd w:val="0"/>
        <w:snapToGrid w:val="0"/>
        <w:spacing w:line="360" w:lineRule="auto"/>
        <w:ind w:firstLine="480" w:firstLineChars="200"/>
        <w:rPr>
          <w:rStyle w:val="36"/>
          <w:rFonts w:ascii="彩虹粗仿宋" w:eastAsia="彩虹粗仿宋"/>
          <w:sz w:val="24"/>
        </w:rPr>
      </w:pPr>
      <w:r>
        <w:rPr>
          <w:rStyle w:val="36"/>
          <w:rFonts w:hint="eastAsia" w:ascii="彩虹粗仿宋" w:eastAsia="彩虹粗仿宋"/>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w:t>
      </w:r>
      <w:r>
        <w:rPr>
          <w:rFonts w:hint="eastAsia" w:ascii="彩虹粗仿宋" w:eastAsia="彩虹粗仿宋" w:cs="Arial"/>
          <w:sz w:val="24"/>
        </w:rPr>
        <w:t>；错误偏差达到基金份额净值的</w:t>
      </w:r>
      <w:r>
        <w:rPr>
          <w:rFonts w:hint="eastAsia" w:ascii="彩虹粗仿宋" w:hAnsi="宋体" w:eastAsia="彩虹粗仿宋"/>
          <w:sz w:val="24"/>
        </w:rPr>
        <w:t>0.5%时，基金管理人应当公告</w:t>
      </w:r>
      <w:r>
        <w:rPr>
          <w:rStyle w:val="36"/>
          <w:rFonts w:hint="eastAsia" w:ascii="彩虹粗仿宋" w:eastAsia="彩虹粗仿宋"/>
          <w:sz w:val="24"/>
        </w:rPr>
        <w:t>。</w:t>
      </w:r>
    </w:p>
    <w:p w14:paraId="70511101">
      <w:pPr>
        <w:adjustRightInd w:val="0"/>
        <w:snapToGrid w:val="0"/>
        <w:spacing w:line="360" w:lineRule="auto"/>
        <w:ind w:firstLine="480" w:firstLineChars="200"/>
        <w:rPr>
          <w:rStyle w:val="36"/>
          <w:rFonts w:ascii="彩虹粗仿宋" w:eastAsia="彩虹粗仿宋"/>
          <w:sz w:val="24"/>
        </w:rPr>
      </w:pPr>
      <w:r>
        <w:rPr>
          <w:rStyle w:val="36"/>
          <w:rFonts w:hint="eastAsia" w:ascii="彩虹粗仿宋" w:eastAsia="彩虹粗仿宋"/>
          <w:sz w:val="24"/>
        </w:rPr>
        <w:t>2.当基金份额净值计算差错给基金和基金份额持有人造成损失需要进行赔偿时，基金管理人和基金托管人应根据实际情况界定双方承担的责任，经确认后按以下条款进行赔偿：</w:t>
      </w:r>
    </w:p>
    <w:p w14:paraId="7106348B">
      <w:pPr>
        <w:adjustRightInd w:val="0"/>
        <w:snapToGrid w:val="0"/>
        <w:spacing w:line="360" w:lineRule="auto"/>
        <w:ind w:firstLine="480" w:firstLineChars="200"/>
        <w:rPr>
          <w:rFonts w:ascii="彩虹粗仿宋" w:hAnsi="宋体" w:eastAsia="彩虹粗仿宋" w:cs="Arial"/>
          <w:sz w:val="24"/>
        </w:rPr>
      </w:pPr>
      <w:r>
        <w:rPr>
          <w:rStyle w:val="36"/>
          <w:rFonts w:hint="eastAsia" w:ascii="彩虹粗仿宋" w:eastAsia="彩虹粗仿宋"/>
          <w:sz w:val="24"/>
        </w:rPr>
        <w:t>(1)本基金的基金会计责任方由基金管理人担任，与本基金有关的会计问题，如经双方在平等基础上充分讨论后，尚不能达成一致时，按基金管理人的建议执行，由此给基金份额持有人和基金财产造成的</w:t>
      </w:r>
      <w:r>
        <w:rPr>
          <w:rFonts w:hint="eastAsia" w:ascii="彩虹粗仿宋" w:hAnsi="宋体" w:eastAsia="彩虹粗仿宋" w:cs="Arial"/>
          <w:sz w:val="24"/>
        </w:rPr>
        <w:t>损失，由基金管理人负责赔付。</w:t>
      </w:r>
    </w:p>
    <w:p w14:paraId="161AA8F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w:t>
      </w:r>
      <w:r>
        <w:rPr>
          <w:rFonts w:hint="eastAsia" w:ascii="彩虹粗仿宋" w:eastAsia="彩虹粗仿宋"/>
          <w:kern w:val="0"/>
          <w:sz w:val="24"/>
        </w:rPr>
        <w:t>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承担相应的责任。</w:t>
      </w:r>
    </w:p>
    <w:p w14:paraId="17D0D7E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41F8BB4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w:t>
      </w:r>
      <w:r>
        <w:rPr>
          <w:rFonts w:hint="eastAsia" w:ascii="彩虹粗仿宋" w:eastAsia="彩虹粗仿宋"/>
          <w:kern w:val="0"/>
          <w:sz w:val="24"/>
        </w:rPr>
        <w:t>由于基金管理人提供的信息错误（包括但不限于基金申购或赎回金额等），进而导致基金份额净值计算错误而引起的基金份额持有人和基金财产的损失，由基金管理人负责赔付。</w:t>
      </w:r>
    </w:p>
    <w:p w14:paraId="37B0C28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3.基金管理人和基金托管人由于各自技术系统设置而产生的净值计算尾差，以基金管理人计算结果为准。</w:t>
      </w:r>
    </w:p>
    <w:p w14:paraId="13245BE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4.前述内容如法律法规或者监管部门另有规定的，从其规定。如果行业另有通行做法，双方当事人应本着平等和保护基金份额持有人利益的原则进行协商。</w:t>
      </w:r>
    </w:p>
    <w:p w14:paraId="74E5E3EF">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（四）暂停估值的情形</w:t>
      </w:r>
    </w:p>
    <w:p w14:paraId="32664B2D">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1.基金投资所涉及的证券、期货交易市场遇法定节假日或因其他原因暂停营业时；</w:t>
      </w:r>
    </w:p>
    <w:p w14:paraId="195EC0DC">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2.因不可抗力致使基金管理人、基金托管人无法准确评估基金资产价值时；</w:t>
      </w:r>
    </w:p>
    <w:p w14:paraId="20BA98BE">
      <w:pPr>
        <w:adjustRightInd w:val="0"/>
        <w:snapToGrid w:val="0"/>
        <w:spacing w:line="360" w:lineRule="auto"/>
        <w:ind w:firstLine="480" w:firstLineChars="200"/>
        <w:outlineLvl w:val="0"/>
      </w:pPr>
      <w:r>
        <w:rPr>
          <w:rFonts w:hint="eastAsia" w:ascii="彩虹粗仿宋" w:hAnsi="宋体" w:eastAsia="彩虹粗仿宋" w:cs="Arial"/>
          <w:sz w:val="24"/>
        </w:rPr>
        <w:t>3.</w:t>
      </w:r>
      <w:r>
        <w:rPr>
          <w:rFonts w:hint="eastAsia"/>
        </w:rPr>
        <w:t xml:space="preserve"> 当特定资产占前一估值日基金资产净值50%以上的，经与基金托管人协商确认后，基金管理人应当暂停估值；</w:t>
      </w:r>
    </w:p>
    <w:p w14:paraId="631984A6">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4、法律法规规定、中国证监会和《基金合同》认定的其他情形。</w:t>
      </w:r>
    </w:p>
    <w:p w14:paraId="6502AE24">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（五）基金会计制度</w:t>
      </w:r>
    </w:p>
    <w:p w14:paraId="32DF931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按国家有关部门规定的会计制度执行。</w:t>
      </w:r>
    </w:p>
    <w:p w14:paraId="461B98ED">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（六）基金账册的建立</w:t>
      </w:r>
    </w:p>
    <w:p w14:paraId="2BC68A5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14:paraId="7AB55DE7">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（七）基金财务报表与报告的编制和复核</w:t>
      </w:r>
    </w:p>
    <w:p w14:paraId="1AE0594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1.财务报表的编制</w:t>
      </w:r>
    </w:p>
    <w:p w14:paraId="2BCD1A0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基金财务报表由基金管理人编制，基金托管人复核。</w:t>
      </w:r>
    </w:p>
    <w:p w14:paraId="766BA12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2.报表复核</w:t>
      </w:r>
    </w:p>
    <w:p w14:paraId="1A13557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基金托管人在收到基金管理人编制的基金财务报表后，进行独立的复核。核对不符时，应及时通知基金管理人共同查出原因，进行调整，直至双方数据完全一致。</w:t>
      </w:r>
    </w:p>
    <w:p w14:paraId="72C2F53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3.财务报表的编制与复核时间安排</w:t>
      </w:r>
    </w:p>
    <w:p w14:paraId="3C46659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(1)报表的编制</w:t>
      </w:r>
    </w:p>
    <w:p w14:paraId="73B55D6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的财务会计报告应当经过</w:t>
      </w:r>
      <w:r>
        <w:rPr>
          <w:rFonts w:hint="eastAsia"/>
          <w:bCs/>
          <w:sz w:val="24"/>
        </w:rPr>
        <w:t>具有证券、期货相关业务资格的</w:t>
      </w:r>
      <w:r>
        <w:rPr>
          <w:bCs/>
          <w:sz w:val="24"/>
        </w:rPr>
        <w:t>会计师事务所</w:t>
      </w:r>
      <w:r>
        <w:rPr>
          <w:rFonts w:hint="eastAsia" w:ascii="彩虹粗仿宋" w:hAnsi="宋体" w:eastAsia="彩虹粗仿宋" w:cs="Arial"/>
          <w:sz w:val="24"/>
        </w:rPr>
        <w:t>审计。《基金合同》生效不足两个月的，基金管理人可以不编制当期季度报告、中期报告或者年度报告。</w:t>
      </w:r>
    </w:p>
    <w:p w14:paraId="0FCD0DB1">
      <w:pPr>
        <w:pStyle w:val="3"/>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(2)报表的复核</w:t>
      </w:r>
    </w:p>
    <w:p w14:paraId="4892E7B0">
      <w:pPr>
        <w:pStyle w:val="3"/>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14:paraId="6A3CDFB4">
      <w:pPr>
        <w:pStyle w:val="3"/>
        <w:adjustRightInd w:val="0"/>
        <w:snapToGrid w:val="0"/>
        <w:spacing w:line="360" w:lineRule="auto"/>
        <w:ind w:firstLine="480"/>
        <w:rPr>
          <w:rFonts w:ascii="彩虹粗仿宋" w:hAnsi="宋体" w:eastAsia="彩虹粗仿宋" w:cs="Arial"/>
          <w:sz w:val="24"/>
        </w:rPr>
      </w:pPr>
      <w:r>
        <w:rPr>
          <w:rFonts w:hint="eastAsia" w:ascii="彩虹粗仿宋" w:hAnsi="宋体" w:eastAsia="彩虹粗仿宋" w:cs="Arial"/>
          <w:sz w:val="24"/>
        </w:rPr>
        <w:t>基金管理人应留足充分的时间，便于基金托管人复核相关报表及报告。</w:t>
      </w:r>
    </w:p>
    <w:p w14:paraId="01D23F49">
      <w:pPr>
        <w:pStyle w:val="3"/>
        <w:adjustRightInd w:val="0"/>
        <w:snapToGrid w:val="0"/>
        <w:spacing w:line="360" w:lineRule="auto"/>
        <w:ind w:firstLine="480"/>
        <w:rPr>
          <w:rFonts w:ascii="彩虹粗仿宋" w:hAnsi="宋体" w:eastAsia="彩虹粗仿宋" w:cs="Arial"/>
          <w:sz w:val="24"/>
        </w:rPr>
        <w:sectPr>
          <w:footerReference r:id="rId16" w:type="default"/>
          <w:pgSz w:w="11906" w:h="16838"/>
          <w:pgMar w:top="1418" w:right="1701" w:bottom="1418" w:left="1701" w:header="851" w:footer="992" w:gutter="0"/>
          <w:pgNumType w:start="1"/>
          <w:cols w:space="425" w:num="1"/>
          <w:docGrid w:type="lines" w:linePitch="312" w:charSpace="0"/>
        </w:sectPr>
      </w:pPr>
    </w:p>
    <w:p w14:paraId="149E137B">
      <w:pPr>
        <w:pStyle w:val="3"/>
        <w:adjustRightInd w:val="0"/>
        <w:snapToGrid w:val="0"/>
        <w:ind w:firstLine="480"/>
        <w:rPr>
          <w:rFonts w:ascii="彩虹粗仿宋" w:hAnsi="宋体" w:eastAsia="彩虹粗仿宋" w:cs="Arial"/>
          <w:sz w:val="24"/>
        </w:rPr>
      </w:pPr>
    </w:p>
    <w:p w14:paraId="0F5E118E">
      <w:pPr>
        <w:pStyle w:val="2"/>
        <w:jc w:val="center"/>
        <w:rPr>
          <w:rFonts w:ascii="彩虹粗仿宋" w:hAnsi="宋体" w:eastAsia="彩虹粗仿宋" w:cs="Arial"/>
          <w:sz w:val="24"/>
        </w:rPr>
      </w:pPr>
      <w:bookmarkStart w:id="85" w:name="_Toc124325893"/>
      <w:r>
        <w:rPr>
          <w:rFonts w:hint="eastAsia" w:ascii="彩虹粗仿宋" w:eastAsia="彩虹粗仿宋"/>
          <w:sz w:val="30"/>
        </w:rPr>
        <w:t>九、基金收益分配</w:t>
      </w:r>
      <w:bookmarkEnd w:id="85"/>
    </w:p>
    <w:p w14:paraId="26D42D15">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基金收益分配是指按规定将基金的可分配收益按基金份额进行比例分配。</w:t>
      </w:r>
    </w:p>
    <w:p w14:paraId="34D256D2">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（一）基金收益分配的原则</w:t>
      </w:r>
    </w:p>
    <w:p w14:paraId="79C7817F">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1</w:t>
      </w:r>
      <w:r>
        <w:rPr>
          <w:rFonts w:ascii="彩虹粗仿宋" w:hAnsi="宋体" w:eastAsia="彩虹粗仿宋" w:cs="Arial"/>
          <w:sz w:val="24"/>
        </w:rPr>
        <w:t>、本基金收益分配方式分两种：现金分红与红利再投资，投资者可选择现金红利或将现金红利自动转为基金份额进行再投资；若投资者不选择，本基金默认的收益分配方式是现金分红；</w:t>
      </w:r>
    </w:p>
    <w:p w14:paraId="75BFD17B">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2</w:t>
      </w:r>
      <w:r>
        <w:rPr>
          <w:rFonts w:ascii="彩虹粗仿宋" w:hAnsi="宋体" w:eastAsia="彩虹粗仿宋" w:cs="Arial"/>
          <w:sz w:val="24"/>
        </w:rPr>
        <w:t>、基金收益分配后基金份额净值不能低于面值</w:t>
      </w:r>
      <w:r>
        <w:rPr>
          <w:rFonts w:hint="eastAsia" w:ascii="彩虹粗仿宋" w:hAnsi="宋体" w:eastAsia="彩虹粗仿宋" w:cs="Arial"/>
          <w:sz w:val="24"/>
        </w:rPr>
        <w:t>，</w:t>
      </w:r>
      <w:r>
        <w:rPr>
          <w:rFonts w:ascii="彩虹粗仿宋" w:hAnsi="宋体" w:eastAsia="彩虹粗仿宋" w:cs="Arial"/>
          <w:sz w:val="24"/>
        </w:rPr>
        <w:t>即基金收益分配基准日的基金份额净值减去每单位基金份额收益分配金额后不能低于面值</w:t>
      </w:r>
      <w:r>
        <w:rPr>
          <w:rFonts w:hint="eastAsia" w:ascii="彩虹粗仿宋" w:hAnsi="宋体" w:eastAsia="彩虹粗仿宋" w:cs="Arial"/>
          <w:sz w:val="24"/>
        </w:rPr>
        <w:t>；</w:t>
      </w:r>
    </w:p>
    <w:p w14:paraId="5AD44EB2">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3、</w:t>
      </w:r>
      <w:r>
        <w:rPr>
          <w:rFonts w:ascii="彩虹粗仿宋" w:hAnsi="宋体" w:eastAsia="彩虹粗仿宋" w:cs="Arial"/>
          <w:sz w:val="24"/>
        </w:rPr>
        <w:t>每一基金份额享有同等分配权；</w:t>
      </w:r>
    </w:p>
    <w:p w14:paraId="1DDBFBFA">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4</w:t>
      </w:r>
      <w:r>
        <w:rPr>
          <w:rFonts w:ascii="彩虹粗仿宋" w:hAnsi="宋体" w:eastAsia="彩虹粗仿宋" w:cs="Arial"/>
          <w:sz w:val="24"/>
        </w:rPr>
        <w:t>、法律法规或监管机关另有规定的，从其规定。</w:t>
      </w:r>
    </w:p>
    <w:p w14:paraId="4AAF8BAE">
      <w:pPr>
        <w:adjustRightInd w:val="0"/>
        <w:snapToGrid w:val="0"/>
        <w:spacing w:line="360" w:lineRule="auto"/>
        <w:ind w:firstLine="480" w:firstLineChars="200"/>
        <w:outlineLvl w:val="0"/>
        <w:rPr>
          <w:rFonts w:ascii="彩虹粗仿宋" w:hAnsi="宋体" w:eastAsia="彩虹粗仿宋" w:cs="Arial"/>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60499922">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（二）基金收益分配的时间和程序</w:t>
      </w:r>
    </w:p>
    <w:p w14:paraId="0284A1B8">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本基金收益分配方案由基金管理人</w:t>
      </w:r>
      <w:r>
        <w:rPr>
          <w:rFonts w:ascii="彩虹粗仿宋" w:hAnsi="宋体" w:eastAsia="彩虹粗仿宋" w:cs="Arial"/>
          <w:bCs/>
          <w:sz w:val="24"/>
        </w:rPr>
        <w:t>拟定</w:t>
      </w:r>
      <w:r>
        <w:rPr>
          <w:rFonts w:hint="eastAsia" w:ascii="彩虹粗仿宋" w:hAnsi="宋体" w:eastAsia="彩虹粗仿宋" w:cs="Arial"/>
          <w:sz w:val="24"/>
        </w:rPr>
        <w:t>，并由基金托管人复核，</w:t>
      </w:r>
      <w:r>
        <w:rPr>
          <w:rFonts w:hint="eastAsia" w:ascii="彩虹粗仿宋" w:eastAsia="彩虹粗仿宋"/>
          <w:sz w:val="24"/>
        </w:rPr>
        <w:t>依据相关规定进行公告</w:t>
      </w:r>
      <w:r>
        <w:rPr>
          <w:rFonts w:hint="eastAsia" w:ascii="彩虹粗仿宋" w:hAnsi="宋体" w:eastAsia="彩虹粗仿宋" w:cs="Arial"/>
          <w:sz w:val="24"/>
        </w:rPr>
        <w:t>。基金收益分配方案公告后(依据具体方案的规定)，基金管理人依据具体方案的规定就支付的现金红利向基金托管人发送划款指令，基金托管人按照基金管理人的指令及时进行分红资金的划付。</w:t>
      </w:r>
    </w:p>
    <w:p w14:paraId="3F6C115A">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w:t>
      </w:r>
    </w:p>
    <w:p w14:paraId="169022F3">
      <w:pPr>
        <w:adjustRightInd w:val="0"/>
        <w:snapToGrid w:val="0"/>
        <w:rPr>
          <w:rFonts w:ascii="彩虹粗仿宋" w:hAnsi="宋体" w:eastAsia="彩虹粗仿宋" w:cs="Arial"/>
          <w:sz w:val="24"/>
        </w:rPr>
        <w:sectPr>
          <w:footerReference r:id="rId17" w:type="default"/>
          <w:pgSz w:w="11906" w:h="16838"/>
          <w:pgMar w:top="1418" w:right="1701" w:bottom="1418" w:left="1701" w:header="851" w:footer="992" w:gutter="0"/>
          <w:pgNumType w:start="1"/>
          <w:cols w:space="425" w:num="1"/>
          <w:docGrid w:type="lines" w:linePitch="312" w:charSpace="0"/>
        </w:sectPr>
      </w:pPr>
    </w:p>
    <w:p w14:paraId="779F4CA4">
      <w:pPr>
        <w:adjustRightInd w:val="0"/>
        <w:snapToGrid w:val="0"/>
        <w:rPr>
          <w:rFonts w:ascii="彩虹粗仿宋" w:hAnsi="宋体" w:eastAsia="彩虹粗仿宋" w:cs="Arial"/>
          <w:sz w:val="24"/>
        </w:rPr>
      </w:pPr>
    </w:p>
    <w:p w14:paraId="354C2657">
      <w:pPr>
        <w:pStyle w:val="2"/>
        <w:jc w:val="center"/>
        <w:rPr>
          <w:rFonts w:ascii="彩虹粗仿宋" w:eastAsia="彩虹粗仿宋"/>
          <w:sz w:val="30"/>
        </w:rPr>
      </w:pPr>
      <w:bookmarkStart w:id="86" w:name="_Toc124325894"/>
      <w:r>
        <w:rPr>
          <w:rFonts w:hint="eastAsia" w:ascii="彩虹粗仿宋" w:eastAsia="彩虹粗仿宋"/>
          <w:sz w:val="30"/>
        </w:rPr>
        <w:t>十、基金信息披露</w:t>
      </w:r>
      <w:bookmarkEnd w:id="86"/>
    </w:p>
    <w:p w14:paraId="4567ADB3">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（一）保密义务</w:t>
      </w:r>
    </w:p>
    <w:p w14:paraId="357F7A8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人和基金管理人应按法律法规、《基金合同》的有关规定进行信息披露，拟公开披露的信息在公开披露之前应予保密。除按《基金法》、《基金合同》、《信息披露办法》及其他有关规定进行信息披露外，基金管理人和基金托管人对基金运作中产生的信息以及从对方获得的业务信息应予保密。但是，如下情况不应视为基金管理人或基金托管人违反保密义务：</w:t>
      </w:r>
    </w:p>
    <w:p w14:paraId="768D5AD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1.非因基金管理人和基金托管人的原因导致保密信息被披露、泄露或公开；</w:t>
      </w:r>
    </w:p>
    <w:p w14:paraId="27E318B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2.基金管理人和基金托管人为遵守和服从法院判决或裁定、仲裁裁决或中国证监会等监管机构的命令、决定所做出的信息披露或公开。</w:t>
      </w:r>
    </w:p>
    <w:p w14:paraId="4E36FA78">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（二）信息披露的内容</w:t>
      </w:r>
    </w:p>
    <w:p w14:paraId="2E33A1F7">
      <w:pPr>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基金的信息披露内容主要包括基金招募说明书、《基金合同》、托管协议</w:t>
      </w:r>
      <w:r>
        <w:rPr>
          <w:bCs/>
          <w:sz w:val="24"/>
        </w:rPr>
        <w:t>、基金产品资料概要</w:t>
      </w:r>
      <w:r>
        <w:rPr>
          <w:rFonts w:hint="eastAsia" w:ascii="彩虹粗仿宋" w:hAnsi="宋体" w:eastAsia="彩虹粗仿宋" w:cs="Arial"/>
          <w:sz w:val="24"/>
        </w:rPr>
        <w:t>、基金份额发售公告、《基金合同》生效公告、基金净值信息、基金份额申购/赎回价格、基金定期报告（包括基金年度报告、基金中期报告和基金季度报告）、临时报告、澄清公告、基金份额持有人大会决议、</w:t>
      </w:r>
      <w:r>
        <w:rPr>
          <w:bCs/>
          <w:sz w:val="24"/>
        </w:rPr>
        <w:t>清算报告</w:t>
      </w:r>
      <w:r>
        <w:rPr>
          <w:rFonts w:hint="eastAsia"/>
          <w:bCs/>
          <w:sz w:val="24"/>
        </w:rPr>
        <w:t>、</w:t>
      </w:r>
      <w:r>
        <w:rPr>
          <w:rFonts w:hint="eastAsia" w:ascii="彩虹粗仿宋" w:hAnsi="宋体" w:eastAsia="彩虹粗仿宋" w:cs="Arial"/>
          <w:sz w:val="24"/>
        </w:rPr>
        <w:t>投资资产支持证券、国债期货的投资情况</w:t>
      </w:r>
      <w:r>
        <w:rPr>
          <w:rFonts w:hint="eastAsia" w:ascii="宋体" w:hAnsi="宋体"/>
          <w:sz w:val="24"/>
        </w:rPr>
        <w:t>、实施侧袋机制期间的信息披露</w:t>
      </w:r>
      <w:r>
        <w:rPr>
          <w:rFonts w:hint="eastAsia" w:ascii="彩虹粗仿宋" w:hAnsi="宋体" w:eastAsia="彩虹粗仿宋" w:cs="Arial"/>
          <w:sz w:val="24"/>
        </w:rPr>
        <w:t>及中国证监会规定的其他信息。基金年度报告需经具有从事证券、期货相关业务资格的会计师事务所审计后，方可披露。</w:t>
      </w:r>
    </w:p>
    <w:p w14:paraId="0DD94871">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（三）基金托管人和基金管理人在信息披露中的职责和信息披露程序</w:t>
      </w:r>
    </w:p>
    <w:p w14:paraId="63BCC40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1.职责</w:t>
      </w:r>
    </w:p>
    <w:p w14:paraId="5BB859F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人和基金管理人在信息披露过程中应以保护基金份额持有人利益为宗旨，诚实信用，严守秘密。基金管理人负责办理与基金有关的信息披露事宜，基金托管人应当按照相关法律法规和《基金合同》的约定，对于本章第（二）条规定的应由基金托管人复核的事项进行复核，基金托管人复核无误后，由基金管理人予以公布。</w:t>
      </w:r>
    </w:p>
    <w:p w14:paraId="4A603F6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对于不需要基金托管人(或基金管理人)复核的信息，基金管理人(或基金托管人)在公告前应告知基金托管人(或基金管理人)。</w:t>
      </w:r>
    </w:p>
    <w:p w14:paraId="696C669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基金管理人和基金托管人应积极配合、互相监督，保证其履行按照法定方式和限时披露的义务。</w:t>
      </w:r>
    </w:p>
    <w:p w14:paraId="7EA8C6C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基金管理人应当在中国证监会规定的时间内，将应予披露的基金信息通过指定媒介披露。根据法律法规应由基金托管人公开披露的信息，基金托管人将通过指定媒介或基金托管人的互联网网站公开披露。</w:t>
      </w:r>
    </w:p>
    <w:p w14:paraId="2BDFDB2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当出现下述情况时，基金管理人和基金托管人可暂停或延迟披露基金相关信息：</w:t>
      </w:r>
    </w:p>
    <w:p w14:paraId="45E6321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(1)不可抗力；</w:t>
      </w:r>
    </w:p>
    <w:p w14:paraId="2B1B8F0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(2)发生暂停估值的情形；</w:t>
      </w:r>
    </w:p>
    <w:p w14:paraId="5B4B5CC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(3)法律法规、《基金合同》或中国证监会规定的情况。</w:t>
      </w:r>
    </w:p>
    <w:p w14:paraId="7534336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2.程序</w:t>
      </w:r>
    </w:p>
    <w:p w14:paraId="6EA6190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按有关规定须经基金托管人复核的信息披露文件，由基金管理人起草、并经基金托管人复核后由基金管理人公告。发生《基金合同》中规定需要披露的事项时，按《基金合同》规定公布。</w:t>
      </w:r>
    </w:p>
    <w:p w14:paraId="751B8E3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3.信息文本的存放</w:t>
      </w:r>
    </w:p>
    <w:p w14:paraId="3D2CB2DF">
      <w:pPr>
        <w:pStyle w:val="3"/>
        <w:spacing w:line="360" w:lineRule="auto"/>
        <w:ind w:firstLine="480"/>
        <w:rPr>
          <w:rFonts w:ascii="彩虹粗仿宋" w:hAnsi="宋体" w:eastAsia="彩虹粗仿宋" w:cs="Arial"/>
          <w:sz w:val="24"/>
        </w:rPr>
      </w:pPr>
      <w:r>
        <w:rPr>
          <w:rFonts w:hint="eastAsia" w:ascii="彩虹粗仿宋" w:hAnsi="宋体" w:eastAsia="彩虹粗仿宋" w:cs="Arial"/>
          <w:sz w:val="24"/>
        </w:rPr>
        <w:t>依法必须披露的信息发布后，基金管理人、基金托管人应当按照相关法律法规规定将信息置备于各自住所，供社会公众查阅、复制。在支付工本费后可在合理时间获得上述文件的复制件或复印件。基金管理人和基金托管人应保证文本的内容与所公告的内容完全一致。</w:t>
      </w:r>
    </w:p>
    <w:p w14:paraId="3DC1DCCB">
      <w:pPr>
        <w:pStyle w:val="3"/>
        <w:ind w:firstLine="0" w:firstLineChars="0"/>
        <w:rPr>
          <w:rFonts w:ascii="彩虹粗仿宋" w:hAnsi="宋体" w:eastAsia="彩虹粗仿宋" w:cs="Arial"/>
          <w:sz w:val="24"/>
        </w:rPr>
        <w:sectPr>
          <w:footerReference r:id="rId18" w:type="default"/>
          <w:pgSz w:w="11906" w:h="16838"/>
          <w:pgMar w:top="1418" w:right="1701" w:bottom="1418" w:left="1701" w:header="851" w:footer="992" w:gutter="0"/>
          <w:pgNumType w:start="1"/>
          <w:cols w:space="425" w:num="1"/>
          <w:docGrid w:type="lines" w:linePitch="312" w:charSpace="0"/>
        </w:sectPr>
      </w:pPr>
    </w:p>
    <w:p w14:paraId="76D6E076">
      <w:pPr>
        <w:pStyle w:val="3"/>
        <w:ind w:firstLine="0" w:firstLineChars="0"/>
        <w:rPr>
          <w:rFonts w:ascii="彩虹粗仿宋" w:hAnsi="宋体" w:eastAsia="彩虹粗仿宋" w:cs="Arial"/>
          <w:sz w:val="24"/>
        </w:rPr>
      </w:pPr>
    </w:p>
    <w:p w14:paraId="2C6E0BB3">
      <w:pPr>
        <w:pStyle w:val="2"/>
        <w:jc w:val="center"/>
        <w:rPr>
          <w:rFonts w:ascii="彩虹粗仿宋" w:eastAsia="彩虹粗仿宋"/>
          <w:sz w:val="30"/>
        </w:rPr>
      </w:pPr>
      <w:bookmarkStart w:id="87" w:name="_Toc124325895"/>
      <w:r>
        <w:rPr>
          <w:rFonts w:hint="eastAsia" w:ascii="彩虹粗仿宋" w:eastAsia="彩虹粗仿宋"/>
          <w:sz w:val="30"/>
        </w:rPr>
        <w:t>十一、基金费用</w:t>
      </w:r>
      <w:bookmarkEnd w:id="87"/>
    </w:p>
    <w:p w14:paraId="14C39D2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（一）基金管理费的计提比例和计提方法</w:t>
      </w:r>
    </w:p>
    <w:p w14:paraId="2F71CEA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本基金的管理费按前一日基金资产净值的0.30%年费率计提。管理费的计算方法如下：</w:t>
      </w:r>
    </w:p>
    <w:p w14:paraId="3C12519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H＝E×年管理费率÷当年天数</w:t>
      </w:r>
    </w:p>
    <w:p w14:paraId="25D19F3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H为每日应计提的基金管理费</w:t>
      </w:r>
    </w:p>
    <w:p w14:paraId="75D50C9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E为前一日的基金资产净值</w:t>
      </w:r>
    </w:p>
    <w:p w14:paraId="0951DFD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（二）基金托管费的计提比例和计提方法</w:t>
      </w:r>
    </w:p>
    <w:p w14:paraId="250612C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本基金的托管费按前一日基金资产净值的0.</w:t>
      </w:r>
      <w:r>
        <w:rPr>
          <w:rFonts w:hint="eastAsia" w:ascii="彩虹粗仿宋" w:hAnsi="宋体" w:eastAsia="彩虹粗仿宋" w:cs="Arial"/>
          <w:sz w:val="24"/>
          <w:lang w:val="en-US" w:eastAsia="zh-CN"/>
        </w:rPr>
        <w:t>08</w:t>
      </w:r>
      <w:r>
        <w:rPr>
          <w:rFonts w:hint="eastAsia" w:ascii="彩虹粗仿宋" w:hAnsi="宋体" w:eastAsia="彩虹粗仿宋" w:cs="Arial"/>
          <w:sz w:val="24"/>
        </w:rPr>
        <w:t>%年费率计提。托管费的计算方法如下：</w:t>
      </w:r>
    </w:p>
    <w:p w14:paraId="750C236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H＝E×年托管费率÷当年天数</w:t>
      </w:r>
    </w:p>
    <w:p w14:paraId="6DB80E7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H为每日应计提的基金托管费</w:t>
      </w:r>
    </w:p>
    <w:p w14:paraId="490F236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E为前一日的基金资产净值</w:t>
      </w:r>
    </w:p>
    <w:p w14:paraId="64CCEC5E">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（三）基金的开户费用、证券、期货交易费用、银行汇划费用、账户维护费用、《基金合同》生效后</w:t>
      </w:r>
      <w:r>
        <w:rPr>
          <w:rFonts w:ascii="彩虹粗仿宋" w:hAnsi="宋体" w:eastAsia="彩虹粗仿宋" w:cs="Arial"/>
          <w:bCs/>
          <w:sz w:val="24"/>
        </w:rPr>
        <w:t>与基金相关</w:t>
      </w:r>
      <w:r>
        <w:rPr>
          <w:rFonts w:hint="eastAsia" w:ascii="彩虹粗仿宋" w:hAnsi="宋体" w:eastAsia="彩虹粗仿宋" w:cs="Arial"/>
          <w:sz w:val="24"/>
        </w:rPr>
        <w:t>的信息披露费用、基金份额持有人大会费用、《基金合同》生效后与基金有关的会计师费、律师费、仲裁费、诉讼费和仲裁费等根据有关法律法规、《基金合同》及相应协议的规定，列入当期基金费用。</w:t>
      </w:r>
    </w:p>
    <w:p w14:paraId="2494D1D4">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（四）不列入基金费用的项目</w:t>
      </w:r>
    </w:p>
    <w:p w14:paraId="7C427945">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合同》生效前的律师费、会计师费和信息披露费用不得从基金财产中列支；基金管理人和基金托管人因未履行或未完全履行义务导致的费用支出或基金财产的损失，以及处理与基金运作无关的事项发生的费用等不列入基金费用。</w:t>
      </w:r>
    </w:p>
    <w:p w14:paraId="18561C56">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（五）基金管理费和基金托管费的复核程序、支付方式和时间</w:t>
      </w:r>
    </w:p>
    <w:p w14:paraId="3A89C9C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1.复核程序</w:t>
      </w:r>
    </w:p>
    <w:p w14:paraId="530E125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基金托管人对基金管理人计提的基金管理费和基金托管费等，根据本托管协议和《基金合同》的有关规定进行复核。</w:t>
      </w:r>
    </w:p>
    <w:p w14:paraId="5DE3291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2.支付方式和时间</w:t>
      </w:r>
    </w:p>
    <w:p w14:paraId="6EAB3C4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基金管理费和基金托管费每日计提，</w:t>
      </w:r>
      <w:r>
        <w:rPr>
          <w:rFonts w:hint="eastAsia" w:ascii="彩虹粗仿宋" w:hAnsi="宋体" w:eastAsia="彩虹粗仿宋" w:cs="Arial"/>
          <w:bCs/>
          <w:sz w:val="24"/>
        </w:rPr>
        <w:t>逐日累计至每月月末，</w:t>
      </w:r>
      <w:r>
        <w:rPr>
          <w:rFonts w:hint="eastAsia" w:ascii="彩虹粗仿宋" w:hAnsi="宋体" w:eastAsia="彩虹粗仿宋" w:cs="Arial"/>
          <w:sz w:val="24"/>
        </w:rPr>
        <w:t>按月支付。由基金托管人与基金管理人核对一致后，基金托管人根据与管理人协商一致的方式于次月首日起第三个工作日内从基金财产中一次性支付给基金管理人或一次性支取。若遇法定节假日、休息日或不可抗力等，支付日期顺延。</w:t>
      </w:r>
    </w:p>
    <w:p w14:paraId="3A33639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在首期支付基金管理费前，基金管理人应向基金托管人出具正式函件指定相应的收款账户。基金管理人如需要变更此账户，应提前5个工作日向托管人出具书面的收款账户变更通知。</w:t>
      </w:r>
    </w:p>
    <w:p w14:paraId="6080EAA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（七）违规处理方式</w:t>
      </w:r>
    </w:p>
    <w:p w14:paraId="24FE0C5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托管人发现基金管理人违反《基金法》、《基金合同》、《运作办法》及其他有关规定从基金财产中列支费用时，基金托管人可要求基金管理人予以说明解释，如基金管理人无正当理由，基金托管人可拒绝支付。</w:t>
      </w:r>
    </w:p>
    <w:p w14:paraId="4BE0140E">
      <w:pPr>
        <w:adjustRightInd w:val="0"/>
        <w:snapToGrid w:val="0"/>
        <w:rPr>
          <w:rFonts w:ascii="彩虹粗仿宋" w:hAnsi="宋体" w:eastAsia="彩虹粗仿宋" w:cs="Arial"/>
          <w:sz w:val="24"/>
        </w:rPr>
        <w:sectPr>
          <w:footerReference r:id="rId19" w:type="default"/>
          <w:pgSz w:w="11906" w:h="16838"/>
          <w:pgMar w:top="1418" w:right="1701" w:bottom="1418" w:left="1701" w:header="851" w:footer="992" w:gutter="0"/>
          <w:pgNumType w:start="1"/>
          <w:cols w:space="425" w:num="1"/>
          <w:docGrid w:type="lines" w:linePitch="312" w:charSpace="0"/>
        </w:sectPr>
      </w:pPr>
    </w:p>
    <w:p w14:paraId="7C5BD729">
      <w:pPr>
        <w:adjustRightInd w:val="0"/>
        <w:snapToGrid w:val="0"/>
        <w:rPr>
          <w:rFonts w:ascii="彩虹粗仿宋" w:hAnsi="宋体" w:eastAsia="彩虹粗仿宋" w:cs="Arial"/>
          <w:sz w:val="24"/>
        </w:rPr>
      </w:pPr>
    </w:p>
    <w:p w14:paraId="6A5A2B57">
      <w:pPr>
        <w:pStyle w:val="2"/>
        <w:jc w:val="center"/>
        <w:rPr>
          <w:rFonts w:ascii="彩虹粗仿宋" w:eastAsia="彩虹粗仿宋"/>
          <w:sz w:val="30"/>
        </w:rPr>
      </w:pPr>
      <w:bookmarkStart w:id="88" w:name="_Toc124325896"/>
      <w:r>
        <w:rPr>
          <w:rFonts w:hint="eastAsia" w:ascii="彩虹粗仿宋" w:eastAsia="彩虹粗仿宋"/>
          <w:sz w:val="30"/>
        </w:rPr>
        <w:t>十二、基金份额持有人名册的保管</w:t>
      </w:r>
      <w:bookmarkEnd w:id="88"/>
    </w:p>
    <w:p w14:paraId="203D94B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份额持有人名册至少应包括基金份额持有人的名称和持有的基金份额。基金份额持有人名册由基金登记机构根据基金管理人的指令编制和保管，基金管理人应保管基金份额持有人名册，保存期不少于15年。如不能妥善保管，则按相关法规承担责任。</w:t>
      </w:r>
    </w:p>
    <w:p w14:paraId="757F818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在基金托管人要求或编制中期报告和年报前，基金管理人应将有关资料送交基金托管人，不得无故拒绝或延误提供，并保证其的真实性、准确性和完整性。</w:t>
      </w:r>
      <w:r>
        <w:rPr>
          <w:rFonts w:hint="eastAsia" w:ascii="彩虹粗仿宋" w:hAnsi="宋体" w:eastAsia="彩虹粗仿宋"/>
          <w:kern w:val="0"/>
          <w:sz w:val="24"/>
        </w:rPr>
        <w:t>基金管理人不得将所保管的基金份额持有人名册用于基金托管业务以外的其他用途，并应遵守保密义务。</w:t>
      </w:r>
    </w:p>
    <w:p w14:paraId="0423A8AC">
      <w:pPr>
        <w:adjustRightInd w:val="0"/>
        <w:snapToGrid w:val="0"/>
        <w:rPr>
          <w:rFonts w:ascii="彩虹粗仿宋" w:hAnsi="宋体" w:eastAsia="彩虹粗仿宋" w:cs="Arial"/>
          <w:sz w:val="24"/>
        </w:rPr>
        <w:sectPr>
          <w:footerReference r:id="rId20" w:type="default"/>
          <w:pgSz w:w="11906" w:h="16838"/>
          <w:pgMar w:top="1418" w:right="1701" w:bottom="1418" w:left="1701" w:header="851" w:footer="992" w:gutter="0"/>
          <w:pgNumType w:start="1"/>
          <w:cols w:space="425" w:num="1"/>
          <w:docGrid w:type="lines" w:linePitch="312" w:charSpace="0"/>
        </w:sectPr>
      </w:pPr>
    </w:p>
    <w:p w14:paraId="37990FB4">
      <w:pPr>
        <w:adjustRightInd w:val="0"/>
        <w:snapToGrid w:val="0"/>
        <w:rPr>
          <w:rFonts w:ascii="彩虹粗仿宋" w:hAnsi="宋体" w:eastAsia="彩虹粗仿宋" w:cs="Arial"/>
          <w:sz w:val="24"/>
        </w:rPr>
      </w:pPr>
    </w:p>
    <w:p w14:paraId="05FC4961">
      <w:pPr>
        <w:pStyle w:val="2"/>
        <w:jc w:val="center"/>
        <w:rPr>
          <w:rFonts w:ascii="彩虹粗仿宋" w:eastAsia="彩虹粗仿宋"/>
          <w:sz w:val="30"/>
        </w:rPr>
      </w:pPr>
      <w:bookmarkStart w:id="89" w:name="_Toc124325897"/>
      <w:r>
        <w:rPr>
          <w:rFonts w:hint="eastAsia" w:ascii="彩虹粗仿宋" w:eastAsia="彩虹粗仿宋"/>
          <w:sz w:val="30"/>
        </w:rPr>
        <w:t>十三、基金有关文件档案的保存</w:t>
      </w:r>
      <w:bookmarkEnd w:id="89"/>
    </w:p>
    <w:p w14:paraId="3A97D1AD">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（一）档案保存</w:t>
      </w:r>
    </w:p>
    <w:p w14:paraId="6D539F9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管理人应保存基金财产管理业务活动的记录、账册、报表和其他相关资料。基金托管人应保存基金托管业务活动的记录、账册、报表和其他相关资料。基金管理人和基金托管人都应当按规定的期限保管。保存期限不少于15年。</w:t>
      </w:r>
    </w:p>
    <w:p w14:paraId="3C1EDB45">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（二）合同档案的建立</w:t>
      </w:r>
    </w:p>
    <w:p w14:paraId="06CEB78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1.基金管理人签署重大合同文本后，应及时将合同文本正本送达基金托管人处。</w:t>
      </w:r>
    </w:p>
    <w:p w14:paraId="4363077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2.基金管理人应及时将与本基金账务处理、资金划拨等有关的合同、协议传真基金托管人。</w:t>
      </w:r>
    </w:p>
    <w:p w14:paraId="49212E47">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（三）变更与协助</w:t>
      </w:r>
    </w:p>
    <w:p w14:paraId="18F9246D">
      <w:pPr>
        <w:adjustRightInd w:val="0"/>
        <w:snapToGrid w:val="0"/>
        <w:spacing w:line="360" w:lineRule="auto"/>
        <w:ind w:firstLine="480" w:firstLineChars="200"/>
        <w:rPr>
          <w:rFonts w:ascii="彩虹粗仿宋" w:eastAsia="彩虹粗仿宋"/>
          <w:b/>
          <w:bCs/>
          <w:sz w:val="30"/>
          <w:szCs w:val="30"/>
        </w:rPr>
      </w:pPr>
      <w:r>
        <w:rPr>
          <w:rFonts w:hint="eastAsia" w:ascii="彩虹粗仿宋" w:hAnsi="宋体" w:eastAsia="彩虹粗仿宋" w:cs="Arial"/>
          <w:sz w:val="24"/>
        </w:rPr>
        <w:t>若基金管理人/基金托管人发生变更，未变更的一方有义务协助变更后的接任人接收相应文件。</w:t>
      </w:r>
    </w:p>
    <w:p w14:paraId="28F719C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（四）基金管理人和基金托管人应按各自职责完整保存原始凭证、记账凭证、基金账册、交易记录和重要合同等，承担保密义务并保存至少十五年以上，但法律法规另有规定或有权机关另有要求的除外。</w:t>
      </w:r>
    </w:p>
    <w:p w14:paraId="7BE87044">
      <w:pPr>
        <w:adjustRightInd w:val="0"/>
        <w:snapToGrid w:val="0"/>
        <w:rPr>
          <w:rFonts w:ascii="彩虹粗仿宋" w:eastAsia="彩虹粗仿宋"/>
          <w:sz w:val="30"/>
          <w:szCs w:val="30"/>
        </w:rPr>
        <w:sectPr>
          <w:footerReference r:id="rId21" w:type="default"/>
          <w:pgSz w:w="11906" w:h="16838"/>
          <w:pgMar w:top="1418" w:right="1701" w:bottom="1418" w:left="1701" w:header="851" w:footer="992" w:gutter="0"/>
          <w:pgNumType w:start="1"/>
          <w:cols w:space="425" w:num="1"/>
          <w:docGrid w:type="lines" w:linePitch="312" w:charSpace="0"/>
        </w:sectPr>
      </w:pPr>
    </w:p>
    <w:p w14:paraId="2AA4B944">
      <w:pPr>
        <w:adjustRightInd w:val="0"/>
        <w:snapToGrid w:val="0"/>
        <w:rPr>
          <w:rFonts w:ascii="彩虹粗仿宋" w:eastAsia="彩虹粗仿宋"/>
          <w:sz w:val="30"/>
          <w:szCs w:val="30"/>
        </w:rPr>
      </w:pPr>
    </w:p>
    <w:p w14:paraId="0C64349B">
      <w:pPr>
        <w:pStyle w:val="2"/>
        <w:jc w:val="center"/>
        <w:rPr>
          <w:rFonts w:ascii="彩虹粗仿宋" w:eastAsia="彩虹粗仿宋"/>
          <w:sz w:val="30"/>
        </w:rPr>
      </w:pPr>
      <w:bookmarkStart w:id="90" w:name="_Toc124325898"/>
      <w:r>
        <w:rPr>
          <w:rFonts w:hint="eastAsia" w:ascii="彩虹粗仿宋" w:eastAsia="彩虹粗仿宋"/>
          <w:sz w:val="30"/>
        </w:rPr>
        <w:t>十四、基金管理人和基金托管人的更换</w:t>
      </w:r>
      <w:bookmarkEnd w:id="90"/>
    </w:p>
    <w:p w14:paraId="7B42DC0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（一）基金管理人职责终止的情形</w:t>
      </w:r>
    </w:p>
    <w:p w14:paraId="4F00ABF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1.基金管理人职责终止的情形</w:t>
      </w:r>
    </w:p>
    <w:p w14:paraId="67D253C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有下列情形之一的，基金管理人职责终止：</w:t>
      </w:r>
    </w:p>
    <w:p w14:paraId="0AE5282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(1)被依法取消基金管理资格；</w:t>
      </w:r>
    </w:p>
    <w:p w14:paraId="14431E3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(2)依法解散、被依法撤销或被依法宣告破产；</w:t>
      </w:r>
    </w:p>
    <w:p w14:paraId="6DEBE67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(3)被基金份额持有人大会解任；</w:t>
      </w:r>
    </w:p>
    <w:p w14:paraId="0DF5816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(4)法律法规及中国证监会规定的和《基金合同》约定的其他情形。</w:t>
      </w:r>
    </w:p>
    <w:p w14:paraId="1E72375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2.基金管理人的更换程序</w:t>
      </w:r>
    </w:p>
    <w:p w14:paraId="1EC1E62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更换基金管理人必须依照如下程序进行：</w:t>
      </w:r>
    </w:p>
    <w:p w14:paraId="0FA79FC5">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(1)提名：新任基金管理人由基金托管人或由单独或合计持有10%以上(含10%)基金份额的基金份额持有人提名；</w:t>
      </w:r>
    </w:p>
    <w:p w14:paraId="2CA8F91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决议：基金份额持有人大会在基金管理人职责终止后6个月内对被提名的基金管理人形成决议，该决议需经参加大会的基金份额持有人所持表决权的三分之二以上(含三分之二)表决通过，并自表决通过之日起生效；</w:t>
      </w:r>
    </w:p>
    <w:p w14:paraId="6969E8B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(3)临时基金管理人：新任基金管理人产生之前，由中国证监会指定临时基金管理人；</w:t>
      </w:r>
    </w:p>
    <w:p w14:paraId="1F116EC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w:t>
      </w:r>
      <w:r>
        <w:rPr>
          <w:rFonts w:ascii="彩虹粗仿宋" w:hAnsi="宋体" w:eastAsia="彩虹粗仿宋" w:cs="Arial"/>
          <w:sz w:val="24"/>
        </w:rPr>
        <w:t xml:space="preserve"> </w:t>
      </w:r>
      <w:r>
        <w:rPr>
          <w:rFonts w:hint="eastAsia" w:ascii="彩虹粗仿宋" w:hAnsi="宋体" w:eastAsia="彩虹粗仿宋" w:cs="Arial"/>
          <w:sz w:val="24"/>
        </w:rPr>
        <w:t>备案：基金份额持有人大会选任基金管理人的决议须报中国证监会备案；</w:t>
      </w:r>
    </w:p>
    <w:p w14:paraId="7AD387E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(5)公告：基金管理人更换后，由基金托管人在更换基金管理人的基金份额持有人大会决议生效后</w:t>
      </w:r>
      <w:r>
        <w:rPr>
          <w:rFonts w:ascii="彩虹粗仿宋" w:hAnsi="宋体" w:eastAsia="彩虹粗仿宋" w:cs="Arial"/>
          <w:bCs/>
          <w:sz w:val="24"/>
        </w:rPr>
        <w:t>2日内</w:t>
      </w:r>
      <w:r>
        <w:rPr>
          <w:rFonts w:hint="eastAsia" w:ascii="彩虹粗仿宋" w:hAnsi="宋体" w:eastAsia="彩虹粗仿宋" w:cs="Arial"/>
          <w:sz w:val="24"/>
        </w:rPr>
        <w:t>在指定媒介公告；</w:t>
      </w:r>
    </w:p>
    <w:p w14:paraId="2011B14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61CB2DD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(7)审计：基金管理人职责终止的，应当按照法律法规规定聘请会计师事务所对基金财产进行审计，并将审计结果予以公告，同时报中国证监会备案，审计费用在基金财产中列支；</w:t>
      </w:r>
    </w:p>
    <w:p w14:paraId="4AAA4F4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(8)基金名称变更：基金管理人更换后，如果原任或新任基金管理人要求，应按其要求替换或删除基金名称中与原基金管理人有关的名称字样。</w:t>
      </w:r>
    </w:p>
    <w:p w14:paraId="02B0E75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（二）基金托管人职责终止的情形</w:t>
      </w:r>
    </w:p>
    <w:p w14:paraId="57A68D3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1.基金托管人职责终止的情形</w:t>
      </w:r>
    </w:p>
    <w:p w14:paraId="2B84C78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有下列情形之一的，基金托管人职责终止：</w:t>
      </w:r>
    </w:p>
    <w:p w14:paraId="1FE6A41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(1)被依法取消基金托管资格；</w:t>
      </w:r>
    </w:p>
    <w:p w14:paraId="6E32B6D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(2)依法解散、被依法撤销或被依法宣告破产；</w:t>
      </w:r>
    </w:p>
    <w:p w14:paraId="2A9E1D5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(3)被基金份额持有人大会解任；</w:t>
      </w:r>
    </w:p>
    <w:p w14:paraId="0ED78EF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(4)法律法规及中国证监会规定的和《基金合同》约定的其他情形。</w:t>
      </w:r>
    </w:p>
    <w:p w14:paraId="7E94215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2.基金托管人的更换程序</w:t>
      </w:r>
    </w:p>
    <w:p w14:paraId="13D1279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(1)提名：新任基金托管人由基金管理人或由单独或合计持有10%以上(含10%)基金份额的基金份额持有人提名；</w:t>
      </w:r>
    </w:p>
    <w:p w14:paraId="59E8528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决议：基金份额持有人大会在基金托管人职责终止后6个月内对被提名的基金托管人形成决议，该决议需经参加大会的基金份额持有人所持表决权的三分之二以上(含三分之二)表决通过，并自表决通过之日起生效；</w:t>
      </w:r>
    </w:p>
    <w:p w14:paraId="40B2BEE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(3)临时基金托管人：新任基金托管人产生之前，由中国证监会指定临时基金托管人；</w:t>
      </w:r>
    </w:p>
    <w:p w14:paraId="2451ECF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(4)备案：基金份额持有人大会更换基金托管人的决议须报中国证监会备案；</w:t>
      </w:r>
    </w:p>
    <w:p w14:paraId="75FDC70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(5)公告：基金托管人更换后，由基金管理人在更换基金托管人的基金份额持有人大会决议生效后</w:t>
      </w:r>
      <w:r>
        <w:rPr>
          <w:rFonts w:ascii="彩虹粗仿宋" w:hAnsi="宋体" w:eastAsia="彩虹粗仿宋" w:cs="Arial"/>
          <w:bCs/>
          <w:sz w:val="24"/>
        </w:rPr>
        <w:t>2日内</w:t>
      </w:r>
      <w:r>
        <w:rPr>
          <w:rFonts w:hint="eastAsia" w:ascii="彩虹粗仿宋" w:hAnsi="宋体" w:eastAsia="彩虹粗仿宋" w:cs="Arial"/>
          <w:sz w:val="24"/>
        </w:rPr>
        <w:t>在指定媒介公告；</w:t>
      </w:r>
    </w:p>
    <w:p w14:paraId="23C85F6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(6)交接：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和净值；</w:t>
      </w:r>
    </w:p>
    <w:p w14:paraId="5901F8B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(7)审计：基金托管人职责终止的，应当按照法律法规规定聘请会计师事务所对基金财产进行审计，并将审计结果予以公告，同时报中国证监会备案，审计费用在基金财产中列支。</w:t>
      </w:r>
    </w:p>
    <w:p w14:paraId="3BAF8B0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（三）基金管理人与基金托管人同时更换的条件和程序</w:t>
      </w:r>
    </w:p>
    <w:p w14:paraId="5876544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1.提名：如果基金管理人和基金托管人同时更换，由单独或合计持有基金总份额10%以上(含10%)的基金份额持有人提名新的基金管理人和基金托管人；</w:t>
      </w:r>
    </w:p>
    <w:p w14:paraId="4E8B15F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2.基金管理人和基金托管人的更换分别按上述程序进行；</w:t>
      </w:r>
    </w:p>
    <w:p w14:paraId="48D72C4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3.公告：新任基金管理人和新任基金托管人应在更换基金管理人和基金托管人的基金份额持有人大会决议生效后</w:t>
      </w:r>
      <w:r>
        <w:rPr>
          <w:rFonts w:ascii="彩虹粗仿宋" w:hAnsi="宋体" w:eastAsia="彩虹粗仿宋" w:cs="Arial"/>
          <w:bCs/>
          <w:sz w:val="24"/>
        </w:rPr>
        <w:t>2日内</w:t>
      </w:r>
      <w:r>
        <w:rPr>
          <w:rFonts w:hint="eastAsia" w:ascii="彩虹粗仿宋" w:hAnsi="宋体" w:eastAsia="彩虹粗仿宋" w:cs="Arial"/>
          <w:sz w:val="24"/>
        </w:rPr>
        <w:t>在指定媒介上联合公告。</w:t>
      </w:r>
    </w:p>
    <w:p w14:paraId="01C98CF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（四）新基金管理人接收基金管理业务或新基金托管人接收基金财产和基金托管业务前，原基金管理人或原基金托管人应继续履行相关职责，并保证不做出对基金份额持有人的利益造成损害的行为。</w:t>
      </w:r>
    </w:p>
    <w:p w14:paraId="3021EF0C">
      <w:pPr>
        <w:adjustRightInd w:val="0"/>
        <w:snapToGrid w:val="0"/>
        <w:rPr>
          <w:rFonts w:ascii="彩虹粗仿宋" w:hAnsi="宋体" w:eastAsia="彩虹粗仿宋" w:cs="Arial"/>
          <w:sz w:val="24"/>
        </w:rPr>
        <w:sectPr>
          <w:footerReference r:id="rId22" w:type="default"/>
          <w:pgSz w:w="11906" w:h="16838"/>
          <w:pgMar w:top="1418" w:right="1701" w:bottom="1418" w:left="1701" w:header="851" w:footer="992" w:gutter="0"/>
          <w:pgNumType w:start="1"/>
          <w:cols w:space="425" w:num="1"/>
          <w:docGrid w:type="lines" w:linePitch="312" w:charSpace="0"/>
        </w:sectPr>
      </w:pPr>
    </w:p>
    <w:p w14:paraId="2C308611">
      <w:pPr>
        <w:adjustRightInd w:val="0"/>
        <w:snapToGrid w:val="0"/>
        <w:rPr>
          <w:rFonts w:ascii="彩虹粗仿宋" w:hAnsi="宋体" w:eastAsia="彩虹粗仿宋" w:cs="Arial"/>
          <w:sz w:val="24"/>
        </w:rPr>
      </w:pPr>
    </w:p>
    <w:p w14:paraId="5C93FA77">
      <w:pPr>
        <w:pStyle w:val="2"/>
        <w:jc w:val="center"/>
        <w:rPr>
          <w:rFonts w:ascii="彩虹粗仿宋" w:eastAsia="彩虹粗仿宋"/>
          <w:sz w:val="30"/>
        </w:rPr>
      </w:pPr>
      <w:bookmarkStart w:id="91" w:name="_Toc124325899"/>
      <w:r>
        <w:rPr>
          <w:rFonts w:hint="eastAsia" w:ascii="彩虹粗仿宋" w:eastAsia="彩虹粗仿宋"/>
          <w:sz w:val="30"/>
        </w:rPr>
        <w:t>十五、禁止行为</w:t>
      </w:r>
      <w:bookmarkEnd w:id="91"/>
    </w:p>
    <w:p w14:paraId="33FC923B">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本协议当事人禁止从事的行为，包括但不限于：</w:t>
      </w:r>
    </w:p>
    <w:p w14:paraId="7B82A398">
      <w:pPr>
        <w:spacing w:line="360" w:lineRule="auto"/>
        <w:ind w:firstLine="480" w:firstLineChars="200"/>
        <w:rPr>
          <w:rFonts w:ascii="彩虹粗仿宋" w:eastAsia="彩虹粗仿宋"/>
          <w:sz w:val="24"/>
        </w:rPr>
      </w:pPr>
      <w:r>
        <w:rPr>
          <w:rFonts w:hint="eastAsia" w:ascii="彩虹粗仿宋" w:eastAsia="彩虹粗仿宋"/>
          <w:sz w:val="24"/>
        </w:rPr>
        <w:t>（一）基金管理人、基金托管人将其固有财产或者他人财产混同于基金财产从事证券投资。</w:t>
      </w:r>
    </w:p>
    <w:p w14:paraId="5DCAE6F8">
      <w:pPr>
        <w:spacing w:line="360" w:lineRule="auto"/>
        <w:ind w:firstLine="480" w:firstLineChars="200"/>
        <w:rPr>
          <w:rFonts w:ascii="彩虹粗仿宋" w:eastAsia="彩虹粗仿宋"/>
        </w:rPr>
      </w:pPr>
      <w:r>
        <w:rPr>
          <w:rFonts w:hint="eastAsia" w:ascii="彩虹粗仿宋" w:eastAsia="彩虹粗仿宋"/>
          <w:sz w:val="24"/>
        </w:rPr>
        <w:t>（二）基金管理人不公平地对待其管理的不同基金财产，基金托管人不公平地对待其托管的不同基金财产。</w:t>
      </w:r>
    </w:p>
    <w:p w14:paraId="4C0B8F89">
      <w:pPr>
        <w:spacing w:line="360" w:lineRule="auto"/>
        <w:ind w:firstLine="480" w:firstLineChars="200"/>
        <w:rPr>
          <w:rFonts w:ascii="彩虹粗仿宋" w:eastAsia="彩虹粗仿宋"/>
          <w:sz w:val="24"/>
        </w:rPr>
      </w:pPr>
      <w:r>
        <w:rPr>
          <w:rFonts w:hint="eastAsia" w:ascii="彩虹粗仿宋" w:eastAsia="彩虹粗仿宋"/>
          <w:sz w:val="24"/>
        </w:rPr>
        <w:t>（三）基金管理人、基金托管人利用基金财产或职务之便为基金份额持有人以外的第三人牟取利益。</w:t>
      </w:r>
    </w:p>
    <w:p w14:paraId="728E53A2">
      <w:pPr>
        <w:spacing w:line="360" w:lineRule="auto"/>
        <w:ind w:firstLine="480" w:firstLineChars="200"/>
        <w:rPr>
          <w:rFonts w:ascii="彩虹粗仿宋" w:eastAsia="彩虹粗仿宋"/>
          <w:sz w:val="24"/>
        </w:rPr>
      </w:pPr>
      <w:r>
        <w:rPr>
          <w:rFonts w:hint="eastAsia" w:ascii="彩虹粗仿宋" w:eastAsia="彩虹粗仿宋"/>
          <w:sz w:val="24"/>
        </w:rPr>
        <w:t>（四）基金管理人、基金托管人向基金份额持有人违规承诺收益或者承担损失。</w:t>
      </w:r>
    </w:p>
    <w:p w14:paraId="592B5806">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（五）基金管理人、基金托管人对他人泄漏基金运作和管理过程中任何尚未按法律法规规定的方式公开披露的信息。</w:t>
      </w:r>
    </w:p>
    <w:p w14:paraId="6EDCC6DA">
      <w:pPr>
        <w:pStyle w:val="8"/>
        <w:spacing w:line="360" w:lineRule="auto"/>
        <w:outlineLvl w:val="0"/>
        <w:rPr>
          <w:rFonts w:ascii="彩虹粗仿宋" w:hAnsi="宋体" w:eastAsia="彩虹粗仿宋" w:cs="Arial"/>
          <w:szCs w:val="24"/>
        </w:rPr>
      </w:pPr>
      <w:r>
        <w:rPr>
          <w:rFonts w:hint="eastAsia" w:ascii="彩虹粗仿宋" w:hAnsi="宋体" w:eastAsia="彩虹粗仿宋" w:cs="Arial"/>
          <w:szCs w:val="24"/>
        </w:rPr>
        <w:t>（六）基金管理人在没有充足资金的情况下向基金托管人发出投资指令和赎回、分红资金的划拨指令，或违规向基金托管人发出指令。</w:t>
      </w:r>
    </w:p>
    <w:p w14:paraId="26C58FE2">
      <w:pPr>
        <w:adjustRightInd w:val="0"/>
        <w:snapToGrid w:val="0"/>
        <w:spacing w:line="360" w:lineRule="auto"/>
        <w:ind w:firstLine="480" w:firstLineChars="200"/>
        <w:outlineLvl w:val="0"/>
        <w:rPr>
          <w:rFonts w:ascii="彩虹粗仿宋" w:hAnsi="宋体" w:eastAsia="彩虹粗仿宋" w:cs="Arial"/>
          <w:sz w:val="24"/>
          <w:shd w:val="pct15" w:color="auto" w:fill="FFFFFF"/>
        </w:rPr>
      </w:pPr>
      <w:r>
        <w:rPr>
          <w:rFonts w:hint="eastAsia" w:ascii="彩虹粗仿宋" w:hAnsi="宋体" w:eastAsia="彩虹粗仿宋" w:cs="Arial"/>
          <w:sz w:val="24"/>
        </w:rPr>
        <w:t>（七）基金管理人、基金托管人在行政上、财务上不独立，其高级管理人员和其他从业人员相互兼职。</w:t>
      </w:r>
    </w:p>
    <w:p w14:paraId="042DA028">
      <w:pPr>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（八）基金托管人私自动用或处分基金财产，根据基金管理人的合法指令、《基金合同》或托管协议的规定进行处分的除外。</w:t>
      </w:r>
    </w:p>
    <w:p w14:paraId="6565C3D8">
      <w:pPr>
        <w:spacing w:line="360" w:lineRule="auto"/>
        <w:ind w:firstLine="480" w:firstLineChars="200"/>
        <w:rPr>
          <w:rFonts w:ascii="彩虹粗仿宋" w:hAnsi="宋体" w:eastAsia="彩虹粗仿宋" w:cs="Arial"/>
          <w:sz w:val="24"/>
        </w:rPr>
      </w:pPr>
      <w:r>
        <w:rPr>
          <w:rFonts w:hint="eastAsia" w:ascii="彩虹粗仿宋" w:eastAsia="彩虹粗仿宋"/>
          <w:sz w:val="24"/>
        </w:rPr>
        <w:t>（九）</w:t>
      </w:r>
      <w:r>
        <w:rPr>
          <w:rFonts w:hint="eastAsia" w:ascii="彩虹粗仿宋" w:hAnsi="宋体" w:eastAsia="彩虹粗仿宋" w:cs="Arial"/>
          <w:sz w:val="24"/>
        </w:rPr>
        <w:t>基金财产</w:t>
      </w:r>
      <w:r>
        <w:rPr>
          <w:rFonts w:hint="eastAsia" w:ascii="彩虹粗仿宋" w:eastAsia="彩虹粗仿宋"/>
          <w:sz w:val="24"/>
        </w:rPr>
        <w:t>用于下列投资或者活动：1.承销证券；2.违反规定向他人贷款或者提供担保；3.从事承担无限责任的投资；4.</w:t>
      </w:r>
      <w:r>
        <w:rPr>
          <w:rFonts w:ascii="彩虹粗仿宋" w:eastAsia="彩虹粗仿宋"/>
          <w:bCs/>
          <w:sz w:val="24"/>
        </w:rPr>
        <w:t>买卖其他基金份额，但是</w:t>
      </w:r>
      <w:r>
        <w:rPr>
          <w:rFonts w:hint="eastAsia" w:ascii="彩虹粗仿宋" w:eastAsia="彩虹粗仿宋"/>
          <w:bCs/>
          <w:sz w:val="24"/>
        </w:rPr>
        <w:t>中国证监会</w:t>
      </w:r>
      <w:r>
        <w:rPr>
          <w:rFonts w:ascii="彩虹粗仿宋" w:eastAsia="彩虹粗仿宋"/>
          <w:bCs/>
          <w:sz w:val="24"/>
        </w:rPr>
        <w:t>另有规定的除外；</w:t>
      </w:r>
      <w:r>
        <w:rPr>
          <w:rFonts w:hint="eastAsia" w:ascii="彩虹粗仿宋" w:eastAsia="彩虹粗仿宋"/>
          <w:bCs/>
          <w:sz w:val="24"/>
        </w:rPr>
        <w:t>5</w:t>
      </w:r>
      <w:r>
        <w:rPr>
          <w:rFonts w:hint="eastAsia" w:ascii="彩虹粗仿宋" w:eastAsia="彩虹粗仿宋"/>
          <w:sz w:val="24"/>
        </w:rPr>
        <w:t>.向其基金管理人、基金托管人出资；6.从事内幕交易、操纵证券交易价格及其他不正当的证券交易活动；7.法律、行政法规和中国证监会规定禁止的其他活动。</w:t>
      </w:r>
      <w:r>
        <w:rPr>
          <w:rFonts w:hint="eastAsia" w:ascii="彩虹粗仿宋" w:eastAsia="彩虹粗仿宋" w:cs="Arial"/>
          <w:sz w:val="24"/>
        </w:rPr>
        <w:t>法律</w:t>
      </w:r>
      <w:r>
        <w:rPr>
          <w:rFonts w:hint="eastAsia" w:ascii="彩虹粗仿宋" w:eastAsia="彩虹粗仿宋"/>
          <w:sz w:val="24"/>
        </w:rPr>
        <w:t>、行政</w:t>
      </w:r>
      <w:r>
        <w:rPr>
          <w:rFonts w:hint="eastAsia" w:ascii="彩虹粗仿宋" w:eastAsia="彩虹粗仿宋" w:cs="Arial"/>
          <w:sz w:val="24"/>
        </w:rPr>
        <w:t>法规或监管部门取消或变更上述限制，如适用于本基金，则本基金投资不再受相关限制或按变更后的规定执行</w:t>
      </w:r>
      <w:r>
        <w:rPr>
          <w:rFonts w:hint="eastAsia" w:ascii="彩虹粗仿宋" w:eastAsia="彩虹粗仿宋"/>
          <w:sz w:val="24"/>
        </w:rPr>
        <w:t>。</w:t>
      </w:r>
    </w:p>
    <w:p w14:paraId="0C1720D8">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（十）法律法规和《基金合同》禁止的其他行为，以及</w:t>
      </w:r>
      <w:r>
        <w:rPr>
          <w:rFonts w:hint="eastAsia" w:ascii="彩虹粗仿宋" w:eastAsia="彩虹粗仿宋"/>
          <w:sz w:val="24"/>
        </w:rPr>
        <w:t>法律、行政法规和中国证监会规定禁止基金管理人、基金托管人从事的其他行为。</w:t>
      </w:r>
    </w:p>
    <w:p w14:paraId="7E154088">
      <w:pPr>
        <w:adjustRightInd w:val="0"/>
        <w:snapToGrid w:val="0"/>
        <w:rPr>
          <w:rFonts w:ascii="彩虹粗仿宋" w:eastAsia="彩虹粗仿宋"/>
          <w:sz w:val="30"/>
          <w:szCs w:val="30"/>
        </w:rPr>
        <w:sectPr>
          <w:footerReference r:id="rId23" w:type="default"/>
          <w:pgSz w:w="11906" w:h="16838"/>
          <w:pgMar w:top="1418" w:right="1701" w:bottom="1418" w:left="1701" w:header="851" w:footer="992" w:gutter="0"/>
          <w:pgNumType w:start="1"/>
          <w:cols w:space="425" w:num="1"/>
          <w:docGrid w:type="lines" w:linePitch="312" w:charSpace="0"/>
        </w:sectPr>
      </w:pPr>
    </w:p>
    <w:p w14:paraId="6E53BD1B">
      <w:pPr>
        <w:adjustRightInd w:val="0"/>
        <w:snapToGrid w:val="0"/>
        <w:rPr>
          <w:rFonts w:ascii="彩虹粗仿宋" w:eastAsia="彩虹粗仿宋"/>
          <w:sz w:val="30"/>
          <w:szCs w:val="30"/>
        </w:rPr>
      </w:pPr>
    </w:p>
    <w:p w14:paraId="1D8AAF52">
      <w:pPr>
        <w:pStyle w:val="2"/>
        <w:jc w:val="center"/>
        <w:rPr>
          <w:rFonts w:ascii="彩虹粗仿宋" w:eastAsia="彩虹粗仿宋"/>
          <w:sz w:val="30"/>
        </w:rPr>
      </w:pPr>
      <w:bookmarkStart w:id="92" w:name="_Toc124325900"/>
      <w:r>
        <w:rPr>
          <w:rFonts w:hint="eastAsia" w:ascii="彩虹粗仿宋" w:eastAsia="彩虹粗仿宋"/>
          <w:sz w:val="30"/>
        </w:rPr>
        <w:t>十六、托管协议的变更、终止与基金财产的清算</w:t>
      </w:r>
      <w:bookmarkEnd w:id="92"/>
    </w:p>
    <w:p w14:paraId="6C748FA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（一）托管协议的变更程序</w:t>
      </w:r>
    </w:p>
    <w:p w14:paraId="4EB85369">
      <w:pPr>
        <w:adjustRightInd w:val="0"/>
        <w:snapToGrid w:val="0"/>
        <w:spacing w:line="360" w:lineRule="auto"/>
        <w:ind w:firstLine="480" w:firstLineChars="200"/>
        <w:rPr>
          <w:rFonts w:ascii="彩虹粗仿宋" w:eastAsia="彩虹粗仿宋"/>
          <w:sz w:val="30"/>
          <w:szCs w:val="30"/>
        </w:rPr>
      </w:pPr>
      <w:r>
        <w:rPr>
          <w:rFonts w:hint="eastAsia" w:ascii="彩虹粗仿宋" w:hAnsi="宋体" w:eastAsia="彩虹粗仿宋" w:cs="Arial"/>
          <w:sz w:val="24"/>
        </w:rPr>
        <w:t>本协议双方当事人经协商一致，可以对协议进行修改。修改后的新协议，其内容不得与《基金合同》的规定有任何冲突。基金托管协议的变更报中国证监会备案。</w:t>
      </w:r>
    </w:p>
    <w:p w14:paraId="1064B74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（二）基金托管协议终止出现的情形</w:t>
      </w:r>
    </w:p>
    <w:p w14:paraId="02D86B0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1.《基金合同》终止；</w:t>
      </w:r>
    </w:p>
    <w:p w14:paraId="438F8B0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2.基金托管人解散、依法被撤销、破产或由其他基金托管人接管基金资产；</w:t>
      </w:r>
    </w:p>
    <w:p w14:paraId="74D5FD1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3.基金管理人解散、依法被撤销、破产或由其他基金管理人接管基金管理权；</w:t>
      </w:r>
    </w:p>
    <w:p w14:paraId="505C236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4.发生法律法规或《基金合同》规定的终止事项。</w:t>
      </w:r>
    </w:p>
    <w:p w14:paraId="79C695D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（三）基金财产的清算</w:t>
      </w:r>
    </w:p>
    <w:p w14:paraId="526FED4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1.基金财产清算小组：自出现《基金合同》终止事由之日起30个工作日内成立清算小组，基金管理人组织基金财产清算小组并在中国证监会的监督下进行基金清算。</w:t>
      </w:r>
    </w:p>
    <w:p w14:paraId="2AEF1E1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3262ACB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3.基金财产清算小组职责：基金财产清算小组负责基金财产的保管、清理、估价、变现和分配。基金财产清算小组可以依法进行必要的民事活动。</w:t>
      </w:r>
    </w:p>
    <w:p w14:paraId="0E88466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4.基金财产清算程序：</w:t>
      </w:r>
    </w:p>
    <w:p w14:paraId="1D012B5E">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(1)《基金合同》终止情形出现时，由基金财产清算小组统一接管基金；</w:t>
      </w:r>
    </w:p>
    <w:p w14:paraId="50E9821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(2)对基金财产和债权债务进行清理和确认；</w:t>
      </w:r>
    </w:p>
    <w:p w14:paraId="2930E7D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(3)对基金财产进行估值和变现；</w:t>
      </w:r>
    </w:p>
    <w:p w14:paraId="543A755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(4)制作清算报告；</w:t>
      </w:r>
    </w:p>
    <w:p w14:paraId="61B3CBAA">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(5)聘请会计师事务所对清算报告进行外部审计，聘请律师事务所对清算报告出具法律意见书；</w:t>
      </w:r>
    </w:p>
    <w:p w14:paraId="499922C8">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(6)将清算结果报中国证监会备案并公告；</w:t>
      </w:r>
    </w:p>
    <w:p w14:paraId="12D82D5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(7)对基金剩余财产进行分配。</w:t>
      </w:r>
    </w:p>
    <w:p w14:paraId="0A4F7464">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5.基金财产清算的期限为6个月</w:t>
      </w:r>
      <w:r>
        <w:rPr>
          <w:rFonts w:hint="eastAsia"/>
          <w:bCs/>
          <w:sz w:val="24"/>
        </w:rPr>
        <w:t>，但因本基金所持证券的流动性受到限制而不能及时变现的，清算期限可相应顺延</w:t>
      </w:r>
      <w:r>
        <w:rPr>
          <w:rFonts w:hint="eastAsia" w:ascii="彩虹粗仿宋" w:hAnsi="宋体" w:eastAsia="彩虹粗仿宋" w:cs="Arial"/>
          <w:sz w:val="24"/>
        </w:rPr>
        <w:t>。</w:t>
      </w:r>
    </w:p>
    <w:p w14:paraId="2530CC6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6.清算费用</w:t>
      </w:r>
    </w:p>
    <w:p w14:paraId="5C1DC44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清算费用是指基金财产清算小组在进行基金清算过程中发生的所有合理费用，清算费用由基金财产清算小组优先从基金剩余财产中支付。</w:t>
      </w:r>
    </w:p>
    <w:p w14:paraId="7D00FC7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7.基金财产清算剩余资产的分配：</w:t>
      </w:r>
    </w:p>
    <w:p w14:paraId="29E14A8D">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依据基金财产清算的分配方案，将基金财产清算后的全部剩余资产扣除基金财产清算费用、交纳所欠税款并清偿基金债务后，按基金份额持有人持有的基金份额比例进行分配。</w:t>
      </w:r>
    </w:p>
    <w:p w14:paraId="42F5D26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8.基金财产清算的公告</w:t>
      </w:r>
    </w:p>
    <w:p w14:paraId="6B9652D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清算过程中的有关重大事项须及时公告；基金财产清算报告经</w:t>
      </w:r>
      <w:r>
        <w:rPr>
          <w:rFonts w:hint="eastAsia"/>
          <w:bCs/>
          <w:sz w:val="24"/>
        </w:rPr>
        <w:t>具有证券、期货相关业务资格的</w:t>
      </w:r>
      <w:r>
        <w:rPr>
          <w:rFonts w:hint="eastAsia" w:ascii="彩虹粗仿宋" w:hAnsi="宋体" w:eastAsia="彩虹粗仿宋" w:cs="Arial"/>
          <w:sz w:val="24"/>
        </w:rPr>
        <w:t>会计师事务所审计、并由律师事务所出具法律意见书后，报中国证监会备案并公告。基金财产清算公告于基金财产清算报告报中国证监会备案后5个工作日内由基金财产清算小组进行公告</w:t>
      </w:r>
      <w:r>
        <w:rPr>
          <w:rFonts w:hint="eastAsia"/>
          <w:bCs/>
          <w:sz w:val="24"/>
        </w:rPr>
        <w:t>，基金财产清算小组应当将清算报告登载在指定网站上，并将清算报告提示性公告登载在指定报刊上</w:t>
      </w:r>
      <w:r>
        <w:rPr>
          <w:rFonts w:hint="eastAsia" w:ascii="彩虹粗仿宋" w:hAnsi="宋体" w:eastAsia="彩虹粗仿宋" w:cs="Arial"/>
          <w:sz w:val="24"/>
        </w:rPr>
        <w:t>。</w:t>
      </w:r>
    </w:p>
    <w:p w14:paraId="00F531F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9.基金财产清算账册及文件的保存</w:t>
      </w:r>
    </w:p>
    <w:p w14:paraId="598A903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基金财产清算账册及有关文件由基金托管人保存15年以上。</w:t>
      </w:r>
    </w:p>
    <w:p w14:paraId="0595AB6C">
      <w:pPr>
        <w:adjustRightInd w:val="0"/>
        <w:snapToGrid w:val="0"/>
        <w:rPr>
          <w:rFonts w:ascii="彩虹粗仿宋" w:hAnsi="宋体" w:eastAsia="彩虹粗仿宋" w:cs="Arial"/>
          <w:sz w:val="24"/>
        </w:rPr>
        <w:sectPr>
          <w:footerReference r:id="rId24" w:type="default"/>
          <w:pgSz w:w="11906" w:h="16838"/>
          <w:pgMar w:top="1418" w:right="1701" w:bottom="1418" w:left="1701" w:header="851" w:footer="992" w:gutter="0"/>
          <w:pgNumType w:start="1"/>
          <w:cols w:space="425" w:num="1"/>
          <w:docGrid w:type="lines" w:linePitch="312" w:charSpace="0"/>
        </w:sectPr>
      </w:pPr>
    </w:p>
    <w:p w14:paraId="33CAA23C">
      <w:pPr>
        <w:adjustRightInd w:val="0"/>
        <w:snapToGrid w:val="0"/>
        <w:rPr>
          <w:rFonts w:ascii="彩虹粗仿宋" w:hAnsi="宋体" w:eastAsia="彩虹粗仿宋" w:cs="Arial"/>
          <w:sz w:val="24"/>
        </w:rPr>
      </w:pPr>
    </w:p>
    <w:p w14:paraId="7FBEB574">
      <w:pPr>
        <w:pStyle w:val="2"/>
        <w:jc w:val="center"/>
        <w:rPr>
          <w:rFonts w:ascii="彩虹粗仿宋" w:eastAsia="彩虹粗仿宋"/>
          <w:sz w:val="30"/>
        </w:rPr>
      </w:pPr>
      <w:bookmarkStart w:id="93" w:name="_Toc124325901"/>
      <w:r>
        <w:rPr>
          <w:rFonts w:hint="eastAsia" w:ascii="彩虹粗仿宋" w:eastAsia="彩虹粗仿宋"/>
          <w:sz w:val="30"/>
        </w:rPr>
        <w:t>十七、违约责任</w:t>
      </w:r>
      <w:bookmarkEnd w:id="93"/>
    </w:p>
    <w:p w14:paraId="5244254A">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（一）基金管理人、基金托管人不履行本协议或履行本协议不符合约定的，应当承担违约责任。</w:t>
      </w:r>
    </w:p>
    <w:p w14:paraId="1B57755B">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二）基金管理人、基金托管人在履行各自职责的过程中，违反《基金法》或者《基金合同》和本托管协议约定，给基金财产或者基金份额持有人造成损害的，应当分别对各自的行为依法承担赔偿责任；因共同行为给基金财产或者基金份额持有人造成损害的，应当承担连带赔偿责任。</w:t>
      </w:r>
      <w:r>
        <w:rPr>
          <w:rFonts w:ascii="彩虹粗仿宋" w:hAnsi="宋体" w:eastAsia="彩虹粗仿宋" w:cs="Arial"/>
          <w:bCs/>
          <w:sz w:val="24"/>
        </w:rPr>
        <w:t>对损失的赔偿，仅限于直接损失。</w:t>
      </w:r>
    </w:p>
    <w:p w14:paraId="053DE600">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三）一方当事人违约，给另一方当事人造成损失的，应就直接损失进行赔偿；给基金财产造成损失的，应就直接损失进行赔偿，另一方当事人有权利及义务代表基金向违约方追偿。但是如发生下列情况，当事人可以免责：</w:t>
      </w:r>
    </w:p>
    <w:p w14:paraId="32AD3B7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1.不可抗力；</w:t>
      </w:r>
    </w:p>
    <w:p w14:paraId="3ACFC15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2.基金管理人、基金托管人按照当时有效的法律法规或中国证监会的规定作为或不作为而造成的损失等；</w:t>
      </w:r>
    </w:p>
    <w:p w14:paraId="4F38F069">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3.基金管理人由于按照《基金合同》规定的投资原则投资或不投资造成的损失等。</w:t>
      </w:r>
    </w:p>
    <w:p w14:paraId="566BC2C3">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四）一方当事人违约，另一方当事人在职责范围内有义务及时采取必要的措施，尽力防止损失的扩大。没有采取适当措施致使损失进一步扩大的，不得就扩大的损失要求赔偿。非违约方因防止损失扩大而支出的合理费用由违约方承担。</w:t>
      </w:r>
    </w:p>
    <w:p w14:paraId="7F1B8BC7">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（五）违约行为虽已发生，但本托管协议能够继续履行的，在最大限度地保护基金份额持有人利益的前提下，基金管理人和基金托管人应当继续履行本协议。</w:t>
      </w:r>
    </w:p>
    <w:p w14:paraId="5ECE426F">
      <w:pPr>
        <w:adjustRightInd w:val="0"/>
        <w:snapToGrid w:val="0"/>
        <w:spacing w:line="360" w:lineRule="auto"/>
        <w:ind w:firstLine="480" w:firstLineChars="200"/>
        <w:outlineLvl w:val="0"/>
        <w:rPr>
          <w:rFonts w:ascii="彩虹粗仿宋" w:hAnsi="宋体" w:eastAsia="彩虹粗仿宋" w:cs="Arial"/>
          <w:sz w:val="24"/>
        </w:rPr>
      </w:pPr>
      <w:r>
        <w:rPr>
          <w:rFonts w:hint="eastAsia" w:ascii="彩虹粗仿宋" w:hAnsi="宋体" w:eastAsia="彩虹粗仿宋" w:cs="Arial"/>
          <w:sz w:val="24"/>
        </w:rPr>
        <w:t>（六）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w:t>
      </w:r>
      <w:r>
        <w:rPr>
          <w:rFonts w:hint="eastAsia" w:ascii="彩虹粗仿宋" w:hAnsi="宋体" w:eastAsia="彩虹粗仿宋" w:cs="Arial"/>
          <w:bCs/>
          <w:sz w:val="24"/>
        </w:rPr>
        <w:t>减轻或</w:t>
      </w:r>
      <w:r>
        <w:rPr>
          <w:rFonts w:hint="eastAsia" w:ascii="彩虹粗仿宋" w:hAnsi="宋体" w:eastAsia="彩虹粗仿宋" w:cs="Arial"/>
          <w:sz w:val="24"/>
        </w:rPr>
        <w:t>消除由此造成的影响。</w:t>
      </w:r>
    </w:p>
    <w:p w14:paraId="6AAE5284">
      <w:pPr>
        <w:adjustRightInd w:val="0"/>
        <w:snapToGrid w:val="0"/>
        <w:outlineLvl w:val="0"/>
        <w:rPr>
          <w:rFonts w:ascii="彩虹粗仿宋" w:hAnsi="宋体" w:eastAsia="彩虹粗仿宋" w:cs="Arial"/>
          <w:sz w:val="24"/>
        </w:rPr>
        <w:sectPr>
          <w:footerReference r:id="rId25" w:type="default"/>
          <w:pgSz w:w="11906" w:h="16838"/>
          <w:pgMar w:top="1418" w:right="1701" w:bottom="1418" w:left="1701" w:header="851" w:footer="992" w:gutter="0"/>
          <w:pgNumType w:start="1"/>
          <w:cols w:space="425" w:num="1"/>
          <w:docGrid w:type="lines" w:linePitch="312" w:charSpace="0"/>
        </w:sectPr>
      </w:pPr>
    </w:p>
    <w:p w14:paraId="29D780F4">
      <w:pPr>
        <w:adjustRightInd w:val="0"/>
        <w:snapToGrid w:val="0"/>
        <w:outlineLvl w:val="0"/>
        <w:rPr>
          <w:rFonts w:ascii="彩虹粗仿宋" w:hAnsi="宋体" w:eastAsia="彩虹粗仿宋" w:cs="Arial"/>
          <w:sz w:val="24"/>
        </w:rPr>
      </w:pPr>
    </w:p>
    <w:p w14:paraId="4B7AE84E">
      <w:pPr>
        <w:pStyle w:val="2"/>
        <w:jc w:val="center"/>
        <w:rPr>
          <w:rFonts w:ascii="彩虹粗仿宋" w:eastAsia="彩虹粗仿宋"/>
          <w:sz w:val="30"/>
        </w:rPr>
      </w:pPr>
      <w:bookmarkStart w:id="94" w:name="_Toc124325902"/>
      <w:r>
        <w:rPr>
          <w:rFonts w:hint="eastAsia" w:ascii="彩虹粗仿宋" w:eastAsia="彩虹粗仿宋"/>
          <w:sz w:val="30"/>
        </w:rPr>
        <w:t>十八、争议解决方式</w:t>
      </w:r>
      <w:bookmarkEnd w:id="94"/>
    </w:p>
    <w:p w14:paraId="452EE61B">
      <w:pPr>
        <w:adjustRightInd w:val="0"/>
        <w:snapToGrid w:val="0"/>
        <w:spacing w:line="360" w:lineRule="auto"/>
        <w:ind w:firstLine="482" w:firstLineChars="200"/>
        <w:rPr>
          <w:rFonts w:ascii="彩虹粗仿宋" w:hAnsi="宋体" w:eastAsia="彩虹粗仿宋" w:cs="Arial"/>
          <w:b/>
          <w:bCs/>
          <w:i/>
          <w:iCs/>
          <w:sz w:val="24"/>
        </w:rPr>
      </w:pPr>
      <w:r>
        <w:rPr>
          <w:rFonts w:hint="eastAsia" w:ascii="彩虹粗仿宋" w:hAnsi="宋体" w:eastAsia="彩虹粗仿宋" w:cs="Arial"/>
          <w:b/>
          <w:bCs/>
          <w:i/>
          <w:iCs/>
          <w:sz w:val="24"/>
        </w:rPr>
        <w:t>因本协议产生或与之相关的争议，双方当事人应通过协商、调解解决，协商、调解不能解决的，</w:t>
      </w:r>
      <w:r>
        <w:rPr>
          <w:b/>
          <w:bCs/>
          <w:i/>
          <w:iCs/>
          <w:sz w:val="24"/>
        </w:rPr>
        <w:t>任何一方均有权将争议提交</w:t>
      </w:r>
      <w:r>
        <w:rPr>
          <w:rFonts w:hint="eastAsia"/>
          <w:b/>
          <w:bCs/>
          <w:i/>
          <w:iCs/>
          <w:sz w:val="24"/>
        </w:rPr>
        <w:t>深圳国际仲裁院（深圳仲裁委员会）</w:t>
      </w:r>
      <w:r>
        <w:rPr>
          <w:b/>
          <w:bCs/>
          <w:i/>
          <w:iCs/>
          <w:sz w:val="24"/>
        </w:rPr>
        <w:t>，按照</w:t>
      </w:r>
      <w:r>
        <w:rPr>
          <w:rFonts w:hint="eastAsia"/>
          <w:b/>
          <w:bCs/>
          <w:i/>
          <w:iCs/>
          <w:sz w:val="24"/>
        </w:rPr>
        <w:t>深圳国际仲裁院（深圳仲裁委员会）</w:t>
      </w:r>
      <w:r>
        <w:rPr>
          <w:b/>
          <w:bCs/>
          <w:i/>
          <w:iCs/>
          <w:sz w:val="24"/>
        </w:rPr>
        <w:t>届时有效的仲裁规则进行仲裁。仲裁地点为</w:t>
      </w:r>
      <w:r>
        <w:rPr>
          <w:rFonts w:hint="eastAsia"/>
          <w:b/>
          <w:bCs/>
          <w:i/>
          <w:iCs/>
          <w:sz w:val="24"/>
        </w:rPr>
        <w:t>深圳</w:t>
      </w:r>
      <w:r>
        <w:rPr>
          <w:b/>
          <w:bCs/>
          <w:i/>
          <w:iCs/>
          <w:sz w:val="24"/>
        </w:rPr>
        <w:t>市。</w:t>
      </w:r>
      <w:r>
        <w:rPr>
          <w:rFonts w:hint="eastAsia" w:ascii="彩虹粗仿宋" w:hAnsi="宋体" w:eastAsia="彩虹粗仿宋" w:cs="Arial"/>
          <w:b/>
          <w:bCs/>
          <w:i/>
          <w:iCs/>
          <w:sz w:val="24"/>
        </w:rPr>
        <w:t>仲裁裁决是终局的，对当事人均有约束力，除非仲裁裁决另有规定，仲裁费用、律师费用由败诉方承担。</w:t>
      </w:r>
    </w:p>
    <w:p w14:paraId="333E779F">
      <w:pPr>
        <w:adjustRightInd w:val="0"/>
        <w:snapToGrid w:val="0"/>
        <w:spacing w:line="360" w:lineRule="auto"/>
        <w:ind w:firstLine="482" w:firstLineChars="200"/>
        <w:rPr>
          <w:rFonts w:ascii="彩虹粗仿宋" w:hAnsi="宋体" w:eastAsia="彩虹粗仿宋" w:cs="Arial"/>
          <w:b/>
          <w:bCs/>
          <w:i/>
          <w:iCs/>
          <w:sz w:val="24"/>
        </w:rPr>
      </w:pPr>
      <w:r>
        <w:rPr>
          <w:rFonts w:hint="eastAsia" w:ascii="彩虹粗仿宋" w:hAnsi="宋体" w:eastAsia="彩虹粗仿宋" w:cs="Arial"/>
          <w:b/>
          <w:bCs/>
          <w:i/>
          <w:iCs/>
          <w:sz w:val="24"/>
        </w:rPr>
        <w:t>争议处理期间，双方当事人应恪守基金管理人和基金托管人职责，各自继续忠实、勤勉、尽责地履行《基金合同》和本托管协议规定的义务，维护基金份额持有人的合法权益。</w:t>
      </w:r>
    </w:p>
    <w:p w14:paraId="7E7FD21E">
      <w:pPr>
        <w:adjustRightInd w:val="0"/>
        <w:snapToGrid w:val="0"/>
        <w:spacing w:line="360" w:lineRule="auto"/>
        <w:ind w:firstLine="482" w:firstLineChars="200"/>
        <w:rPr>
          <w:rFonts w:ascii="彩虹粗仿宋" w:hAnsi="宋体" w:eastAsia="彩虹粗仿宋" w:cs="Arial"/>
          <w:b/>
          <w:bCs/>
          <w:i/>
          <w:iCs/>
          <w:sz w:val="24"/>
        </w:rPr>
      </w:pPr>
      <w:r>
        <w:rPr>
          <w:rFonts w:hint="eastAsia" w:ascii="彩虹粗仿宋" w:hAnsi="宋体" w:eastAsia="彩虹粗仿宋" w:cs="Arial"/>
          <w:b/>
          <w:bCs/>
          <w:i/>
          <w:iCs/>
          <w:sz w:val="24"/>
        </w:rPr>
        <w:t>本协议受中国法律（为本协议之目的，在此不包括香港、澳门特别行政区和台湾地区法律）管辖。</w:t>
      </w:r>
    </w:p>
    <w:p w14:paraId="218FB8C3">
      <w:pPr>
        <w:adjustRightInd w:val="0"/>
        <w:snapToGrid w:val="0"/>
        <w:rPr>
          <w:rFonts w:ascii="彩虹粗仿宋" w:hAnsi="宋体" w:eastAsia="彩虹粗仿宋" w:cs="Arial"/>
          <w:sz w:val="24"/>
        </w:rPr>
        <w:sectPr>
          <w:footerReference r:id="rId26" w:type="default"/>
          <w:pgSz w:w="11906" w:h="16838"/>
          <w:pgMar w:top="1418" w:right="1701" w:bottom="1418" w:left="1701" w:header="851" w:footer="992" w:gutter="0"/>
          <w:pgNumType w:start="1"/>
          <w:cols w:space="425" w:num="1"/>
          <w:docGrid w:type="lines" w:linePitch="312" w:charSpace="0"/>
        </w:sectPr>
      </w:pPr>
    </w:p>
    <w:p w14:paraId="08ACD46B">
      <w:pPr>
        <w:adjustRightInd w:val="0"/>
        <w:snapToGrid w:val="0"/>
        <w:rPr>
          <w:rFonts w:ascii="彩虹粗仿宋" w:hAnsi="宋体" w:eastAsia="彩虹粗仿宋" w:cs="Arial"/>
          <w:sz w:val="24"/>
        </w:rPr>
      </w:pPr>
    </w:p>
    <w:p w14:paraId="695DC8BD">
      <w:pPr>
        <w:pStyle w:val="2"/>
        <w:jc w:val="center"/>
        <w:rPr>
          <w:rFonts w:ascii="彩虹粗仿宋" w:eastAsia="彩虹粗仿宋"/>
          <w:sz w:val="30"/>
        </w:rPr>
      </w:pPr>
      <w:bookmarkStart w:id="95" w:name="_Toc124325903"/>
      <w:r>
        <w:rPr>
          <w:rFonts w:hint="eastAsia" w:ascii="彩虹粗仿宋" w:eastAsia="彩虹粗仿宋"/>
          <w:sz w:val="30"/>
        </w:rPr>
        <w:t>十九、托管协议的效力</w:t>
      </w:r>
      <w:bookmarkEnd w:id="95"/>
    </w:p>
    <w:p w14:paraId="4DEAD985">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双方对托管协议的效力约定如下：</w:t>
      </w:r>
    </w:p>
    <w:p w14:paraId="45A79B8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（一）托管协议草案，经托管协议当事人双方盖章以及双方法定代表人或授权代表签章，协议当事人双方根据中国证监会的意见修改托管协议草案。托管协议以中国证监会注册的文本为正式文本。</w:t>
      </w:r>
    </w:p>
    <w:p w14:paraId="4A059C0C">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（二）托管协议自《基金合同》成立之日起成立，自《基金合同》生效之日起生效。托管协议的有效期自其生效之日起至基金财产清算结果报中国证监会备案并公告之日止。</w:t>
      </w:r>
    </w:p>
    <w:p w14:paraId="54405FA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（三）托管协议自生效之日起对托管协议当事人具有同等的法律约束力。</w:t>
      </w:r>
    </w:p>
    <w:p w14:paraId="44A3A8EC">
      <w:pPr>
        <w:adjustRightInd w:val="0"/>
        <w:snapToGrid w:val="0"/>
        <w:spacing w:line="360" w:lineRule="auto"/>
        <w:ind w:firstLine="480" w:firstLineChars="200"/>
        <w:rPr>
          <w:rFonts w:ascii="彩虹粗仿宋" w:eastAsia="彩虹粗仿宋"/>
          <w:sz w:val="30"/>
          <w:szCs w:val="30"/>
        </w:rPr>
      </w:pPr>
      <w:r>
        <w:rPr>
          <w:rFonts w:hint="eastAsia" w:ascii="彩虹粗仿宋" w:hAnsi="宋体" w:eastAsia="彩虹粗仿宋" w:cs="Arial"/>
          <w:sz w:val="24"/>
        </w:rPr>
        <w:t>（四）本协议一式三份，协议双方各持一份，上报监管机构一份，每份具有同等的法律效力。</w:t>
      </w:r>
    </w:p>
    <w:p w14:paraId="67D41466">
      <w:pPr>
        <w:adjustRightInd w:val="0"/>
        <w:snapToGrid w:val="0"/>
        <w:rPr>
          <w:rFonts w:ascii="彩虹粗仿宋" w:hAnsi="宋体" w:eastAsia="彩虹粗仿宋" w:cs="Arial"/>
          <w:sz w:val="24"/>
        </w:rPr>
        <w:sectPr>
          <w:footerReference r:id="rId27" w:type="default"/>
          <w:pgSz w:w="11906" w:h="16838"/>
          <w:pgMar w:top="1418" w:right="1701" w:bottom="1418" w:left="1701" w:header="851" w:footer="992" w:gutter="0"/>
          <w:pgNumType w:start="1"/>
          <w:cols w:space="425" w:num="1"/>
          <w:docGrid w:type="lines" w:linePitch="312" w:charSpace="0"/>
        </w:sectPr>
      </w:pPr>
    </w:p>
    <w:p w14:paraId="5594323C">
      <w:pPr>
        <w:adjustRightInd w:val="0"/>
        <w:snapToGrid w:val="0"/>
        <w:rPr>
          <w:rFonts w:ascii="彩虹粗仿宋" w:hAnsi="宋体" w:eastAsia="彩虹粗仿宋" w:cs="Arial"/>
          <w:sz w:val="24"/>
        </w:rPr>
      </w:pPr>
    </w:p>
    <w:p w14:paraId="31581318">
      <w:pPr>
        <w:pStyle w:val="2"/>
        <w:jc w:val="center"/>
        <w:rPr>
          <w:rFonts w:ascii="彩虹粗仿宋" w:eastAsia="彩虹粗仿宋"/>
          <w:sz w:val="30"/>
        </w:rPr>
      </w:pPr>
      <w:bookmarkStart w:id="96" w:name="_Toc124325904"/>
      <w:r>
        <w:rPr>
          <w:rFonts w:hint="eastAsia" w:ascii="彩虹粗仿宋" w:eastAsia="彩虹粗仿宋"/>
          <w:sz w:val="30"/>
        </w:rPr>
        <w:t>二十、其他事项</w:t>
      </w:r>
      <w:bookmarkEnd w:id="96"/>
    </w:p>
    <w:p w14:paraId="1AE15DC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如发生有权司法机关依法冻结基金份额持有人的基金份额时，基金管理人应予以配合，承担司法协助义务。</w:t>
      </w:r>
    </w:p>
    <w:p w14:paraId="52D68D61">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除本协议有明确定义外，本协议的用语定义适用《基金合同》的约定。本协议未尽事宜，当事人依据《基金合同》、有关法律法规等规定协商办理。</w:t>
      </w:r>
    </w:p>
    <w:p w14:paraId="1F15E06B">
      <w:pPr>
        <w:adjustRightInd w:val="0"/>
        <w:snapToGrid w:val="0"/>
        <w:rPr>
          <w:rFonts w:ascii="彩虹粗仿宋" w:eastAsia="彩虹粗仿宋"/>
          <w:b/>
          <w:bCs/>
        </w:rPr>
        <w:sectPr>
          <w:footerReference r:id="rId28" w:type="default"/>
          <w:pgSz w:w="11906" w:h="16838"/>
          <w:pgMar w:top="1418" w:right="1701" w:bottom="1418" w:left="1701" w:header="851" w:footer="992" w:gutter="0"/>
          <w:pgNumType w:start="1"/>
          <w:cols w:space="425" w:num="1"/>
          <w:docGrid w:type="lines" w:linePitch="312" w:charSpace="0"/>
        </w:sectPr>
      </w:pPr>
    </w:p>
    <w:p w14:paraId="0BFA9B08">
      <w:pPr>
        <w:adjustRightInd w:val="0"/>
        <w:snapToGrid w:val="0"/>
        <w:rPr>
          <w:rFonts w:ascii="彩虹粗仿宋" w:eastAsia="彩虹粗仿宋"/>
          <w:b/>
          <w:bCs/>
        </w:rPr>
      </w:pPr>
    </w:p>
    <w:p w14:paraId="281A3EC0">
      <w:pPr>
        <w:pStyle w:val="2"/>
        <w:jc w:val="center"/>
        <w:rPr>
          <w:rFonts w:ascii="彩虹粗仿宋" w:eastAsia="彩虹粗仿宋"/>
          <w:sz w:val="30"/>
        </w:rPr>
      </w:pPr>
      <w:bookmarkStart w:id="97" w:name="_Toc124325905"/>
      <w:r>
        <w:rPr>
          <w:rFonts w:hint="eastAsia" w:ascii="彩虹粗仿宋" w:eastAsia="彩虹粗仿宋"/>
          <w:sz w:val="30"/>
        </w:rPr>
        <w:t>二十一、托管协议的签订</w:t>
      </w:r>
      <w:bookmarkEnd w:id="97"/>
    </w:p>
    <w:p w14:paraId="11E6121C">
      <w:pPr>
        <w:adjustRightInd w:val="0"/>
        <w:snapToGrid w:val="0"/>
        <w:ind w:firstLine="480" w:firstLineChars="200"/>
        <w:rPr>
          <w:rFonts w:ascii="彩虹粗仿宋" w:hAnsi="宋体" w:eastAsia="彩虹粗仿宋" w:cs="Arial"/>
          <w:sz w:val="24"/>
        </w:rPr>
      </w:pPr>
      <w:r>
        <w:rPr>
          <w:rFonts w:hint="eastAsia" w:ascii="彩虹粗仿宋" w:hAnsi="宋体" w:eastAsia="彩虹粗仿宋" w:cs="Arial"/>
          <w:sz w:val="24"/>
        </w:rPr>
        <w:t>本协议双方法定代表人或</w:t>
      </w:r>
      <w:r>
        <w:rPr>
          <w:rFonts w:hint="eastAsia" w:ascii="彩虹粗仿宋" w:eastAsia="彩虹粗仿宋"/>
          <w:sz w:val="24"/>
        </w:rPr>
        <w:t>授权代表</w:t>
      </w:r>
      <w:r>
        <w:rPr>
          <w:rFonts w:hint="eastAsia" w:ascii="彩虹粗仿宋" w:hAnsi="宋体" w:eastAsia="彩虹粗仿宋" w:cs="Arial"/>
          <w:sz w:val="24"/>
        </w:rPr>
        <w:t>签章、签订地、签订日</w:t>
      </w:r>
    </w:p>
    <w:p w14:paraId="771074EE">
      <w:pPr>
        <w:spacing w:line="360" w:lineRule="auto"/>
        <w:ind w:right="26"/>
        <w:rPr>
          <w:rFonts w:ascii="彩虹粗仿宋" w:eastAsia="彩虹粗仿宋"/>
          <w:b/>
          <w:sz w:val="24"/>
          <w:szCs w:val="28"/>
        </w:rPr>
      </w:pPr>
    </w:p>
    <w:sectPr>
      <w:footerReference r:id="rId29"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彩虹粗仿宋">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0F713">
    <w:pPr>
      <w:pStyle w:val="14"/>
      <w:framePr w:wrap="around" w:vAnchor="text" w:hAnchor="margin" w:xAlign="center" w:y="1"/>
      <w:rPr>
        <w:rStyle w:val="28"/>
      </w:rPr>
    </w:pPr>
    <w:r>
      <w:rPr>
        <w:rStyle w:val="28"/>
      </w:rPr>
      <w:fldChar w:fldCharType="begin"/>
    </w:r>
    <w:r>
      <w:rPr>
        <w:rStyle w:val="28"/>
      </w:rPr>
      <w:instrText xml:space="preserve">PAGE  </w:instrText>
    </w:r>
    <w:r>
      <w:rPr>
        <w:rStyle w:val="28"/>
      </w:rPr>
      <w:fldChar w:fldCharType="separate"/>
    </w:r>
    <w:r>
      <w:rPr>
        <w:rStyle w:val="28"/>
      </w:rPr>
      <w:t>24</w:t>
    </w:r>
    <w:r>
      <w:rPr>
        <w:rStyle w:val="28"/>
      </w:rPr>
      <w:fldChar w:fldCharType="end"/>
    </w:r>
  </w:p>
  <w:p w14:paraId="60637C47">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7DE9A">
    <w:pPr>
      <w:pStyle w:val="14"/>
      <w:framePr w:wrap="around" w:vAnchor="text" w:hAnchor="margin" w:xAlign="center" w:y="1"/>
      <w:rPr>
        <w:rStyle w:val="28"/>
      </w:rPr>
    </w:pPr>
    <w:r>
      <w:rPr>
        <w:rStyle w:val="28"/>
      </w:rPr>
      <w:fldChar w:fldCharType="begin"/>
    </w:r>
    <w:r>
      <w:rPr>
        <w:rStyle w:val="28"/>
      </w:rPr>
      <w:instrText xml:space="preserve">PAGE  </w:instrText>
    </w:r>
    <w:r>
      <w:rPr>
        <w:rStyle w:val="28"/>
      </w:rPr>
      <w:fldChar w:fldCharType="separate"/>
    </w:r>
    <w:r>
      <w:rPr>
        <w:rStyle w:val="28"/>
      </w:rPr>
      <w:t>1</w:t>
    </w:r>
    <w:r>
      <w:rPr>
        <w:rStyle w:val="28"/>
      </w:rPr>
      <w:fldChar w:fldCharType="end"/>
    </w:r>
  </w:p>
  <w:p w14:paraId="5743A11F">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5052209"/>
      <w:docPartObj>
        <w:docPartGallery w:val="autotext"/>
      </w:docPartObj>
    </w:sdtPr>
    <w:sdtContent>
      <w:p w14:paraId="603E42F1">
        <w:pPr>
          <w:pStyle w:val="14"/>
          <w:jc w:val="center"/>
        </w:pPr>
        <w:r>
          <w:fldChar w:fldCharType="begin"/>
        </w:r>
        <w:r>
          <w:instrText xml:space="preserve">PAGE   \* MERGEFORMAT</w:instrText>
        </w:r>
        <w:r>
          <w:fldChar w:fldCharType="separate"/>
        </w:r>
        <w:r>
          <w:rPr>
            <w:lang w:val="zh-CN"/>
          </w:rPr>
          <w:t>1</w:t>
        </w:r>
        <w:r>
          <w:fldChar w:fldCharType="end"/>
        </w:r>
      </w:p>
    </w:sdtContent>
  </w:sdt>
  <w:p w14:paraId="606B947A">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5096000"/>
      <w:docPartObj>
        <w:docPartGallery w:val="autotext"/>
      </w:docPartObj>
    </w:sdtPr>
    <w:sdtContent>
      <w:p w14:paraId="4BF33247">
        <w:pPr>
          <w:pStyle w:val="14"/>
          <w:jc w:val="center"/>
        </w:pPr>
        <w:r>
          <w:rPr>
            <w:rFonts w:hint="eastAsia"/>
          </w:rPr>
          <w:t>4-1-</w:t>
        </w:r>
        <w:r>
          <w:fldChar w:fldCharType="begin"/>
        </w:r>
        <w:r>
          <w:instrText xml:space="preserve">PAGE   \* MERGEFORMAT</w:instrText>
        </w:r>
        <w:r>
          <w:fldChar w:fldCharType="separate"/>
        </w:r>
        <w:r>
          <w:rPr>
            <w:lang w:val="zh-CN"/>
          </w:rPr>
          <w:t>1</w:t>
        </w:r>
        <w:r>
          <w:fldChar w:fldCharType="end"/>
        </w:r>
      </w:p>
    </w:sdtContent>
  </w:sdt>
  <w:p w14:paraId="4BDCAF6D">
    <w:pPr>
      <w:pStyle w:val="14"/>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6324967"/>
      <w:docPartObj>
        <w:docPartGallery w:val="autotext"/>
      </w:docPartObj>
    </w:sdtPr>
    <w:sdtContent>
      <w:p w14:paraId="06B67107">
        <w:pPr>
          <w:pStyle w:val="14"/>
          <w:jc w:val="center"/>
        </w:pPr>
        <w:r>
          <w:rPr>
            <w:rFonts w:hint="eastAsia"/>
          </w:rPr>
          <w:t>4-2-</w:t>
        </w:r>
        <w:r>
          <w:fldChar w:fldCharType="begin"/>
        </w:r>
        <w:r>
          <w:instrText xml:space="preserve">PAGE   \* MERGEFORMAT</w:instrText>
        </w:r>
        <w:r>
          <w:fldChar w:fldCharType="separate"/>
        </w:r>
        <w:r>
          <w:rPr>
            <w:lang w:val="zh-CN"/>
          </w:rPr>
          <w:t>1</w:t>
        </w:r>
        <w:r>
          <w:fldChar w:fldCharType="end"/>
        </w:r>
      </w:p>
    </w:sdtContent>
  </w:sdt>
  <w:p w14:paraId="201AD14B">
    <w:pPr>
      <w:pStyle w:val="14"/>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7DDBE">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9DCE9">
    <w:pPr>
      <w:pStyle w:val="14"/>
      <w:jc w:val="center"/>
    </w:pPr>
    <w:r>
      <w:rPr>
        <w:rFonts w:hint="eastAsia"/>
      </w:rPr>
      <w:t>4-3-</w:t>
    </w:r>
    <w:sdt>
      <w:sdtPr>
        <w:id w:val="698735500"/>
        <w:docPartObj>
          <w:docPartGallery w:val="autotext"/>
        </w:docPartObj>
      </w:sdtPr>
      <w:sdtContent>
        <w:r>
          <w:fldChar w:fldCharType="begin"/>
        </w:r>
        <w:r>
          <w:instrText xml:space="preserve">PAGE   \* MERGEFORMAT</w:instrText>
        </w:r>
        <w:r>
          <w:fldChar w:fldCharType="separate"/>
        </w:r>
        <w:r>
          <w:rPr>
            <w:lang w:val="zh-CN"/>
          </w:rPr>
          <w:t>5</w:t>
        </w:r>
        <w:r>
          <w:fldChar w:fldCharType="end"/>
        </w:r>
      </w:sdtContent>
    </w:sdt>
  </w:p>
  <w:p w14:paraId="525C1217">
    <w:pPr>
      <w:pStyle w:val="14"/>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70848775"/>
      <w:docPartObj>
        <w:docPartGallery w:val="autotext"/>
      </w:docPartObj>
    </w:sdtPr>
    <w:sdtContent>
      <w:p w14:paraId="09042764">
        <w:pPr>
          <w:pStyle w:val="14"/>
          <w:jc w:val="center"/>
        </w:pPr>
        <w:r>
          <w:rPr>
            <w:rFonts w:hint="eastAsia"/>
          </w:rPr>
          <w:t>4-4-</w:t>
        </w:r>
        <w:r>
          <w:fldChar w:fldCharType="begin"/>
        </w:r>
        <w:r>
          <w:instrText xml:space="preserve">PAGE   \* MERGEFORMAT</w:instrText>
        </w:r>
        <w:r>
          <w:fldChar w:fldCharType="separate"/>
        </w:r>
        <w:r>
          <w:rPr>
            <w:lang w:val="zh-CN"/>
          </w:rPr>
          <w:t>1</w:t>
        </w:r>
        <w:r>
          <w:fldChar w:fldCharType="end"/>
        </w:r>
      </w:p>
    </w:sdtContent>
  </w:sdt>
  <w:p w14:paraId="2F0FF935">
    <w:pPr>
      <w:pStyle w:val="14"/>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6700648"/>
      <w:docPartObj>
        <w:docPartGallery w:val="autotext"/>
      </w:docPartObj>
    </w:sdtPr>
    <w:sdtContent>
      <w:p w14:paraId="4D2197C3">
        <w:pPr>
          <w:pStyle w:val="14"/>
          <w:jc w:val="center"/>
        </w:pPr>
        <w:r>
          <w:rPr>
            <w:rFonts w:hint="eastAsia"/>
          </w:rPr>
          <w:t>4-5-</w:t>
        </w:r>
        <w:r>
          <w:fldChar w:fldCharType="begin"/>
        </w:r>
        <w:r>
          <w:instrText xml:space="preserve">PAGE   \* MERGEFORMAT</w:instrText>
        </w:r>
        <w:r>
          <w:fldChar w:fldCharType="separate"/>
        </w:r>
        <w:r>
          <w:rPr>
            <w:lang w:val="zh-CN"/>
          </w:rPr>
          <w:t>4</w:t>
        </w:r>
        <w:r>
          <w:fldChar w:fldCharType="end"/>
        </w:r>
      </w:p>
    </w:sdtContent>
  </w:sdt>
  <w:p w14:paraId="098EDC6A">
    <w:pPr>
      <w:pStyle w:val="14"/>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4039631"/>
      <w:docPartObj>
        <w:docPartGallery w:val="autotext"/>
      </w:docPartObj>
    </w:sdtPr>
    <w:sdtContent>
      <w:p w14:paraId="5947B39A">
        <w:pPr>
          <w:pStyle w:val="14"/>
          <w:jc w:val="center"/>
        </w:pPr>
        <w:r>
          <w:rPr>
            <w:rFonts w:hint="eastAsia"/>
          </w:rPr>
          <w:t>4-6-</w:t>
        </w:r>
        <w:r>
          <w:fldChar w:fldCharType="begin"/>
        </w:r>
        <w:r>
          <w:instrText xml:space="preserve">PAGE   \* MERGEFORMAT</w:instrText>
        </w:r>
        <w:r>
          <w:fldChar w:fldCharType="separate"/>
        </w:r>
        <w:r>
          <w:rPr>
            <w:lang w:val="zh-CN"/>
          </w:rPr>
          <w:t>3</w:t>
        </w:r>
        <w:r>
          <w:fldChar w:fldCharType="end"/>
        </w:r>
      </w:p>
    </w:sdtContent>
  </w:sdt>
  <w:p w14:paraId="2EC1F17D">
    <w:pPr>
      <w:pStyle w:val="14"/>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90822400"/>
      <w:docPartObj>
        <w:docPartGallery w:val="autotext"/>
      </w:docPartObj>
    </w:sdtPr>
    <w:sdtContent>
      <w:p w14:paraId="3721C164">
        <w:pPr>
          <w:pStyle w:val="14"/>
          <w:jc w:val="center"/>
        </w:pPr>
        <w:r>
          <w:rPr>
            <w:rFonts w:hint="eastAsia"/>
          </w:rPr>
          <w:t>4-7-</w:t>
        </w:r>
        <w:r>
          <w:fldChar w:fldCharType="begin"/>
        </w:r>
        <w:r>
          <w:instrText xml:space="preserve">PAGE   \* MERGEFORMAT</w:instrText>
        </w:r>
        <w:r>
          <w:fldChar w:fldCharType="separate"/>
        </w:r>
        <w:r>
          <w:rPr>
            <w:lang w:val="zh-CN"/>
          </w:rPr>
          <w:t>4</w:t>
        </w:r>
        <w:r>
          <w:fldChar w:fldCharType="end"/>
        </w:r>
      </w:p>
    </w:sdtContent>
  </w:sdt>
  <w:p w14:paraId="2504F38B">
    <w:pPr>
      <w:pStyle w:val="14"/>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2312027"/>
      <w:docPartObj>
        <w:docPartGallery w:val="autotext"/>
      </w:docPartObj>
    </w:sdtPr>
    <w:sdtContent>
      <w:p w14:paraId="3C61367C">
        <w:pPr>
          <w:pStyle w:val="14"/>
          <w:jc w:val="center"/>
        </w:pPr>
        <w:r>
          <w:rPr>
            <w:rFonts w:hint="eastAsia"/>
          </w:rPr>
          <w:t>4-8-</w:t>
        </w:r>
        <w:r>
          <w:fldChar w:fldCharType="begin"/>
        </w:r>
        <w:r>
          <w:instrText xml:space="preserve">PAGE   \* MERGEFORMAT</w:instrText>
        </w:r>
        <w:r>
          <w:fldChar w:fldCharType="separate"/>
        </w:r>
        <w:r>
          <w:rPr>
            <w:lang w:val="zh-CN"/>
          </w:rPr>
          <w:t>4</w:t>
        </w:r>
        <w:r>
          <w:fldChar w:fldCharType="end"/>
        </w:r>
      </w:p>
    </w:sdtContent>
  </w:sdt>
  <w:p w14:paraId="7873F98D">
    <w:pPr>
      <w:pStyle w:val="14"/>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3553716"/>
      <w:docPartObj>
        <w:docPartGallery w:val="autotext"/>
      </w:docPartObj>
    </w:sdtPr>
    <w:sdtContent>
      <w:p w14:paraId="42F305D2">
        <w:pPr>
          <w:pStyle w:val="14"/>
          <w:jc w:val="center"/>
        </w:pPr>
        <w:r>
          <w:rPr>
            <w:rFonts w:hint="eastAsia"/>
          </w:rPr>
          <w:t>4-9-</w:t>
        </w:r>
        <w:r>
          <w:fldChar w:fldCharType="begin"/>
        </w:r>
        <w:r>
          <w:instrText xml:space="preserve">PAGE   \* MERGEFORMAT</w:instrText>
        </w:r>
        <w:r>
          <w:fldChar w:fldCharType="separate"/>
        </w:r>
        <w:r>
          <w:rPr>
            <w:lang w:val="zh-CN"/>
          </w:rPr>
          <w:t>1</w:t>
        </w:r>
        <w:r>
          <w:fldChar w:fldCharType="end"/>
        </w:r>
      </w:p>
    </w:sdtContent>
  </w:sdt>
  <w:p w14:paraId="003318CB">
    <w:pPr>
      <w:pStyle w:val="14"/>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6398302"/>
      <w:docPartObj>
        <w:docPartGallery w:val="autotext"/>
      </w:docPartObj>
    </w:sdtPr>
    <w:sdtContent>
      <w:p w14:paraId="19C2B6A7">
        <w:pPr>
          <w:pStyle w:val="14"/>
          <w:jc w:val="center"/>
        </w:pPr>
        <w:r>
          <w:rPr>
            <w:rFonts w:hint="eastAsia"/>
          </w:rPr>
          <w:t>4-10-</w:t>
        </w:r>
        <w:r>
          <w:fldChar w:fldCharType="begin"/>
        </w:r>
        <w:r>
          <w:instrText xml:space="preserve">PAGE   \* MERGEFORMAT</w:instrText>
        </w:r>
        <w:r>
          <w:fldChar w:fldCharType="separate"/>
        </w:r>
        <w:r>
          <w:rPr>
            <w:lang w:val="zh-CN"/>
          </w:rPr>
          <w:t>1</w:t>
        </w:r>
        <w:r>
          <w:fldChar w:fldCharType="end"/>
        </w:r>
      </w:p>
    </w:sdtContent>
  </w:sdt>
  <w:p w14:paraId="5DE5ECAC">
    <w:pPr>
      <w:pStyle w:val="14"/>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1507337"/>
      <w:docPartObj>
        <w:docPartGallery w:val="autotext"/>
      </w:docPartObj>
    </w:sdtPr>
    <w:sdtContent>
      <w:p w14:paraId="7DCAA9B5">
        <w:pPr>
          <w:pStyle w:val="14"/>
          <w:jc w:val="center"/>
        </w:pPr>
        <w:r>
          <w:rPr>
            <w:rFonts w:hint="eastAsia"/>
          </w:rPr>
          <w:t>4-11-</w:t>
        </w:r>
        <w:r>
          <w:fldChar w:fldCharType="begin"/>
        </w:r>
        <w:r>
          <w:instrText xml:space="preserve">PAGE   \* MERGEFORMAT</w:instrText>
        </w:r>
        <w:r>
          <w:fldChar w:fldCharType="separate"/>
        </w:r>
        <w:r>
          <w:rPr>
            <w:lang w:val="zh-CN"/>
          </w:rPr>
          <w:t>2</w:t>
        </w:r>
        <w:r>
          <w:fldChar w:fldCharType="end"/>
        </w:r>
      </w:p>
    </w:sdtContent>
  </w:sdt>
  <w:p w14:paraId="62DD918B">
    <w:pPr>
      <w:pStyle w:val="14"/>
      <w:jc w:val="cen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525039"/>
      <w:docPartObj>
        <w:docPartGallery w:val="autotext"/>
      </w:docPartObj>
    </w:sdtPr>
    <w:sdtContent>
      <w:p w14:paraId="41F57C5D">
        <w:pPr>
          <w:pStyle w:val="14"/>
          <w:jc w:val="center"/>
        </w:pPr>
        <w:r>
          <w:rPr>
            <w:rFonts w:hint="eastAsia"/>
          </w:rPr>
          <w:t>4-12-</w:t>
        </w:r>
        <w:r>
          <w:fldChar w:fldCharType="begin"/>
        </w:r>
        <w:r>
          <w:instrText xml:space="preserve">PAGE   \* MERGEFORMAT</w:instrText>
        </w:r>
        <w:r>
          <w:fldChar w:fldCharType="separate"/>
        </w:r>
        <w:r>
          <w:rPr>
            <w:lang w:val="zh-CN"/>
          </w:rPr>
          <w:t>1</w:t>
        </w:r>
        <w:r>
          <w:fldChar w:fldCharType="end"/>
        </w:r>
      </w:p>
    </w:sdtContent>
  </w:sdt>
  <w:p w14:paraId="01B0D58E">
    <w:pPr>
      <w:pStyle w:val="14"/>
      <w:jc w:val="cen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9973118"/>
      <w:docPartObj>
        <w:docPartGallery w:val="autotext"/>
      </w:docPartObj>
    </w:sdtPr>
    <w:sdtContent>
      <w:p w14:paraId="4E6E0CE9">
        <w:pPr>
          <w:pStyle w:val="14"/>
          <w:jc w:val="center"/>
        </w:pPr>
        <w:r>
          <w:rPr>
            <w:rFonts w:hint="eastAsia"/>
          </w:rPr>
          <w:t>4-13-</w:t>
        </w:r>
        <w:r>
          <w:fldChar w:fldCharType="begin"/>
        </w:r>
        <w:r>
          <w:instrText xml:space="preserve">PAGE   \* MERGEFORMAT</w:instrText>
        </w:r>
        <w:r>
          <w:fldChar w:fldCharType="separate"/>
        </w:r>
        <w:r>
          <w:rPr>
            <w:lang w:val="zh-CN"/>
          </w:rPr>
          <w:t>1</w:t>
        </w:r>
        <w:r>
          <w:fldChar w:fldCharType="end"/>
        </w:r>
      </w:p>
    </w:sdtContent>
  </w:sdt>
  <w:p w14:paraId="6EF232FD">
    <w:pPr>
      <w:pStyle w:val="14"/>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5033500"/>
      <w:docPartObj>
        <w:docPartGallery w:val="autotext"/>
      </w:docPartObj>
    </w:sdtPr>
    <w:sdtContent>
      <w:p w14:paraId="625240FC">
        <w:pPr>
          <w:pStyle w:val="14"/>
          <w:jc w:val="center"/>
        </w:pPr>
        <w:r>
          <w:rPr>
            <w:rFonts w:hint="eastAsia"/>
          </w:rPr>
          <w:t>4-14-</w:t>
        </w:r>
        <w:r>
          <w:fldChar w:fldCharType="begin"/>
        </w:r>
        <w:r>
          <w:instrText xml:space="preserve">PAGE   \* MERGEFORMAT</w:instrText>
        </w:r>
        <w:r>
          <w:fldChar w:fldCharType="separate"/>
        </w:r>
        <w:r>
          <w:rPr>
            <w:lang w:val="zh-CN"/>
          </w:rPr>
          <w:t>3</w:t>
        </w:r>
        <w:r>
          <w:fldChar w:fldCharType="end"/>
        </w:r>
      </w:p>
    </w:sdtContent>
  </w:sdt>
  <w:p w14:paraId="0893F2D2">
    <w:pPr>
      <w:pStyle w:val="14"/>
      <w:jc w:val="cen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7826524"/>
      <w:docPartObj>
        <w:docPartGallery w:val="autotext"/>
      </w:docPartObj>
    </w:sdtPr>
    <w:sdtContent>
      <w:p w14:paraId="1D615195">
        <w:pPr>
          <w:pStyle w:val="14"/>
          <w:jc w:val="center"/>
        </w:pPr>
        <w:r>
          <w:rPr>
            <w:rFonts w:hint="eastAsia"/>
          </w:rPr>
          <w:t>4-15-</w:t>
        </w:r>
        <w:r>
          <w:fldChar w:fldCharType="begin"/>
        </w:r>
        <w:r>
          <w:instrText xml:space="preserve">PAGE   \* MERGEFORMAT</w:instrText>
        </w:r>
        <w:r>
          <w:fldChar w:fldCharType="separate"/>
        </w:r>
        <w:r>
          <w:rPr>
            <w:lang w:val="zh-CN"/>
          </w:rPr>
          <w:t>1</w:t>
        </w:r>
        <w:r>
          <w:fldChar w:fldCharType="end"/>
        </w:r>
      </w:p>
    </w:sdtContent>
  </w:sdt>
  <w:p w14:paraId="39837B20">
    <w:pPr>
      <w:pStyle w:val="14"/>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82219727"/>
      <w:docPartObj>
        <w:docPartGallery w:val="autotext"/>
      </w:docPartObj>
    </w:sdtPr>
    <w:sdtContent>
      <w:p w14:paraId="6D3B6FE1">
        <w:pPr>
          <w:pStyle w:val="14"/>
          <w:jc w:val="center"/>
        </w:pPr>
        <w:r>
          <w:rPr>
            <w:rFonts w:hint="eastAsia"/>
          </w:rPr>
          <w:t>4-16-</w:t>
        </w:r>
        <w:r>
          <w:fldChar w:fldCharType="begin"/>
        </w:r>
        <w:r>
          <w:instrText xml:space="preserve">PAGE   \* MERGEFORMAT</w:instrText>
        </w:r>
        <w:r>
          <w:fldChar w:fldCharType="separate"/>
        </w:r>
        <w:r>
          <w:rPr>
            <w:lang w:val="zh-CN"/>
          </w:rPr>
          <w:t>2</w:t>
        </w:r>
        <w:r>
          <w:fldChar w:fldCharType="end"/>
        </w:r>
      </w:p>
    </w:sdtContent>
  </w:sdt>
  <w:p w14:paraId="1C3FFA75">
    <w:pPr>
      <w:pStyle w:val="14"/>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37972443"/>
      <w:docPartObj>
        <w:docPartGallery w:val="autotext"/>
      </w:docPartObj>
    </w:sdtPr>
    <w:sdtContent>
      <w:p w14:paraId="27865F01">
        <w:pPr>
          <w:pStyle w:val="14"/>
          <w:jc w:val="center"/>
        </w:pPr>
        <w:r>
          <w:rPr>
            <w:rFonts w:hint="eastAsia"/>
          </w:rPr>
          <w:t>4-17-</w:t>
        </w:r>
        <w:r>
          <w:fldChar w:fldCharType="begin"/>
        </w:r>
        <w:r>
          <w:instrText xml:space="preserve">PAGE   \* MERGEFORMAT</w:instrText>
        </w:r>
        <w:r>
          <w:fldChar w:fldCharType="separate"/>
        </w:r>
        <w:r>
          <w:rPr>
            <w:lang w:val="zh-CN"/>
          </w:rPr>
          <w:t>1</w:t>
        </w:r>
        <w:r>
          <w:fldChar w:fldCharType="end"/>
        </w:r>
      </w:p>
    </w:sdtContent>
  </w:sdt>
  <w:p w14:paraId="68F75E30">
    <w:pPr>
      <w:pStyle w:val="14"/>
      <w:jc w:val="cen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49321725"/>
      <w:docPartObj>
        <w:docPartGallery w:val="autotext"/>
      </w:docPartObj>
    </w:sdtPr>
    <w:sdtContent>
      <w:p w14:paraId="5807859A">
        <w:pPr>
          <w:pStyle w:val="14"/>
          <w:jc w:val="center"/>
        </w:pPr>
        <w:r>
          <w:rPr>
            <w:rFonts w:hint="eastAsia"/>
          </w:rPr>
          <w:t>4-18-</w:t>
        </w:r>
        <w:r>
          <w:fldChar w:fldCharType="begin"/>
        </w:r>
        <w:r>
          <w:instrText xml:space="preserve">PAGE   \* MERGEFORMAT</w:instrText>
        </w:r>
        <w:r>
          <w:fldChar w:fldCharType="separate"/>
        </w:r>
        <w:r>
          <w:rPr>
            <w:lang w:val="zh-CN"/>
          </w:rPr>
          <w:t>1</w:t>
        </w:r>
        <w:r>
          <w:fldChar w:fldCharType="end"/>
        </w:r>
      </w:p>
    </w:sdtContent>
  </w:sdt>
  <w:p w14:paraId="339D3C8A">
    <w:pPr>
      <w:pStyle w:val="14"/>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7155809"/>
      <w:docPartObj>
        <w:docPartGallery w:val="autotext"/>
      </w:docPartObj>
    </w:sdtPr>
    <w:sdtContent>
      <w:p w14:paraId="1BEA7CF0">
        <w:pPr>
          <w:pStyle w:val="14"/>
          <w:jc w:val="center"/>
        </w:pPr>
        <w:r>
          <w:rPr>
            <w:rFonts w:hint="eastAsia"/>
          </w:rPr>
          <w:t>4-19-</w:t>
        </w:r>
        <w:r>
          <w:fldChar w:fldCharType="begin"/>
        </w:r>
        <w:r>
          <w:instrText xml:space="preserve">PAGE   \* MERGEFORMAT</w:instrText>
        </w:r>
        <w:r>
          <w:fldChar w:fldCharType="separate"/>
        </w:r>
        <w:r>
          <w:rPr>
            <w:lang w:val="zh-CN"/>
          </w:rPr>
          <w:t>1</w:t>
        </w:r>
        <w:r>
          <w:fldChar w:fldCharType="end"/>
        </w:r>
      </w:p>
    </w:sdtContent>
  </w:sdt>
  <w:p w14:paraId="0DC7BD69">
    <w:pPr>
      <w:pStyle w:val="14"/>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5381467"/>
      <w:docPartObj>
        <w:docPartGallery w:val="autotext"/>
      </w:docPartObj>
    </w:sdtPr>
    <w:sdtContent>
      <w:p w14:paraId="7AF60217">
        <w:pPr>
          <w:pStyle w:val="14"/>
          <w:jc w:val="center"/>
        </w:pPr>
        <w:r>
          <w:rPr>
            <w:rFonts w:hint="eastAsia"/>
          </w:rPr>
          <w:t>4-20-</w:t>
        </w:r>
        <w:r>
          <w:fldChar w:fldCharType="begin"/>
        </w:r>
        <w:r>
          <w:instrText xml:space="preserve">PAGE   \* MERGEFORMAT</w:instrText>
        </w:r>
        <w:r>
          <w:fldChar w:fldCharType="separate"/>
        </w:r>
        <w:r>
          <w:rPr>
            <w:lang w:val="zh-CN"/>
          </w:rPr>
          <w:t>1</w:t>
        </w:r>
        <w:r>
          <w:fldChar w:fldCharType="end"/>
        </w:r>
      </w:p>
    </w:sdtContent>
  </w:sdt>
  <w:p w14:paraId="4ABB2D62">
    <w:pPr>
      <w:pStyle w:val="14"/>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2750640"/>
      <w:docPartObj>
        <w:docPartGallery w:val="autotext"/>
      </w:docPartObj>
    </w:sdtPr>
    <w:sdtContent>
      <w:p w14:paraId="4EC662C4">
        <w:pPr>
          <w:pStyle w:val="14"/>
          <w:jc w:val="center"/>
        </w:pPr>
        <w:r>
          <w:rPr>
            <w:rFonts w:hint="eastAsia"/>
          </w:rPr>
          <w:t>4-21-</w:t>
        </w:r>
        <w:r>
          <w:fldChar w:fldCharType="begin"/>
        </w:r>
        <w:r>
          <w:instrText xml:space="preserve">PAGE   \* MERGEFORMAT</w:instrText>
        </w:r>
        <w:r>
          <w:fldChar w:fldCharType="separate"/>
        </w:r>
        <w:r>
          <w:rPr>
            <w:lang w:val="zh-CN"/>
          </w:rPr>
          <w:t>2</w:t>
        </w:r>
        <w:r>
          <w:fldChar w:fldCharType="end"/>
        </w:r>
      </w:p>
    </w:sdtContent>
  </w:sdt>
  <w:p w14:paraId="2BC7CA34">
    <w:pPr>
      <w:pStyle w:val="1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C1BB7">
    <w:pPr>
      <w:pStyle w:val="15"/>
      <w:jc w:val="right"/>
    </w:pPr>
    <w:r>
      <w:rPr>
        <w:rFonts w:hint="eastAsia"/>
      </w:rPr>
      <w:t>博时富海纯债3个月定期开放债券型发起式证券投资基金托管协议（草案）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B9B3B">
    <w:pPr>
      <w:pStyle w:val="15"/>
      <w:jc w:val="right"/>
    </w:pPr>
    <w:r>
      <w:rPr>
        <w:rFonts w:hint="eastAsia"/>
      </w:rPr>
      <w:t>博时富洋纯债一年定期开放债券型发起式证券投资基金托管协议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837"/>
    <w:rsid w:val="00000A67"/>
    <w:rsid w:val="00007E21"/>
    <w:rsid w:val="00011F0D"/>
    <w:rsid w:val="000225EF"/>
    <w:rsid w:val="00022B4B"/>
    <w:rsid w:val="00023A2E"/>
    <w:rsid w:val="00023C08"/>
    <w:rsid w:val="000241B2"/>
    <w:rsid w:val="00025156"/>
    <w:rsid w:val="000312DC"/>
    <w:rsid w:val="00033761"/>
    <w:rsid w:val="00055533"/>
    <w:rsid w:val="00060B2C"/>
    <w:rsid w:val="0007085C"/>
    <w:rsid w:val="00071113"/>
    <w:rsid w:val="00076609"/>
    <w:rsid w:val="00080FEF"/>
    <w:rsid w:val="00096E47"/>
    <w:rsid w:val="000A0F1F"/>
    <w:rsid w:val="000A1DCD"/>
    <w:rsid w:val="000A356C"/>
    <w:rsid w:val="000A51D1"/>
    <w:rsid w:val="000B28BB"/>
    <w:rsid w:val="000C5B99"/>
    <w:rsid w:val="000C6CC0"/>
    <w:rsid w:val="000C7D63"/>
    <w:rsid w:val="000D1CF4"/>
    <w:rsid w:val="000D5766"/>
    <w:rsid w:val="000E725A"/>
    <w:rsid w:val="000E7A39"/>
    <w:rsid w:val="000F253F"/>
    <w:rsid w:val="000F470A"/>
    <w:rsid w:val="000F7395"/>
    <w:rsid w:val="00100E7B"/>
    <w:rsid w:val="001011C7"/>
    <w:rsid w:val="00102B86"/>
    <w:rsid w:val="00105488"/>
    <w:rsid w:val="00107D98"/>
    <w:rsid w:val="001103C8"/>
    <w:rsid w:val="00112855"/>
    <w:rsid w:val="00113A83"/>
    <w:rsid w:val="00116DC3"/>
    <w:rsid w:val="001251AB"/>
    <w:rsid w:val="00132274"/>
    <w:rsid w:val="001379C1"/>
    <w:rsid w:val="00142FB6"/>
    <w:rsid w:val="00151E0A"/>
    <w:rsid w:val="00163D5C"/>
    <w:rsid w:val="001654C8"/>
    <w:rsid w:val="00167683"/>
    <w:rsid w:val="001715A3"/>
    <w:rsid w:val="001859BD"/>
    <w:rsid w:val="00190EE0"/>
    <w:rsid w:val="00192575"/>
    <w:rsid w:val="00193E6C"/>
    <w:rsid w:val="001C43CB"/>
    <w:rsid w:val="001C4C39"/>
    <w:rsid w:val="001E0B6A"/>
    <w:rsid w:val="00202CDA"/>
    <w:rsid w:val="0020440C"/>
    <w:rsid w:val="00205270"/>
    <w:rsid w:val="00212AB8"/>
    <w:rsid w:val="00214B01"/>
    <w:rsid w:val="00214FCF"/>
    <w:rsid w:val="00215426"/>
    <w:rsid w:val="00216E06"/>
    <w:rsid w:val="00227663"/>
    <w:rsid w:val="00233FD4"/>
    <w:rsid w:val="0024665F"/>
    <w:rsid w:val="002471FF"/>
    <w:rsid w:val="002533F3"/>
    <w:rsid w:val="0025350A"/>
    <w:rsid w:val="002566D1"/>
    <w:rsid w:val="00273DC2"/>
    <w:rsid w:val="00283C1D"/>
    <w:rsid w:val="00285360"/>
    <w:rsid w:val="00286AA5"/>
    <w:rsid w:val="00290F1B"/>
    <w:rsid w:val="002979FE"/>
    <w:rsid w:val="002A2D57"/>
    <w:rsid w:val="002A7F32"/>
    <w:rsid w:val="002B18ED"/>
    <w:rsid w:val="002C6576"/>
    <w:rsid w:val="002D2B12"/>
    <w:rsid w:val="002E1824"/>
    <w:rsid w:val="002E1C4B"/>
    <w:rsid w:val="002E3F71"/>
    <w:rsid w:val="002F2893"/>
    <w:rsid w:val="002F34D3"/>
    <w:rsid w:val="002F43F0"/>
    <w:rsid w:val="002F4798"/>
    <w:rsid w:val="002F78A7"/>
    <w:rsid w:val="00302B39"/>
    <w:rsid w:val="003076C7"/>
    <w:rsid w:val="00307B02"/>
    <w:rsid w:val="00311688"/>
    <w:rsid w:val="003218E8"/>
    <w:rsid w:val="00325299"/>
    <w:rsid w:val="00334BCD"/>
    <w:rsid w:val="00356D6B"/>
    <w:rsid w:val="00357F6E"/>
    <w:rsid w:val="0036278F"/>
    <w:rsid w:val="00362BB8"/>
    <w:rsid w:val="00362DB6"/>
    <w:rsid w:val="00372487"/>
    <w:rsid w:val="00373DCF"/>
    <w:rsid w:val="00374250"/>
    <w:rsid w:val="00383F24"/>
    <w:rsid w:val="00390255"/>
    <w:rsid w:val="0039681B"/>
    <w:rsid w:val="003B5CF9"/>
    <w:rsid w:val="003C159A"/>
    <w:rsid w:val="003C214D"/>
    <w:rsid w:val="003C3DF9"/>
    <w:rsid w:val="003D026F"/>
    <w:rsid w:val="003D28EF"/>
    <w:rsid w:val="003D2D41"/>
    <w:rsid w:val="003D2FAC"/>
    <w:rsid w:val="003D3429"/>
    <w:rsid w:val="00402CF9"/>
    <w:rsid w:val="004056B1"/>
    <w:rsid w:val="00413D09"/>
    <w:rsid w:val="00414FE6"/>
    <w:rsid w:val="00417E0F"/>
    <w:rsid w:val="00420538"/>
    <w:rsid w:val="00420A5C"/>
    <w:rsid w:val="00422E14"/>
    <w:rsid w:val="00426195"/>
    <w:rsid w:val="00452EC8"/>
    <w:rsid w:val="0045475D"/>
    <w:rsid w:val="00461F8B"/>
    <w:rsid w:val="004620E2"/>
    <w:rsid w:val="004647FB"/>
    <w:rsid w:val="00477DA3"/>
    <w:rsid w:val="00482A4D"/>
    <w:rsid w:val="004830BF"/>
    <w:rsid w:val="00484849"/>
    <w:rsid w:val="004A0751"/>
    <w:rsid w:val="004B17C2"/>
    <w:rsid w:val="004B2007"/>
    <w:rsid w:val="004B4A82"/>
    <w:rsid w:val="004B67DD"/>
    <w:rsid w:val="004C7052"/>
    <w:rsid w:val="004C7798"/>
    <w:rsid w:val="004E03E7"/>
    <w:rsid w:val="004E5ED0"/>
    <w:rsid w:val="005002D7"/>
    <w:rsid w:val="00500353"/>
    <w:rsid w:val="005006E1"/>
    <w:rsid w:val="00502E16"/>
    <w:rsid w:val="00507E7B"/>
    <w:rsid w:val="00523750"/>
    <w:rsid w:val="005238F7"/>
    <w:rsid w:val="00533A62"/>
    <w:rsid w:val="00536636"/>
    <w:rsid w:val="00540CD7"/>
    <w:rsid w:val="00553930"/>
    <w:rsid w:val="00557062"/>
    <w:rsid w:val="00564C62"/>
    <w:rsid w:val="005657ED"/>
    <w:rsid w:val="00577229"/>
    <w:rsid w:val="00586C36"/>
    <w:rsid w:val="00587A96"/>
    <w:rsid w:val="00592C4C"/>
    <w:rsid w:val="00594685"/>
    <w:rsid w:val="005A4509"/>
    <w:rsid w:val="005B13C2"/>
    <w:rsid w:val="005C566E"/>
    <w:rsid w:val="005C6B0C"/>
    <w:rsid w:val="005C7DAA"/>
    <w:rsid w:val="005F22F0"/>
    <w:rsid w:val="005F4C77"/>
    <w:rsid w:val="005F6CA3"/>
    <w:rsid w:val="006055AE"/>
    <w:rsid w:val="00607086"/>
    <w:rsid w:val="00617B32"/>
    <w:rsid w:val="00621B04"/>
    <w:rsid w:val="0062426D"/>
    <w:rsid w:val="00633D58"/>
    <w:rsid w:val="00641F0D"/>
    <w:rsid w:val="006464A1"/>
    <w:rsid w:val="006469DA"/>
    <w:rsid w:val="006638F9"/>
    <w:rsid w:val="0066401D"/>
    <w:rsid w:val="00664322"/>
    <w:rsid w:val="00666545"/>
    <w:rsid w:val="00671AD5"/>
    <w:rsid w:val="00672075"/>
    <w:rsid w:val="00672C9E"/>
    <w:rsid w:val="0067472B"/>
    <w:rsid w:val="00680242"/>
    <w:rsid w:val="0069356D"/>
    <w:rsid w:val="006A525E"/>
    <w:rsid w:val="006A5520"/>
    <w:rsid w:val="006A5817"/>
    <w:rsid w:val="006B26B9"/>
    <w:rsid w:val="006C09B1"/>
    <w:rsid w:val="006C563D"/>
    <w:rsid w:val="006C6F54"/>
    <w:rsid w:val="006E22E5"/>
    <w:rsid w:val="006E6EB6"/>
    <w:rsid w:val="006E7614"/>
    <w:rsid w:val="006F1811"/>
    <w:rsid w:val="00723C43"/>
    <w:rsid w:val="007250BA"/>
    <w:rsid w:val="0074107F"/>
    <w:rsid w:val="00741981"/>
    <w:rsid w:val="00763FE9"/>
    <w:rsid w:val="00773F70"/>
    <w:rsid w:val="00781FD6"/>
    <w:rsid w:val="00786F33"/>
    <w:rsid w:val="00797B30"/>
    <w:rsid w:val="007A2CC4"/>
    <w:rsid w:val="007A4837"/>
    <w:rsid w:val="007B6C65"/>
    <w:rsid w:val="007B7012"/>
    <w:rsid w:val="007C12A3"/>
    <w:rsid w:val="007C147D"/>
    <w:rsid w:val="007C21B8"/>
    <w:rsid w:val="007C4F3C"/>
    <w:rsid w:val="007D0BFA"/>
    <w:rsid w:val="007D7FF4"/>
    <w:rsid w:val="007E6BC1"/>
    <w:rsid w:val="007E7362"/>
    <w:rsid w:val="007F4807"/>
    <w:rsid w:val="007F59E3"/>
    <w:rsid w:val="008029E0"/>
    <w:rsid w:val="008112DA"/>
    <w:rsid w:val="00833D65"/>
    <w:rsid w:val="00834B46"/>
    <w:rsid w:val="00834E4C"/>
    <w:rsid w:val="00846CDC"/>
    <w:rsid w:val="008472F7"/>
    <w:rsid w:val="00853663"/>
    <w:rsid w:val="00855BB0"/>
    <w:rsid w:val="00863C99"/>
    <w:rsid w:val="00873AD9"/>
    <w:rsid w:val="00876C91"/>
    <w:rsid w:val="00891024"/>
    <w:rsid w:val="00896CCA"/>
    <w:rsid w:val="008A0DF3"/>
    <w:rsid w:val="008A4947"/>
    <w:rsid w:val="008A5A98"/>
    <w:rsid w:val="008C1F9A"/>
    <w:rsid w:val="008E1A72"/>
    <w:rsid w:val="008E37B9"/>
    <w:rsid w:val="008E44B7"/>
    <w:rsid w:val="008F2084"/>
    <w:rsid w:val="009161A0"/>
    <w:rsid w:val="0093069E"/>
    <w:rsid w:val="00932CB1"/>
    <w:rsid w:val="009340F8"/>
    <w:rsid w:val="009440BC"/>
    <w:rsid w:val="009451DD"/>
    <w:rsid w:val="00945907"/>
    <w:rsid w:val="009474DF"/>
    <w:rsid w:val="00954A27"/>
    <w:rsid w:val="00955E04"/>
    <w:rsid w:val="00973E09"/>
    <w:rsid w:val="00977A27"/>
    <w:rsid w:val="0098598E"/>
    <w:rsid w:val="00993C4B"/>
    <w:rsid w:val="00997381"/>
    <w:rsid w:val="009A4ADA"/>
    <w:rsid w:val="009A5ED7"/>
    <w:rsid w:val="009B0D5A"/>
    <w:rsid w:val="009C5A01"/>
    <w:rsid w:val="009D1094"/>
    <w:rsid w:val="009D1563"/>
    <w:rsid w:val="009E4342"/>
    <w:rsid w:val="009E4E9F"/>
    <w:rsid w:val="009E6386"/>
    <w:rsid w:val="00A0275D"/>
    <w:rsid w:val="00A02EF4"/>
    <w:rsid w:val="00A11CA6"/>
    <w:rsid w:val="00A17008"/>
    <w:rsid w:val="00A23487"/>
    <w:rsid w:val="00A239A8"/>
    <w:rsid w:val="00A26480"/>
    <w:rsid w:val="00A266F2"/>
    <w:rsid w:val="00A36178"/>
    <w:rsid w:val="00A46C23"/>
    <w:rsid w:val="00A46F97"/>
    <w:rsid w:val="00A47710"/>
    <w:rsid w:val="00A511EA"/>
    <w:rsid w:val="00A52981"/>
    <w:rsid w:val="00A53132"/>
    <w:rsid w:val="00A55BC5"/>
    <w:rsid w:val="00A6036F"/>
    <w:rsid w:val="00A60C21"/>
    <w:rsid w:val="00A65640"/>
    <w:rsid w:val="00A66F5D"/>
    <w:rsid w:val="00A724E5"/>
    <w:rsid w:val="00A73192"/>
    <w:rsid w:val="00A8188F"/>
    <w:rsid w:val="00A975D7"/>
    <w:rsid w:val="00AB12EA"/>
    <w:rsid w:val="00AB6F42"/>
    <w:rsid w:val="00AD6731"/>
    <w:rsid w:val="00AE4958"/>
    <w:rsid w:val="00AF62CD"/>
    <w:rsid w:val="00AF6895"/>
    <w:rsid w:val="00B166AF"/>
    <w:rsid w:val="00B27042"/>
    <w:rsid w:val="00B31BD8"/>
    <w:rsid w:val="00B342A7"/>
    <w:rsid w:val="00B3487E"/>
    <w:rsid w:val="00B43715"/>
    <w:rsid w:val="00B43C2D"/>
    <w:rsid w:val="00B476AC"/>
    <w:rsid w:val="00B476B5"/>
    <w:rsid w:val="00B5138D"/>
    <w:rsid w:val="00B51B2E"/>
    <w:rsid w:val="00B55FE3"/>
    <w:rsid w:val="00B56DE4"/>
    <w:rsid w:val="00B574C2"/>
    <w:rsid w:val="00B6422F"/>
    <w:rsid w:val="00B73021"/>
    <w:rsid w:val="00B86A5C"/>
    <w:rsid w:val="00B9325F"/>
    <w:rsid w:val="00B93F32"/>
    <w:rsid w:val="00B942A2"/>
    <w:rsid w:val="00B9447B"/>
    <w:rsid w:val="00BA23A1"/>
    <w:rsid w:val="00BA37C4"/>
    <w:rsid w:val="00BB0089"/>
    <w:rsid w:val="00BB73E2"/>
    <w:rsid w:val="00BC0AA6"/>
    <w:rsid w:val="00BD1CD0"/>
    <w:rsid w:val="00BD2F20"/>
    <w:rsid w:val="00BD5139"/>
    <w:rsid w:val="00BE5797"/>
    <w:rsid w:val="00BF5B82"/>
    <w:rsid w:val="00C3164E"/>
    <w:rsid w:val="00C3268E"/>
    <w:rsid w:val="00C40C5F"/>
    <w:rsid w:val="00C42D3B"/>
    <w:rsid w:val="00C5005C"/>
    <w:rsid w:val="00C537A6"/>
    <w:rsid w:val="00C56987"/>
    <w:rsid w:val="00C643A3"/>
    <w:rsid w:val="00C66D4B"/>
    <w:rsid w:val="00C73E0A"/>
    <w:rsid w:val="00C81B62"/>
    <w:rsid w:val="00C8360C"/>
    <w:rsid w:val="00C85488"/>
    <w:rsid w:val="00C87C8E"/>
    <w:rsid w:val="00C91D37"/>
    <w:rsid w:val="00C92817"/>
    <w:rsid w:val="00C9492B"/>
    <w:rsid w:val="00C95E56"/>
    <w:rsid w:val="00CA1D7E"/>
    <w:rsid w:val="00CA4502"/>
    <w:rsid w:val="00CA6BE8"/>
    <w:rsid w:val="00CB3C7B"/>
    <w:rsid w:val="00CE10CC"/>
    <w:rsid w:val="00CE7758"/>
    <w:rsid w:val="00CF2F67"/>
    <w:rsid w:val="00CF6E10"/>
    <w:rsid w:val="00D06301"/>
    <w:rsid w:val="00D111C7"/>
    <w:rsid w:val="00D11FEE"/>
    <w:rsid w:val="00D15AAE"/>
    <w:rsid w:val="00D21B10"/>
    <w:rsid w:val="00D24475"/>
    <w:rsid w:val="00D253B0"/>
    <w:rsid w:val="00D3307D"/>
    <w:rsid w:val="00D47928"/>
    <w:rsid w:val="00D568E5"/>
    <w:rsid w:val="00D574EA"/>
    <w:rsid w:val="00D60C94"/>
    <w:rsid w:val="00D61A02"/>
    <w:rsid w:val="00D71892"/>
    <w:rsid w:val="00D72A99"/>
    <w:rsid w:val="00D72EC9"/>
    <w:rsid w:val="00D7753B"/>
    <w:rsid w:val="00DB02FF"/>
    <w:rsid w:val="00DB07C9"/>
    <w:rsid w:val="00DC1B97"/>
    <w:rsid w:val="00DD3B40"/>
    <w:rsid w:val="00DE0307"/>
    <w:rsid w:val="00DE5FBD"/>
    <w:rsid w:val="00DF0A7D"/>
    <w:rsid w:val="00DF30EA"/>
    <w:rsid w:val="00DF5876"/>
    <w:rsid w:val="00DF5C61"/>
    <w:rsid w:val="00E111D2"/>
    <w:rsid w:val="00E12D4B"/>
    <w:rsid w:val="00E215D9"/>
    <w:rsid w:val="00E365AD"/>
    <w:rsid w:val="00E371C5"/>
    <w:rsid w:val="00E40DAF"/>
    <w:rsid w:val="00E41F5D"/>
    <w:rsid w:val="00E42361"/>
    <w:rsid w:val="00E62094"/>
    <w:rsid w:val="00E77CC4"/>
    <w:rsid w:val="00E8067F"/>
    <w:rsid w:val="00E8510A"/>
    <w:rsid w:val="00E87828"/>
    <w:rsid w:val="00E925C4"/>
    <w:rsid w:val="00EA00B7"/>
    <w:rsid w:val="00EA3630"/>
    <w:rsid w:val="00EB6469"/>
    <w:rsid w:val="00EC57EA"/>
    <w:rsid w:val="00F020F9"/>
    <w:rsid w:val="00F1668D"/>
    <w:rsid w:val="00F241A6"/>
    <w:rsid w:val="00F4281A"/>
    <w:rsid w:val="00F479CD"/>
    <w:rsid w:val="00F57F8C"/>
    <w:rsid w:val="00F6029B"/>
    <w:rsid w:val="00F6325B"/>
    <w:rsid w:val="00F66353"/>
    <w:rsid w:val="00F72413"/>
    <w:rsid w:val="00F74D8A"/>
    <w:rsid w:val="00F77659"/>
    <w:rsid w:val="00F90AC8"/>
    <w:rsid w:val="00F96668"/>
    <w:rsid w:val="00FA69AE"/>
    <w:rsid w:val="00FA6CB2"/>
    <w:rsid w:val="00FB139A"/>
    <w:rsid w:val="00FB60BC"/>
    <w:rsid w:val="00FC4294"/>
    <w:rsid w:val="00FC5B5E"/>
    <w:rsid w:val="00FC7803"/>
    <w:rsid w:val="00FD2D4C"/>
    <w:rsid w:val="00FD5699"/>
    <w:rsid w:val="00FE7430"/>
    <w:rsid w:val="00FF3208"/>
    <w:rsid w:val="092A00E6"/>
    <w:rsid w:val="1321402E"/>
    <w:rsid w:val="6594671B"/>
    <w:rsid w:val="702E0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link w:val="32"/>
    <w:qFormat/>
    <w:uiPriority w:val="0"/>
    <w:pPr>
      <w:keepNext/>
      <w:keepLines/>
      <w:spacing w:before="260" w:after="260" w:line="416" w:lineRule="auto"/>
      <w:outlineLvl w:val="1"/>
    </w:pPr>
    <w:rPr>
      <w:rFonts w:ascii="Arial" w:hAnsi="Arial" w:eastAsia="黑体"/>
      <w:b/>
      <w:sz w:val="32"/>
      <w:szCs w:val="20"/>
    </w:rPr>
  </w:style>
  <w:style w:type="character" w:default="1" w:styleId="26">
    <w:name w:val="Default Paragraph Font"/>
    <w:semiHidden/>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toc 7"/>
    <w:basedOn w:val="1"/>
    <w:next w:val="1"/>
    <w:autoRedefine/>
    <w:semiHidden/>
    <w:qFormat/>
    <w:uiPriority w:val="0"/>
    <w:pPr>
      <w:ind w:left="2520" w:leftChars="1200"/>
    </w:pPr>
  </w:style>
  <w:style w:type="paragraph" w:styleId="5">
    <w:name w:val="Document Map"/>
    <w:basedOn w:val="1"/>
    <w:link w:val="51"/>
    <w:semiHidden/>
    <w:unhideWhenUsed/>
    <w:qFormat/>
    <w:uiPriority w:val="99"/>
    <w:rPr>
      <w:rFonts w:ascii="宋体"/>
      <w:sz w:val="18"/>
      <w:szCs w:val="18"/>
    </w:rPr>
  </w:style>
  <w:style w:type="paragraph" w:styleId="6">
    <w:name w:val="annotation text"/>
    <w:basedOn w:val="1"/>
    <w:link w:val="45"/>
    <w:semiHidden/>
    <w:qFormat/>
    <w:uiPriority w:val="0"/>
    <w:pPr>
      <w:jc w:val="left"/>
    </w:pPr>
  </w:style>
  <w:style w:type="paragraph" w:styleId="7">
    <w:name w:val="Body Text"/>
    <w:basedOn w:val="1"/>
    <w:link w:val="35"/>
    <w:qFormat/>
    <w:uiPriority w:val="0"/>
    <w:pPr>
      <w:spacing w:line="360" w:lineRule="auto"/>
    </w:pPr>
    <w:rPr>
      <w:rFonts w:ascii="仿宋" w:eastAsia="仿宋"/>
      <w:color w:val="000000"/>
      <w:kern w:val="0"/>
      <w:sz w:val="24"/>
      <w:szCs w:val="28"/>
    </w:rPr>
  </w:style>
  <w:style w:type="paragraph" w:styleId="8">
    <w:name w:val="Body Text Indent"/>
    <w:basedOn w:val="1"/>
    <w:link w:val="37"/>
    <w:qFormat/>
    <w:uiPriority w:val="0"/>
    <w:pPr>
      <w:adjustRightInd w:val="0"/>
      <w:snapToGrid w:val="0"/>
      <w:spacing w:line="560" w:lineRule="exact"/>
      <w:ind w:firstLine="480" w:firstLineChars="200"/>
    </w:pPr>
    <w:rPr>
      <w:rFonts w:eastAsia="Times New Roman"/>
      <w:sz w:val="24"/>
      <w:szCs w:val="30"/>
    </w:rPr>
  </w:style>
  <w:style w:type="paragraph" w:styleId="9">
    <w:name w:val="toc 5"/>
    <w:basedOn w:val="1"/>
    <w:next w:val="1"/>
    <w:autoRedefine/>
    <w:semiHidden/>
    <w:qFormat/>
    <w:uiPriority w:val="0"/>
    <w:pPr>
      <w:ind w:left="1680" w:leftChars="800"/>
    </w:pPr>
  </w:style>
  <w:style w:type="paragraph" w:styleId="10">
    <w:name w:val="toc 3"/>
    <w:basedOn w:val="1"/>
    <w:next w:val="1"/>
    <w:autoRedefine/>
    <w:semiHidden/>
    <w:qFormat/>
    <w:uiPriority w:val="0"/>
    <w:pPr>
      <w:ind w:left="840" w:leftChars="400"/>
    </w:pPr>
  </w:style>
  <w:style w:type="paragraph" w:styleId="11">
    <w:name w:val="toc 8"/>
    <w:basedOn w:val="1"/>
    <w:next w:val="1"/>
    <w:autoRedefine/>
    <w:semiHidden/>
    <w:qFormat/>
    <w:uiPriority w:val="0"/>
    <w:pPr>
      <w:ind w:left="2940" w:leftChars="1400"/>
    </w:pPr>
  </w:style>
  <w:style w:type="paragraph" w:styleId="12">
    <w:name w:val="Body Text Indent 2"/>
    <w:basedOn w:val="1"/>
    <w:link w:val="38"/>
    <w:qFormat/>
    <w:uiPriority w:val="0"/>
    <w:pPr>
      <w:spacing w:line="360" w:lineRule="auto"/>
      <w:ind w:firstLine="525"/>
    </w:pPr>
    <w:rPr>
      <w:rFonts w:ascii="宋体" w:hAnsi="宋体"/>
      <w:sz w:val="28"/>
      <w:szCs w:val="20"/>
    </w:rPr>
  </w:style>
  <w:style w:type="paragraph" w:styleId="13">
    <w:name w:val="Balloon Text"/>
    <w:basedOn w:val="1"/>
    <w:link w:val="40"/>
    <w:semiHidden/>
    <w:qFormat/>
    <w:uiPriority w:val="0"/>
    <w:rPr>
      <w:sz w:val="18"/>
      <w:szCs w:val="18"/>
    </w:rPr>
  </w:style>
  <w:style w:type="paragraph" w:styleId="14">
    <w:name w:val="footer"/>
    <w:basedOn w:val="1"/>
    <w:link w:val="33"/>
    <w:qFormat/>
    <w:uiPriority w:val="99"/>
    <w:pPr>
      <w:tabs>
        <w:tab w:val="center" w:pos="4153"/>
        <w:tab w:val="right" w:pos="8306"/>
      </w:tabs>
      <w:snapToGrid w:val="0"/>
      <w:jc w:val="left"/>
    </w:pPr>
    <w:rPr>
      <w:sz w:val="18"/>
      <w:szCs w:val="18"/>
    </w:rPr>
  </w:style>
  <w:style w:type="paragraph" w:styleId="15">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semiHidden/>
    <w:qFormat/>
    <w:uiPriority w:val="0"/>
  </w:style>
  <w:style w:type="paragraph" w:styleId="17">
    <w:name w:val="toc 4"/>
    <w:basedOn w:val="1"/>
    <w:next w:val="1"/>
    <w:autoRedefine/>
    <w:semiHidden/>
    <w:qFormat/>
    <w:uiPriority w:val="0"/>
    <w:pPr>
      <w:ind w:left="1260" w:leftChars="600"/>
    </w:pPr>
  </w:style>
  <w:style w:type="paragraph" w:styleId="18">
    <w:name w:val="toc 6"/>
    <w:basedOn w:val="1"/>
    <w:next w:val="1"/>
    <w:autoRedefine/>
    <w:semiHidden/>
    <w:qFormat/>
    <w:uiPriority w:val="0"/>
    <w:pPr>
      <w:ind w:left="2100" w:leftChars="1000"/>
    </w:pPr>
  </w:style>
  <w:style w:type="paragraph" w:styleId="19">
    <w:name w:val="Body Text Indent 3"/>
    <w:basedOn w:val="1"/>
    <w:link w:val="39"/>
    <w:qFormat/>
    <w:uiPriority w:val="0"/>
    <w:pPr>
      <w:adjustRightInd w:val="0"/>
      <w:snapToGrid w:val="0"/>
      <w:ind w:firstLine="480" w:firstLineChars="200"/>
    </w:pPr>
    <w:rPr>
      <w:rFonts w:ascii="仿宋" w:hAnsi="宋体" w:eastAsia="仿宋" w:cs="Arial"/>
      <w:color w:val="000000"/>
      <w:sz w:val="24"/>
    </w:rPr>
  </w:style>
  <w:style w:type="paragraph" w:styleId="20">
    <w:name w:val="toc 2"/>
    <w:basedOn w:val="1"/>
    <w:next w:val="1"/>
    <w:autoRedefine/>
    <w:semiHidden/>
    <w:qFormat/>
    <w:uiPriority w:val="0"/>
    <w:pPr>
      <w:ind w:left="420" w:leftChars="200"/>
    </w:pPr>
  </w:style>
  <w:style w:type="paragraph" w:styleId="21">
    <w:name w:val="toc 9"/>
    <w:basedOn w:val="1"/>
    <w:next w:val="1"/>
    <w:autoRedefine/>
    <w:semiHidden/>
    <w:qFormat/>
    <w:uiPriority w:val="0"/>
    <w:pPr>
      <w:ind w:left="3360" w:leftChars="1600"/>
    </w:pPr>
  </w:style>
  <w:style w:type="paragraph" w:styleId="22">
    <w:name w:val="HTML Preformatted"/>
    <w:basedOn w:val="1"/>
    <w:link w:val="4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24">
    <w:name w:val="annotation subject"/>
    <w:basedOn w:val="6"/>
    <w:next w:val="6"/>
    <w:link w:val="49"/>
    <w:qFormat/>
    <w:uiPriority w:val="0"/>
    <w:rPr>
      <w:b/>
      <w:bCs/>
    </w:r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800080"/>
      <w:u w:val="single"/>
    </w:rPr>
  </w:style>
  <w:style w:type="character" w:styleId="30">
    <w:name w:val="Hyperlink"/>
    <w:basedOn w:val="26"/>
    <w:qFormat/>
    <w:uiPriority w:val="0"/>
    <w:rPr>
      <w:color w:val="0000FF"/>
      <w:u w:val="single"/>
    </w:rPr>
  </w:style>
  <w:style w:type="character" w:styleId="31">
    <w:name w:val="annotation reference"/>
    <w:basedOn w:val="26"/>
    <w:semiHidden/>
    <w:qFormat/>
    <w:uiPriority w:val="0"/>
    <w:rPr>
      <w:sz w:val="21"/>
      <w:szCs w:val="21"/>
    </w:rPr>
  </w:style>
  <w:style w:type="character" w:customStyle="1" w:styleId="32">
    <w:name w:val="标题 2 字符"/>
    <w:basedOn w:val="26"/>
    <w:link w:val="2"/>
    <w:qFormat/>
    <w:uiPriority w:val="0"/>
    <w:rPr>
      <w:rFonts w:ascii="Arial" w:hAnsi="Arial" w:eastAsia="黑体" w:cs="Times New Roman"/>
      <w:b/>
      <w:sz w:val="32"/>
      <w:szCs w:val="20"/>
    </w:rPr>
  </w:style>
  <w:style w:type="character" w:customStyle="1" w:styleId="33">
    <w:name w:val="页脚 字符"/>
    <w:basedOn w:val="26"/>
    <w:link w:val="14"/>
    <w:qFormat/>
    <w:uiPriority w:val="99"/>
    <w:rPr>
      <w:rFonts w:ascii="Times New Roman" w:hAnsi="Times New Roman" w:eastAsia="宋体" w:cs="Times New Roman"/>
      <w:sz w:val="18"/>
      <w:szCs w:val="18"/>
    </w:rPr>
  </w:style>
  <w:style w:type="paragraph" w:customStyle="1" w:styleId="34">
    <w:name w:val="wz1"/>
    <w:basedOn w:val="1"/>
    <w:qFormat/>
    <w:uiPriority w:val="0"/>
    <w:pPr>
      <w:widowControl/>
      <w:spacing w:before="100" w:beforeAutospacing="1" w:after="100" w:afterAutospacing="1" w:line="245" w:lineRule="atLeast"/>
      <w:jc w:val="left"/>
    </w:pPr>
    <w:rPr>
      <w:rFonts w:ascii="Arial Unicode MS" w:hAnsi="Arial Unicode MS" w:eastAsia="Arial Unicode MS" w:cs="Arial Unicode MS"/>
      <w:color w:val="CC0000"/>
      <w:kern w:val="0"/>
      <w:sz w:val="22"/>
      <w:szCs w:val="22"/>
    </w:rPr>
  </w:style>
  <w:style w:type="character" w:customStyle="1" w:styleId="35">
    <w:name w:val="正文文本 字符"/>
    <w:basedOn w:val="26"/>
    <w:link w:val="7"/>
    <w:qFormat/>
    <w:uiPriority w:val="0"/>
    <w:rPr>
      <w:rFonts w:ascii="仿宋" w:hAnsi="Times New Roman" w:eastAsia="仿宋" w:cs="Times New Roman"/>
      <w:color w:val="000000"/>
      <w:kern w:val="0"/>
      <w:sz w:val="24"/>
      <w:szCs w:val="28"/>
    </w:rPr>
  </w:style>
  <w:style w:type="character" w:customStyle="1" w:styleId="36">
    <w:name w:val="read"/>
    <w:basedOn w:val="26"/>
    <w:qFormat/>
    <w:uiPriority w:val="0"/>
  </w:style>
  <w:style w:type="character" w:customStyle="1" w:styleId="37">
    <w:name w:val="正文文本缩进 字符"/>
    <w:basedOn w:val="26"/>
    <w:link w:val="8"/>
    <w:qFormat/>
    <w:uiPriority w:val="0"/>
    <w:rPr>
      <w:rFonts w:ascii="Times New Roman" w:hAnsi="Times New Roman" w:eastAsia="Times New Roman" w:cs="Times New Roman"/>
      <w:sz w:val="24"/>
      <w:szCs w:val="30"/>
    </w:rPr>
  </w:style>
  <w:style w:type="character" w:customStyle="1" w:styleId="38">
    <w:name w:val="正文文本缩进 2 字符"/>
    <w:basedOn w:val="26"/>
    <w:link w:val="12"/>
    <w:qFormat/>
    <w:uiPriority w:val="0"/>
    <w:rPr>
      <w:rFonts w:ascii="宋体" w:hAnsi="宋体" w:eastAsia="宋体" w:cs="Times New Roman"/>
      <w:sz w:val="28"/>
      <w:szCs w:val="20"/>
    </w:rPr>
  </w:style>
  <w:style w:type="character" w:customStyle="1" w:styleId="39">
    <w:name w:val="正文文本缩进 3 字符"/>
    <w:basedOn w:val="26"/>
    <w:link w:val="19"/>
    <w:qFormat/>
    <w:uiPriority w:val="0"/>
    <w:rPr>
      <w:rFonts w:ascii="仿宋" w:hAnsi="宋体" w:eastAsia="仿宋" w:cs="Arial"/>
      <w:color w:val="000000"/>
      <w:sz w:val="24"/>
      <w:szCs w:val="24"/>
    </w:rPr>
  </w:style>
  <w:style w:type="character" w:customStyle="1" w:styleId="40">
    <w:name w:val="批注框文本 字符"/>
    <w:basedOn w:val="26"/>
    <w:link w:val="13"/>
    <w:semiHidden/>
    <w:qFormat/>
    <w:uiPriority w:val="0"/>
    <w:rPr>
      <w:rFonts w:ascii="Times New Roman" w:hAnsi="Times New Roman" w:eastAsia="宋体" w:cs="Times New Roman"/>
      <w:sz w:val="18"/>
      <w:szCs w:val="18"/>
    </w:rPr>
  </w:style>
  <w:style w:type="character" w:customStyle="1" w:styleId="41">
    <w:name w:val="页眉 字符"/>
    <w:basedOn w:val="26"/>
    <w:link w:val="15"/>
    <w:qFormat/>
    <w:uiPriority w:val="0"/>
    <w:rPr>
      <w:rFonts w:ascii="Times New Roman" w:hAnsi="Times New Roman" w:eastAsia="宋体" w:cs="Times New Roman"/>
      <w:sz w:val="18"/>
      <w:szCs w:val="18"/>
    </w:rPr>
  </w:style>
  <w:style w:type="paragraph" w:customStyle="1" w:styleId="42">
    <w:name w:val="Char"/>
    <w:basedOn w:val="1"/>
    <w:qFormat/>
    <w:uiPriority w:val="0"/>
  </w:style>
  <w:style w:type="paragraph" w:customStyle="1" w:styleId="43">
    <w:name w:val="Char1"/>
    <w:basedOn w:val="1"/>
    <w:autoRedefine/>
    <w:qFormat/>
    <w:uiPriority w:val="0"/>
    <w:pPr>
      <w:tabs>
        <w:tab w:val="left" w:pos="832"/>
      </w:tabs>
      <w:ind w:left="832" w:hanging="420"/>
      <w:jc w:val="center"/>
    </w:pPr>
    <w:rPr>
      <w:rFonts w:ascii="楷体_GB2312" w:eastAsia="楷体_GB2312"/>
      <w:b/>
      <w:color w:val="000080"/>
      <w:sz w:val="30"/>
      <w:szCs w:val="30"/>
    </w:rPr>
  </w:style>
  <w:style w:type="paragraph" w:customStyle="1" w:styleId="44">
    <w:name w:val="Char Char Char"/>
    <w:basedOn w:val="1"/>
    <w:qFormat/>
    <w:uiPriority w:val="0"/>
  </w:style>
  <w:style w:type="character" w:customStyle="1" w:styleId="45">
    <w:name w:val="批注文字 字符"/>
    <w:basedOn w:val="26"/>
    <w:link w:val="6"/>
    <w:semiHidden/>
    <w:qFormat/>
    <w:uiPriority w:val="0"/>
    <w:rPr>
      <w:rFonts w:ascii="Times New Roman" w:hAnsi="Times New Roman" w:eastAsia="宋体" w:cs="Times New Roman"/>
      <w:szCs w:val="24"/>
    </w:rPr>
  </w:style>
  <w:style w:type="paragraph" w:customStyle="1" w:styleId="46">
    <w:name w:val="Char Char Char Char Char Char Char1 Char Char Char Char Char Char"/>
    <w:basedOn w:val="1"/>
    <w:qFormat/>
    <w:uiPriority w:val="0"/>
  </w:style>
  <w:style w:type="paragraph" w:customStyle="1" w:styleId="47">
    <w:name w:val="Char Char"/>
    <w:basedOn w:val="1"/>
    <w:qFormat/>
    <w:uiPriority w:val="0"/>
    <w:rPr>
      <w:szCs w:val="20"/>
    </w:rPr>
  </w:style>
  <w:style w:type="character" w:customStyle="1" w:styleId="48">
    <w:name w:val="HTML 预设格式 字符"/>
    <w:basedOn w:val="26"/>
    <w:link w:val="22"/>
    <w:qFormat/>
    <w:uiPriority w:val="99"/>
    <w:rPr>
      <w:rFonts w:ascii="宋体" w:hAnsi="宋体" w:eastAsia="宋体" w:cs="宋体"/>
      <w:kern w:val="0"/>
      <w:sz w:val="24"/>
      <w:szCs w:val="24"/>
    </w:rPr>
  </w:style>
  <w:style w:type="character" w:customStyle="1" w:styleId="49">
    <w:name w:val="批注主题 字符"/>
    <w:basedOn w:val="45"/>
    <w:link w:val="24"/>
    <w:qFormat/>
    <w:uiPriority w:val="0"/>
    <w:rPr>
      <w:rFonts w:ascii="Times New Roman" w:hAnsi="Times New Roman" w:eastAsia="宋体" w:cs="Times New Roman"/>
      <w:b/>
      <w:bCs/>
      <w:szCs w:val="24"/>
    </w:rPr>
  </w:style>
  <w:style w:type="paragraph" w:customStyle="1" w:styleId="50">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51">
    <w:name w:val="文档结构图 字符"/>
    <w:basedOn w:val="26"/>
    <w:link w:val="5"/>
    <w:semiHidden/>
    <w:qFormat/>
    <w:uiPriority w:val="99"/>
    <w:rPr>
      <w:rFonts w:ascii="宋体"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C99428-930D-4936-A82B-C2B9F3A60DD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44</Pages>
  <Words>4111</Words>
  <Characters>23433</Characters>
  <Lines>195</Lines>
  <Paragraphs>54</Paragraphs>
  <TotalTime>0</TotalTime>
  <ScaleCrop>false</ScaleCrop>
  <LinksUpToDate>false</LinksUpToDate>
  <CharactersWithSpaces>27490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2017-07-12T01:33:00Z</dcterms:created>
  <dc:creator>方杰</dc:creator>
  <cp:lastModifiedBy>tangl</cp:lastModifiedBy>
  <cp:lastPrinted>2019-11-04T01:44:00Z</cp:lastPrinted>
  <dcterms:modified xsi:type="dcterms:W3CDTF">2026-06-12T02:14:16Z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6FDC8925FD434B91951390173FE492C1_13</vt:lpwstr>
  </property>
</Properties>
</file>