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F0C8C">
      <w:pPr>
        <w:widowControl/>
        <w:jc w:val="center"/>
        <w:rPr>
          <w:rFonts w:hint="eastAsia" w:ascii="宋体" w:hAnsi="宋体" w:eastAsia="宋体"/>
          <w:b/>
          <w:sz w:val="28"/>
          <w:highlight w:val="lightGray"/>
          <w:lang w:val="en-US" w:eastAsia="zh-CN"/>
        </w:rPr>
      </w:pPr>
    </w:p>
    <w:p w14:paraId="54047E1D">
      <w:pPr>
        <w:widowControl/>
        <w:jc w:val="center"/>
        <w:rPr>
          <w:rFonts w:ascii="宋体" w:hAnsi="宋体" w:eastAsia="宋体"/>
          <w:b/>
          <w:sz w:val="28"/>
          <w:highlight w:val="none"/>
        </w:rPr>
      </w:pPr>
    </w:p>
    <w:p w14:paraId="7D1F3460">
      <w:pPr>
        <w:widowControl/>
        <w:jc w:val="center"/>
        <w:rPr>
          <w:rFonts w:ascii="宋体" w:hAnsi="宋体" w:eastAsia="宋体"/>
          <w:b/>
          <w:sz w:val="28"/>
          <w:highlight w:val="none"/>
        </w:rPr>
      </w:pPr>
    </w:p>
    <w:p w14:paraId="1AE6BB7C">
      <w:pPr>
        <w:widowControl/>
        <w:spacing w:line="360" w:lineRule="auto"/>
        <w:jc w:val="center"/>
        <w:rPr>
          <w:rFonts w:hint="eastAsia" w:ascii="宋体" w:hAnsi="宋体" w:eastAsia="宋体"/>
          <w:b/>
          <w:sz w:val="48"/>
          <w:highlight w:val="none"/>
          <w:lang w:eastAsia="zh-CN"/>
        </w:rPr>
      </w:pPr>
      <w:r>
        <w:rPr>
          <w:rFonts w:hint="eastAsia" w:ascii="宋体" w:hAnsi="宋体" w:eastAsia="宋体"/>
          <w:b/>
          <w:sz w:val="48"/>
          <w:highlight w:val="none"/>
          <w:lang w:eastAsia="zh-CN"/>
        </w:rPr>
        <w:t>博时中证有色金属矿业主题交易型开放式指数证券投资基金</w:t>
      </w:r>
    </w:p>
    <w:p w14:paraId="0B7CD72E">
      <w:pPr>
        <w:widowControl/>
        <w:spacing w:line="360" w:lineRule="auto"/>
        <w:jc w:val="center"/>
        <w:rPr>
          <w:rFonts w:hint="eastAsia" w:ascii="宋体" w:hAnsi="宋体" w:eastAsia="宋体"/>
          <w:b/>
          <w:sz w:val="28"/>
          <w:highlight w:val="none"/>
          <w:lang w:eastAsia="zh-CN"/>
        </w:rPr>
      </w:pPr>
      <w:r>
        <w:rPr>
          <w:rFonts w:hint="eastAsia" w:ascii="宋体" w:hAnsi="宋体" w:eastAsia="宋体"/>
          <w:b/>
          <w:sz w:val="48"/>
          <w:highlight w:val="none"/>
        </w:rPr>
        <w:t>上市交易公告书</w:t>
      </w:r>
    </w:p>
    <w:p w14:paraId="7A4BD98C">
      <w:pPr>
        <w:widowControl/>
        <w:spacing w:line="360" w:lineRule="auto"/>
        <w:jc w:val="center"/>
        <w:rPr>
          <w:rFonts w:ascii="宋体" w:hAnsi="宋体" w:eastAsia="宋体"/>
          <w:b/>
          <w:sz w:val="28"/>
          <w:highlight w:val="none"/>
        </w:rPr>
      </w:pPr>
    </w:p>
    <w:p w14:paraId="6F623F58">
      <w:pPr>
        <w:widowControl/>
        <w:spacing w:line="360" w:lineRule="auto"/>
        <w:jc w:val="center"/>
        <w:rPr>
          <w:rFonts w:ascii="宋体" w:hAnsi="宋体" w:eastAsia="宋体"/>
          <w:b/>
          <w:sz w:val="28"/>
          <w:highlight w:val="none"/>
        </w:rPr>
      </w:pPr>
    </w:p>
    <w:p w14:paraId="3FCF6F9A">
      <w:pPr>
        <w:widowControl/>
        <w:spacing w:line="360" w:lineRule="auto"/>
        <w:jc w:val="center"/>
        <w:rPr>
          <w:rFonts w:ascii="宋体" w:hAnsi="宋体" w:eastAsia="宋体"/>
          <w:b/>
          <w:sz w:val="28"/>
          <w:highlight w:val="none"/>
        </w:rPr>
      </w:pPr>
    </w:p>
    <w:p w14:paraId="722BE02A">
      <w:pPr>
        <w:widowControl/>
        <w:spacing w:line="360" w:lineRule="auto"/>
        <w:jc w:val="center"/>
        <w:rPr>
          <w:rFonts w:ascii="宋体" w:hAnsi="宋体" w:eastAsia="宋体"/>
          <w:b/>
          <w:sz w:val="28"/>
          <w:highlight w:val="none"/>
        </w:rPr>
      </w:pPr>
    </w:p>
    <w:p w14:paraId="1529A9D0">
      <w:pPr>
        <w:widowControl/>
        <w:spacing w:line="360" w:lineRule="auto"/>
        <w:jc w:val="center"/>
        <w:rPr>
          <w:rFonts w:ascii="宋体" w:hAnsi="宋体" w:eastAsia="宋体"/>
          <w:b/>
          <w:sz w:val="36"/>
          <w:highlight w:val="none"/>
        </w:rPr>
      </w:pPr>
      <w:r>
        <w:rPr>
          <w:rFonts w:hint="eastAsia" w:ascii="宋体" w:hAnsi="宋体" w:eastAsia="宋体"/>
          <w:b/>
          <w:sz w:val="36"/>
          <w:highlight w:val="none"/>
          <w:lang w:val="en-US" w:eastAsia="zh-CN"/>
        </w:rPr>
        <w:t xml:space="preserve">    </w:t>
      </w:r>
      <w:r>
        <w:rPr>
          <w:rFonts w:hint="eastAsia" w:ascii="宋体" w:hAnsi="宋体" w:eastAsia="宋体"/>
          <w:b/>
          <w:sz w:val="36"/>
          <w:highlight w:val="none"/>
        </w:rPr>
        <w:t>基金管理人</w:t>
      </w:r>
      <w:r>
        <w:rPr>
          <w:rFonts w:ascii="宋体" w:hAnsi="宋体" w:eastAsia="宋体"/>
          <w:b/>
          <w:sz w:val="36"/>
          <w:highlight w:val="none"/>
        </w:rPr>
        <w:t>: 博时基金管理有限公司</w:t>
      </w:r>
    </w:p>
    <w:p w14:paraId="248AEB32">
      <w:pPr>
        <w:widowControl/>
        <w:spacing w:line="360" w:lineRule="auto"/>
        <w:jc w:val="center"/>
        <w:rPr>
          <w:rFonts w:hint="eastAsia" w:ascii="宋体" w:hAnsi="宋体" w:eastAsia="宋体"/>
          <w:b/>
          <w:sz w:val="36"/>
          <w:highlight w:val="none"/>
          <w:lang w:eastAsia="zh-CN"/>
        </w:rPr>
      </w:pPr>
      <w:r>
        <w:rPr>
          <w:rFonts w:hint="eastAsia" w:ascii="宋体" w:hAnsi="宋体" w:eastAsia="宋体"/>
          <w:b/>
          <w:sz w:val="36"/>
          <w:highlight w:val="none"/>
        </w:rPr>
        <w:t xml:space="preserve"> </w:t>
      </w:r>
      <w:r>
        <w:rPr>
          <w:rFonts w:ascii="宋体" w:hAnsi="宋体" w:eastAsia="宋体"/>
          <w:b/>
          <w:sz w:val="36"/>
          <w:highlight w:val="none"/>
        </w:rPr>
        <w:t xml:space="preserve">   </w:t>
      </w:r>
      <w:r>
        <w:rPr>
          <w:rFonts w:hint="eastAsia" w:ascii="宋体" w:hAnsi="宋体" w:eastAsia="宋体"/>
          <w:b/>
          <w:sz w:val="36"/>
          <w:highlight w:val="none"/>
        </w:rPr>
        <w:t>基金托管人</w:t>
      </w:r>
      <w:r>
        <w:rPr>
          <w:rFonts w:ascii="宋体" w:hAnsi="宋体" w:eastAsia="宋体"/>
          <w:b/>
          <w:sz w:val="36"/>
          <w:highlight w:val="none"/>
        </w:rPr>
        <w:t xml:space="preserve">: </w:t>
      </w:r>
      <w:r>
        <w:rPr>
          <w:rFonts w:hint="eastAsia" w:ascii="宋体" w:hAnsi="宋体" w:eastAsia="宋体"/>
          <w:b/>
          <w:sz w:val="36"/>
          <w:highlight w:val="none"/>
          <w:lang w:eastAsia="zh-CN"/>
        </w:rPr>
        <w:t xml:space="preserve">交通银行股份有限公司 </w:t>
      </w:r>
    </w:p>
    <w:p w14:paraId="0BD306BE">
      <w:pPr>
        <w:widowControl/>
        <w:spacing w:line="360" w:lineRule="auto"/>
        <w:ind w:firstLine="1807" w:firstLineChars="500"/>
        <w:rPr>
          <w:rFonts w:ascii="宋体" w:hAnsi="宋体" w:eastAsia="宋体"/>
          <w:b/>
          <w:sz w:val="36"/>
          <w:highlight w:val="none"/>
        </w:rPr>
      </w:pPr>
      <w:r>
        <w:rPr>
          <w:rFonts w:hint="eastAsia" w:ascii="宋体" w:hAnsi="宋体" w:eastAsia="宋体"/>
          <w:b/>
          <w:sz w:val="36"/>
          <w:highlight w:val="none"/>
        </w:rPr>
        <w:t>上市地点</w:t>
      </w:r>
      <w:r>
        <w:rPr>
          <w:rFonts w:ascii="宋体" w:hAnsi="宋体" w:eastAsia="宋体"/>
          <w:b/>
          <w:sz w:val="36"/>
          <w:highlight w:val="none"/>
        </w:rPr>
        <w:t>: 上海证券交易所</w:t>
      </w:r>
    </w:p>
    <w:p w14:paraId="39504FDE">
      <w:pPr>
        <w:widowControl/>
        <w:spacing w:line="360" w:lineRule="auto"/>
        <w:ind w:firstLine="1807" w:firstLineChars="500"/>
        <w:rPr>
          <w:rFonts w:hint="eastAsia" w:ascii="宋体" w:hAnsi="宋体" w:eastAsia="宋体"/>
          <w:b/>
          <w:sz w:val="36"/>
          <w:highlight w:val="none"/>
          <w:lang w:eastAsia="zh-CN"/>
        </w:rPr>
      </w:pPr>
      <w:r>
        <w:rPr>
          <w:rFonts w:hint="eastAsia" w:ascii="宋体" w:hAnsi="宋体" w:eastAsia="宋体"/>
          <w:b/>
          <w:sz w:val="36"/>
          <w:highlight w:val="none"/>
        </w:rPr>
        <w:t>上市时间</w:t>
      </w:r>
      <w:r>
        <w:rPr>
          <w:rFonts w:ascii="宋体" w:hAnsi="宋体" w:eastAsia="宋体"/>
          <w:b/>
          <w:sz w:val="36"/>
          <w:highlight w:val="none"/>
        </w:rPr>
        <w:t xml:space="preserve">: </w:t>
      </w:r>
      <w:r>
        <w:rPr>
          <w:rFonts w:hint="eastAsia" w:ascii="宋体" w:hAnsi="宋体" w:eastAsia="宋体"/>
          <w:b/>
          <w:sz w:val="36"/>
          <w:highlight w:val="none"/>
          <w:lang w:eastAsia="zh-CN"/>
        </w:rPr>
        <w:t>2026年9月28日</w:t>
      </w:r>
    </w:p>
    <w:p w14:paraId="46AC297B">
      <w:pPr>
        <w:widowControl/>
        <w:spacing w:line="360" w:lineRule="auto"/>
        <w:ind w:firstLine="1807" w:firstLineChars="500"/>
        <w:rPr>
          <w:rFonts w:hint="eastAsia" w:ascii="宋体" w:hAnsi="宋体" w:eastAsia="宋体"/>
          <w:b/>
          <w:sz w:val="36"/>
          <w:highlight w:val="none"/>
          <w:lang w:eastAsia="zh-CN"/>
        </w:rPr>
        <w:sectPr>
          <w:headerReference r:id="rId3" w:type="default"/>
          <w:footerReference r:id="rId4" w:type="default"/>
          <w:pgSz w:w="11906" w:h="16838"/>
          <w:pgMar w:top="1440" w:right="1803" w:bottom="1440" w:left="1803" w:header="851" w:footer="992" w:gutter="0"/>
          <w:cols w:space="425" w:num="1"/>
          <w:docGrid w:type="lines" w:linePitch="312" w:charSpace="0"/>
        </w:sectPr>
      </w:pPr>
      <w:r>
        <w:rPr>
          <w:rFonts w:hint="eastAsia" w:ascii="宋体" w:hAnsi="宋体" w:eastAsia="宋体"/>
          <w:b/>
          <w:sz w:val="36"/>
          <w:highlight w:val="none"/>
        </w:rPr>
        <w:t>公告日期</w:t>
      </w:r>
      <w:r>
        <w:rPr>
          <w:rFonts w:ascii="宋体" w:hAnsi="宋体" w:eastAsia="宋体"/>
          <w:b/>
          <w:sz w:val="36"/>
          <w:highlight w:val="none"/>
        </w:rPr>
        <w:t xml:space="preserve">: </w:t>
      </w:r>
      <w:r>
        <w:rPr>
          <w:rFonts w:hint="eastAsia" w:ascii="宋体" w:hAnsi="宋体" w:eastAsia="宋体"/>
          <w:b/>
          <w:sz w:val="36"/>
          <w:highlight w:val="none"/>
          <w:lang w:eastAsia="zh-CN"/>
        </w:rPr>
        <w:t>2026年9月22日</w:t>
      </w:r>
    </w:p>
    <w:p w14:paraId="5064549D">
      <w:pPr>
        <w:widowControl/>
        <w:spacing w:line="360" w:lineRule="auto"/>
        <w:jc w:val="center"/>
        <w:rPr>
          <w:rFonts w:hint="eastAsia" w:ascii="宋体" w:hAnsi="宋体" w:eastAsia="宋体"/>
          <w:b/>
          <w:sz w:val="28"/>
          <w:highlight w:val="none"/>
        </w:rPr>
      </w:pPr>
      <w:r>
        <w:rPr>
          <w:rFonts w:hint="eastAsia" w:ascii="宋体" w:hAnsi="宋体" w:eastAsia="宋体"/>
          <w:b/>
          <w:sz w:val="28"/>
          <w:highlight w:val="none"/>
        </w:rPr>
        <w:t>目录</w:t>
      </w:r>
      <w:bookmarkStart w:id="78" w:name="_GoBack"/>
      <w:bookmarkEnd w:id="78"/>
    </w:p>
    <w:p w14:paraId="0885BEA2">
      <w:pPr>
        <w:pStyle w:val="5"/>
        <w:rPr>
          <w:highlight w:val="none"/>
        </w:rPr>
      </w:pPr>
    </w:p>
    <w:p w14:paraId="1245B4BC">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TOC \o "1-2" \f 8 \h \t "2" </w:instrText>
      </w:r>
      <w:r>
        <w:rPr>
          <w:rFonts w:ascii="宋体" w:hAnsi="宋体" w:eastAsia="宋体"/>
          <w:highlight w:val="none"/>
        </w:rPr>
        <w:fldChar w:fldCharType="separate"/>
      </w:r>
      <w:r>
        <w:rPr>
          <w:rFonts w:ascii="宋体" w:hAnsi="宋体" w:eastAsia="宋体"/>
          <w:highlight w:val="none"/>
        </w:rPr>
        <w:fldChar w:fldCharType="begin"/>
      </w:r>
      <w:r>
        <w:rPr>
          <w:rFonts w:ascii="宋体" w:hAnsi="宋体" w:eastAsia="宋体"/>
          <w:highlight w:val="none"/>
        </w:rPr>
        <w:instrText xml:space="preserve"> HYPERLINK \l _Toc16628 </w:instrText>
      </w:r>
      <w:r>
        <w:rPr>
          <w:rFonts w:ascii="宋体" w:hAnsi="宋体" w:eastAsia="宋体"/>
          <w:highlight w:val="none"/>
        </w:rPr>
        <w:fldChar w:fldCharType="separate"/>
      </w:r>
      <w:r>
        <w:rPr>
          <w:rFonts w:hint="eastAsia" w:ascii="宋体" w:hAnsi="宋体" w:eastAsia="宋体"/>
          <w:highlight w:val="none"/>
        </w:rPr>
        <w:t>一、重要声明与提示</w:t>
      </w:r>
      <w:r>
        <w:rPr>
          <w:highlight w:val="none"/>
        </w:rPr>
        <w:tab/>
      </w:r>
      <w:r>
        <w:rPr>
          <w:highlight w:val="none"/>
        </w:rPr>
        <w:fldChar w:fldCharType="begin"/>
      </w:r>
      <w:r>
        <w:rPr>
          <w:highlight w:val="none"/>
        </w:rPr>
        <w:instrText xml:space="preserve"> PAGEREF _Toc16628 \h </w:instrText>
      </w:r>
      <w:r>
        <w:rPr>
          <w:highlight w:val="none"/>
        </w:rPr>
        <w:fldChar w:fldCharType="separate"/>
      </w:r>
      <w:r>
        <w:rPr>
          <w:highlight w:val="none"/>
        </w:rPr>
        <w:t>3</w:t>
      </w:r>
      <w:r>
        <w:rPr>
          <w:highlight w:val="none"/>
        </w:rPr>
        <w:fldChar w:fldCharType="end"/>
      </w:r>
      <w:r>
        <w:rPr>
          <w:rFonts w:ascii="宋体" w:hAnsi="宋体" w:eastAsia="宋体"/>
          <w:highlight w:val="none"/>
        </w:rPr>
        <w:fldChar w:fldCharType="end"/>
      </w:r>
    </w:p>
    <w:p w14:paraId="3B690586">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_Toc1668 </w:instrText>
      </w:r>
      <w:r>
        <w:rPr>
          <w:rFonts w:ascii="宋体" w:hAnsi="宋体" w:eastAsia="宋体"/>
          <w:highlight w:val="none"/>
        </w:rPr>
        <w:fldChar w:fldCharType="separate"/>
      </w:r>
      <w:r>
        <w:rPr>
          <w:rFonts w:hint="eastAsia" w:ascii="宋体" w:hAnsi="宋体" w:eastAsia="宋体"/>
          <w:highlight w:val="none"/>
        </w:rPr>
        <w:t>二、基金概览</w:t>
      </w:r>
      <w:r>
        <w:rPr>
          <w:highlight w:val="none"/>
        </w:rPr>
        <w:tab/>
      </w:r>
      <w:r>
        <w:rPr>
          <w:highlight w:val="none"/>
        </w:rPr>
        <w:fldChar w:fldCharType="begin"/>
      </w:r>
      <w:r>
        <w:rPr>
          <w:highlight w:val="none"/>
        </w:rPr>
        <w:instrText xml:space="preserve"> PAGEREF _Toc1668 \h </w:instrText>
      </w:r>
      <w:r>
        <w:rPr>
          <w:highlight w:val="none"/>
        </w:rPr>
        <w:fldChar w:fldCharType="separate"/>
      </w:r>
      <w:r>
        <w:rPr>
          <w:highlight w:val="none"/>
        </w:rPr>
        <w:t>4</w:t>
      </w:r>
      <w:r>
        <w:rPr>
          <w:highlight w:val="none"/>
        </w:rPr>
        <w:fldChar w:fldCharType="end"/>
      </w:r>
      <w:r>
        <w:rPr>
          <w:rFonts w:ascii="宋体" w:hAnsi="宋体" w:eastAsia="宋体"/>
          <w:highlight w:val="none"/>
        </w:rPr>
        <w:fldChar w:fldCharType="end"/>
      </w:r>
    </w:p>
    <w:p w14:paraId="74C426C7">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_Toc3997 </w:instrText>
      </w:r>
      <w:r>
        <w:rPr>
          <w:rFonts w:ascii="宋体" w:hAnsi="宋体" w:eastAsia="宋体"/>
          <w:highlight w:val="none"/>
        </w:rPr>
        <w:fldChar w:fldCharType="separate"/>
      </w:r>
      <w:r>
        <w:rPr>
          <w:rFonts w:hint="eastAsia" w:ascii="宋体" w:hAnsi="宋体" w:eastAsia="宋体"/>
          <w:highlight w:val="none"/>
        </w:rPr>
        <w:t>三、基金的募集与上市交易</w:t>
      </w:r>
      <w:r>
        <w:rPr>
          <w:highlight w:val="none"/>
        </w:rPr>
        <w:tab/>
      </w:r>
      <w:r>
        <w:rPr>
          <w:highlight w:val="none"/>
        </w:rPr>
        <w:fldChar w:fldCharType="begin"/>
      </w:r>
      <w:r>
        <w:rPr>
          <w:highlight w:val="none"/>
        </w:rPr>
        <w:instrText xml:space="preserve"> PAGEREF _Toc3997 \h </w:instrText>
      </w:r>
      <w:r>
        <w:rPr>
          <w:highlight w:val="none"/>
        </w:rPr>
        <w:fldChar w:fldCharType="separate"/>
      </w:r>
      <w:r>
        <w:rPr>
          <w:highlight w:val="none"/>
        </w:rPr>
        <w:t>5</w:t>
      </w:r>
      <w:r>
        <w:rPr>
          <w:highlight w:val="none"/>
        </w:rPr>
        <w:fldChar w:fldCharType="end"/>
      </w:r>
      <w:r>
        <w:rPr>
          <w:rFonts w:ascii="宋体" w:hAnsi="宋体" w:eastAsia="宋体"/>
          <w:highlight w:val="none"/>
        </w:rPr>
        <w:fldChar w:fldCharType="end"/>
      </w:r>
    </w:p>
    <w:p w14:paraId="0B40AFE7">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_Toc20520 </w:instrText>
      </w:r>
      <w:r>
        <w:rPr>
          <w:rFonts w:ascii="宋体" w:hAnsi="宋体" w:eastAsia="宋体"/>
          <w:highlight w:val="none"/>
        </w:rPr>
        <w:fldChar w:fldCharType="separate"/>
      </w:r>
      <w:r>
        <w:rPr>
          <w:rFonts w:hint="eastAsia" w:ascii="宋体" w:hAnsi="宋体" w:eastAsia="宋体"/>
          <w:highlight w:val="none"/>
        </w:rPr>
        <w:t>四、持有人户数、持有人结构及前十名持有人</w:t>
      </w:r>
      <w:r>
        <w:rPr>
          <w:highlight w:val="none"/>
        </w:rPr>
        <w:tab/>
      </w:r>
      <w:r>
        <w:rPr>
          <w:highlight w:val="none"/>
        </w:rPr>
        <w:fldChar w:fldCharType="begin"/>
      </w:r>
      <w:r>
        <w:rPr>
          <w:highlight w:val="none"/>
        </w:rPr>
        <w:instrText xml:space="preserve"> PAGEREF _Toc20520 \h </w:instrText>
      </w:r>
      <w:r>
        <w:rPr>
          <w:highlight w:val="none"/>
        </w:rPr>
        <w:fldChar w:fldCharType="separate"/>
      </w:r>
      <w:r>
        <w:rPr>
          <w:highlight w:val="none"/>
        </w:rPr>
        <w:t>8</w:t>
      </w:r>
      <w:r>
        <w:rPr>
          <w:highlight w:val="none"/>
        </w:rPr>
        <w:fldChar w:fldCharType="end"/>
      </w:r>
      <w:r>
        <w:rPr>
          <w:rFonts w:ascii="宋体" w:hAnsi="宋体" w:eastAsia="宋体"/>
          <w:highlight w:val="none"/>
        </w:rPr>
        <w:fldChar w:fldCharType="end"/>
      </w:r>
    </w:p>
    <w:p w14:paraId="16655098">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_Toc32626 </w:instrText>
      </w:r>
      <w:r>
        <w:rPr>
          <w:rFonts w:ascii="宋体" w:hAnsi="宋体" w:eastAsia="宋体"/>
          <w:highlight w:val="none"/>
        </w:rPr>
        <w:fldChar w:fldCharType="separate"/>
      </w:r>
      <w:r>
        <w:rPr>
          <w:rFonts w:hint="eastAsia" w:ascii="宋体" w:hAnsi="宋体" w:eastAsia="宋体"/>
          <w:highlight w:val="none"/>
        </w:rPr>
        <w:t>五、基金主要当事人简介</w:t>
      </w:r>
      <w:r>
        <w:rPr>
          <w:highlight w:val="none"/>
        </w:rPr>
        <w:tab/>
      </w:r>
      <w:r>
        <w:rPr>
          <w:highlight w:val="none"/>
        </w:rPr>
        <w:fldChar w:fldCharType="begin"/>
      </w:r>
      <w:r>
        <w:rPr>
          <w:highlight w:val="none"/>
        </w:rPr>
        <w:instrText xml:space="preserve"> PAGEREF _Toc32626 \h </w:instrText>
      </w:r>
      <w:r>
        <w:rPr>
          <w:highlight w:val="none"/>
        </w:rPr>
        <w:fldChar w:fldCharType="separate"/>
      </w:r>
      <w:r>
        <w:rPr>
          <w:highlight w:val="none"/>
        </w:rPr>
        <w:t>8</w:t>
      </w:r>
      <w:r>
        <w:rPr>
          <w:highlight w:val="none"/>
        </w:rPr>
        <w:fldChar w:fldCharType="end"/>
      </w:r>
      <w:r>
        <w:rPr>
          <w:rFonts w:ascii="宋体" w:hAnsi="宋体" w:eastAsia="宋体"/>
          <w:highlight w:val="none"/>
        </w:rPr>
        <w:fldChar w:fldCharType="end"/>
      </w:r>
    </w:p>
    <w:p w14:paraId="7929249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_Toc20861 </w:instrText>
      </w:r>
      <w:r>
        <w:rPr>
          <w:rFonts w:ascii="宋体" w:hAnsi="宋体" w:eastAsia="宋体"/>
          <w:highlight w:val="none"/>
        </w:rPr>
        <w:fldChar w:fldCharType="separate"/>
      </w:r>
      <w:r>
        <w:rPr>
          <w:rFonts w:hint="eastAsia" w:ascii="宋体" w:hAnsi="宋体" w:eastAsia="宋体"/>
          <w:highlight w:val="none"/>
        </w:rPr>
        <w:t>六、基金合同摘要</w:t>
      </w:r>
      <w:r>
        <w:rPr>
          <w:highlight w:val="none"/>
        </w:rPr>
        <w:tab/>
      </w:r>
      <w:r>
        <w:rPr>
          <w:highlight w:val="none"/>
        </w:rPr>
        <w:fldChar w:fldCharType="begin"/>
      </w:r>
      <w:r>
        <w:rPr>
          <w:highlight w:val="none"/>
        </w:rPr>
        <w:instrText xml:space="preserve"> PAGEREF _Toc20861 \h </w:instrText>
      </w:r>
      <w:r>
        <w:rPr>
          <w:highlight w:val="none"/>
        </w:rPr>
        <w:fldChar w:fldCharType="separate"/>
      </w:r>
      <w:r>
        <w:rPr>
          <w:highlight w:val="none"/>
        </w:rPr>
        <w:t>18</w:t>
      </w:r>
      <w:r>
        <w:rPr>
          <w:highlight w:val="none"/>
        </w:rPr>
        <w:fldChar w:fldCharType="end"/>
      </w:r>
      <w:r>
        <w:rPr>
          <w:rFonts w:ascii="宋体" w:hAnsi="宋体" w:eastAsia="宋体"/>
          <w:highlight w:val="none"/>
        </w:rPr>
        <w:fldChar w:fldCharType="end"/>
      </w:r>
    </w:p>
    <w:p w14:paraId="26D02FB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_Toc25489 </w:instrText>
      </w:r>
      <w:r>
        <w:rPr>
          <w:rFonts w:ascii="宋体" w:hAnsi="宋体" w:eastAsia="宋体"/>
          <w:highlight w:val="none"/>
        </w:rPr>
        <w:fldChar w:fldCharType="separate"/>
      </w:r>
      <w:r>
        <w:rPr>
          <w:rFonts w:hint="eastAsia" w:ascii="宋体" w:hAnsi="宋体" w:eastAsia="宋体"/>
          <w:highlight w:val="none"/>
        </w:rPr>
        <w:t>七、基金财务状况</w:t>
      </w:r>
      <w:r>
        <w:rPr>
          <w:highlight w:val="none"/>
        </w:rPr>
        <w:tab/>
      </w:r>
      <w:r>
        <w:rPr>
          <w:highlight w:val="none"/>
        </w:rPr>
        <w:fldChar w:fldCharType="begin"/>
      </w:r>
      <w:r>
        <w:rPr>
          <w:highlight w:val="none"/>
        </w:rPr>
        <w:instrText xml:space="preserve"> PAGEREF _Toc25489 \h </w:instrText>
      </w:r>
      <w:r>
        <w:rPr>
          <w:highlight w:val="none"/>
        </w:rPr>
        <w:fldChar w:fldCharType="separate"/>
      </w:r>
      <w:r>
        <w:rPr>
          <w:highlight w:val="none"/>
        </w:rPr>
        <w:t>19</w:t>
      </w:r>
      <w:r>
        <w:rPr>
          <w:highlight w:val="none"/>
        </w:rPr>
        <w:fldChar w:fldCharType="end"/>
      </w:r>
      <w:r>
        <w:rPr>
          <w:rFonts w:ascii="宋体" w:hAnsi="宋体" w:eastAsia="宋体"/>
          <w:highlight w:val="none"/>
        </w:rPr>
        <w:fldChar w:fldCharType="end"/>
      </w:r>
    </w:p>
    <w:p w14:paraId="3A77DD7F">
      <w:pPr>
        <w:pStyle w:val="8"/>
        <w:keepNext w:val="0"/>
        <w:keepLines w:val="0"/>
        <w:pageBreakBefore w:val="0"/>
        <w:widowControl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_Toc23786 </w:instrText>
      </w:r>
      <w:r>
        <w:rPr>
          <w:rFonts w:ascii="宋体" w:hAnsi="宋体" w:eastAsia="宋体"/>
          <w:highlight w:val="none"/>
        </w:rPr>
        <w:fldChar w:fldCharType="separate"/>
      </w:r>
      <w:r>
        <w:rPr>
          <w:rFonts w:hint="eastAsia" w:ascii="宋体" w:hAnsi="宋体" w:eastAsia="宋体" w:cstheme="majorBidi"/>
          <w:highlight w:val="none"/>
        </w:rPr>
        <w:t>八、基金投资组合</w:t>
      </w:r>
      <w:r>
        <w:rPr>
          <w:highlight w:val="none"/>
        </w:rPr>
        <w:tab/>
      </w:r>
      <w:r>
        <w:rPr>
          <w:highlight w:val="none"/>
        </w:rPr>
        <w:fldChar w:fldCharType="begin"/>
      </w:r>
      <w:r>
        <w:rPr>
          <w:highlight w:val="none"/>
        </w:rPr>
        <w:instrText xml:space="preserve"> PAGEREF _Toc23786 \h </w:instrText>
      </w:r>
      <w:r>
        <w:rPr>
          <w:highlight w:val="none"/>
        </w:rPr>
        <w:fldChar w:fldCharType="separate"/>
      </w:r>
      <w:r>
        <w:rPr>
          <w:highlight w:val="none"/>
        </w:rPr>
        <w:t>19</w:t>
      </w:r>
      <w:r>
        <w:rPr>
          <w:highlight w:val="none"/>
        </w:rPr>
        <w:fldChar w:fldCharType="end"/>
      </w:r>
      <w:r>
        <w:rPr>
          <w:rFonts w:ascii="宋体" w:hAnsi="宋体" w:eastAsia="宋体"/>
          <w:highlight w:val="none"/>
        </w:rPr>
        <w:fldChar w:fldCharType="end"/>
      </w:r>
    </w:p>
    <w:p w14:paraId="2822B795">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_Toc18836 </w:instrText>
      </w:r>
      <w:r>
        <w:rPr>
          <w:rFonts w:ascii="宋体" w:hAnsi="宋体" w:eastAsia="宋体"/>
          <w:highlight w:val="none"/>
        </w:rPr>
        <w:fldChar w:fldCharType="separate"/>
      </w:r>
      <w:r>
        <w:rPr>
          <w:rFonts w:hint="eastAsia" w:ascii="宋体" w:hAnsi="宋体" w:eastAsia="宋体"/>
          <w:highlight w:val="none"/>
        </w:rPr>
        <w:t>九、重大事件揭示</w:t>
      </w:r>
      <w:r>
        <w:rPr>
          <w:highlight w:val="none"/>
        </w:rPr>
        <w:tab/>
      </w:r>
      <w:r>
        <w:rPr>
          <w:highlight w:val="none"/>
        </w:rPr>
        <w:fldChar w:fldCharType="begin"/>
      </w:r>
      <w:r>
        <w:rPr>
          <w:highlight w:val="none"/>
        </w:rPr>
        <w:instrText xml:space="preserve"> PAGEREF _Toc18836 \h </w:instrText>
      </w:r>
      <w:r>
        <w:rPr>
          <w:highlight w:val="none"/>
        </w:rPr>
        <w:fldChar w:fldCharType="separate"/>
      </w:r>
      <w:r>
        <w:rPr>
          <w:highlight w:val="none"/>
        </w:rPr>
        <w:t>19</w:t>
      </w:r>
      <w:r>
        <w:rPr>
          <w:highlight w:val="none"/>
        </w:rPr>
        <w:fldChar w:fldCharType="end"/>
      </w:r>
      <w:r>
        <w:rPr>
          <w:rFonts w:ascii="宋体" w:hAnsi="宋体" w:eastAsia="宋体"/>
          <w:highlight w:val="none"/>
        </w:rPr>
        <w:fldChar w:fldCharType="end"/>
      </w:r>
    </w:p>
    <w:p w14:paraId="68EFBBBA">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_Toc802 </w:instrText>
      </w:r>
      <w:r>
        <w:rPr>
          <w:rFonts w:ascii="宋体" w:hAnsi="宋体" w:eastAsia="宋体"/>
          <w:highlight w:val="none"/>
        </w:rPr>
        <w:fldChar w:fldCharType="separate"/>
      </w:r>
      <w:r>
        <w:rPr>
          <w:rFonts w:hint="eastAsia" w:ascii="宋体" w:hAnsi="宋体" w:eastAsia="宋体"/>
          <w:highlight w:val="none"/>
        </w:rPr>
        <w:t>十、基金管理人承诺</w:t>
      </w:r>
      <w:r>
        <w:rPr>
          <w:highlight w:val="none"/>
        </w:rPr>
        <w:tab/>
      </w:r>
      <w:r>
        <w:rPr>
          <w:highlight w:val="none"/>
        </w:rPr>
        <w:fldChar w:fldCharType="begin"/>
      </w:r>
      <w:r>
        <w:rPr>
          <w:highlight w:val="none"/>
        </w:rPr>
        <w:instrText xml:space="preserve"> PAGEREF _Toc802 \h </w:instrText>
      </w:r>
      <w:r>
        <w:rPr>
          <w:highlight w:val="none"/>
        </w:rPr>
        <w:fldChar w:fldCharType="separate"/>
      </w:r>
      <w:r>
        <w:rPr>
          <w:highlight w:val="none"/>
        </w:rPr>
        <w:t>25</w:t>
      </w:r>
      <w:r>
        <w:rPr>
          <w:highlight w:val="none"/>
        </w:rPr>
        <w:fldChar w:fldCharType="end"/>
      </w:r>
      <w:r>
        <w:rPr>
          <w:rFonts w:ascii="宋体" w:hAnsi="宋体" w:eastAsia="宋体"/>
          <w:highlight w:val="none"/>
        </w:rPr>
        <w:fldChar w:fldCharType="end"/>
      </w:r>
    </w:p>
    <w:p w14:paraId="49585908">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_Toc31429 </w:instrText>
      </w:r>
      <w:r>
        <w:rPr>
          <w:rFonts w:ascii="宋体" w:hAnsi="宋体" w:eastAsia="宋体"/>
          <w:highlight w:val="none"/>
        </w:rPr>
        <w:fldChar w:fldCharType="separate"/>
      </w:r>
      <w:r>
        <w:rPr>
          <w:rFonts w:hint="eastAsia" w:ascii="宋体" w:hAnsi="宋体" w:eastAsia="宋体"/>
          <w:highlight w:val="none"/>
        </w:rPr>
        <w:t>十一、基金托管人承诺</w:t>
      </w:r>
      <w:r>
        <w:rPr>
          <w:highlight w:val="none"/>
        </w:rPr>
        <w:tab/>
      </w:r>
      <w:r>
        <w:rPr>
          <w:highlight w:val="none"/>
        </w:rPr>
        <w:fldChar w:fldCharType="begin"/>
      </w:r>
      <w:r>
        <w:rPr>
          <w:highlight w:val="none"/>
        </w:rPr>
        <w:instrText xml:space="preserve"> PAGEREF _Toc31429 \h </w:instrText>
      </w:r>
      <w:r>
        <w:rPr>
          <w:highlight w:val="none"/>
        </w:rPr>
        <w:fldChar w:fldCharType="separate"/>
      </w:r>
      <w:r>
        <w:rPr>
          <w:highlight w:val="none"/>
        </w:rPr>
        <w:t>26</w:t>
      </w:r>
      <w:r>
        <w:rPr>
          <w:highlight w:val="none"/>
        </w:rPr>
        <w:fldChar w:fldCharType="end"/>
      </w:r>
      <w:r>
        <w:rPr>
          <w:rFonts w:ascii="宋体" w:hAnsi="宋体" w:eastAsia="宋体"/>
          <w:highlight w:val="none"/>
        </w:rPr>
        <w:fldChar w:fldCharType="end"/>
      </w:r>
    </w:p>
    <w:p w14:paraId="7DA40C3C">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_Toc32296 </w:instrText>
      </w:r>
      <w:r>
        <w:rPr>
          <w:rFonts w:ascii="宋体" w:hAnsi="宋体" w:eastAsia="宋体"/>
          <w:highlight w:val="none"/>
        </w:rPr>
        <w:fldChar w:fldCharType="separate"/>
      </w:r>
      <w:r>
        <w:rPr>
          <w:rFonts w:hint="eastAsia" w:ascii="宋体" w:hAnsi="宋体" w:eastAsia="宋体"/>
          <w:highlight w:val="none"/>
        </w:rPr>
        <w:t>十二、基金上市推荐人意见</w:t>
      </w:r>
      <w:r>
        <w:rPr>
          <w:highlight w:val="none"/>
        </w:rPr>
        <w:tab/>
      </w:r>
      <w:r>
        <w:rPr>
          <w:highlight w:val="none"/>
        </w:rPr>
        <w:fldChar w:fldCharType="begin"/>
      </w:r>
      <w:r>
        <w:rPr>
          <w:highlight w:val="none"/>
        </w:rPr>
        <w:instrText xml:space="preserve"> PAGEREF _Toc32296 \h </w:instrText>
      </w:r>
      <w:r>
        <w:rPr>
          <w:highlight w:val="none"/>
        </w:rPr>
        <w:fldChar w:fldCharType="separate"/>
      </w:r>
      <w:r>
        <w:rPr>
          <w:highlight w:val="none"/>
        </w:rPr>
        <w:t>27</w:t>
      </w:r>
      <w:r>
        <w:rPr>
          <w:highlight w:val="none"/>
        </w:rPr>
        <w:fldChar w:fldCharType="end"/>
      </w:r>
      <w:r>
        <w:rPr>
          <w:rFonts w:ascii="宋体" w:hAnsi="宋体" w:eastAsia="宋体"/>
          <w:highlight w:val="none"/>
        </w:rPr>
        <w:fldChar w:fldCharType="end"/>
      </w:r>
    </w:p>
    <w:p w14:paraId="4E851841">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_Toc28556 </w:instrText>
      </w:r>
      <w:r>
        <w:rPr>
          <w:rFonts w:ascii="宋体" w:hAnsi="宋体" w:eastAsia="宋体"/>
          <w:highlight w:val="none"/>
        </w:rPr>
        <w:fldChar w:fldCharType="separate"/>
      </w:r>
      <w:r>
        <w:rPr>
          <w:rFonts w:hint="eastAsia" w:ascii="宋体" w:hAnsi="宋体" w:eastAsia="宋体"/>
          <w:highlight w:val="none"/>
        </w:rPr>
        <w:t>十三、备查文件目录</w:t>
      </w:r>
      <w:r>
        <w:rPr>
          <w:highlight w:val="none"/>
        </w:rPr>
        <w:tab/>
      </w:r>
      <w:r>
        <w:rPr>
          <w:highlight w:val="none"/>
        </w:rPr>
        <w:fldChar w:fldCharType="begin"/>
      </w:r>
      <w:r>
        <w:rPr>
          <w:highlight w:val="none"/>
        </w:rPr>
        <w:instrText xml:space="preserve"> PAGEREF _Toc28556 \h </w:instrText>
      </w:r>
      <w:r>
        <w:rPr>
          <w:highlight w:val="none"/>
        </w:rPr>
        <w:fldChar w:fldCharType="separate"/>
      </w:r>
      <w:r>
        <w:rPr>
          <w:highlight w:val="none"/>
        </w:rPr>
        <w:t>28</w:t>
      </w:r>
      <w:r>
        <w:rPr>
          <w:highlight w:val="none"/>
        </w:rPr>
        <w:fldChar w:fldCharType="end"/>
      </w:r>
      <w:r>
        <w:rPr>
          <w:rFonts w:ascii="宋体" w:hAnsi="宋体" w:eastAsia="宋体"/>
          <w:highlight w:val="none"/>
        </w:rPr>
        <w:fldChar w:fldCharType="end"/>
      </w:r>
    </w:p>
    <w:p w14:paraId="15FDC8D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_Toc14698 </w:instrText>
      </w:r>
      <w:r>
        <w:rPr>
          <w:rFonts w:ascii="宋体" w:hAnsi="宋体" w:eastAsia="宋体"/>
          <w:highlight w:val="none"/>
        </w:rPr>
        <w:fldChar w:fldCharType="separate"/>
      </w:r>
      <w:r>
        <w:rPr>
          <w:rFonts w:hint="eastAsia" w:ascii="宋体" w:hAnsi="宋体" w:eastAsia="宋体"/>
          <w:highlight w:val="none"/>
        </w:rPr>
        <w:t>附件：基金合同摘要</w:t>
      </w:r>
      <w:r>
        <w:rPr>
          <w:highlight w:val="none"/>
        </w:rPr>
        <w:tab/>
      </w:r>
      <w:r>
        <w:rPr>
          <w:highlight w:val="none"/>
        </w:rPr>
        <w:fldChar w:fldCharType="begin"/>
      </w:r>
      <w:r>
        <w:rPr>
          <w:highlight w:val="none"/>
        </w:rPr>
        <w:instrText xml:space="preserve"> PAGEREF _Toc14698 \h </w:instrText>
      </w:r>
      <w:r>
        <w:rPr>
          <w:highlight w:val="none"/>
        </w:rPr>
        <w:fldChar w:fldCharType="separate"/>
      </w:r>
      <w:r>
        <w:rPr>
          <w:highlight w:val="none"/>
        </w:rPr>
        <w:t>29</w:t>
      </w:r>
      <w:r>
        <w:rPr>
          <w:highlight w:val="none"/>
        </w:rPr>
        <w:fldChar w:fldCharType="end"/>
      </w:r>
      <w:r>
        <w:rPr>
          <w:rFonts w:ascii="宋体" w:hAnsi="宋体" w:eastAsia="宋体"/>
          <w:highlight w:val="none"/>
        </w:rPr>
        <w:fldChar w:fldCharType="end"/>
      </w:r>
    </w:p>
    <w:p w14:paraId="2AFCE1E1">
      <w:pPr>
        <w:keepNext w:val="0"/>
        <w:keepLines w:val="0"/>
        <w:pageBreakBefore w:val="0"/>
        <w:widowControl/>
        <w:kinsoku/>
        <w:wordWrap/>
        <w:overflowPunct/>
        <w:topLinePunct w:val="0"/>
        <w:autoSpaceDE/>
        <w:autoSpaceDN/>
        <w:bidi w:val="0"/>
        <w:adjustRightInd w:val="0"/>
        <w:snapToGrid w:val="0"/>
        <w:spacing w:line="360" w:lineRule="auto"/>
        <w:ind w:left="-2" w:leftChars="-1"/>
        <w:jc w:val="center"/>
        <w:textAlignment w:val="auto"/>
        <w:rPr>
          <w:rFonts w:ascii="宋体" w:hAnsi="宋体" w:eastAsia="宋体"/>
          <w:highlight w:val="none"/>
        </w:rPr>
        <w:sectPr>
          <w:headerReference r:id="rId5" w:type="default"/>
          <w:pgSz w:w="11906" w:h="16838"/>
          <w:pgMar w:top="1440" w:right="1803" w:bottom="1440" w:left="1803" w:header="851" w:footer="992" w:gutter="0"/>
          <w:cols w:space="425" w:num="1"/>
          <w:docGrid w:type="lines" w:linePitch="312" w:charSpace="0"/>
        </w:sectPr>
      </w:pPr>
      <w:r>
        <w:rPr>
          <w:rFonts w:ascii="宋体" w:hAnsi="宋体" w:eastAsia="宋体"/>
          <w:highlight w:val="none"/>
        </w:rPr>
        <w:fldChar w:fldCharType="end"/>
      </w:r>
    </w:p>
    <w:p w14:paraId="36750FA5">
      <w:pPr>
        <w:pStyle w:val="2"/>
        <w:jc w:val="center"/>
        <w:rPr>
          <w:rFonts w:ascii="宋体" w:hAnsi="宋体" w:eastAsia="宋体"/>
          <w:sz w:val="30"/>
          <w:highlight w:val="none"/>
        </w:rPr>
      </w:pPr>
      <w:bookmarkStart w:id="0" w:name="_Toc16628"/>
      <w:bookmarkStart w:id="1" w:name="chapter_level1_1_56143"/>
      <w:r>
        <w:rPr>
          <w:rFonts w:hint="eastAsia" w:ascii="宋体" w:hAnsi="宋体" w:eastAsia="宋体"/>
          <w:sz w:val="30"/>
          <w:highlight w:val="none"/>
        </w:rPr>
        <w:t>一、重要声明与提示</w:t>
      </w:r>
      <w:bookmarkEnd w:id="0"/>
      <w:bookmarkEnd w:id="1"/>
      <w:bookmarkStart w:id="2" w:name="start"/>
      <w:bookmarkEnd w:id="2"/>
    </w:p>
    <w:p w14:paraId="046CD8CA">
      <w:pPr>
        <w:pStyle w:val="9"/>
        <w:spacing w:before="0" w:beforeAutospacing="0" w:after="0" w:afterAutospacing="0" w:line="360" w:lineRule="auto"/>
        <w:ind w:firstLine="420"/>
        <w:jc w:val="both"/>
        <w:rPr>
          <w:sz w:val="21"/>
          <w:szCs w:val="21"/>
          <w:highlight w:val="none"/>
        </w:rPr>
      </w:pPr>
      <w:bookmarkStart w:id="3" w:name="chapter_level1_1_56143_section_1"/>
      <w:bookmarkEnd w:id="3"/>
      <w:r>
        <w:rPr>
          <w:rFonts w:hint="eastAsia"/>
          <w:sz w:val="21"/>
          <w:szCs w:val="21"/>
          <w:highlight w:val="none"/>
          <w:lang w:eastAsia="zh-CN"/>
        </w:rPr>
        <w:t>博时中证有色金属矿业主题交易型开放式指数证券投资基金</w:t>
      </w:r>
      <w:r>
        <w:rPr>
          <w:rFonts w:hint="eastAsia"/>
          <w:sz w:val="21"/>
          <w:szCs w:val="21"/>
          <w:highlight w:val="none"/>
        </w:rPr>
        <w:t>（以下简称“本基金”）上市交易公告书依据《中华人民共和国证券投资基金法》（以下简称“《基金法》”）、《证券投资基金信息披露内容与格式准则第1号〈上市交易公告书的内容与格式〉》和《上海证券交易所证券投资基金上市规则》的规定编制，</w:t>
      </w:r>
      <w:bookmarkStart w:id="4" w:name="field_0_managerorgfullname_1"/>
      <w:r>
        <w:rPr>
          <w:rFonts w:hint="eastAsia"/>
          <w:sz w:val="21"/>
          <w:szCs w:val="21"/>
          <w:highlight w:val="none"/>
        </w:rPr>
        <w:t>博时基金管理有限公司</w:t>
      </w:r>
      <w:bookmarkEnd w:id="4"/>
      <w:r>
        <w:rPr>
          <w:rFonts w:hint="eastAsia"/>
          <w:sz w:val="21"/>
          <w:szCs w:val="21"/>
          <w:highlight w:val="none"/>
        </w:rPr>
        <w:t>（以下简称“本基金管理人”）的董事会及董事保证本报告所载资料不存在虚假记载、误导性陈述或者重大遗漏，并对其内容的真实性、准确性和完整性承担个别及连带责任。本基金托管人</w:t>
      </w:r>
      <w:r>
        <w:rPr>
          <w:rFonts w:hint="eastAsia"/>
          <w:sz w:val="21"/>
          <w:szCs w:val="21"/>
          <w:highlight w:val="none"/>
          <w:lang w:eastAsia="zh-CN"/>
        </w:rPr>
        <w:t>交通银行股份有限公司</w:t>
      </w:r>
      <w:r>
        <w:rPr>
          <w:rFonts w:hint="eastAsia"/>
          <w:sz w:val="21"/>
          <w:szCs w:val="21"/>
          <w:highlight w:val="none"/>
        </w:rPr>
        <w:t xml:space="preserve">保证本报告书中基金财务会计资料等内容的真实性、准确性和完整性，承诺其中不存在虚假记载、误导性陈述或者重大遗漏。 </w:t>
      </w:r>
    </w:p>
    <w:p w14:paraId="55727205">
      <w:pPr>
        <w:pStyle w:val="9"/>
        <w:spacing w:before="0" w:beforeAutospacing="0" w:after="0" w:afterAutospacing="0" w:line="360" w:lineRule="auto"/>
        <w:ind w:firstLine="420"/>
        <w:jc w:val="both"/>
        <w:rPr>
          <w:rFonts w:ascii="Times New Roman" w:hAnsi="Times New Roman" w:cs="Times New Roman"/>
          <w:sz w:val="21"/>
          <w:szCs w:val="21"/>
          <w:highlight w:val="none"/>
        </w:rPr>
        <w:sectPr>
          <w:pgSz w:w="11906" w:h="16838"/>
          <w:pgMar w:top="1440" w:right="1803" w:bottom="1440" w:left="1803" w:header="851" w:footer="992" w:gutter="0"/>
          <w:cols w:space="425" w:num="1"/>
          <w:docGrid w:type="lines" w:linePitch="312" w:charSpace="0"/>
        </w:sectPr>
      </w:pPr>
      <w:r>
        <w:rPr>
          <w:rFonts w:hint="eastAsia"/>
          <w:sz w:val="21"/>
          <w:szCs w:val="21"/>
          <w:highlight w:val="none"/>
        </w:rPr>
        <w:t>中国证券监督管理委员会（以下简称“中国证监会”）和上海证券交易所对本基金上市交易及有关事项的意见，均不表明对本基金的任何保证。凡本上市交易公告书未涉及的有关内容，投资者欲了解</w:t>
      </w:r>
      <w:r>
        <w:rPr>
          <w:rFonts w:hint="eastAsia"/>
          <w:sz w:val="21"/>
          <w:szCs w:val="21"/>
          <w:highlight w:val="none"/>
          <w:lang w:eastAsia="zh-CN"/>
        </w:rPr>
        <w:t>博时中证有色金属矿业主题交易型开放式指数证券投资基金</w:t>
      </w:r>
      <w:r>
        <w:rPr>
          <w:rFonts w:hint="eastAsia"/>
          <w:sz w:val="21"/>
          <w:szCs w:val="21"/>
          <w:highlight w:val="none"/>
        </w:rPr>
        <w:t>的详细情况，请详细阅读发布在本公司网站</w:t>
      </w:r>
      <w:r>
        <w:rPr>
          <w:rFonts w:ascii="Times New Roman" w:hAnsi="Times New Roman" w:cs="Times New Roman"/>
          <w:sz w:val="21"/>
          <w:szCs w:val="21"/>
          <w:highlight w:val="none"/>
        </w:rPr>
        <w:t>（</w:t>
      </w:r>
      <w:r>
        <w:rPr>
          <w:highlight w:val="none"/>
        </w:rPr>
        <w:fldChar w:fldCharType="begin"/>
      </w:r>
      <w:r>
        <w:rPr>
          <w:highlight w:val="none"/>
        </w:rPr>
        <w:instrText xml:space="preserve"> HYPERLINK "http://www.bosera.com/" </w:instrText>
      </w:r>
      <w:r>
        <w:rPr>
          <w:highlight w:val="none"/>
        </w:rPr>
        <w:fldChar w:fldCharType="separate"/>
      </w:r>
      <w:r>
        <w:rPr>
          <w:rStyle w:val="17"/>
          <w:rFonts w:ascii="Times New Roman" w:hAnsi="Times New Roman" w:cs="Times New Roman"/>
          <w:sz w:val="21"/>
          <w:szCs w:val="21"/>
          <w:highlight w:val="none"/>
        </w:rPr>
        <w:t>http</w:t>
      </w:r>
      <w:r>
        <w:rPr>
          <w:rStyle w:val="17"/>
          <w:rFonts w:hint="eastAsia" w:ascii="Times New Roman" w:hAnsi="Times New Roman" w:cs="Times New Roman"/>
          <w:sz w:val="21"/>
          <w:szCs w:val="21"/>
          <w:highlight w:val="none"/>
          <w:lang w:val="en-US" w:eastAsia="zh-CN"/>
        </w:rPr>
        <w:t>s</w:t>
      </w:r>
      <w:r>
        <w:rPr>
          <w:rStyle w:val="17"/>
          <w:rFonts w:ascii="Times New Roman" w:hAnsi="Times New Roman" w:cs="Times New Roman"/>
          <w:sz w:val="21"/>
          <w:szCs w:val="21"/>
          <w:highlight w:val="none"/>
        </w:rPr>
        <w:t>://www.bosera.com/</w:t>
      </w:r>
      <w:r>
        <w:rPr>
          <w:rStyle w:val="17"/>
          <w:rFonts w:ascii="Times New Roman" w:hAnsi="Times New Roman" w:cs="Times New Roman"/>
          <w:sz w:val="21"/>
          <w:szCs w:val="21"/>
          <w:highlight w:val="none"/>
        </w:rPr>
        <w:fldChar w:fldCharType="end"/>
      </w:r>
      <w:r>
        <w:rPr>
          <w:rFonts w:ascii="Times New Roman" w:hAnsi="Times New Roman" w:cs="Times New Roman"/>
          <w:sz w:val="21"/>
          <w:szCs w:val="21"/>
          <w:highlight w:val="none"/>
        </w:rPr>
        <w:t>）</w:t>
      </w:r>
      <w:r>
        <w:rPr>
          <w:rFonts w:hint="eastAsia"/>
          <w:sz w:val="21"/>
          <w:szCs w:val="21"/>
          <w:highlight w:val="none"/>
        </w:rPr>
        <w:t>和中国证监会基金电子披露网站</w:t>
      </w:r>
      <w:r>
        <w:rPr>
          <w:rFonts w:hint="eastAsia" w:ascii="Times New Roman" w:hAnsi="Times New Roman" w:cs="Times New Roman"/>
          <w:sz w:val="21"/>
          <w:szCs w:val="21"/>
          <w:highlight w:val="none"/>
        </w:rPr>
        <w:t>（http://eid.csrc.gov.cn/fund）</w:t>
      </w:r>
      <w:r>
        <w:rPr>
          <w:rFonts w:hint="eastAsia"/>
          <w:sz w:val="21"/>
          <w:szCs w:val="21"/>
          <w:highlight w:val="none"/>
        </w:rPr>
        <w:t xml:space="preserve">上的本基金招募说明书、产品资料概要。 </w:t>
      </w:r>
    </w:p>
    <w:p w14:paraId="30D5110F">
      <w:pPr>
        <w:pStyle w:val="2"/>
        <w:jc w:val="center"/>
        <w:rPr>
          <w:rFonts w:ascii="宋体" w:hAnsi="宋体" w:eastAsia="宋体"/>
          <w:sz w:val="30"/>
          <w:highlight w:val="none"/>
        </w:rPr>
      </w:pPr>
      <w:bookmarkStart w:id="5" w:name="chapter_level1_2_56144"/>
      <w:bookmarkStart w:id="6" w:name="_Toc1668"/>
      <w:r>
        <w:rPr>
          <w:rFonts w:hint="eastAsia" w:ascii="宋体" w:hAnsi="宋体" w:eastAsia="宋体"/>
          <w:sz w:val="30"/>
          <w:highlight w:val="none"/>
        </w:rPr>
        <w:t>二、基金概览</w:t>
      </w:r>
      <w:bookmarkEnd w:id="5"/>
      <w:bookmarkEnd w:id="6"/>
    </w:p>
    <w:p w14:paraId="07CB11AE">
      <w:pPr>
        <w:pStyle w:val="9"/>
        <w:spacing w:before="0" w:beforeAutospacing="0" w:after="0" w:afterAutospacing="0" w:line="360" w:lineRule="auto"/>
        <w:ind w:firstLine="420"/>
        <w:jc w:val="both"/>
        <w:rPr>
          <w:sz w:val="21"/>
          <w:szCs w:val="21"/>
          <w:highlight w:val="none"/>
        </w:rPr>
      </w:pPr>
      <w:bookmarkStart w:id="7" w:name="chapter_level1_2_56144_section_1"/>
      <w:bookmarkEnd w:id="7"/>
      <w:r>
        <w:rPr>
          <w:rFonts w:hint="eastAsia"/>
          <w:sz w:val="21"/>
          <w:szCs w:val="21"/>
          <w:highlight w:val="none"/>
        </w:rPr>
        <w:t>1、基金名称：</w:t>
      </w:r>
      <w:r>
        <w:rPr>
          <w:rFonts w:hint="eastAsia"/>
          <w:sz w:val="21"/>
          <w:szCs w:val="21"/>
          <w:highlight w:val="none"/>
          <w:lang w:eastAsia="zh-CN"/>
        </w:rPr>
        <w:t>博时中证有色金属矿业主题交易型开放式指数证券投资基金</w:t>
      </w:r>
      <w:r>
        <w:rPr>
          <w:rFonts w:hint="eastAsia"/>
          <w:sz w:val="21"/>
          <w:szCs w:val="21"/>
          <w:highlight w:val="none"/>
        </w:rPr>
        <w:t xml:space="preserve"> </w:t>
      </w:r>
    </w:p>
    <w:p w14:paraId="7CEDC2D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2、基金类型：股票型证券投资基金 </w:t>
      </w:r>
    </w:p>
    <w:p w14:paraId="1F46F7E9">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3、运作方式：</w:t>
      </w:r>
      <w:bookmarkStart w:id="8" w:name="field_0_operation_1"/>
      <w:r>
        <w:rPr>
          <w:rFonts w:hint="eastAsia"/>
          <w:sz w:val="21"/>
          <w:szCs w:val="21"/>
          <w:highlight w:val="none"/>
        </w:rPr>
        <w:t>交易型开放式</w:t>
      </w:r>
      <w:bookmarkEnd w:id="8"/>
      <w:r>
        <w:rPr>
          <w:rFonts w:hint="eastAsia"/>
          <w:sz w:val="21"/>
          <w:szCs w:val="21"/>
          <w:highlight w:val="none"/>
        </w:rPr>
        <w:t xml:space="preserve"> </w:t>
      </w:r>
    </w:p>
    <w:p w14:paraId="62FA8EBB">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4、基金存续期限：</w:t>
      </w:r>
      <w:bookmarkStart w:id="9" w:name="field_0_duration_1"/>
      <w:r>
        <w:rPr>
          <w:rFonts w:hint="eastAsia"/>
          <w:sz w:val="21"/>
          <w:szCs w:val="21"/>
          <w:highlight w:val="none"/>
        </w:rPr>
        <w:t>不定期</w:t>
      </w:r>
      <w:bookmarkEnd w:id="9"/>
      <w:r>
        <w:rPr>
          <w:rFonts w:hint="eastAsia"/>
          <w:sz w:val="21"/>
          <w:szCs w:val="21"/>
          <w:highlight w:val="none"/>
        </w:rPr>
        <w:t xml:space="preserve"> </w:t>
      </w:r>
    </w:p>
    <w:p w14:paraId="7A1453F4">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5、基金简称：</w:t>
      </w:r>
      <w:r>
        <w:rPr>
          <w:rFonts w:hint="eastAsia"/>
          <w:sz w:val="21"/>
          <w:szCs w:val="21"/>
          <w:highlight w:val="none"/>
          <w:lang w:eastAsia="zh-CN"/>
        </w:rPr>
        <w:t>博时中证有色金属矿业主题ETF</w:t>
      </w:r>
      <w:r>
        <w:rPr>
          <w:rFonts w:hint="eastAsia"/>
          <w:sz w:val="21"/>
          <w:szCs w:val="21"/>
          <w:highlight w:val="none"/>
        </w:rPr>
        <w:t xml:space="preserve"> </w:t>
      </w:r>
    </w:p>
    <w:p w14:paraId="763CFE2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6、基金二级市场交易简称及交易代码 </w:t>
      </w:r>
    </w:p>
    <w:p w14:paraId="3C6AD1E0">
      <w:pPr>
        <w:pStyle w:val="9"/>
        <w:spacing w:before="0" w:beforeAutospacing="0" w:after="0" w:afterAutospacing="0" w:line="360" w:lineRule="auto"/>
        <w:ind w:firstLine="420"/>
        <w:jc w:val="both"/>
        <w:rPr>
          <w:rFonts w:hint="eastAsia"/>
          <w:sz w:val="21"/>
          <w:szCs w:val="21"/>
          <w:highlight w:val="none"/>
        </w:rPr>
      </w:pPr>
      <w:r>
        <w:rPr>
          <w:rFonts w:hint="eastAsia"/>
          <w:sz w:val="21"/>
          <w:szCs w:val="21"/>
        </w:rPr>
        <w:t>证券简称：</w:t>
      </w:r>
      <w:bookmarkStart w:id="10" w:name="field_0_securitiesabbreviation_1"/>
      <w:r>
        <w:rPr>
          <w:rFonts w:hint="eastAsia"/>
          <w:sz w:val="21"/>
          <w:szCs w:val="21"/>
        </w:rPr>
        <w:t>矿业博时</w:t>
      </w:r>
      <w:bookmarkEnd w:id="10"/>
      <w:r>
        <w:rPr>
          <w:rFonts w:hint="eastAsia"/>
          <w:sz w:val="21"/>
          <w:szCs w:val="21"/>
        </w:rPr>
        <w:t>，扩位证券简称：</w:t>
      </w:r>
      <w:bookmarkStart w:id="11" w:name="field_0_extendedsecurities_1"/>
      <w:r>
        <w:rPr>
          <w:rFonts w:hint="eastAsia"/>
          <w:sz w:val="21"/>
          <w:szCs w:val="21"/>
        </w:rPr>
        <w:t>有色矿业</w:t>
      </w:r>
      <w:r>
        <w:rPr>
          <w:sz w:val="21"/>
          <w:szCs w:val="21"/>
        </w:rPr>
        <w:t>ETF博时</w:t>
      </w:r>
      <w:bookmarkEnd w:id="11"/>
      <w:r>
        <w:rPr>
          <w:rFonts w:hint="eastAsia"/>
          <w:sz w:val="21"/>
          <w:szCs w:val="21"/>
        </w:rPr>
        <w:t>，交易代码：</w:t>
      </w:r>
      <w:bookmarkStart w:id="12" w:name="field_0_marketcode_1"/>
      <w:r>
        <w:rPr>
          <w:sz w:val="21"/>
          <w:szCs w:val="21"/>
        </w:rPr>
        <w:t>562450</w:t>
      </w:r>
      <w:bookmarkEnd w:id="12"/>
      <w:r>
        <w:rPr>
          <w:rFonts w:hint="eastAsia"/>
          <w:sz w:val="21"/>
          <w:szCs w:val="21"/>
        </w:rPr>
        <w:t xml:space="preserve"> </w:t>
      </w:r>
    </w:p>
    <w:p w14:paraId="29B638B4">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7、截至公告日前两个工作日的基金份额总额：截至</w:t>
      </w:r>
      <w:r>
        <w:rPr>
          <w:rFonts w:hint="eastAsia"/>
          <w:sz w:val="21"/>
          <w:szCs w:val="21"/>
          <w:highlight w:val="none"/>
          <w:lang w:eastAsia="zh-CN"/>
        </w:rPr>
        <w:t>2026年9月18日</w:t>
      </w:r>
      <w:r>
        <w:rPr>
          <w:rFonts w:hint="eastAsia"/>
          <w:sz w:val="21"/>
          <w:szCs w:val="21"/>
          <w:highlight w:val="none"/>
        </w:rPr>
        <w:t>，本基金的基金份额总额为206,492,415.00份。</w:t>
      </w:r>
    </w:p>
    <w:p w14:paraId="767F0141">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8、截至公告日前两个工作日的基金份额净值：截至</w:t>
      </w:r>
      <w:r>
        <w:rPr>
          <w:rFonts w:hint="eastAsia"/>
          <w:sz w:val="21"/>
          <w:szCs w:val="21"/>
          <w:highlight w:val="none"/>
          <w:lang w:eastAsia="zh-CN"/>
        </w:rPr>
        <w:t>2026年9月18日</w:t>
      </w:r>
      <w:r>
        <w:rPr>
          <w:rFonts w:hint="eastAsia"/>
          <w:sz w:val="21"/>
          <w:szCs w:val="21"/>
          <w:highlight w:val="none"/>
        </w:rPr>
        <w:t>，本基金的基金份额净值为</w:t>
      </w:r>
      <w:r>
        <w:rPr>
          <w:rFonts w:hint="eastAsia"/>
          <w:sz w:val="21"/>
          <w:szCs w:val="21"/>
          <w:highlight w:val="none"/>
          <w:lang w:val="en-US" w:eastAsia="zh-CN"/>
        </w:rPr>
        <w:t>1.0006</w:t>
      </w:r>
      <w:r>
        <w:rPr>
          <w:rFonts w:hint="eastAsia"/>
          <w:sz w:val="21"/>
          <w:szCs w:val="21"/>
          <w:highlight w:val="none"/>
        </w:rPr>
        <w:t>元。</w:t>
      </w:r>
    </w:p>
    <w:p w14:paraId="5CF64830">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9、本次上市交易的基金份额总额：截至</w:t>
      </w:r>
      <w:r>
        <w:rPr>
          <w:rFonts w:hint="eastAsia"/>
          <w:sz w:val="21"/>
          <w:szCs w:val="21"/>
          <w:highlight w:val="none"/>
          <w:lang w:eastAsia="zh-CN"/>
        </w:rPr>
        <w:t>2026年9月18日</w:t>
      </w:r>
      <w:r>
        <w:rPr>
          <w:rFonts w:hint="eastAsia"/>
          <w:sz w:val="21"/>
          <w:szCs w:val="21"/>
          <w:highlight w:val="none"/>
        </w:rPr>
        <w:t>，本次上市交易的基金份额总额为206,492,415.00份。</w:t>
      </w:r>
    </w:p>
    <w:p w14:paraId="149EB74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10、上市交易的证券交易所：</w:t>
      </w:r>
      <w:bookmarkStart w:id="13" w:name="field_0_listedlandname_1"/>
      <w:r>
        <w:rPr>
          <w:rFonts w:hint="eastAsia"/>
          <w:sz w:val="21"/>
          <w:szCs w:val="21"/>
          <w:highlight w:val="none"/>
        </w:rPr>
        <w:t>上海证券交易所</w:t>
      </w:r>
      <w:bookmarkEnd w:id="13"/>
      <w:r>
        <w:rPr>
          <w:rFonts w:hint="eastAsia"/>
          <w:sz w:val="21"/>
          <w:szCs w:val="21"/>
          <w:highlight w:val="none"/>
        </w:rPr>
        <w:t xml:space="preserve"> </w:t>
      </w:r>
    </w:p>
    <w:p w14:paraId="01286021">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11、上市交易日期：</w:t>
      </w:r>
      <w:r>
        <w:rPr>
          <w:rFonts w:hint="eastAsia"/>
          <w:sz w:val="21"/>
          <w:szCs w:val="21"/>
          <w:highlight w:val="none"/>
          <w:lang w:eastAsia="zh-CN"/>
        </w:rPr>
        <w:t>2026年9月28日</w:t>
      </w:r>
    </w:p>
    <w:p w14:paraId="32AF5137">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12、基金管理人：</w:t>
      </w:r>
      <w:bookmarkStart w:id="14" w:name="field_0_managerorgfullname_2"/>
      <w:r>
        <w:rPr>
          <w:rFonts w:hint="eastAsia"/>
          <w:sz w:val="21"/>
          <w:szCs w:val="21"/>
          <w:highlight w:val="none"/>
        </w:rPr>
        <w:t>博时基金管理有限公司</w:t>
      </w:r>
      <w:bookmarkEnd w:id="14"/>
      <w:r>
        <w:rPr>
          <w:rFonts w:hint="eastAsia"/>
          <w:sz w:val="21"/>
          <w:szCs w:val="21"/>
          <w:highlight w:val="none"/>
        </w:rPr>
        <w:t xml:space="preserve"> </w:t>
      </w:r>
    </w:p>
    <w:p w14:paraId="0A5DFF49">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13、基金托管人：</w:t>
      </w:r>
      <w:r>
        <w:rPr>
          <w:rFonts w:hint="eastAsia"/>
          <w:sz w:val="21"/>
          <w:szCs w:val="21"/>
          <w:highlight w:val="none"/>
          <w:lang w:eastAsia="zh-CN"/>
        </w:rPr>
        <w:t xml:space="preserve">交通银行股份有限公司 </w:t>
      </w:r>
      <w:r>
        <w:rPr>
          <w:rFonts w:hint="eastAsia"/>
          <w:sz w:val="21"/>
          <w:szCs w:val="21"/>
          <w:highlight w:val="none"/>
        </w:rPr>
        <w:t xml:space="preserve"> </w:t>
      </w:r>
    </w:p>
    <w:p w14:paraId="003684D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14、登记机构：</w:t>
      </w:r>
      <w:bookmarkStart w:id="15" w:name="field_0_registerorgfullname_1"/>
      <w:r>
        <w:rPr>
          <w:rFonts w:hint="eastAsia"/>
          <w:sz w:val="21"/>
          <w:szCs w:val="21"/>
          <w:highlight w:val="none"/>
        </w:rPr>
        <w:t>中国证券登记结算有限责任公司</w:t>
      </w:r>
      <w:bookmarkEnd w:id="15"/>
      <w:r>
        <w:rPr>
          <w:rFonts w:hint="eastAsia"/>
          <w:sz w:val="21"/>
          <w:szCs w:val="21"/>
          <w:highlight w:val="none"/>
        </w:rPr>
        <w:t xml:space="preserve"> </w:t>
      </w:r>
    </w:p>
    <w:p w14:paraId="63A62E6A">
      <w:pPr>
        <w:pStyle w:val="9"/>
        <w:spacing w:before="0" w:beforeAutospacing="0" w:after="0" w:afterAutospacing="0" w:line="360" w:lineRule="auto"/>
        <w:ind w:firstLine="420"/>
        <w:jc w:val="both"/>
        <w:rPr>
          <w:rFonts w:hint="eastAsia" w:eastAsia="宋体"/>
          <w:sz w:val="21"/>
          <w:szCs w:val="21"/>
          <w:highlight w:val="none"/>
          <w:lang w:eastAsia="zh-CN"/>
        </w:rPr>
        <w:sectPr>
          <w:pgSz w:w="11906" w:h="16838"/>
          <w:pgMar w:top="1440" w:right="1803" w:bottom="1440" w:left="1803" w:header="851" w:footer="992" w:gutter="0"/>
          <w:cols w:space="425" w:num="1"/>
          <w:docGrid w:type="lines" w:linePitch="312" w:charSpace="0"/>
        </w:sectPr>
      </w:pPr>
      <w:bookmarkStart w:id="16" w:name="chapter_level1_2_56144_section_1_end"/>
      <w:bookmarkEnd w:id="16"/>
      <w:r>
        <w:rPr>
          <w:rFonts w:hint="eastAsia"/>
          <w:sz w:val="21"/>
          <w:szCs w:val="21"/>
          <w:highlight w:val="none"/>
        </w:rPr>
        <w:t>15、上市推荐人：</w:t>
      </w:r>
      <w:r>
        <w:rPr>
          <w:rFonts w:hint="eastAsia"/>
          <w:sz w:val="21"/>
          <w:szCs w:val="21"/>
          <w:highlight w:val="none"/>
          <w:lang w:val="en-US" w:eastAsia="zh-CN"/>
        </w:rPr>
        <w:t>平安证券股份有限公司</w:t>
      </w:r>
    </w:p>
    <w:p w14:paraId="20DF765A">
      <w:pPr>
        <w:pStyle w:val="2"/>
        <w:jc w:val="center"/>
        <w:rPr>
          <w:rFonts w:ascii="宋体" w:hAnsi="宋体" w:eastAsia="宋体"/>
          <w:sz w:val="30"/>
          <w:highlight w:val="none"/>
        </w:rPr>
      </w:pPr>
      <w:bookmarkStart w:id="17" w:name="_Toc3997"/>
      <w:bookmarkStart w:id="18" w:name="chapter_level1_3_56145"/>
      <w:r>
        <w:rPr>
          <w:rFonts w:hint="eastAsia" w:ascii="宋体" w:hAnsi="宋体" w:eastAsia="宋体"/>
          <w:sz w:val="30"/>
          <w:highlight w:val="none"/>
        </w:rPr>
        <w:t>三、基金的募集与上市交易</w:t>
      </w:r>
      <w:bookmarkEnd w:id="17"/>
      <w:bookmarkEnd w:id="18"/>
    </w:p>
    <w:p w14:paraId="19F8DEA0">
      <w:pPr>
        <w:pStyle w:val="9"/>
        <w:spacing w:before="0" w:beforeAutospacing="0" w:after="0" w:afterAutospacing="0" w:line="360" w:lineRule="auto"/>
        <w:ind w:firstLine="420"/>
        <w:jc w:val="both"/>
        <w:rPr>
          <w:sz w:val="21"/>
          <w:szCs w:val="21"/>
          <w:highlight w:val="none"/>
        </w:rPr>
      </w:pPr>
      <w:bookmarkStart w:id="19" w:name="chapter_level1_3_56145_section_1"/>
      <w:bookmarkEnd w:id="19"/>
      <w:r>
        <w:rPr>
          <w:rFonts w:hint="eastAsia"/>
          <w:sz w:val="21"/>
          <w:szCs w:val="21"/>
          <w:highlight w:val="none"/>
        </w:rPr>
        <w:t xml:space="preserve">（一）本基金上市前基金募集情况 </w:t>
      </w:r>
    </w:p>
    <w:p w14:paraId="7731B3EE">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1、基金募集申请的核准机构和核准文号：</w:t>
      </w:r>
      <w:r>
        <w:rPr>
          <w:rFonts w:hint="eastAsia"/>
          <w:sz w:val="21"/>
          <w:szCs w:val="21"/>
        </w:rPr>
        <w:t>中国证监会证监许可</w:t>
      </w:r>
      <w:bookmarkStart w:id="20" w:name="field_0_lotnumber_1"/>
      <w:r>
        <w:rPr>
          <w:sz w:val="21"/>
          <w:szCs w:val="21"/>
        </w:rPr>
        <w:t>[2026]1788</w:t>
      </w:r>
      <w:bookmarkEnd w:id="20"/>
      <w:r>
        <w:rPr>
          <w:rFonts w:hint="eastAsia"/>
          <w:sz w:val="21"/>
          <w:szCs w:val="21"/>
        </w:rPr>
        <w:t>号</w:t>
      </w:r>
      <w:r>
        <w:rPr>
          <w:rFonts w:hint="eastAsia"/>
          <w:sz w:val="21"/>
          <w:szCs w:val="21"/>
          <w:highlight w:val="none"/>
        </w:rPr>
        <w:t>文。</w:t>
      </w:r>
    </w:p>
    <w:p w14:paraId="2A2C6B3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2、基金运作方式：</w:t>
      </w:r>
      <w:bookmarkStart w:id="21" w:name="field_0_operation_2"/>
      <w:r>
        <w:rPr>
          <w:rFonts w:hint="eastAsia"/>
          <w:sz w:val="21"/>
          <w:szCs w:val="21"/>
          <w:highlight w:val="none"/>
        </w:rPr>
        <w:t>交易型开放式</w:t>
      </w:r>
      <w:bookmarkEnd w:id="21"/>
      <w:r>
        <w:rPr>
          <w:rFonts w:hint="eastAsia"/>
          <w:sz w:val="21"/>
          <w:szCs w:val="21"/>
          <w:highlight w:val="none"/>
        </w:rPr>
        <w:t>。</w:t>
      </w:r>
    </w:p>
    <w:p w14:paraId="729CB0B6">
      <w:pPr>
        <w:pStyle w:val="9"/>
        <w:spacing w:before="0" w:beforeAutospacing="0" w:after="0" w:afterAutospacing="0" w:line="360" w:lineRule="auto"/>
        <w:ind w:firstLine="420"/>
        <w:jc w:val="both"/>
        <w:rPr>
          <w:sz w:val="21"/>
          <w:szCs w:val="21"/>
          <w:highlight w:val="none"/>
        </w:rPr>
      </w:pPr>
      <w:r>
        <w:rPr>
          <w:sz w:val="21"/>
          <w:szCs w:val="21"/>
          <w:highlight w:val="none"/>
        </w:rPr>
        <w:t>3</w:t>
      </w:r>
      <w:r>
        <w:rPr>
          <w:rFonts w:hint="eastAsia"/>
          <w:sz w:val="21"/>
          <w:szCs w:val="21"/>
          <w:highlight w:val="none"/>
        </w:rPr>
        <w:t>、基金合同期限：</w:t>
      </w:r>
      <w:bookmarkStart w:id="22" w:name="field_0_duration_2"/>
      <w:r>
        <w:rPr>
          <w:rFonts w:hint="eastAsia"/>
          <w:sz w:val="21"/>
          <w:szCs w:val="21"/>
          <w:highlight w:val="none"/>
        </w:rPr>
        <w:t>不定期</w:t>
      </w:r>
      <w:bookmarkEnd w:id="22"/>
      <w:r>
        <w:rPr>
          <w:rFonts w:hint="eastAsia"/>
          <w:sz w:val="21"/>
          <w:szCs w:val="21"/>
          <w:highlight w:val="none"/>
        </w:rPr>
        <w:t>。</w:t>
      </w:r>
    </w:p>
    <w:p w14:paraId="68B91F4D">
      <w:pPr>
        <w:pStyle w:val="9"/>
        <w:spacing w:before="0" w:beforeAutospacing="0" w:after="0" w:afterAutospacing="0" w:line="360" w:lineRule="auto"/>
        <w:ind w:firstLine="420"/>
        <w:jc w:val="both"/>
        <w:rPr>
          <w:sz w:val="21"/>
          <w:szCs w:val="21"/>
          <w:highlight w:val="none"/>
        </w:rPr>
      </w:pPr>
      <w:r>
        <w:rPr>
          <w:sz w:val="21"/>
          <w:szCs w:val="21"/>
          <w:highlight w:val="none"/>
        </w:rPr>
        <w:t>4</w:t>
      </w:r>
      <w:r>
        <w:rPr>
          <w:rFonts w:hint="eastAsia"/>
          <w:sz w:val="21"/>
          <w:szCs w:val="21"/>
          <w:highlight w:val="none"/>
        </w:rPr>
        <w:t>、发售日期：</w:t>
      </w:r>
      <w:bookmarkStart w:id="23" w:name="field_0_raisebegindate_1"/>
      <w:r>
        <w:rPr>
          <w:sz w:val="21"/>
          <w:szCs w:val="21"/>
        </w:rPr>
        <w:t>2026年8月31日</w:t>
      </w:r>
      <w:bookmarkEnd w:id="23"/>
      <w:r>
        <w:rPr>
          <w:rFonts w:hint="eastAsia"/>
          <w:sz w:val="21"/>
          <w:szCs w:val="21"/>
        </w:rPr>
        <w:t>起至</w:t>
      </w:r>
      <w:bookmarkStart w:id="24" w:name="field_0_raiseenddate_1"/>
      <w:r>
        <w:rPr>
          <w:sz w:val="21"/>
          <w:szCs w:val="21"/>
        </w:rPr>
        <w:t>2026年9月11日</w:t>
      </w:r>
      <w:bookmarkEnd w:id="24"/>
      <w:r>
        <w:rPr>
          <w:rFonts w:hint="eastAsia"/>
          <w:sz w:val="21"/>
          <w:szCs w:val="21"/>
        </w:rPr>
        <w:t>通过销售机构公开发售。其中，网下现金发售的日期为</w:t>
      </w:r>
      <w:bookmarkStart w:id="25" w:name="field_0_raisebegindate_2"/>
      <w:r>
        <w:rPr>
          <w:sz w:val="21"/>
          <w:szCs w:val="21"/>
        </w:rPr>
        <w:t>2026年8月31日</w:t>
      </w:r>
      <w:bookmarkEnd w:id="25"/>
      <w:r>
        <w:rPr>
          <w:rFonts w:hint="eastAsia"/>
          <w:sz w:val="21"/>
          <w:szCs w:val="21"/>
        </w:rPr>
        <w:t>起至</w:t>
      </w:r>
      <w:bookmarkStart w:id="26" w:name="field_0_raiseenddate_2"/>
      <w:r>
        <w:rPr>
          <w:sz w:val="21"/>
          <w:szCs w:val="21"/>
        </w:rPr>
        <w:t>2026年9月11日</w:t>
      </w:r>
      <w:bookmarkEnd w:id="26"/>
      <w:r>
        <w:rPr>
          <w:rFonts w:hint="eastAsia"/>
          <w:sz w:val="21"/>
          <w:szCs w:val="21"/>
        </w:rPr>
        <w:t>，网上现金发售的日期为</w:t>
      </w:r>
      <w:bookmarkStart w:id="27" w:name="field_0_onlinecashraisebegindate_1"/>
      <w:r>
        <w:rPr>
          <w:sz w:val="21"/>
          <w:szCs w:val="21"/>
        </w:rPr>
        <w:t>2026年8月31日</w:t>
      </w:r>
      <w:bookmarkEnd w:id="27"/>
      <w:r>
        <w:rPr>
          <w:rFonts w:hint="eastAsia"/>
          <w:sz w:val="21"/>
          <w:szCs w:val="21"/>
        </w:rPr>
        <w:t>起至</w:t>
      </w:r>
      <w:bookmarkStart w:id="28" w:name="field_0_onlinecashraiseenddate_1"/>
      <w:r>
        <w:rPr>
          <w:sz w:val="21"/>
          <w:szCs w:val="21"/>
        </w:rPr>
        <w:t>2026年9月11日</w:t>
      </w:r>
      <w:bookmarkEnd w:id="28"/>
      <w:r>
        <w:rPr>
          <w:rFonts w:hint="eastAsia"/>
          <w:sz w:val="21"/>
          <w:szCs w:val="21"/>
        </w:rPr>
        <w:t xml:space="preserve">。 </w:t>
      </w:r>
    </w:p>
    <w:p w14:paraId="74CBB898">
      <w:pPr>
        <w:pStyle w:val="9"/>
        <w:spacing w:before="0" w:beforeAutospacing="0" w:after="0" w:afterAutospacing="0" w:line="360" w:lineRule="auto"/>
        <w:ind w:firstLine="420"/>
        <w:jc w:val="both"/>
        <w:rPr>
          <w:sz w:val="21"/>
          <w:szCs w:val="21"/>
          <w:highlight w:val="none"/>
        </w:rPr>
      </w:pPr>
      <w:r>
        <w:rPr>
          <w:sz w:val="21"/>
          <w:szCs w:val="21"/>
          <w:highlight w:val="none"/>
        </w:rPr>
        <w:t>5</w:t>
      </w:r>
      <w:r>
        <w:rPr>
          <w:rFonts w:hint="eastAsia"/>
          <w:sz w:val="21"/>
          <w:szCs w:val="21"/>
          <w:highlight w:val="none"/>
        </w:rPr>
        <w:t xml:space="preserve">、发售价格：1.00元人民币。 </w:t>
      </w:r>
    </w:p>
    <w:p w14:paraId="6EE8B995">
      <w:pPr>
        <w:pStyle w:val="9"/>
        <w:spacing w:before="0" w:beforeAutospacing="0" w:after="0" w:afterAutospacing="0" w:line="360" w:lineRule="auto"/>
        <w:ind w:firstLine="420"/>
        <w:jc w:val="both"/>
        <w:rPr>
          <w:sz w:val="21"/>
          <w:szCs w:val="21"/>
          <w:highlight w:val="none"/>
        </w:rPr>
      </w:pPr>
      <w:r>
        <w:rPr>
          <w:sz w:val="21"/>
          <w:szCs w:val="21"/>
          <w:highlight w:val="none"/>
        </w:rPr>
        <w:t>6</w:t>
      </w:r>
      <w:r>
        <w:rPr>
          <w:rFonts w:hint="eastAsia"/>
          <w:sz w:val="21"/>
          <w:szCs w:val="21"/>
          <w:highlight w:val="none"/>
        </w:rPr>
        <w:t>、发售期限：网下现金认购和网</w:t>
      </w:r>
      <w:r>
        <w:rPr>
          <w:rFonts w:hint="eastAsia"/>
          <w:sz w:val="21"/>
          <w:szCs w:val="21"/>
          <w:highlight w:val="none"/>
          <w:lang w:val="en-US" w:eastAsia="zh-CN"/>
        </w:rPr>
        <w:t>上现金</w:t>
      </w:r>
      <w:r>
        <w:rPr>
          <w:rFonts w:hint="eastAsia"/>
          <w:sz w:val="21"/>
          <w:szCs w:val="21"/>
          <w:highlight w:val="none"/>
        </w:rPr>
        <w:t>认购发售</w:t>
      </w:r>
      <w:r>
        <w:rPr>
          <w:rFonts w:hint="eastAsia"/>
          <w:sz w:val="21"/>
          <w:szCs w:val="21"/>
          <w:highlight w:val="none"/>
          <w:lang w:val="en-US" w:eastAsia="zh-CN"/>
        </w:rPr>
        <w:t>10</w:t>
      </w:r>
      <w:r>
        <w:rPr>
          <w:rFonts w:hint="eastAsia"/>
          <w:sz w:val="21"/>
          <w:szCs w:val="21"/>
          <w:highlight w:val="none"/>
        </w:rPr>
        <w:t xml:space="preserve">个工作日。 </w:t>
      </w:r>
    </w:p>
    <w:p w14:paraId="3EABE1E7">
      <w:pPr>
        <w:pStyle w:val="9"/>
        <w:spacing w:before="0" w:beforeAutospacing="0" w:after="0" w:afterAutospacing="0" w:line="360" w:lineRule="auto"/>
        <w:ind w:firstLine="420"/>
        <w:jc w:val="both"/>
        <w:rPr>
          <w:sz w:val="21"/>
          <w:szCs w:val="21"/>
          <w:highlight w:val="none"/>
        </w:rPr>
      </w:pPr>
      <w:r>
        <w:rPr>
          <w:sz w:val="21"/>
          <w:szCs w:val="21"/>
          <w:highlight w:val="none"/>
        </w:rPr>
        <w:t>7</w:t>
      </w:r>
      <w:r>
        <w:rPr>
          <w:rFonts w:hint="eastAsia"/>
          <w:sz w:val="21"/>
          <w:szCs w:val="21"/>
          <w:highlight w:val="none"/>
        </w:rPr>
        <w:t>、发售方式：投资者可选择网上现金认购、网下现金认购</w:t>
      </w:r>
      <w:r>
        <w:rPr>
          <w:rFonts w:hint="eastAsia"/>
          <w:sz w:val="21"/>
          <w:szCs w:val="21"/>
          <w:highlight w:val="none"/>
          <w:lang w:val="en-US" w:eastAsia="zh-CN"/>
        </w:rPr>
        <w:t>两</w:t>
      </w:r>
      <w:r>
        <w:rPr>
          <w:rFonts w:hint="eastAsia"/>
          <w:sz w:val="21"/>
          <w:szCs w:val="21"/>
          <w:highlight w:val="none"/>
        </w:rPr>
        <w:t>种方式。</w:t>
      </w:r>
    </w:p>
    <w:p w14:paraId="7905CBEF">
      <w:pPr>
        <w:pStyle w:val="9"/>
        <w:spacing w:before="0" w:beforeAutospacing="0" w:after="0" w:afterAutospacing="0" w:line="360" w:lineRule="auto"/>
        <w:ind w:firstLine="420"/>
        <w:jc w:val="both"/>
        <w:rPr>
          <w:sz w:val="21"/>
          <w:szCs w:val="21"/>
          <w:highlight w:val="none"/>
        </w:rPr>
      </w:pPr>
      <w:r>
        <w:rPr>
          <w:sz w:val="21"/>
          <w:szCs w:val="21"/>
          <w:highlight w:val="none"/>
        </w:rPr>
        <w:t>8</w:t>
      </w:r>
      <w:r>
        <w:rPr>
          <w:rFonts w:hint="eastAsia"/>
          <w:sz w:val="21"/>
          <w:szCs w:val="21"/>
          <w:highlight w:val="none"/>
        </w:rPr>
        <w:t>、发售机构</w:t>
      </w:r>
    </w:p>
    <w:p w14:paraId="2CA41E2B">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（1）网下现金发售直销机构 </w:t>
      </w:r>
    </w:p>
    <w:p w14:paraId="323A116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投资者可通过本基金管理人的直销机构办理本基金的网下现金认购。</w:t>
      </w:r>
    </w:p>
    <w:p w14:paraId="0C8777E6">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w:t>
      </w:r>
      <w:r>
        <w:rPr>
          <w:rFonts w:hint="eastAsia"/>
          <w:sz w:val="21"/>
          <w:szCs w:val="21"/>
          <w:highlight w:val="none"/>
          <w:lang w:val="en-US" w:eastAsia="zh-CN"/>
        </w:rPr>
        <w:t>2</w:t>
      </w:r>
      <w:r>
        <w:rPr>
          <w:rFonts w:hint="eastAsia"/>
          <w:sz w:val="21"/>
          <w:szCs w:val="21"/>
          <w:highlight w:val="none"/>
        </w:rPr>
        <w:t xml:space="preserve">）网上现金发售代理机构 </w:t>
      </w:r>
    </w:p>
    <w:p w14:paraId="51427E0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网上现金发售通过具有基金销售业务资格的上海证券交易所会员单位办理，具体名单可在上海证券交易所网站查询。 </w:t>
      </w:r>
    </w:p>
    <w:p w14:paraId="55B86C3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（二）基金合同生效 </w:t>
      </w:r>
    </w:p>
    <w:p w14:paraId="07166D5F">
      <w:pPr>
        <w:pStyle w:val="9"/>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本基金自</w:t>
      </w:r>
      <w:r>
        <w:rPr>
          <w:sz w:val="21"/>
          <w:szCs w:val="21"/>
          <w:highlight w:val="none"/>
        </w:rPr>
        <w:t>2026年8月31日</w:t>
      </w:r>
      <w:r>
        <w:rPr>
          <w:rFonts w:hint="eastAsia"/>
          <w:sz w:val="21"/>
          <w:szCs w:val="21"/>
          <w:highlight w:val="none"/>
        </w:rPr>
        <w:t>起向社会公开募集，截至</w:t>
      </w:r>
      <w:r>
        <w:rPr>
          <w:sz w:val="21"/>
          <w:szCs w:val="21"/>
          <w:highlight w:val="none"/>
        </w:rPr>
        <w:t>2026年9月11日</w:t>
      </w:r>
      <w:r>
        <w:rPr>
          <w:rFonts w:hint="eastAsia"/>
          <w:sz w:val="21"/>
          <w:szCs w:val="21"/>
          <w:highlight w:val="none"/>
        </w:rPr>
        <w:t>募集工作已顺利结束。经安永华明会计师事务所（特殊普通合伙）验资，首次募集期间现金认购的有效认购资金扣除认购费用后的净认购金额为人民币206,475,000.00元；有效认购资金在首次募集期间产生的利息为人民币18,445.66元，其中人民币17,415.00元折成17,415.00份基金份额，剩余人民币1,030.66元归入基金财产。上述净认购金额及网上现金认购款项的利息人民币206,491,445.66元已于</w:t>
      </w:r>
      <w:r>
        <w:rPr>
          <w:rFonts w:hint="eastAsia"/>
          <w:sz w:val="21"/>
          <w:szCs w:val="21"/>
          <w:highlight w:val="none"/>
          <w:lang w:eastAsia="zh-CN"/>
        </w:rPr>
        <w:t>2026年9月16日</w:t>
      </w:r>
      <w:r>
        <w:rPr>
          <w:rFonts w:hint="eastAsia"/>
          <w:sz w:val="21"/>
          <w:szCs w:val="21"/>
          <w:highlight w:val="none"/>
        </w:rPr>
        <w:t>全部划至本基金托管账户</w:t>
      </w:r>
      <w:r>
        <w:rPr>
          <w:rFonts w:hint="eastAsia"/>
          <w:sz w:val="21"/>
          <w:szCs w:val="21"/>
          <w:highlight w:val="none"/>
          <w:lang w:val="en-US" w:eastAsia="zh-CN"/>
        </w:rPr>
        <w:t>,</w:t>
      </w:r>
      <w:r>
        <w:rPr>
          <w:rFonts w:hint="eastAsia"/>
          <w:sz w:val="21"/>
          <w:szCs w:val="21"/>
          <w:highlight w:val="none"/>
        </w:rPr>
        <w:t>网下现金认购款项的利息人民币2</w:t>
      </w:r>
      <w:r>
        <w:rPr>
          <w:rFonts w:hint="eastAsia"/>
          <w:sz w:val="21"/>
          <w:szCs w:val="21"/>
          <w:highlight w:val="none"/>
          <w:lang w:val="en-US" w:eastAsia="zh-CN"/>
        </w:rPr>
        <w:t>,000.00</w:t>
      </w:r>
      <w:r>
        <w:rPr>
          <w:rFonts w:hint="eastAsia"/>
          <w:sz w:val="21"/>
          <w:szCs w:val="21"/>
          <w:highlight w:val="none"/>
        </w:rPr>
        <w:t>元</w:t>
      </w:r>
      <w:r>
        <w:rPr>
          <w:rFonts w:hint="eastAsia"/>
          <w:sz w:val="21"/>
          <w:szCs w:val="21"/>
          <w:highlight w:val="none"/>
          <w:lang w:val="en-US" w:eastAsia="zh-CN"/>
        </w:rPr>
        <w:t>将于下一银行结息日次一工作日（2026年9月21日）划入基金托管账户</w:t>
      </w:r>
      <w:r>
        <w:rPr>
          <w:rFonts w:hint="eastAsia"/>
          <w:sz w:val="21"/>
          <w:szCs w:val="21"/>
          <w:highlight w:val="none"/>
        </w:rPr>
        <w:t>。</w:t>
      </w:r>
    </w:p>
    <w:p w14:paraId="624C12C7">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本基金于</w:t>
      </w:r>
      <w:r>
        <w:rPr>
          <w:rFonts w:hint="eastAsia"/>
          <w:sz w:val="21"/>
          <w:szCs w:val="21"/>
          <w:highlight w:val="none"/>
          <w:lang w:eastAsia="zh-CN"/>
        </w:rPr>
        <w:t>2026年9月16日</w:t>
      </w:r>
      <w:r>
        <w:rPr>
          <w:rFonts w:hint="eastAsia"/>
          <w:sz w:val="21"/>
          <w:szCs w:val="21"/>
          <w:highlight w:val="none"/>
        </w:rPr>
        <w:t>得到中国证监会书面确认，基金备案手续办理完毕。根据《中华人民共和国证券投资基金法》及其配套法规和《</w:t>
      </w:r>
      <w:r>
        <w:rPr>
          <w:rFonts w:hint="eastAsia"/>
          <w:sz w:val="21"/>
          <w:szCs w:val="21"/>
          <w:highlight w:val="none"/>
          <w:lang w:eastAsia="zh-CN"/>
        </w:rPr>
        <w:t>博时中证有色金属矿业主题交易型开放式指数证券投资基金</w:t>
      </w:r>
      <w:r>
        <w:rPr>
          <w:rFonts w:hint="eastAsia"/>
          <w:sz w:val="21"/>
          <w:szCs w:val="21"/>
          <w:highlight w:val="none"/>
        </w:rPr>
        <w:t>基金合同》的有关规定，本基金的募集情况已符合基金合同生效的条件，基金合同于</w:t>
      </w:r>
      <w:r>
        <w:rPr>
          <w:rFonts w:hint="eastAsia"/>
          <w:sz w:val="21"/>
          <w:szCs w:val="21"/>
          <w:highlight w:val="none"/>
          <w:lang w:eastAsia="zh-CN"/>
        </w:rPr>
        <w:t>2026年9月16日</w:t>
      </w:r>
      <w:r>
        <w:rPr>
          <w:rFonts w:hint="eastAsia"/>
          <w:sz w:val="21"/>
          <w:szCs w:val="21"/>
          <w:highlight w:val="none"/>
        </w:rPr>
        <w:t>正式生效。</w:t>
      </w:r>
    </w:p>
    <w:p w14:paraId="605B532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（三）基金上市交易 </w:t>
      </w:r>
    </w:p>
    <w:p w14:paraId="141FC99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1、基金上市交易的核准机构和核准文号：上海证券交易所</w:t>
      </w:r>
      <w:r>
        <w:rPr>
          <w:rFonts w:hint="eastAsia"/>
          <w:sz w:val="21"/>
          <w:szCs w:val="21"/>
          <w:highlight w:val="none"/>
          <w:lang w:val="en-US" w:eastAsia="zh-CN"/>
        </w:rPr>
        <w:t>上证函</w:t>
      </w:r>
      <w:r>
        <w:rPr>
          <w:rFonts w:hint="eastAsia"/>
          <w:sz w:val="21"/>
          <w:szCs w:val="21"/>
          <w:highlight w:val="none"/>
        </w:rPr>
        <w:t>[20</w:t>
      </w:r>
      <w:r>
        <w:rPr>
          <w:rFonts w:hint="eastAsia"/>
          <w:sz w:val="21"/>
          <w:szCs w:val="21"/>
          <w:highlight w:val="none"/>
          <w:lang w:val="en-US" w:eastAsia="zh-CN"/>
        </w:rPr>
        <w:t>26</w:t>
      </w:r>
      <w:r>
        <w:rPr>
          <w:rFonts w:hint="eastAsia"/>
          <w:sz w:val="21"/>
          <w:szCs w:val="21"/>
          <w:highlight w:val="none"/>
        </w:rPr>
        <w:t>]</w:t>
      </w:r>
      <w:r>
        <w:rPr>
          <w:rFonts w:hint="eastAsia"/>
          <w:sz w:val="21"/>
          <w:szCs w:val="21"/>
          <w:highlight w:val="none"/>
          <w:lang w:val="en-US" w:eastAsia="zh-CN"/>
        </w:rPr>
        <w:t>3071</w:t>
      </w:r>
      <w:r>
        <w:rPr>
          <w:rFonts w:hint="eastAsia"/>
          <w:sz w:val="21"/>
          <w:szCs w:val="21"/>
          <w:highlight w:val="none"/>
        </w:rPr>
        <w:t>号</w:t>
      </w:r>
    </w:p>
    <w:p w14:paraId="2DA0E000">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2、上市交易日期：</w:t>
      </w:r>
      <w:r>
        <w:rPr>
          <w:rFonts w:hint="eastAsia"/>
          <w:sz w:val="21"/>
          <w:szCs w:val="21"/>
          <w:highlight w:val="none"/>
          <w:lang w:eastAsia="zh-CN"/>
        </w:rPr>
        <w:t>2026年9月28日</w:t>
      </w:r>
    </w:p>
    <w:p w14:paraId="163E9CF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3、上市交易的证券交易所：</w:t>
      </w:r>
      <w:bookmarkStart w:id="29" w:name="field_0_listedlandname_2"/>
      <w:r>
        <w:rPr>
          <w:rFonts w:hint="eastAsia"/>
          <w:sz w:val="21"/>
          <w:szCs w:val="21"/>
          <w:highlight w:val="none"/>
        </w:rPr>
        <w:t>上海证券交易所</w:t>
      </w:r>
      <w:bookmarkEnd w:id="29"/>
      <w:r>
        <w:rPr>
          <w:rFonts w:hint="eastAsia"/>
          <w:sz w:val="21"/>
          <w:szCs w:val="21"/>
          <w:highlight w:val="none"/>
        </w:rPr>
        <w:t xml:space="preserve"> </w:t>
      </w:r>
    </w:p>
    <w:p w14:paraId="313C141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4、基金二级市场交易简称 </w:t>
      </w:r>
    </w:p>
    <w:p w14:paraId="3CCCD75C">
      <w:pPr>
        <w:pStyle w:val="9"/>
        <w:spacing w:before="0" w:beforeAutospacing="0" w:after="0" w:afterAutospacing="0" w:line="360" w:lineRule="auto"/>
        <w:ind w:firstLine="420"/>
        <w:rPr>
          <w:sz w:val="21"/>
          <w:szCs w:val="21"/>
        </w:rPr>
      </w:pPr>
      <w:r>
        <w:rPr>
          <w:rFonts w:hint="eastAsia"/>
          <w:sz w:val="21"/>
          <w:szCs w:val="21"/>
        </w:rPr>
        <w:t>证券简称：</w:t>
      </w:r>
      <w:bookmarkStart w:id="30" w:name="field_0_securitiesabbreviation_2"/>
      <w:r>
        <w:rPr>
          <w:rFonts w:hint="eastAsia"/>
          <w:sz w:val="21"/>
          <w:szCs w:val="21"/>
        </w:rPr>
        <w:t>矿业博时</w:t>
      </w:r>
      <w:bookmarkEnd w:id="30"/>
      <w:r>
        <w:rPr>
          <w:rFonts w:hint="eastAsia"/>
          <w:sz w:val="21"/>
          <w:szCs w:val="21"/>
        </w:rPr>
        <w:t>，扩位证券简称：</w:t>
      </w:r>
      <w:bookmarkStart w:id="31" w:name="field_0_extendedsecurities_2"/>
      <w:r>
        <w:rPr>
          <w:rFonts w:hint="eastAsia"/>
          <w:sz w:val="21"/>
          <w:szCs w:val="21"/>
        </w:rPr>
        <w:t>有色矿业</w:t>
      </w:r>
      <w:r>
        <w:rPr>
          <w:sz w:val="21"/>
          <w:szCs w:val="21"/>
        </w:rPr>
        <w:t>ETF博时</w:t>
      </w:r>
      <w:bookmarkEnd w:id="31"/>
      <w:r>
        <w:rPr>
          <w:rFonts w:hint="eastAsia"/>
          <w:sz w:val="21"/>
          <w:szCs w:val="21"/>
        </w:rPr>
        <w:t xml:space="preserve">  </w:t>
      </w:r>
    </w:p>
    <w:p w14:paraId="6D9F7D40">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5、基金二级市场交易代码：</w:t>
      </w:r>
      <w:bookmarkStart w:id="32" w:name="field_0_marketcode_2"/>
      <w:r>
        <w:rPr>
          <w:sz w:val="21"/>
          <w:szCs w:val="21"/>
        </w:rPr>
        <w:t>562450</w:t>
      </w:r>
      <w:bookmarkEnd w:id="32"/>
      <w:r>
        <w:rPr>
          <w:rFonts w:hint="eastAsia"/>
          <w:sz w:val="21"/>
          <w:szCs w:val="21"/>
        </w:rPr>
        <w:t xml:space="preserve">  </w:t>
      </w:r>
    </w:p>
    <w:p w14:paraId="0E2EF8B8">
      <w:pPr>
        <w:pStyle w:val="9"/>
        <w:spacing w:before="0" w:beforeAutospacing="0" w:after="0" w:afterAutospacing="0" w:line="360" w:lineRule="auto"/>
        <w:ind w:firstLine="420"/>
        <w:rPr>
          <w:sz w:val="21"/>
          <w:szCs w:val="21"/>
          <w:highlight w:val="none"/>
        </w:rPr>
      </w:pPr>
      <w:r>
        <w:rPr>
          <w:rFonts w:hint="eastAsia"/>
          <w:sz w:val="21"/>
          <w:szCs w:val="21"/>
          <w:highlight w:val="none"/>
        </w:rPr>
        <w:t>投资者在上海证券交易所各会员单位证券营业部均可参与基金二级市场交易。</w:t>
      </w:r>
    </w:p>
    <w:p w14:paraId="35103F0A">
      <w:pPr>
        <w:pStyle w:val="9"/>
        <w:spacing w:before="0" w:beforeAutospacing="0" w:after="0" w:afterAutospacing="0" w:line="360" w:lineRule="auto"/>
        <w:ind w:firstLine="420"/>
        <w:rPr>
          <w:sz w:val="21"/>
          <w:szCs w:val="21"/>
          <w:highlight w:val="none"/>
        </w:rPr>
      </w:pPr>
      <w:r>
        <w:rPr>
          <w:sz w:val="21"/>
          <w:szCs w:val="21"/>
          <w:highlight w:val="none"/>
        </w:rPr>
        <w:t>6</w:t>
      </w:r>
      <w:r>
        <w:rPr>
          <w:rFonts w:hint="eastAsia"/>
          <w:sz w:val="21"/>
          <w:szCs w:val="21"/>
          <w:highlight w:val="none"/>
        </w:rPr>
        <w:t>、本基金管理人自</w:t>
      </w:r>
      <w:r>
        <w:rPr>
          <w:rFonts w:hint="eastAsia"/>
          <w:sz w:val="21"/>
          <w:szCs w:val="21"/>
          <w:highlight w:val="none"/>
          <w:lang w:eastAsia="zh-CN"/>
        </w:rPr>
        <w:t>2026年9月28日</w:t>
      </w:r>
      <w:r>
        <w:rPr>
          <w:rFonts w:hint="eastAsia"/>
          <w:sz w:val="21"/>
          <w:szCs w:val="21"/>
          <w:highlight w:val="none"/>
        </w:rPr>
        <w:t>开始办理本基金的申购和赎回业务。投资者应当在本基金指定的申购赎回代理券商办理基金申购、赎回业务的营业场所或按申购赎回代理券商提供的其他方式办理本基金的申购和赎回。</w:t>
      </w:r>
    </w:p>
    <w:p w14:paraId="1AC60250">
      <w:pPr>
        <w:pStyle w:val="9"/>
        <w:spacing w:before="0" w:beforeAutospacing="0" w:after="0" w:afterAutospacing="0" w:line="360" w:lineRule="auto"/>
        <w:ind w:firstLine="420"/>
        <w:rPr>
          <w:highlight w:val="none"/>
        </w:rPr>
      </w:pPr>
      <w:r>
        <w:rPr>
          <w:rFonts w:hint="eastAsia"/>
          <w:sz w:val="21"/>
          <w:szCs w:val="21"/>
          <w:highlight w:val="none"/>
        </w:rPr>
        <w:t>目前本基金的申购赎回代理券商包括：</w:t>
      </w:r>
    </w:p>
    <w:p w14:paraId="359B0F6F">
      <w:pPr>
        <w:pStyle w:val="9"/>
        <w:spacing w:before="0" w:beforeAutospacing="0" w:after="0" w:afterAutospacing="0" w:line="360" w:lineRule="auto"/>
        <w:ind w:firstLine="420"/>
        <w:jc w:val="both"/>
        <w:rPr>
          <w:rFonts w:hint="eastAsia"/>
          <w:sz w:val="21"/>
          <w:szCs w:val="21"/>
          <w:highlight w:val="none"/>
        </w:rPr>
      </w:pPr>
      <w:r>
        <w:rPr>
          <w:rFonts w:hint="eastAsia" w:ascii="宋体" w:hAnsi="宋体" w:eastAsia="宋体" w:cs="宋体"/>
          <w:i w:val="0"/>
          <w:iCs w:val="0"/>
          <w:caps w:val="0"/>
          <w:color w:val="000000"/>
          <w:spacing w:val="0"/>
          <w:sz w:val="21"/>
          <w:szCs w:val="21"/>
        </w:rPr>
        <w:t>长城证券股份有限公司、财达证券股份有限公司、德邦证券股份有限公司、东北证券股份有限公司、东方财富证券股份有限公司、东莞证券股份有限公司、东海证券股份有限公司、东吴证券股份有限公司、东兴证券股份有限公司、方正证券股份有限公司、广发证券股份有限公司、国海证券股份有限公司、国金证券股份有限公司、国盛证券股份有限公司、国泰海通证券股份有限公司、国投证券股份有限公司、国新证券股份有限公司、国信证券股份有限公司、华宝证券股份有限公司、华福证券股份有限公司、华泰证券股份有限公司、华西证券股份有限公司、华鑫证券有限责任公司、江海证券有限公司、联储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18FDF3BA">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本公司可适时增加或调整申购赎回代理券商，并在基金管理人网站公示。</w:t>
      </w:r>
    </w:p>
    <w:p w14:paraId="17D85D8C">
      <w:pPr>
        <w:pStyle w:val="9"/>
        <w:spacing w:before="0" w:beforeAutospacing="0" w:after="0" w:afterAutospacing="0" w:line="360" w:lineRule="auto"/>
        <w:ind w:firstLine="420"/>
        <w:jc w:val="both"/>
        <w:rPr>
          <w:sz w:val="21"/>
          <w:szCs w:val="21"/>
          <w:highlight w:val="none"/>
        </w:rPr>
      </w:pPr>
      <w:r>
        <w:rPr>
          <w:sz w:val="21"/>
          <w:szCs w:val="21"/>
          <w:highlight w:val="none"/>
        </w:rPr>
        <w:t>7</w:t>
      </w:r>
      <w:r>
        <w:rPr>
          <w:rFonts w:hint="eastAsia"/>
          <w:sz w:val="21"/>
          <w:szCs w:val="21"/>
          <w:highlight w:val="none"/>
        </w:rPr>
        <w:t>、本次上市交易的基金份额总额：206,492,415.00（截至</w:t>
      </w:r>
      <w:r>
        <w:rPr>
          <w:rFonts w:hint="eastAsia"/>
          <w:sz w:val="21"/>
          <w:szCs w:val="21"/>
          <w:highlight w:val="none"/>
          <w:lang w:eastAsia="zh-CN"/>
        </w:rPr>
        <w:t>2026年9月18日</w:t>
      </w:r>
      <w:r>
        <w:rPr>
          <w:rFonts w:hint="eastAsia"/>
          <w:sz w:val="21"/>
          <w:szCs w:val="21"/>
          <w:highlight w:val="none"/>
        </w:rPr>
        <w:t xml:space="preserve">）。 </w:t>
      </w:r>
    </w:p>
    <w:p w14:paraId="5ABA7936">
      <w:pPr>
        <w:pStyle w:val="9"/>
        <w:spacing w:before="0" w:beforeAutospacing="0" w:after="0" w:afterAutospacing="0" w:line="360" w:lineRule="auto"/>
        <w:ind w:firstLine="420"/>
        <w:jc w:val="both"/>
        <w:rPr>
          <w:sz w:val="21"/>
          <w:szCs w:val="21"/>
          <w:highlight w:val="none"/>
        </w:rPr>
      </w:pPr>
      <w:r>
        <w:rPr>
          <w:sz w:val="21"/>
          <w:szCs w:val="21"/>
          <w:highlight w:val="none"/>
        </w:rPr>
        <w:t>8</w:t>
      </w:r>
      <w:r>
        <w:rPr>
          <w:rFonts w:hint="eastAsia"/>
          <w:sz w:val="21"/>
          <w:szCs w:val="21"/>
          <w:highlight w:val="none"/>
        </w:rPr>
        <w:t>、未上市交易份额的流通规定：本基金上市交易后，所有的基金份额均可进行交易，不存在未上市交易的基金份额。</w:t>
      </w:r>
    </w:p>
    <w:p w14:paraId="483E7D4B">
      <w:pPr>
        <w:pStyle w:val="9"/>
        <w:spacing w:before="0" w:beforeAutospacing="0" w:after="0" w:afterAutospacing="0" w:line="360" w:lineRule="auto"/>
        <w:ind w:firstLine="420"/>
        <w:jc w:val="both"/>
        <w:rPr>
          <w:sz w:val="21"/>
          <w:szCs w:val="21"/>
          <w:highlight w:val="none"/>
        </w:rPr>
        <w:sectPr>
          <w:pgSz w:w="11906" w:h="16838"/>
          <w:pgMar w:top="1440" w:right="1803" w:bottom="1440" w:left="1803" w:header="851" w:footer="992" w:gutter="0"/>
          <w:cols w:space="425" w:num="1"/>
          <w:docGrid w:type="lines" w:linePitch="312" w:charSpace="0"/>
        </w:sectPr>
      </w:pPr>
      <w:r>
        <w:rPr>
          <w:sz w:val="21"/>
          <w:szCs w:val="21"/>
          <w:highlight w:val="none"/>
        </w:rPr>
        <w:t>9</w:t>
      </w:r>
      <w:r>
        <w:rPr>
          <w:rFonts w:hint="eastAsia"/>
          <w:sz w:val="21"/>
          <w:szCs w:val="21"/>
          <w:highlight w:val="none"/>
        </w:rPr>
        <w:t>、基金资产净值的披露：在本基金上市交易并开始办理基金份额申购赎回后，基金管理人应当在每个开放日的次日，通过网站、基金份额发售网点以及其他媒介，披露开放日的</w:t>
      </w:r>
      <w:bookmarkStart w:id="33" w:name="chapter_level1_3_56145_section_1_end"/>
      <w:bookmarkEnd w:id="33"/>
      <w:r>
        <w:rPr>
          <w:rFonts w:hint="eastAsia"/>
          <w:sz w:val="21"/>
          <w:szCs w:val="21"/>
          <w:highlight w:val="none"/>
        </w:rPr>
        <w:t xml:space="preserve">基金份额净值和基金份额累计净值，并在上海证券交易所行情发布系统揭示基金份额净值。 </w:t>
      </w:r>
    </w:p>
    <w:p w14:paraId="5B951949">
      <w:pPr>
        <w:pStyle w:val="2"/>
        <w:jc w:val="center"/>
        <w:rPr>
          <w:rFonts w:ascii="宋体" w:hAnsi="宋体" w:eastAsia="宋体"/>
          <w:sz w:val="30"/>
          <w:highlight w:val="none"/>
        </w:rPr>
      </w:pPr>
      <w:bookmarkStart w:id="34" w:name="chapter_level1_4_56146"/>
      <w:bookmarkStart w:id="35" w:name="_Toc20520"/>
      <w:r>
        <w:rPr>
          <w:rFonts w:hint="eastAsia" w:ascii="宋体" w:hAnsi="宋体" w:eastAsia="宋体"/>
          <w:sz w:val="30"/>
          <w:highlight w:val="none"/>
        </w:rPr>
        <w:t>四、持有人户数、持有人结构及前十名持有人</w:t>
      </w:r>
      <w:bookmarkEnd w:id="34"/>
      <w:bookmarkEnd w:id="35"/>
    </w:p>
    <w:p w14:paraId="427C32DB">
      <w:pPr>
        <w:pStyle w:val="9"/>
        <w:spacing w:before="0" w:beforeAutospacing="0" w:after="0" w:afterAutospacing="0" w:line="360" w:lineRule="auto"/>
        <w:ind w:firstLine="420"/>
        <w:rPr>
          <w:sz w:val="21"/>
          <w:szCs w:val="21"/>
          <w:highlight w:val="none"/>
        </w:rPr>
      </w:pPr>
      <w:bookmarkStart w:id="36" w:name="chapter_level1_4_56146_section_1"/>
      <w:bookmarkEnd w:id="36"/>
      <w:bookmarkStart w:id="37" w:name="_Toc32626"/>
      <w:bookmarkStart w:id="38" w:name="chapter_level1_5_56147"/>
      <w:r>
        <w:rPr>
          <w:rFonts w:hint="eastAsia"/>
          <w:sz w:val="21"/>
          <w:szCs w:val="21"/>
          <w:highlight w:val="none"/>
        </w:rPr>
        <w:t xml:space="preserve">（一）持有人户数 </w:t>
      </w:r>
    </w:p>
    <w:p w14:paraId="5EB4D5C9">
      <w:pPr>
        <w:pStyle w:val="9"/>
        <w:spacing w:before="0" w:beforeAutospacing="0" w:after="0" w:afterAutospacing="0" w:line="360" w:lineRule="auto"/>
        <w:ind w:firstLine="420"/>
        <w:rPr>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2026年9月18日</w:t>
      </w:r>
      <w:r>
        <w:rPr>
          <w:rFonts w:hint="eastAsia"/>
          <w:sz w:val="21"/>
          <w:szCs w:val="21"/>
          <w:highlight w:val="none"/>
        </w:rPr>
        <w:t>，本基金份额持有人户数为1,815户，平均每户持有的基金份额为113,769.9</w:t>
      </w:r>
      <w:r>
        <w:rPr>
          <w:rFonts w:hint="eastAsia"/>
          <w:sz w:val="21"/>
          <w:szCs w:val="21"/>
          <w:highlight w:val="none"/>
          <w:lang w:val="en-US" w:eastAsia="zh-CN"/>
        </w:rPr>
        <w:t>3</w:t>
      </w:r>
      <w:r>
        <w:rPr>
          <w:rFonts w:hint="eastAsia"/>
          <w:sz w:val="21"/>
          <w:szCs w:val="21"/>
          <w:highlight w:val="none"/>
        </w:rPr>
        <w:t>份。</w:t>
      </w:r>
    </w:p>
    <w:p w14:paraId="3077E23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（二）持有人结构 </w:t>
      </w:r>
    </w:p>
    <w:p w14:paraId="00C61D0A">
      <w:pPr>
        <w:pStyle w:val="9"/>
        <w:spacing w:before="0" w:beforeAutospacing="0" w:after="0" w:afterAutospacing="0" w:line="360" w:lineRule="auto"/>
        <w:ind w:firstLine="420"/>
        <w:rPr>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2026年9月18日</w:t>
      </w:r>
      <w:r>
        <w:rPr>
          <w:rFonts w:hint="eastAsia"/>
          <w:sz w:val="21"/>
          <w:szCs w:val="21"/>
          <w:highlight w:val="none"/>
        </w:rPr>
        <w:t xml:space="preserve">，本基金份额持有人结构如下： </w:t>
      </w:r>
    </w:p>
    <w:p w14:paraId="17E061EF">
      <w:pPr>
        <w:pStyle w:val="9"/>
        <w:spacing w:before="0" w:beforeAutospacing="0" w:after="0" w:afterAutospacing="0" w:line="360" w:lineRule="auto"/>
        <w:ind w:firstLine="420"/>
        <w:rPr>
          <w:sz w:val="21"/>
          <w:szCs w:val="21"/>
          <w:highlight w:val="none"/>
        </w:rPr>
      </w:pPr>
      <w:r>
        <w:rPr>
          <w:rFonts w:hint="eastAsia"/>
          <w:sz w:val="21"/>
          <w:szCs w:val="21"/>
          <w:highlight w:val="none"/>
        </w:rPr>
        <w:t>机构投资者持有的基金份额为43,982,633.00份，占基金总份额的21.30%；个人投资者持有的基金份额为162,509,782.00份，占基金总份额的78.70%。</w:t>
      </w:r>
    </w:p>
    <w:p w14:paraId="1251E3A7">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（三）前十名基金份额持有人的情况： </w:t>
      </w:r>
    </w:p>
    <w:p w14:paraId="3323D7A7">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2026年9月18日</w:t>
      </w:r>
      <w:r>
        <w:rPr>
          <w:rFonts w:hint="eastAsia"/>
          <w:sz w:val="21"/>
          <w:szCs w:val="21"/>
          <w:highlight w:val="none"/>
        </w:rPr>
        <w:t xml:space="preserve">，前十名基金份额持有人的情况如下表。 </w:t>
      </w:r>
    </w:p>
    <w:tbl>
      <w:tblPr>
        <w:tblStyle w:val="11"/>
        <w:tblW w:w="8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1"/>
        <w:gridCol w:w="2805"/>
        <w:gridCol w:w="2115"/>
        <w:gridCol w:w="2507"/>
      </w:tblGrid>
      <w:tr w14:paraId="2D592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8D1A086">
            <w:pPr>
              <w:pStyle w:val="9"/>
              <w:spacing w:before="0" w:beforeAutospacing="0" w:after="0" w:afterAutospacing="0" w:line="360" w:lineRule="auto"/>
              <w:ind w:firstLine="0"/>
              <w:rPr>
                <w:rFonts w:hint="eastAsia"/>
                <w:sz w:val="21"/>
                <w:szCs w:val="21"/>
                <w:highlight w:val="none"/>
              </w:rPr>
            </w:pPr>
            <w:r>
              <w:rPr>
                <w:rFonts w:hint="eastAsia"/>
                <w:sz w:val="21"/>
                <w:szCs w:val="21"/>
                <w:highlight w:val="none"/>
              </w:rPr>
              <w:t>序号</w:t>
            </w:r>
          </w:p>
        </w:tc>
        <w:tc>
          <w:tcPr>
            <w:tcW w:w="2805" w:type="dxa"/>
            <w:vAlign w:val="center"/>
          </w:tcPr>
          <w:p w14:paraId="4B53EFE1">
            <w:pPr>
              <w:pStyle w:val="9"/>
              <w:spacing w:before="0" w:beforeAutospacing="0" w:after="0" w:afterAutospacing="0" w:line="360" w:lineRule="auto"/>
              <w:ind w:firstLine="420"/>
              <w:jc w:val="center"/>
              <w:rPr>
                <w:rFonts w:hint="eastAsia"/>
                <w:sz w:val="21"/>
                <w:szCs w:val="21"/>
                <w:highlight w:val="none"/>
              </w:rPr>
            </w:pPr>
            <w:r>
              <w:rPr>
                <w:rFonts w:hint="eastAsia"/>
                <w:sz w:val="21"/>
                <w:szCs w:val="21"/>
                <w:highlight w:val="none"/>
              </w:rPr>
              <w:t>持有人名称（全称）</w:t>
            </w:r>
          </w:p>
        </w:tc>
        <w:tc>
          <w:tcPr>
            <w:tcW w:w="2115" w:type="dxa"/>
            <w:vAlign w:val="center"/>
          </w:tcPr>
          <w:p w14:paraId="7A6D0BA0">
            <w:pPr>
              <w:pStyle w:val="9"/>
              <w:spacing w:before="0" w:beforeAutospacing="0" w:after="0" w:afterAutospacing="0" w:line="360" w:lineRule="auto"/>
              <w:ind w:firstLine="0"/>
              <w:jc w:val="center"/>
              <w:rPr>
                <w:rFonts w:hint="eastAsia"/>
                <w:sz w:val="21"/>
                <w:szCs w:val="21"/>
                <w:highlight w:val="none"/>
              </w:rPr>
            </w:pPr>
            <w:r>
              <w:rPr>
                <w:rFonts w:hint="eastAsia"/>
                <w:sz w:val="21"/>
                <w:szCs w:val="21"/>
                <w:highlight w:val="none"/>
              </w:rPr>
              <w:t>持有基金份额（份）</w:t>
            </w:r>
          </w:p>
        </w:tc>
        <w:tc>
          <w:tcPr>
            <w:tcW w:w="2507" w:type="dxa"/>
            <w:vAlign w:val="center"/>
          </w:tcPr>
          <w:p w14:paraId="60BE21D6">
            <w:pPr>
              <w:pStyle w:val="9"/>
              <w:spacing w:before="0" w:beforeAutospacing="0" w:after="0" w:afterAutospacing="0" w:line="360" w:lineRule="auto"/>
              <w:ind w:firstLine="0"/>
              <w:jc w:val="center"/>
              <w:rPr>
                <w:rFonts w:hint="eastAsia"/>
                <w:sz w:val="21"/>
                <w:szCs w:val="21"/>
                <w:highlight w:val="none"/>
              </w:rPr>
            </w:pPr>
            <w:r>
              <w:rPr>
                <w:rFonts w:hint="eastAsia"/>
                <w:sz w:val="21"/>
                <w:szCs w:val="21"/>
                <w:highlight w:val="none"/>
              </w:rPr>
              <w:t>占场内总份额比例（%）</w:t>
            </w:r>
          </w:p>
        </w:tc>
      </w:tr>
      <w:tr w14:paraId="24930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7C3324CE">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1</w:t>
            </w:r>
          </w:p>
        </w:tc>
        <w:tc>
          <w:tcPr>
            <w:tcW w:w="2805" w:type="dxa"/>
            <w:vAlign w:val="center"/>
          </w:tcPr>
          <w:p w14:paraId="46D8D166">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博时基金－中国人寿保险股份有限公司－分红险－博时基金国寿股份价值股票型组合单一</w:t>
            </w:r>
          </w:p>
        </w:tc>
        <w:tc>
          <w:tcPr>
            <w:tcW w:w="2115" w:type="dxa"/>
            <w:vAlign w:val="bottom"/>
          </w:tcPr>
          <w:p w14:paraId="4E9F57C1">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20,002,000.00</w:t>
            </w:r>
          </w:p>
        </w:tc>
        <w:tc>
          <w:tcPr>
            <w:tcW w:w="2507" w:type="dxa"/>
            <w:vAlign w:val="bottom"/>
          </w:tcPr>
          <w:p w14:paraId="6EA65554">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9.69</w:t>
            </w:r>
          </w:p>
        </w:tc>
      </w:tr>
      <w:tr w14:paraId="24142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50AE84F3">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2</w:t>
            </w:r>
          </w:p>
        </w:tc>
        <w:tc>
          <w:tcPr>
            <w:tcW w:w="2805" w:type="dxa"/>
            <w:vAlign w:val="center"/>
          </w:tcPr>
          <w:p w14:paraId="027E1EFF">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招商期货有限公司</w:t>
            </w:r>
          </w:p>
        </w:tc>
        <w:tc>
          <w:tcPr>
            <w:tcW w:w="2115" w:type="dxa"/>
            <w:vAlign w:val="bottom"/>
          </w:tcPr>
          <w:p w14:paraId="139B340C">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10,000,194.00</w:t>
            </w:r>
          </w:p>
        </w:tc>
        <w:tc>
          <w:tcPr>
            <w:tcW w:w="2507" w:type="dxa"/>
            <w:vAlign w:val="bottom"/>
          </w:tcPr>
          <w:p w14:paraId="67A462B2">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4.84</w:t>
            </w:r>
          </w:p>
        </w:tc>
      </w:tr>
      <w:tr w14:paraId="1337A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7D4A600">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3</w:t>
            </w:r>
          </w:p>
        </w:tc>
        <w:tc>
          <w:tcPr>
            <w:tcW w:w="2805" w:type="dxa"/>
            <w:vAlign w:val="center"/>
          </w:tcPr>
          <w:p w14:paraId="7FE0F84C">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招商证券股份有限公司</w:t>
            </w:r>
          </w:p>
        </w:tc>
        <w:tc>
          <w:tcPr>
            <w:tcW w:w="2115" w:type="dxa"/>
            <w:vAlign w:val="bottom"/>
          </w:tcPr>
          <w:p w14:paraId="30DA078A">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7,000,136.00</w:t>
            </w:r>
          </w:p>
        </w:tc>
        <w:tc>
          <w:tcPr>
            <w:tcW w:w="2507" w:type="dxa"/>
            <w:vAlign w:val="bottom"/>
          </w:tcPr>
          <w:p w14:paraId="05D9A78C">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3.39</w:t>
            </w:r>
          </w:p>
        </w:tc>
      </w:tr>
      <w:tr w14:paraId="4FE3D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069F86D8">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4</w:t>
            </w:r>
          </w:p>
        </w:tc>
        <w:tc>
          <w:tcPr>
            <w:tcW w:w="2805" w:type="dxa"/>
            <w:vAlign w:val="center"/>
          </w:tcPr>
          <w:p w14:paraId="7C650A0A">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国信证券股份有限公司</w:t>
            </w:r>
          </w:p>
        </w:tc>
        <w:tc>
          <w:tcPr>
            <w:tcW w:w="2115" w:type="dxa"/>
            <w:vAlign w:val="bottom"/>
          </w:tcPr>
          <w:p w14:paraId="62991FD0">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4,000,077.00</w:t>
            </w:r>
          </w:p>
        </w:tc>
        <w:tc>
          <w:tcPr>
            <w:tcW w:w="2507" w:type="dxa"/>
            <w:vAlign w:val="bottom"/>
          </w:tcPr>
          <w:p w14:paraId="4A360BA1">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1.94</w:t>
            </w:r>
          </w:p>
        </w:tc>
      </w:tr>
      <w:tr w14:paraId="316B1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67C2708">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5</w:t>
            </w:r>
          </w:p>
        </w:tc>
        <w:tc>
          <w:tcPr>
            <w:tcW w:w="2805" w:type="dxa"/>
            <w:vAlign w:val="center"/>
          </w:tcPr>
          <w:p w14:paraId="79D9E1C5">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张延妹</w:t>
            </w:r>
          </w:p>
        </w:tc>
        <w:tc>
          <w:tcPr>
            <w:tcW w:w="2115" w:type="dxa"/>
            <w:vAlign w:val="bottom"/>
          </w:tcPr>
          <w:p w14:paraId="75A44502">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2,000,233.00</w:t>
            </w:r>
          </w:p>
        </w:tc>
        <w:tc>
          <w:tcPr>
            <w:tcW w:w="2507" w:type="dxa"/>
            <w:vAlign w:val="bottom"/>
          </w:tcPr>
          <w:p w14:paraId="2C430228">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0.97</w:t>
            </w:r>
          </w:p>
        </w:tc>
      </w:tr>
      <w:tr w14:paraId="71F46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2B7C6CF7">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6</w:t>
            </w:r>
          </w:p>
        </w:tc>
        <w:tc>
          <w:tcPr>
            <w:tcW w:w="2805" w:type="dxa"/>
            <w:vAlign w:val="center"/>
          </w:tcPr>
          <w:p w14:paraId="1127A369">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陈华良</w:t>
            </w:r>
          </w:p>
        </w:tc>
        <w:tc>
          <w:tcPr>
            <w:tcW w:w="2115" w:type="dxa"/>
            <w:vAlign w:val="bottom"/>
          </w:tcPr>
          <w:p w14:paraId="0B36D045">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2,000,222.00</w:t>
            </w:r>
          </w:p>
        </w:tc>
        <w:tc>
          <w:tcPr>
            <w:tcW w:w="2507" w:type="dxa"/>
            <w:vAlign w:val="bottom"/>
          </w:tcPr>
          <w:p w14:paraId="52052FF1">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0.97</w:t>
            </w:r>
          </w:p>
        </w:tc>
      </w:tr>
      <w:tr w14:paraId="29775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21D34970">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7</w:t>
            </w:r>
          </w:p>
        </w:tc>
        <w:tc>
          <w:tcPr>
            <w:tcW w:w="2805" w:type="dxa"/>
            <w:vAlign w:val="center"/>
          </w:tcPr>
          <w:p w14:paraId="438C5D76">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孙学兰</w:t>
            </w:r>
          </w:p>
        </w:tc>
        <w:tc>
          <w:tcPr>
            <w:tcW w:w="2115" w:type="dxa"/>
            <w:vAlign w:val="bottom"/>
          </w:tcPr>
          <w:p w14:paraId="67F0BAF7">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2,000,136.00</w:t>
            </w:r>
          </w:p>
        </w:tc>
        <w:tc>
          <w:tcPr>
            <w:tcW w:w="2507" w:type="dxa"/>
            <w:vAlign w:val="bottom"/>
          </w:tcPr>
          <w:p w14:paraId="238CF492">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0.97</w:t>
            </w:r>
          </w:p>
        </w:tc>
      </w:tr>
      <w:tr w14:paraId="3AA3C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030BCB63">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8</w:t>
            </w:r>
          </w:p>
        </w:tc>
        <w:tc>
          <w:tcPr>
            <w:tcW w:w="2805" w:type="dxa"/>
            <w:vAlign w:val="center"/>
          </w:tcPr>
          <w:p w14:paraId="3A10F177">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王飞霞</w:t>
            </w:r>
          </w:p>
        </w:tc>
        <w:tc>
          <w:tcPr>
            <w:tcW w:w="2115" w:type="dxa"/>
            <w:vAlign w:val="bottom"/>
          </w:tcPr>
          <w:p w14:paraId="3378672C">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2,000,097.00</w:t>
            </w:r>
          </w:p>
        </w:tc>
        <w:tc>
          <w:tcPr>
            <w:tcW w:w="2507" w:type="dxa"/>
            <w:vAlign w:val="bottom"/>
          </w:tcPr>
          <w:p w14:paraId="6BE3DDA6">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0.97</w:t>
            </w:r>
          </w:p>
        </w:tc>
      </w:tr>
      <w:tr w14:paraId="6B665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8903BB9">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9</w:t>
            </w:r>
          </w:p>
        </w:tc>
        <w:tc>
          <w:tcPr>
            <w:tcW w:w="2805" w:type="dxa"/>
            <w:vAlign w:val="center"/>
          </w:tcPr>
          <w:p w14:paraId="4F29DB77">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高明</w:t>
            </w:r>
          </w:p>
        </w:tc>
        <w:tc>
          <w:tcPr>
            <w:tcW w:w="2115" w:type="dxa"/>
            <w:vAlign w:val="bottom"/>
          </w:tcPr>
          <w:p w14:paraId="7879ED13">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1,170,091.00</w:t>
            </w:r>
          </w:p>
        </w:tc>
        <w:tc>
          <w:tcPr>
            <w:tcW w:w="2507" w:type="dxa"/>
            <w:vAlign w:val="bottom"/>
          </w:tcPr>
          <w:p w14:paraId="295ADE4A">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0.57</w:t>
            </w:r>
          </w:p>
        </w:tc>
      </w:tr>
      <w:tr w14:paraId="1D04D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5B08ACBD">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10</w:t>
            </w:r>
          </w:p>
        </w:tc>
        <w:tc>
          <w:tcPr>
            <w:tcW w:w="2805" w:type="dxa"/>
            <w:vAlign w:val="center"/>
          </w:tcPr>
          <w:p w14:paraId="11C75061">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薛峰</w:t>
            </w:r>
          </w:p>
        </w:tc>
        <w:tc>
          <w:tcPr>
            <w:tcW w:w="2115" w:type="dxa"/>
            <w:vAlign w:val="bottom"/>
          </w:tcPr>
          <w:p w14:paraId="776241E6">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1,010,078.00</w:t>
            </w:r>
          </w:p>
        </w:tc>
        <w:tc>
          <w:tcPr>
            <w:tcW w:w="2507" w:type="dxa"/>
            <w:vAlign w:val="bottom"/>
          </w:tcPr>
          <w:p w14:paraId="2A32149C">
            <w:pPr>
              <w:keepNext w:val="0"/>
              <w:keepLines w:val="0"/>
              <w:widowControl/>
              <w:suppressLineNumbers w:val="0"/>
              <w:jc w:val="right"/>
              <w:textAlignment w:val="bottom"/>
              <w:rPr>
                <w:rFonts w:hint="eastAsia" w:ascii="宋体" w:hAnsi="宋体" w:eastAsia="宋体" w:cs="宋体"/>
                <w:sz w:val="21"/>
                <w:szCs w:val="21"/>
                <w:highlight w:val="none"/>
                <w:lang w:val="en-US" w:eastAsia="zh-CN"/>
              </w:rPr>
            </w:pPr>
            <w:r>
              <w:rPr>
                <w:rFonts w:hint="default" w:ascii="Calibri" w:hAnsi="Calibri" w:eastAsia="宋体" w:cs="Calibri"/>
                <w:i w:val="0"/>
                <w:iCs w:val="0"/>
                <w:color w:val="000000"/>
                <w:kern w:val="0"/>
                <w:sz w:val="20"/>
                <w:szCs w:val="20"/>
                <w:u w:val="none"/>
                <w:lang w:val="en-US" w:eastAsia="zh-CN" w:bidi="ar"/>
              </w:rPr>
              <w:t>0.49</w:t>
            </w:r>
          </w:p>
        </w:tc>
      </w:tr>
    </w:tbl>
    <w:p w14:paraId="3FDD9293">
      <w:pPr>
        <w:pStyle w:val="9"/>
        <w:spacing w:before="0" w:beforeAutospacing="0" w:after="0" w:afterAutospacing="0" w:line="360" w:lineRule="auto"/>
        <w:ind w:firstLine="420" w:firstLineChars="200"/>
        <w:rPr>
          <w:rFonts w:hint="eastAsia"/>
          <w:sz w:val="21"/>
          <w:szCs w:val="21"/>
          <w:highlight w:val="none"/>
        </w:rPr>
      </w:pPr>
      <w:bookmarkStart w:id="39" w:name="chapter_level1_4_56146_section_1_end"/>
      <w:bookmarkEnd w:id="39"/>
      <w:r>
        <w:rPr>
          <w:rFonts w:hint="eastAsia"/>
          <w:sz w:val="21"/>
          <w:szCs w:val="21"/>
          <w:highlight w:val="none"/>
        </w:rPr>
        <w:t>注：以上信息依据中国证券登记结算有限责任公司提供的持有人信息编制。</w:t>
      </w:r>
    </w:p>
    <w:p w14:paraId="67F72CF5">
      <w:pPr>
        <w:pStyle w:val="9"/>
        <w:spacing w:before="0" w:beforeAutospacing="0" w:after="0" w:afterAutospacing="0" w:line="360" w:lineRule="auto"/>
        <w:ind w:firstLine="420" w:firstLineChars="200"/>
        <w:rPr>
          <w:sz w:val="21"/>
          <w:szCs w:val="21"/>
          <w:highlight w:val="none"/>
        </w:rPr>
      </w:pPr>
      <w:r>
        <w:rPr>
          <w:rFonts w:hint="eastAsia"/>
          <w:sz w:val="21"/>
          <w:szCs w:val="21"/>
          <w:highlight w:val="none"/>
        </w:rPr>
        <w:t xml:space="preserve"> </w:t>
      </w:r>
    </w:p>
    <w:p w14:paraId="03DE5C45">
      <w:pPr>
        <w:pStyle w:val="2"/>
        <w:jc w:val="center"/>
        <w:rPr>
          <w:rFonts w:ascii="宋体" w:hAnsi="宋体" w:eastAsia="宋体"/>
          <w:sz w:val="30"/>
          <w:highlight w:val="none"/>
        </w:rPr>
      </w:pPr>
      <w:r>
        <w:rPr>
          <w:rFonts w:hint="eastAsia" w:ascii="宋体" w:hAnsi="宋体" w:eastAsia="宋体"/>
          <w:sz w:val="30"/>
          <w:highlight w:val="none"/>
        </w:rPr>
        <w:t>五、基金主要当事人简介</w:t>
      </w:r>
      <w:bookmarkEnd w:id="37"/>
      <w:bookmarkEnd w:id="38"/>
    </w:p>
    <w:p w14:paraId="7AD57EEA">
      <w:pPr>
        <w:pStyle w:val="9"/>
        <w:spacing w:before="0" w:beforeAutospacing="0" w:after="0" w:afterAutospacing="0" w:line="360" w:lineRule="auto"/>
        <w:ind w:firstLine="420"/>
        <w:rPr>
          <w:rFonts w:hint="eastAsia"/>
          <w:b w:val="0"/>
          <w:bCs w:val="0"/>
          <w:sz w:val="21"/>
          <w:szCs w:val="21"/>
          <w:highlight w:val="none"/>
          <w:lang w:eastAsia="zh-CN"/>
        </w:rPr>
      </w:pPr>
      <w:bookmarkStart w:id="40" w:name="chapter_level1_5_56147_section_1"/>
      <w:bookmarkEnd w:id="40"/>
      <w:r>
        <w:rPr>
          <w:rFonts w:hint="eastAsia"/>
          <w:b w:val="0"/>
          <w:bCs w:val="0"/>
          <w:sz w:val="21"/>
          <w:szCs w:val="21"/>
          <w:highlight w:val="none"/>
          <w:lang w:eastAsia="zh-CN"/>
        </w:rPr>
        <w:t>（</w:t>
      </w:r>
      <w:r>
        <w:rPr>
          <w:rFonts w:hint="eastAsia"/>
          <w:b w:val="0"/>
          <w:bCs w:val="0"/>
          <w:sz w:val="21"/>
          <w:szCs w:val="21"/>
          <w:highlight w:val="none"/>
          <w:lang w:val="en-US" w:eastAsia="zh-CN"/>
        </w:rPr>
        <w:t>一</w:t>
      </w:r>
      <w:r>
        <w:rPr>
          <w:rFonts w:hint="eastAsia"/>
          <w:b w:val="0"/>
          <w:bCs w:val="0"/>
          <w:sz w:val="21"/>
          <w:szCs w:val="21"/>
          <w:highlight w:val="none"/>
          <w:lang w:eastAsia="zh-CN"/>
        </w:rPr>
        <w:t>）基金管理人概况</w:t>
      </w:r>
    </w:p>
    <w:p w14:paraId="1AFBB0A1">
      <w:pPr>
        <w:pStyle w:val="9"/>
        <w:spacing w:before="0" w:beforeAutospacing="0" w:after="0" w:afterAutospacing="0" w:line="360" w:lineRule="auto"/>
        <w:ind w:firstLine="420"/>
        <w:rPr>
          <w:rFonts w:hint="eastAsia"/>
          <w:b w:val="0"/>
          <w:bCs w:val="0"/>
          <w:sz w:val="21"/>
          <w:szCs w:val="21"/>
          <w:highlight w:val="none"/>
          <w:lang w:val="en-US" w:eastAsia="zh-CN"/>
        </w:rPr>
      </w:pPr>
      <w:r>
        <w:rPr>
          <w:rFonts w:hint="eastAsia"/>
          <w:b w:val="0"/>
          <w:bCs w:val="0"/>
          <w:sz w:val="21"/>
          <w:szCs w:val="21"/>
          <w:highlight w:val="none"/>
          <w:lang w:val="en-US" w:eastAsia="zh-CN"/>
        </w:rPr>
        <w:t>1、基本情况</w:t>
      </w:r>
    </w:p>
    <w:p w14:paraId="5AA6E62D">
      <w:pPr>
        <w:pStyle w:val="9"/>
        <w:spacing w:before="0" w:beforeAutospacing="0" w:after="0" w:afterAutospacing="0" w:line="360" w:lineRule="auto"/>
        <w:ind w:firstLine="420"/>
        <w:rPr>
          <w:sz w:val="21"/>
          <w:szCs w:val="21"/>
          <w:highlight w:val="none"/>
        </w:rPr>
      </w:pPr>
      <w:r>
        <w:rPr>
          <w:rFonts w:hint="eastAsia"/>
          <w:sz w:val="21"/>
          <w:szCs w:val="21"/>
          <w:highlight w:val="none"/>
        </w:rPr>
        <w:t>名称：博时基金管理有限公司</w:t>
      </w:r>
    </w:p>
    <w:p w14:paraId="51E72708">
      <w:pPr>
        <w:pStyle w:val="9"/>
        <w:spacing w:before="0" w:beforeAutospacing="0" w:after="0" w:afterAutospacing="0" w:line="360" w:lineRule="auto"/>
        <w:ind w:firstLine="420"/>
        <w:rPr>
          <w:sz w:val="21"/>
          <w:szCs w:val="21"/>
          <w:highlight w:val="none"/>
        </w:rPr>
      </w:pPr>
      <w:r>
        <w:rPr>
          <w:rFonts w:hint="eastAsia"/>
          <w:sz w:val="21"/>
          <w:szCs w:val="21"/>
          <w:highlight w:val="none"/>
        </w:rPr>
        <w:t>住所：深圳市福田区莲花街道福新社区益田路5999号基金大厦21层</w:t>
      </w:r>
    </w:p>
    <w:p w14:paraId="5F761EB5">
      <w:pPr>
        <w:pStyle w:val="9"/>
        <w:spacing w:before="0" w:beforeAutospacing="0" w:after="0" w:afterAutospacing="0" w:line="360" w:lineRule="auto"/>
        <w:ind w:firstLine="420"/>
        <w:rPr>
          <w:sz w:val="21"/>
          <w:szCs w:val="21"/>
          <w:highlight w:val="none"/>
        </w:rPr>
      </w:pPr>
      <w:r>
        <w:rPr>
          <w:rFonts w:hint="eastAsia"/>
          <w:sz w:val="21"/>
          <w:szCs w:val="21"/>
          <w:highlight w:val="none"/>
        </w:rPr>
        <w:t>办公地址：广东省深圳市福田区益田路5999号基金大厦21层</w:t>
      </w:r>
    </w:p>
    <w:p w14:paraId="27C9FD6D">
      <w:pPr>
        <w:pStyle w:val="9"/>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692C3F5D">
      <w:pPr>
        <w:pStyle w:val="9"/>
        <w:spacing w:before="0" w:beforeAutospacing="0" w:after="0" w:afterAutospacing="0" w:line="360" w:lineRule="auto"/>
        <w:ind w:firstLine="420"/>
        <w:rPr>
          <w:sz w:val="21"/>
          <w:szCs w:val="21"/>
          <w:highlight w:val="none"/>
        </w:rPr>
      </w:pPr>
      <w:r>
        <w:rPr>
          <w:rFonts w:hint="eastAsia"/>
          <w:sz w:val="21"/>
          <w:szCs w:val="21"/>
          <w:highlight w:val="none"/>
        </w:rPr>
        <w:t>成立时间：1998年7月13日</w:t>
      </w:r>
    </w:p>
    <w:p w14:paraId="37246621">
      <w:pPr>
        <w:pStyle w:val="9"/>
        <w:spacing w:before="0" w:beforeAutospacing="0" w:after="0" w:afterAutospacing="0" w:line="360" w:lineRule="auto"/>
        <w:ind w:firstLine="420"/>
        <w:rPr>
          <w:sz w:val="21"/>
          <w:szCs w:val="21"/>
          <w:highlight w:val="none"/>
        </w:rPr>
      </w:pPr>
      <w:r>
        <w:rPr>
          <w:rFonts w:hint="eastAsia"/>
          <w:sz w:val="21"/>
          <w:szCs w:val="21"/>
          <w:highlight w:val="none"/>
        </w:rPr>
        <w:t>注册资本：2.5亿元人民币</w:t>
      </w:r>
    </w:p>
    <w:p w14:paraId="5DB7A1C8">
      <w:pPr>
        <w:pStyle w:val="9"/>
        <w:spacing w:before="0" w:beforeAutospacing="0" w:after="0" w:afterAutospacing="0" w:line="360" w:lineRule="auto"/>
        <w:ind w:firstLine="420"/>
        <w:rPr>
          <w:sz w:val="21"/>
          <w:szCs w:val="21"/>
          <w:highlight w:val="none"/>
        </w:rPr>
      </w:pPr>
      <w:r>
        <w:rPr>
          <w:rFonts w:hint="eastAsia"/>
          <w:sz w:val="21"/>
          <w:szCs w:val="21"/>
          <w:highlight w:val="none"/>
        </w:rPr>
        <w:t>存续期间：持续经营</w:t>
      </w:r>
    </w:p>
    <w:p w14:paraId="32ACB4EC">
      <w:pPr>
        <w:pStyle w:val="9"/>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联系人：</w:t>
      </w:r>
      <w:r>
        <w:rPr>
          <w:rFonts w:hint="eastAsia"/>
          <w:sz w:val="21"/>
          <w:szCs w:val="21"/>
          <w:highlight w:val="none"/>
          <w:lang w:val="en-US" w:eastAsia="zh-CN"/>
        </w:rPr>
        <w:t>杜松岭</w:t>
      </w:r>
    </w:p>
    <w:p w14:paraId="3CDBF1FA">
      <w:pPr>
        <w:pStyle w:val="9"/>
        <w:spacing w:before="0" w:beforeAutospacing="0" w:after="0" w:afterAutospacing="0" w:line="360" w:lineRule="auto"/>
        <w:ind w:firstLine="420"/>
        <w:rPr>
          <w:sz w:val="21"/>
          <w:szCs w:val="21"/>
          <w:highlight w:val="none"/>
        </w:rPr>
      </w:pPr>
      <w:r>
        <w:rPr>
          <w:rFonts w:hint="eastAsia"/>
          <w:sz w:val="21"/>
          <w:szCs w:val="21"/>
          <w:highlight w:val="none"/>
        </w:rPr>
        <w:t>联系电话：（0755）8316 9999</w:t>
      </w:r>
    </w:p>
    <w:p w14:paraId="552A5539">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594AC0D">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3DC0AB34">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公司已经建立健全投资管理制度、风险控制制度、内部监察制度、财务管理制度、人事管理制度、信息披露制度和员工行为准则等公司管理制度体系。</w:t>
      </w:r>
    </w:p>
    <w:p w14:paraId="332543D5">
      <w:pPr>
        <w:pStyle w:val="9"/>
        <w:spacing w:before="0" w:beforeAutospacing="0" w:after="0" w:afterAutospacing="0" w:line="360" w:lineRule="auto"/>
        <w:ind w:firstLine="420"/>
        <w:rPr>
          <w:rFonts w:hint="eastAsia"/>
          <w:b w:val="0"/>
          <w:bCs w:val="0"/>
          <w:sz w:val="21"/>
          <w:szCs w:val="21"/>
          <w:highlight w:val="none"/>
          <w:lang w:eastAsia="zh-CN"/>
        </w:rPr>
      </w:pPr>
      <w:r>
        <w:rPr>
          <w:rFonts w:hint="eastAsia"/>
          <w:b w:val="0"/>
          <w:bCs w:val="0"/>
          <w:sz w:val="21"/>
          <w:szCs w:val="21"/>
          <w:highlight w:val="none"/>
          <w:lang w:val="en-US" w:eastAsia="zh-CN"/>
        </w:rPr>
        <w:t>2</w:t>
      </w:r>
      <w:r>
        <w:rPr>
          <w:rFonts w:hint="eastAsia"/>
          <w:b w:val="0"/>
          <w:bCs w:val="0"/>
          <w:sz w:val="21"/>
          <w:szCs w:val="21"/>
          <w:highlight w:val="none"/>
          <w:lang w:eastAsia="zh-CN"/>
        </w:rPr>
        <w:t>、主要成员情况</w:t>
      </w:r>
    </w:p>
    <w:p w14:paraId="04BD060B">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）基金管理人董事会成员</w:t>
      </w:r>
    </w:p>
    <w:p w14:paraId="1055ADA8">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37381005">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80BDD91">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F4D46E1">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A626E96">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C96EE2F">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2628C5D5">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1679466">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A547552">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84542E7">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3FA82DC0">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A33982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lang w:eastAsia="zh-CN"/>
        </w:rPr>
        <w:t>）高级管理人员</w:t>
      </w:r>
    </w:p>
    <w:p w14:paraId="47BC1D18">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张东先生，简历同上。</w:t>
      </w:r>
    </w:p>
    <w:p w14:paraId="1A3B4D24">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陈宇先生，简历同上。</w:t>
      </w:r>
    </w:p>
    <w:p w14:paraId="6258B76B">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511CAB45">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34FFCDC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3</w:t>
      </w:r>
      <w:r>
        <w:rPr>
          <w:rFonts w:hint="eastAsia"/>
          <w:sz w:val="21"/>
          <w:szCs w:val="21"/>
          <w:highlight w:val="none"/>
          <w:lang w:eastAsia="zh-CN"/>
        </w:rPr>
        <w:t xml:space="preserve">）本基金基金经理 </w:t>
      </w:r>
    </w:p>
    <w:p w14:paraId="6ED1CE1B">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王祥先生，硕士。2006年起先后在中粮期货、工商银行总行工作。2015年加入博时基金管理有限公司。历任基金经理助理、博时中证疫苗与生物技术交易型开放式指数证券投资基金(2022年11月8日-2024年9月20日)、博时中证农业主题指数型发起式证券投资基金(2022年12月13日-2026年1月22日)、博时中证光伏产业指数证券投资基金(2022年8月16日-2026年3月8日)、博时国证粮食产业指数型发起式证券投资基金(2024年4月9日-2026年6月2日)、博时国证大盘价值交易型开放式指数证券投资基金(2025年4月3日-2026年7月15日)、博时国证大盘价值交易型开放式指数证券投资基金联接基金(2025年7月29日-2026年8月18日)的基金经理。现任博时黄金交易型开放式证券投资基金联接基金(2016年11月2日—至今)、上证自然资源交易型开放式指数证券投资基金(2016年11月2日—至今)、博时黄金交易型开放式证券投资基金(2016年11月2日—至今)、博时上证自然资源交易型开放式指数证券投资基金联接基金(2016年11月2日—至今)、博时中证有色金属矿业主题指数证券投资基金(2023年5月16日—至今)、博时标普石油天然气勘探及生产精选行业指数型发起式证券投资基金（QDII）(2023年9月5日—至今)、博时中证基建工程指数型发起式证券投资基金(2024年3月19日—至今)、博时中证油气资源交易型开放式指数证券投资基金(2024年4月19日—至今)、博时中证油气资源交易型开放式指数证券投资基金发起式联接基金(2024年9月19日—至今)、博时中证A50交易型开放式指数证券投资基金(2025年5月22日—至今)、博时中证工业有色金属主题交易型开放式指数证券投资基金(2026年2月13日—至今)、博时中证光伏产业交易型开放式指数证券投资基金联接基金(2026年3月9日—至今)、博时国证粮食产业交易型开放式指数证券投资基金(2026年5月20日—至今)、博时国证粮食产业交易型开放式指数证券投资基金发起式联接基金(2026年6月3日—至今)、博时中证细分化工产业主题交易型开放式指数证券投资基金(2026年7月29日—至今)、博时中证有色金属矿业主题交易型开放式指数证券投资基金(2026年9月16日—至今)的基金经理。</w:t>
      </w:r>
    </w:p>
    <w:p w14:paraId="28144F85">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4</w:t>
      </w:r>
      <w:r>
        <w:rPr>
          <w:rFonts w:hint="eastAsia"/>
          <w:sz w:val="21"/>
          <w:szCs w:val="21"/>
          <w:highlight w:val="none"/>
          <w:lang w:eastAsia="zh-CN"/>
        </w:rPr>
        <w:t xml:space="preserve">）投资决策委员会成员 </w:t>
      </w:r>
    </w:p>
    <w:p w14:paraId="5A209ACC">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公司首席资产配置官黄健斌先生。</w:t>
      </w:r>
    </w:p>
    <w:p w14:paraId="7DF652C9">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公司投资决策委员会专职委员兼年金投资部总经理于善辉先生。</w:t>
      </w:r>
    </w:p>
    <w:p w14:paraId="0923B6F7">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首席基金经理过钧先生。 </w:t>
      </w:r>
    </w:p>
    <w:p w14:paraId="2FEE6D7E">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首席投资官兼权益投研一体化总监、境外投资部总经理曾鹏先生。 </w:t>
      </w:r>
    </w:p>
    <w:p w14:paraId="12B9A192">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董事总经理兼权益投资三部总经理、权益投资三部投资总监蔡滨先生。 </w:t>
      </w:r>
    </w:p>
    <w:p w14:paraId="1A7CF61F">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行业研究部总经理魏立先生。 </w:t>
      </w:r>
    </w:p>
    <w:p w14:paraId="267066C5">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宏观策略部首席策略分析师陈显顺先生。 </w:t>
      </w:r>
    </w:p>
    <w:p w14:paraId="480DCD2C">
      <w:pPr>
        <w:pStyle w:val="9"/>
        <w:spacing w:before="0" w:beforeAutospacing="0" w:after="0" w:afterAutospacing="0" w:line="360" w:lineRule="auto"/>
        <w:ind w:firstLine="420"/>
        <w:rPr>
          <w:rFonts w:hint="eastAsia" w:ascii="宋体" w:hAnsi="宋体" w:eastAsia="宋体" w:cs="宋体"/>
          <w:kern w:val="0"/>
          <w:sz w:val="21"/>
          <w:szCs w:val="21"/>
          <w:highlight w:val="none"/>
        </w:rPr>
      </w:pPr>
      <w:r>
        <w:rPr>
          <w:rFonts w:hint="eastAsia"/>
          <w:sz w:val="21"/>
          <w:szCs w:val="21"/>
          <w:highlight w:val="none"/>
        </w:rPr>
        <w:t>指数与量化投资部总经理兼指数与量化投资部投资总监赵云阳先生。</w:t>
      </w:r>
    </w:p>
    <w:p w14:paraId="09F55586">
      <w:pPr>
        <w:pStyle w:val="9"/>
        <w:numPr>
          <w:ilvl w:val="-1"/>
          <w:numId w:val="0"/>
        </w:numPr>
        <w:spacing w:before="0" w:beforeAutospacing="0" w:after="0" w:afterAutospacing="0" w:line="360" w:lineRule="auto"/>
        <w:ind w:firstLine="420" w:firstLineChars="20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5</w:t>
      </w:r>
      <w:r>
        <w:rPr>
          <w:rFonts w:hint="eastAsia"/>
          <w:sz w:val="21"/>
          <w:szCs w:val="21"/>
          <w:highlight w:val="none"/>
          <w:lang w:eastAsia="zh-CN"/>
        </w:rPr>
        <w:t>）上述人员之间均不存在近亲属关系。 </w:t>
      </w:r>
    </w:p>
    <w:p w14:paraId="502CD733">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 xml:space="preserve"> </w:t>
      </w:r>
      <w:r>
        <w:rPr>
          <w:rFonts w:hint="eastAsia"/>
          <w:sz w:val="21"/>
          <w:szCs w:val="21"/>
          <w:highlight w:val="none"/>
        </w:rPr>
        <w:t>（</w:t>
      </w:r>
      <w:r>
        <w:rPr>
          <w:rFonts w:hint="eastAsia"/>
          <w:sz w:val="21"/>
          <w:szCs w:val="21"/>
          <w:highlight w:val="none"/>
          <w:lang w:eastAsia="zh-CN"/>
        </w:rPr>
        <w:t>二</w:t>
      </w:r>
      <w:r>
        <w:rPr>
          <w:rFonts w:hint="eastAsia"/>
          <w:sz w:val="21"/>
          <w:szCs w:val="21"/>
          <w:highlight w:val="none"/>
        </w:rPr>
        <w:t>）基金托管人情况</w:t>
      </w:r>
    </w:p>
    <w:p w14:paraId="52CD7776">
      <w:pPr>
        <w:pStyle w:val="9"/>
        <w:spacing w:before="0" w:beforeAutospacing="0" w:after="0" w:afterAutospacing="0" w:line="360" w:lineRule="auto"/>
        <w:ind w:firstLine="420"/>
        <w:rPr>
          <w:rFonts w:hint="eastAsia"/>
          <w:sz w:val="21"/>
          <w:szCs w:val="21"/>
          <w:highlight w:val="none"/>
          <w:lang w:val="en-US" w:eastAsia="zh-CN"/>
        </w:rPr>
      </w:pPr>
      <w:r>
        <w:rPr>
          <w:rFonts w:hint="eastAsia"/>
          <w:sz w:val="21"/>
          <w:szCs w:val="21"/>
          <w:highlight w:val="none"/>
          <w:lang w:val="en-US" w:eastAsia="zh-CN"/>
        </w:rPr>
        <w:t>1、基金托管人概况</w:t>
      </w:r>
    </w:p>
    <w:p w14:paraId="405CBA02">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）基本情况</w:t>
      </w:r>
    </w:p>
    <w:p w14:paraId="63113539">
      <w:pPr>
        <w:pStyle w:val="33"/>
        <w:spacing w:before="0" w:after="0"/>
        <w:ind w:firstLine="420" w:firstLineChars="200"/>
        <w:rPr>
          <w:bCs/>
          <w:sz w:val="21"/>
          <w:szCs w:val="21"/>
        </w:rPr>
      </w:pPr>
      <w:r>
        <w:rPr>
          <w:rFonts w:hint="eastAsia"/>
          <w:bCs/>
          <w:sz w:val="21"/>
          <w:szCs w:val="21"/>
        </w:rPr>
        <w:t>公司法定中文名称：交通银行股份有限公司（简称：交通银行）</w:t>
      </w:r>
    </w:p>
    <w:p w14:paraId="64B4CCF5">
      <w:pPr>
        <w:pStyle w:val="33"/>
        <w:spacing w:before="0" w:after="0"/>
        <w:ind w:firstLine="420" w:firstLineChars="200"/>
        <w:rPr>
          <w:bCs/>
          <w:sz w:val="21"/>
          <w:szCs w:val="21"/>
        </w:rPr>
      </w:pPr>
      <w:r>
        <w:rPr>
          <w:rFonts w:hint="eastAsia"/>
          <w:bCs/>
          <w:sz w:val="21"/>
          <w:szCs w:val="21"/>
        </w:rPr>
        <w:t>公司法定英文名称：Bank of Communications Co., Ltd.</w:t>
      </w:r>
    </w:p>
    <w:p w14:paraId="11DE7377">
      <w:pPr>
        <w:pStyle w:val="33"/>
        <w:spacing w:before="0" w:after="0"/>
        <w:ind w:firstLine="420" w:firstLineChars="200"/>
        <w:rPr>
          <w:bCs/>
          <w:sz w:val="21"/>
          <w:szCs w:val="21"/>
        </w:rPr>
      </w:pPr>
      <w:r>
        <w:rPr>
          <w:rFonts w:hint="eastAsia"/>
          <w:bCs/>
          <w:sz w:val="21"/>
          <w:szCs w:val="21"/>
        </w:rPr>
        <w:t>法定代表人：任德奇</w:t>
      </w:r>
    </w:p>
    <w:p w14:paraId="66D55871">
      <w:pPr>
        <w:pStyle w:val="33"/>
        <w:spacing w:before="0" w:after="0"/>
        <w:ind w:firstLine="420" w:firstLineChars="200"/>
        <w:rPr>
          <w:bCs/>
          <w:sz w:val="21"/>
          <w:szCs w:val="21"/>
        </w:rPr>
      </w:pPr>
      <w:r>
        <w:rPr>
          <w:rFonts w:hint="eastAsia"/>
          <w:bCs/>
          <w:sz w:val="21"/>
          <w:szCs w:val="21"/>
        </w:rPr>
        <w:t xml:space="preserve">住    所：中国（上海）自由贸易试验区银城中路188号 </w:t>
      </w:r>
    </w:p>
    <w:p w14:paraId="47C76F83">
      <w:pPr>
        <w:pStyle w:val="33"/>
        <w:spacing w:before="0" w:after="0"/>
        <w:ind w:firstLine="420" w:firstLineChars="200"/>
        <w:rPr>
          <w:bCs/>
          <w:sz w:val="21"/>
          <w:szCs w:val="21"/>
        </w:rPr>
      </w:pPr>
      <w:r>
        <w:rPr>
          <w:rFonts w:hint="eastAsia"/>
          <w:bCs/>
          <w:sz w:val="21"/>
          <w:szCs w:val="21"/>
        </w:rPr>
        <w:t>办公地址：上海市长宁区仙霞路18号</w:t>
      </w:r>
    </w:p>
    <w:p w14:paraId="6621E8E6">
      <w:pPr>
        <w:pStyle w:val="33"/>
        <w:spacing w:before="0" w:after="0"/>
        <w:ind w:firstLine="420" w:firstLineChars="200"/>
        <w:rPr>
          <w:bCs/>
          <w:sz w:val="21"/>
          <w:szCs w:val="21"/>
        </w:rPr>
      </w:pPr>
      <w:r>
        <w:rPr>
          <w:rFonts w:hint="eastAsia"/>
          <w:bCs/>
          <w:sz w:val="21"/>
          <w:szCs w:val="21"/>
        </w:rPr>
        <w:t>邮政编码：200336</w:t>
      </w:r>
    </w:p>
    <w:p w14:paraId="3F7D816A">
      <w:pPr>
        <w:pStyle w:val="33"/>
        <w:spacing w:before="0" w:after="0"/>
        <w:ind w:firstLine="420" w:firstLineChars="200"/>
        <w:rPr>
          <w:bCs/>
          <w:sz w:val="21"/>
          <w:szCs w:val="21"/>
        </w:rPr>
      </w:pPr>
      <w:r>
        <w:rPr>
          <w:rFonts w:hint="eastAsia"/>
          <w:bCs/>
          <w:sz w:val="21"/>
          <w:szCs w:val="21"/>
        </w:rPr>
        <w:t>注册时间：1987年3月30日</w:t>
      </w:r>
    </w:p>
    <w:p w14:paraId="51DF00FE">
      <w:pPr>
        <w:pStyle w:val="33"/>
        <w:spacing w:before="0" w:after="0"/>
        <w:ind w:firstLine="420" w:firstLineChars="200"/>
        <w:rPr>
          <w:bCs/>
          <w:sz w:val="21"/>
          <w:szCs w:val="21"/>
        </w:rPr>
      </w:pPr>
      <w:r>
        <w:rPr>
          <w:rFonts w:hint="eastAsia"/>
          <w:bCs/>
          <w:sz w:val="21"/>
          <w:szCs w:val="21"/>
        </w:rPr>
        <w:t>注册资本：883.64亿元</w:t>
      </w:r>
    </w:p>
    <w:p w14:paraId="2B127593">
      <w:pPr>
        <w:pStyle w:val="33"/>
        <w:spacing w:before="0" w:after="0"/>
        <w:ind w:firstLine="420" w:firstLineChars="200"/>
        <w:rPr>
          <w:bCs/>
          <w:sz w:val="21"/>
          <w:szCs w:val="21"/>
        </w:rPr>
      </w:pPr>
      <w:r>
        <w:rPr>
          <w:rFonts w:hint="eastAsia"/>
          <w:bCs/>
          <w:sz w:val="21"/>
          <w:szCs w:val="21"/>
        </w:rPr>
        <w:t>基金托管资格批文及文号：中国证监会证监基字[1998]25号</w:t>
      </w:r>
    </w:p>
    <w:p w14:paraId="5D2ABD71">
      <w:pPr>
        <w:pStyle w:val="33"/>
        <w:spacing w:before="0" w:after="0"/>
        <w:ind w:firstLine="420" w:firstLineChars="200"/>
        <w:rPr>
          <w:bCs/>
          <w:sz w:val="21"/>
          <w:szCs w:val="21"/>
        </w:rPr>
      </w:pPr>
      <w:r>
        <w:rPr>
          <w:rFonts w:hint="eastAsia"/>
          <w:bCs/>
          <w:sz w:val="21"/>
          <w:szCs w:val="21"/>
        </w:rPr>
        <w:t>联系人：方圆</w:t>
      </w:r>
    </w:p>
    <w:p w14:paraId="3A1A8160">
      <w:pPr>
        <w:pStyle w:val="33"/>
        <w:spacing w:before="0" w:after="0"/>
        <w:ind w:firstLine="420" w:firstLineChars="200"/>
        <w:rPr>
          <w:bCs/>
          <w:sz w:val="21"/>
          <w:szCs w:val="21"/>
        </w:rPr>
      </w:pPr>
      <w:r>
        <w:rPr>
          <w:rFonts w:hint="eastAsia"/>
          <w:bCs/>
          <w:sz w:val="21"/>
          <w:szCs w:val="21"/>
        </w:rPr>
        <w:t>电  话：95559</w:t>
      </w:r>
    </w:p>
    <w:p w14:paraId="68334AC0">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lang w:eastAsia="zh-CN"/>
        </w:rPr>
        <w:t>）主要人员情况</w:t>
      </w:r>
    </w:p>
    <w:p w14:paraId="35DFC9BF">
      <w:pPr>
        <w:pStyle w:val="33"/>
        <w:spacing w:before="50" w:after="50"/>
        <w:ind w:firstLine="420" w:firstLineChars="200"/>
        <w:rPr>
          <w:bCs/>
          <w:sz w:val="21"/>
          <w:szCs w:val="21"/>
        </w:rPr>
      </w:pPr>
      <w:r>
        <w:rPr>
          <w:rFonts w:hint="eastAsia"/>
          <w:bCs/>
          <w:sz w:val="21"/>
          <w:szCs w:val="21"/>
        </w:rPr>
        <w:t>任德奇先生，董事长、执行董事，高级经济师。</w:t>
      </w:r>
    </w:p>
    <w:p w14:paraId="5303DB30">
      <w:pPr>
        <w:pStyle w:val="33"/>
        <w:spacing w:before="50" w:after="50"/>
        <w:ind w:firstLine="420" w:firstLineChars="200"/>
        <w:rPr>
          <w:bCs/>
          <w:sz w:val="21"/>
          <w:szCs w:val="21"/>
        </w:rPr>
      </w:pPr>
      <w:r>
        <w:rPr>
          <w:rFonts w:hint="eastAsia"/>
          <w:bCs/>
          <w:sz w:val="21"/>
          <w:szCs w:val="21"/>
        </w:rPr>
        <w:t>任先生2020年1月起任本行董事长，2018年8月起任本行执行董事。曾任本行副董事长、执行董事、行长。曾任中国银行执行董事、副行长，期间曾兼任中银香港（控股）有限公司非执行董事，中国银行上海人民币交易业务总部总裁。曾任中国建设银行信贷审批部副总经理、风险监控部总经理、授信管理部总经理、湖北省分行行长、风险管理部总经理。任先生1988年于清华大学获工学硕士学位。</w:t>
      </w:r>
    </w:p>
    <w:p w14:paraId="76DEEC9B">
      <w:pPr>
        <w:pStyle w:val="33"/>
        <w:spacing w:before="50" w:after="50"/>
        <w:ind w:firstLine="420" w:firstLineChars="200"/>
        <w:rPr>
          <w:bCs/>
          <w:sz w:val="21"/>
          <w:szCs w:val="21"/>
        </w:rPr>
      </w:pPr>
      <w:r>
        <w:rPr>
          <w:rFonts w:hint="eastAsia"/>
          <w:bCs/>
          <w:sz w:val="21"/>
          <w:szCs w:val="21"/>
        </w:rPr>
        <w:t>张宝江先生，副董事长、执行董事、行长，高级经济师。</w:t>
      </w:r>
    </w:p>
    <w:p w14:paraId="5E02F814">
      <w:pPr>
        <w:pStyle w:val="33"/>
        <w:spacing w:before="50" w:after="50"/>
        <w:ind w:firstLine="420" w:firstLineChars="200"/>
        <w:rPr>
          <w:bCs/>
          <w:sz w:val="21"/>
          <w:szCs w:val="21"/>
        </w:rPr>
      </w:pPr>
      <w:r>
        <w:rPr>
          <w:rFonts w:hint="eastAsia"/>
          <w:bCs/>
          <w:sz w:val="21"/>
          <w:szCs w:val="21"/>
        </w:rPr>
        <w:t>张先生2024年8月起任本行副董事长、执行董事，2024年6月起任本行行长；曾任中国农业发展银行副行长，安徽省分行行长，总行办公室主任，陕西省分行副行长，总行政策研究室副主任（主持工作）、办公室副主任、研究室副主任等职务。张先生1998年于中央党校研究生院获经济学硕士学位，2004年于中央党校研究生院获经济学博士学位。</w:t>
      </w:r>
    </w:p>
    <w:p w14:paraId="2B135D11">
      <w:pPr>
        <w:pStyle w:val="33"/>
        <w:spacing w:before="50" w:after="50"/>
        <w:ind w:firstLine="420" w:firstLineChars="200"/>
        <w:rPr>
          <w:bCs/>
          <w:sz w:val="21"/>
          <w:szCs w:val="21"/>
        </w:rPr>
      </w:pPr>
      <w:r>
        <w:rPr>
          <w:rFonts w:hint="eastAsia"/>
          <w:bCs/>
          <w:sz w:val="21"/>
          <w:szCs w:val="21"/>
        </w:rPr>
        <w:t>孟羽先生，资产托管部/资产托管业务发展中心总经理。</w:t>
      </w:r>
    </w:p>
    <w:p w14:paraId="6B779FBE">
      <w:pPr>
        <w:pStyle w:val="33"/>
        <w:spacing w:before="50" w:after="50"/>
        <w:ind w:firstLine="420" w:firstLineChars="200"/>
        <w:rPr>
          <w:bCs/>
          <w:sz w:val="21"/>
          <w:szCs w:val="21"/>
        </w:rPr>
      </w:pPr>
      <w:r>
        <w:rPr>
          <w:rFonts w:hint="eastAsia"/>
          <w:bCs/>
          <w:sz w:val="21"/>
          <w:szCs w:val="21"/>
        </w:rPr>
        <w:t>孟先生2025年9月起任本行资产托管部/资产托管业务发展中心总经理。曾任本行香港分行行政总裁，交通银行（香港）有限公司副董事长、执行董事、行政总裁，交银国际控股有限公司执行董事、首席执行官，广东省分行副行长，营业部副总经理，深圳分行国际业务部高级经理。曾在中国工商银行十堰分行工作。孟先生1999年于复旦大学获工商管理硕士学位。</w:t>
      </w:r>
    </w:p>
    <w:p w14:paraId="3B5DDEE8">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3</w:t>
      </w:r>
      <w:r>
        <w:rPr>
          <w:rFonts w:hint="eastAsia"/>
          <w:sz w:val="21"/>
          <w:szCs w:val="21"/>
          <w:highlight w:val="none"/>
          <w:lang w:eastAsia="zh-CN"/>
        </w:rPr>
        <w:t>）基金托管业务经营情况</w:t>
      </w:r>
    </w:p>
    <w:p w14:paraId="1E919BF5">
      <w:pPr>
        <w:pStyle w:val="33"/>
        <w:spacing w:before="50" w:after="50"/>
        <w:ind w:firstLine="420" w:firstLineChars="200"/>
        <w:rPr>
          <w:bCs/>
          <w:sz w:val="21"/>
          <w:szCs w:val="21"/>
        </w:rPr>
      </w:pPr>
      <w:r>
        <w:rPr>
          <w:rFonts w:hint="eastAsia"/>
          <w:bCs/>
          <w:sz w:val="21"/>
          <w:szCs w:val="21"/>
        </w:rPr>
        <w:t>截至2026年3月31日，交通银行共托管证券投资基金933只。此外，交通银行还托管了基金公司特定客户资产管理计划、证券公司客户资产管理计划、理财产品、信托计划、私募投资基金、保险资金、全国社保基金、基本养老保险基金、划转国有资本充实社保基金、养老保障管理产品、企业年金基金、职业年金基金、企业年金养老金产品、商业养老金产品、期货公司资产管理计划、QFI证券投资资产、QDII证券投资资产、RQDII证券投资资产、QDIE、QDLP和QFLP、债券“南向通”等产品。</w:t>
      </w:r>
    </w:p>
    <w:p w14:paraId="407D4329">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val="en-US" w:eastAsia="zh-CN"/>
        </w:rPr>
        <w:t>2</w:t>
      </w:r>
      <w:r>
        <w:rPr>
          <w:rFonts w:hint="eastAsia"/>
          <w:sz w:val="21"/>
          <w:szCs w:val="21"/>
          <w:highlight w:val="none"/>
          <w:lang w:eastAsia="zh-CN"/>
        </w:rPr>
        <w:t>、基金托管人的内部控制制度</w:t>
      </w:r>
    </w:p>
    <w:p w14:paraId="71030885">
      <w:pPr>
        <w:pStyle w:val="33"/>
        <w:spacing w:before="50" w:after="50"/>
        <w:ind w:firstLine="420" w:firstLineChars="200"/>
        <w:rPr>
          <w:bCs/>
          <w:sz w:val="21"/>
          <w:szCs w:val="21"/>
        </w:rPr>
      </w:pPr>
      <w:r>
        <w:rPr>
          <w:rFonts w:hint="eastAsia"/>
          <w:bCs/>
          <w:sz w:val="21"/>
          <w:szCs w:val="21"/>
          <w:lang w:eastAsia="zh-CN"/>
        </w:rPr>
        <w:t>（</w:t>
      </w:r>
      <w:r>
        <w:rPr>
          <w:rFonts w:hint="eastAsia"/>
          <w:bCs/>
          <w:sz w:val="21"/>
          <w:szCs w:val="21"/>
          <w:lang w:val="en-US" w:eastAsia="zh-CN"/>
        </w:rPr>
        <w:t>1</w:t>
      </w:r>
      <w:r>
        <w:rPr>
          <w:rFonts w:hint="eastAsia"/>
          <w:bCs/>
          <w:sz w:val="21"/>
          <w:szCs w:val="21"/>
          <w:lang w:eastAsia="zh-CN"/>
        </w:rPr>
        <w:t>）</w:t>
      </w:r>
      <w:r>
        <w:rPr>
          <w:rFonts w:hint="eastAsia"/>
          <w:bCs/>
          <w:sz w:val="21"/>
          <w:szCs w:val="21"/>
        </w:rPr>
        <w:t>内部控制目标</w:t>
      </w:r>
    </w:p>
    <w:p w14:paraId="4827A016">
      <w:pPr>
        <w:pStyle w:val="33"/>
        <w:spacing w:before="50" w:after="50"/>
        <w:ind w:firstLine="420" w:firstLineChars="200"/>
        <w:rPr>
          <w:bCs/>
          <w:sz w:val="21"/>
          <w:szCs w:val="21"/>
        </w:rPr>
      </w:pPr>
      <w:r>
        <w:rPr>
          <w:rFonts w:hint="eastAsia"/>
          <w:bCs/>
          <w:sz w:val="21"/>
          <w:szCs w:val="21"/>
        </w:rPr>
        <w:t>交通银行严格遵守国家法律法规、行业规章及行内相关管理规定，加强内部管理，托管部/托管发展中心业务制度健全并确保贯彻执行各项规章，通过对各种风险的识别、评估、控制及缓释，有效地实现对各项业务的风险管控，确保业务稳健运行，保护基金持有人的合法权益。</w:t>
      </w:r>
    </w:p>
    <w:p w14:paraId="07B3B3D3">
      <w:pPr>
        <w:pStyle w:val="33"/>
        <w:spacing w:before="50" w:after="50"/>
        <w:ind w:firstLine="420" w:firstLineChars="200"/>
        <w:rPr>
          <w:bCs/>
          <w:sz w:val="21"/>
          <w:szCs w:val="21"/>
        </w:rPr>
      </w:pPr>
      <w:r>
        <w:rPr>
          <w:rFonts w:hint="eastAsia"/>
          <w:bCs/>
          <w:sz w:val="21"/>
          <w:szCs w:val="21"/>
          <w:lang w:eastAsia="zh-CN"/>
        </w:rPr>
        <w:t>（</w:t>
      </w:r>
      <w:r>
        <w:rPr>
          <w:rFonts w:hint="eastAsia"/>
          <w:bCs/>
          <w:sz w:val="21"/>
          <w:szCs w:val="21"/>
          <w:lang w:val="en-US" w:eastAsia="zh-CN"/>
        </w:rPr>
        <w:t>2</w:t>
      </w:r>
      <w:r>
        <w:rPr>
          <w:rFonts w:hint="eastAsia"/>
          <w:bCs/>
          <w:sz w:val="21"/>
          <w:szCs w:val="21"/>
          <w:lang w:eastAsia="zh-CN"/>
        </w:rPr>
        <w:t>）</w:t>
      </w:r>
      <w:r>
        <w:rPr>
          <w:rFonts w:hint="eastAsia"/>
          <w:bCs/>
          <w:sz w:val="21"/>
          <w:szCs w:val="21"/>
        </w:rPr>
        <w:t>内部控制原则</w:t>
      </w:r>
    </w:p>
    <w:p w14:paraId="1A9436EB">
      <w:pPr>
        <w:pStyle w:val="33"/>
        <w:spacing w:before="50" w:after="50"/>
        <w:ind w:firstLine="420" w:firstLineChars="200"/>
        <w:rPr>
          <w:bCs/>
          <w:sz w:val="21"/>
          <w:szCs w:val="21"/>
        </w:rPr>
      </w:pPr>
      <w:r>
        <w:rPr>
          <w:rFonts w:hint="eastAsia"/>
          <w:bCs/>
          <w:sz w:val="21"/>
          <w:szCs w:val="21"/>
        </w:rPr>
        <w:t>1</w:t>
      </w:r>
      <w:r>
        <w:rPr>
          <w:rFonts w:hint="eastAsia"/>
          <w:bCs/>
          <w:sz w:val="21"/>
          <w:szCs w:val="21"/>
          <w:lang w:eastAsia="zh-CN"/>
        </w:rPr>
        <w:t>）</w:t>
      </w:r>
      <w:r>
        <w:rPr>
          <w:rFonts w:hint="eastAsia"/>
          <w:bCs/>
          <w:sz w:val="21"/>
          <w:szCs w:val="21"/>
        </w:rPr>
        <w:t>合法性原则：托管部/托管发展中心制定的各项制度符合国家法律法规及监管机构的监管要求，并贯穿于托管业务经营管理活动始终。</w:t>
      </w:r>
    </w:p>
    <w:p w14:paraId="28C31568">
      <w:pPr>
        <w:pStyle w:val="33"/>
        <w:spacing w:before="50" w:after="50"/>
        <w:ind w:firstLine="420" w:firstLineChars="200"/>
        <w:rPr>
          <w:bCs/>
          <w:sz w:val="21"/>
          <w:szCs w:val="21"/>
        </w:rPr>
      </w:pPr>
      <w:r>
        <w:rPr>
          <w:rFonts w:hint="eastAsia"/>
          <w:bCs/>
          <w:sz w:val="21"/>
          <w:szCs w:val="21"/>
        </w:rPr>
        <w:t>2</w:t>
      </w:r>
      <w:r>
        <w:rPr>
          <w:rFonts w:hint="eastAsia"/>
          <w:bCs/>
          <w:sz w:val="21"/>
          <w:szCs w:val="21"/>
          <w:lang w:eastAsia="zh-CN"/>
        </w:rPr>
        <w:t>）</w:t>
      </w:r>
      <w:r>
        <w:rPr>
          <w:rFonts w:hint="eastAsia"/>
          <w:bCs/>
          <w:sz w:val="21"/>
          <w:szCs w:val="21"/>
        </w:rPr>
        <w:t>全面性原则：托管部/托管发展中心建立各二级部自我监控和风险合规部风险管控的内部控制机制，覆盖各项业务、各个部门和各级人员，并渗透到决策、执行、监督、反馈等各个经营环节，建立全面的风险管理监督机制。</w:t>
      </w:r>
    </w:p>
    <w:p w14:paraId="4F9A9C9C">
      <w:pPr>
        <w:pStyle w:val="33"/>
        <w:spacing w:before="50" w:after="50"/>
        <w:ind w:firstLine="420" w:firstLineChars="200"/>
        <w:rPr>
          <w:bCs/>
          <w:sz w:val="21"/>
          <w:szCs w:val="21"/>
        </w:rPr>
      </w:pPr>
      <w:r>
        <w:rPr>
          <w:rFonts w:hint="eastAsia"/>
          <w:bCs/>
          <w:sz w:val="21"/>
          <w:szCs w:val="21"/>
        </w:rPr>
        <w:t>3</w:t>
      </w:r>
      <w:r>
        <w:rPr>
          <w:rFonts w:hint="eastAsia"/>
          <w:bCs/>
          <w:sz w:val="21"/>
          <w:szCs w:val="21"/>
          <w:lang w:eastAsia="zh-CN"/>
        </w:rPr>
        <w:t>）</w:t>
      </w:r>
      <w:r>
        <w:rPr>
          <w:rFonts w:hint="eastAsia"/>
          <w:bCs/>
          <w:sz w:val="21"/>
          <w:szCs w:val="21"/>
        </w:rPr>
        <w:t>独立性原则：托管部/托管发展中心独立负责受托基金资产的保管，保证基金资产与交通银行的自有资产相互独立，对不同的受托基金资产分别设置账户，独立核算，分账管理。</w:t>
      </w:r>
    </w:p>
    <w:p w14:paraId="315526BF">
      <w:pPr>
        <w:pStyle w:val="33"/>
        <w:spacing w:before="50" w:after="50"/>
        <w:ind w:firstLine="420" w:firstLineChars="200"/>
        <w:rPr>
          <w:bCs/>
          <w:sz w:val="21"/>
          <w:szCs w:val="21"/>
        </w:rPr>
      </w:pPr>
      <w:r>
        <w:rPr>
          <w:rFonts w:hint="eastAsia"/>
          <w:bCs/>
          <w:sz w:val="21"/>
          <w:szCs w:val="21"/>
        </w:rPr>
        <w:t>4</w:t>
      </w:r>
      <w:r>
        <w:rPr>
          <w:rFonts w:hint="eastAsia"/>
          <w:bCs/>
          <w:sz w:val="21"/>
          <w:szCs w:val="21"/>
          <w:lang w:eastAsia="zh-CN"/>
        </w:rPr>
        <w:t>）</w:t>
      </w:r>
      <w:r>
        <w:rPr>
          <w:rFonts w:hint="eastAsia"/>
          <w:bCs/>
          <w:sz w:val="21"/>
          <w:szCs w:val="21"/>
        </w:rPr>
        <w:t>制衡性原则：托管部/托管发展中心贯彻适当授权、相互制约的原则，从组织架构的设置上确保各二级部和各岗位权责分明、相互制约，并通过有效的相互制衡措施消除内部控制中的盲点。</w:t>
      </w:r>
    </w:p>
    <w:p w14:paraId="2C2700DC">
      <w:pPr>
        <w:pStyle w:val="33"/>
        <w:spacing w:before="50" w:after="50"/>
        <w:ind w:firstLine="420" w:firstLineChars="200"/>
        <w:rPr>
          <w:bCs/>
          <w:sz w:val="21"/>
          <w:szCs w:val="21"/>
        </w:rPr>
      </w:pPr>
      <w:r>
        <w:rPr>
          <w:rFonts w:hint="eastAsia"/>
          <w:bCs/>
          <w:sz w:val="21"/>
          <w:szCs w:val="21"/>
        </w:rPr>
        <w:t>5</w:t>
      </w:r>
      <w:r>
        <w:rPr>
          <w:rFonts w:hint="eastAsia"/>
          <w:bCs/>
          <w:sz w:val="21"/>
          <w:szCs w:val="21"/>
          <w:lang w:eastAsia="zh-CN"/>
        </w:rPr>
        <w:t>）</w:t>
      </w:r>
      <w:r>
        <w:rPr>
          <w:rFonts w:hint="eastAsia"/>
          <w:bCs/>
          <w:sz w:val="21"/>
          <w:szCs w:val="21"/>
        </w:rPr>
        <w:t>有效性原则：托管部/托管发展中心在岗位、业务二级部和风险合规部三级内控管理模式的基础上，形成科学合理的内部控制决策机制、执行机制和监督机制，通过行之有效的控制流程、控制措施，建立合理的内控程序，保障各项内控管理目标被有效执行。</w:t>
      </w:r>
    </w:p>
    <w:p w14:paraId="0C4DF755">
      <w:pPr>
        <w:pStyle w:val="33"/>
        <w:spacing w:before="50" w:after="50"/>
        <w:ind w:firstLine="420" w:firstLineChars="200"/>
        <w:rPr>
          <w:bCs/>
          <w:sz w:val="21"/>
          <w:szCs w:val="21"/>
        </w:rPr>
      </w:pPr>
      <w:r>
        <w:rPr>
          <w:rFonts w:hint="eastAsia"/>
          <w:bCs/>
          <w:sz w:val="21"/>
          <w:szCs w:val="21"/>
        </w:rPr>
        <w:t>6</w:t>
      </w:r>
      <w:r>
        <w:rPr>
          <w:rFonts w:hint="eastAsia"/>
          <w:bCs/>
          <w:sz w:val="21"/>
          <w:szCs w:val="21"/>
          <w:lang w:eastAsia="zh-CN"/>
        </w:rPr>
        <w:t>）</w:t>
      </w:r>
      <w:r>
        <w:rPr>
          <w:rFonts w:hint="eastAsia"/>
          <w:bCs/>
          <w:sz w:val="21"/>
          <w:szCs w:val="21"/>
        </w:rPr>
        <w:t>效益性原则：托管部/托管发展中心内部控制与基金托管规模、业务范围和业务运作环节的风险控制要求相适应，尽量降低经营运作成本，以合理的控制成本实现最佳的内部控制目标。</w:t>
      </w:r>
    </w:p>
    <w:p w14:paraId="4ACBE39F">
      <w:pPr>
        <w:pStyle w:val="33"/>
        <w:spacing w:before="50" w:after="50"/>
        <w:ind w:firstLine="420" w:firstLineChars="200"/>
        <w:rPr>
          <w:bCs/>
          <w:sz w:val="21"/>
          <w:szCs w:val="21"/>
        </w:rPr>
      </w:pPr>
      <w:r>
        <w:rPr>
          <w:rFonts w:hint="eastAsia"/>
          <w:bCs/>
          <w:sz w:val="21"/>
          <w:szCs w:val="21"/>
          <w:lang w:eastAsia="zh-CN"/>
        </w:rPr>
        <w:t>（</w:t>
      </w:r>
      <w:r>
        <w:rPr>
          <w:rFonts w:hint="eastAsia"/>
          <w:bCs/>
          <w:sz w:val="21"/>
          <w:szCs w:val="21"/>
          <w:lang w:val="en-US" w:eastAsia="zh-CN"/>
        </w:rPr>
        <w:t>3</w:t>
      </w:r>
      <w:r>
        <w:rPr>
          <w:rFonts w:hint="eastAsia"/>
          <w:bCs/>
          <w:sz w:val="21"/>
          <w:szCs w:val="21"/>
          <w:lang w:eastAsia="zh-CN"/>
        </w:rPr>
        <w:t>）</w:t>
      </w:r>
      <w:r>
        <w:rPr>
          <w:rFonts w:hint="eastAsia"/>
          <w:bCs/>
          <w:sz w:val="21"/>
          <w:szCs w:val="21"/>
        </w:rPr>
        <w:t>内部控制制度及措施</w:t>
      </w:r>
    </w:p>
    <w:p w14:paraId="3F3BAA3D">
      <w:pPr>
        <w:pStyle w:val="33"/>
        <w:spacing w:before="50" w:after="50"/>
        <w:ind w:firstLine="420" w:firstLineChars="200"/>
        <w:rPr>
          <w:bCs/>
          <w:sz w:val="21"/>
          <w:szCs w:val="21"/>
        </w:rPr>
      </w:pPr>
      <w:r>
        <w:rPr>
          <w:rFonts w:hint="eastAsia"/>
          <w:bCs/>
          <w:sz w:val="21"/>
          <w:szCs w:val="21"/>
        </w:rPr>
        <w:t xml:space="preserve">根据《证券投资基金法》、《中华人民共和国商业银行法》、《商业银行资产托管业务指引》、《商业银行托管业务监督管理办法（试行）》等法律法规，托管部/托管发展中心制定了一整套严密、完整的证券投资基金托管管理规章制度，确保基金托管业务运行的规范、安全、高效，包括《交通银行资产托管业务管理办法》、《交通银行资产托管业务风险管理办法》、《交通银行资产托管业务商业秘密管理规定》、《交通银行资产托管业务从业人员行为规范》、《交通银行资产托管业务运营档案管理办法》等，并根据市场变化和基金业务的发展不断加以完善。做到业务分工科学合理，技术系统管理规范，业务管理制度健全，核心作业区实行封闭管理，落实各项安全隔离措施，相关信息披露由专人负责。 </w:t>
      </w:r>
    </w:p>
    <w:p w14:paraId="7FDF2707">
      <w:pPr>
        <w:pStyle w:val="33"/>
        <w:spacing w:before="50" w:after="50"/>
        <w:ind w:firstLine="420" w:firstLineChars="200"/>
        <w:rPr>
          <w:rFonts w:hint="eastAsia"/>
          <w:bCs/>
          <w:sz w:val="21"/>
          <w:szCs w:val="21"/>
        </w:rPr>
      </w:pPr>
      <w:r>
        <w:rPr>
          <w:rFonts w:hint="eastAsia"/>
          <w:bCs/>
          <w:sz w:val="21"/>
          <w:szCs w:val="21"/>
        </w:rPr>
        <w:t>托管部/托管发展中心通过对基金托管业务各环节的事前揭示、事中控制和事后检查措施实现全流程、全链条的风险管理，聘请会计师事务所对基金托管业务运行进行国际标准的内部控制评审。</w:t>
      </w:r>
    </w:p>
    <w:p w14:paraId="6CF653CC">
      <w:pPr>
        <w:pStyle w:val="33"/>
        <w:spacing w:before="50" w:after="50"/>
        <w:ind w:firstLine="420" w:firstLineChars="200"/>
        <w:rPr>
          <w:b w:val="0"/>
          <w:bCs/>
          <w:sz w:val="21"/>
          <w:szCs w:val="21"/>
        </w:rPr>
      </w:pPr>
      <w:r>
        <w:rPr>
          <w:rFonts w:hint="eastAsia"/>
          <w:b w:val="0"/>
          <w:bCs/>
          <w:sz w:val="21"/>
          <w:szCs w:val="21"/>
          <w:lang w:val="en-US" w:eastAsia="zh-CN"/>
        </w:rPr>
        <w:t>3、</w:t>
      </w:r>
      <w:r>
        <w:rPr>
          <w:rFonts w:hint="eastAsia"/>
          <w:b w:val="0"/>
          <w:bCs/>
          <w:sz w:val="21"/>
          <w:szCs w:val="21"/>
        </w:rPr>
        <w:t>基金托管人对基金管理人运作基金进行监督的方法和程序</w:t>
      </w:r>
    </w:p>
    <w:p w14:paraId="1E2E06C4">
      <w:pPr>
        <w:pStyle w:val="33"/>
        <w:spacing w:before="50" w:after="50"/>
        <w:ind w:firstLine="420" w:firstLineChars="200"/>
        <w:rPr>
          <w:bCs/>
          <w:sz w:val="21"/>
          <w:szCs w:val="21"/>
        </w:rPr>
      </w:pPr>
      <w:r>
        <w:rPr>
          <w:rFonts w:hint="eastAsia"/>
          <w:bCs/>
          <w:sz w:val="21"/>
          <w:szCs w:val="21"/>
        </w:rPr>
        <w:t>交通银行作为基金托管人，根据《证券投资基金法》、《公开募集证券投资基金运作管理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规性进行监督和核查。</w:t>
      </w:r>
    </w:p>
    <w:p w14:paraId="2A31A685">
      <w:pPr>
        <w:pStyle w:val="33"/>
        <w:spacing w:before="50" w:after="50"/>
        <w:ind w:firstLine="420" w:firstLineChars="200"/>
        <w:rPr>
          <w:bCs/>
          <w:sz w:val="21"/>
          <w:szCs w:val="21"/>
        </w:rPr>
      </w:pPr>
      <w:r>
        <w:rPr>
          <w:rFonts w:hint="eastAsia"/>
          <w:bCs/>
          <w:sz w:val="21"/>
          <w:szCs w:val="21"/>
        </w:rPr>
        <w:t>交通银行作为基金托管人，发现基金管理人有违反《证券投资基金法》、《公开募集证券投资基金运作管理办法》等有关证券法规和《基金合同》的行为，及时通知基金管理人予以纠正，基金管理人收到通知后及时确认并进行调整。交通银行有权对通知事项进行复查，督促基金管理人改正。基金管理人对交通银行通知的违规事项未能及时纠正的，交通银行按规定报告中国证监会。</w:t>
      </w:r>
    </w:p>
    <w:p w14:paraId="3E1925F8">
      <w:pPr>
        <w:pStyle w:val="33"/>
        <w:spacing w:before="50" w:after="50"/>
        <w:ind w:firstLine="420" w:firstLineChars="200"/>
        <w:rPr>
          <w:bCs/>
          <w:sz w:val="21"/>
          <w:szCs w:val="21"/>
        </w:rPr>
      </w:pPr>
      <w:r>
        <w:rPr>
          <w:rFonts w:hint="eastAsia"/>
          <w:bCs/>
          <w:sz w:val="21"/>
          <w:szCs w:val="21"/>
        </w:rPr>
        <w:t>交通银行作为基金托管人，发现基金管理人有重大违规行为，按规定报告中国证监会，同时通知基金管理人限期纠正。</w:t>
      </w:r>
    </w:p>
    <w:p w14:paraId="71AAA82A">
      <w:pPr>
        <w:pStyle w:val="9"/>
        <w:spacing w:before="0" w:beforeAutospacing="0" w:after="0" w:afterAutospacing="0" w:line="360" w:lineRule="auto"/>
        <w:ind w:firstLine="420" w:firstLineChars="200"/>
        <w:rPr>
          <w:sz w:val="21"/>
          <w:szCs w:val="21"/>
          <w:highlight w:val="none"/>
        </w:rPr>
      </w:pPr>
      <w:r>
        <w:rPr>
          <w:rFonts w:hint="eastAsia"/>
          <w:sz w:val="21"/>
          <w:szCs w:val="21"/>
          <w:highlight w:val="none"/>
        </w:rPr>
        <w:t xml:space="preserve">（三）上市推荐人 </w:t>
      </w:r>
    </w:p>
    <w:p w14:paraId="66587084">
      <w:pPr>
        <w:pStyle w:val="9"/>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lang w:val="en-US" w:eastAsia="zh-CN"/>
        </w:rPr>
        <w:t>平安证券股份有限公司</w:t>
      </w:r>
    </w:p>
    <w:p w14:paraId="63251E9C">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（四）一级交易商 </w:t>
      </w:r>
    </w:p>
    <w:p w14:paraId="1140D552">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目前，本基金一级交易商名单如下：</w:t>
      </w:r>
    </w:p>
    <w:p w14:paraId="58D3BD4B">
      <w:pPr>
        <w:pStyle w:val="9"/>
        <w:spacing w:before="0" w:beforeAutospacing="0" w:after="0" w:afterAutospacing="0" w:line="360" w:lineRule="auto"/>
        <w:ind w:firstLine="42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rPr>
        <w:t>长城证券股份有限公司、财达证券股份有限公司、德邦证券股份有限公司、东北证券股份有限公司、东方财富证券股份有限公司、东莞证券股份有限公司、东海证券股份有限公司、东吴证券股份有限公司、东兴证券股份有限公司、方正证券股份有限公司、广发证券股份有限公司、国海证券股份有限公司、国金证券股份有限公司、国盛证券股份有限公司、国泰海通证券股份有限公司、国投证券股份有限公司、国新证券股份有限公司、国信证券股份有限公司、华宝证券股份有限公司、华福证券股份有限公司、华泰证券股份有限公司、华西证券股份有限公司、华鑫证券有限责任公司、江海证券有限公司、联储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35E2F43A">
      <w:pPr>
        <w:pStyle w:val="9"/>
        <w:spacing w:before="0" w:beforeAutospacing="0" w:after="0" w:afterAutospacing="0" w:line="360" w:lineRule="auto"/>
        <w:ind w:firstLine="420"/>
        <w:rPr>
          <w:sz w:val="21"/>
          <w:szCs w:val="21"/>
          <w:highlight w:val="none"/>
        </w:rPr>
      </w:pPr>
      <w:r>
        <w:rPr>
          <w:rFonts w:hint="eastAsia"/>
          <w:sz w:val="21"/>
          <w:szCs w:val="21"/>
          <w:highlight w:val="none"/>
        </w:rPr>
        <w:t>（五）基金验资机构</w:t>
      </w:r>
    </w:p>
    <w:p w14:paraId="72D59679">
      <w:pPr>
        <w:snapToGrid w:val="0"/>
        <w:spacing w:line="360" w:lineRule="auto"/>
        <w:ind w:firstLine="420" w:firstLineChars="200"/>
        <w:rPr>
          <w:rFonts w:hint="eastAsia" w:ascii="宋体" w:hAnsi="宋体" w:cs="Arial"/>
          <w:kern w:val="0"/>
        </w:rPr>
      </w:pPr>
      <w:bookmarkStart w:id="41" w:name="field_0_accountingcompanyinfo_1_start"/>
      <w:bookmarkEnd w:id="41"/>
      <w:bookmarkStart w:id="42" w:name="chapter_level1_6_56148"/>
      <w:r>
        <w:rPr>
          <w:rFonts w:hint="eastAsia" w:ascii="宋体" w:hAnsi="宋体" w:cs="Arial"/>
          <w:kern w:val="0"/>
        </w:rPr>
        <w:t>名称：安永华明会计师事务所（特殊普通合伙）</w:t>
      </w:r>
    </w:p>
    <w:p w14:paraId="7349737F">
      <w:pPr>
        <w:snapToGrid w:val="0"/>
        <w:spacing w:line="360" w:lineRule="auto"/>
        <w:ind w:firstLine="420" w:firstLineChars="200"/>
        <w:rPr>
          <w:rFonts w:hint="eastAsia" w:ascii="宋体" w:hAnsi="宋体" w:cs="Arial"/>
          <w:kern w:val="0"/>
        </w:rPr>
      </w:pPr>
      <w:r>
        <w:rPr>
          <w:rFonts w:hint="eastAsia" w:ascii="宋体" w:hAnsi="宋体" w:cs="Arial"/>
          <w:kern w:val="0"/>
        </w:rPr>
        <w:t>住所：北京市东城区东长安街1号东方广场安永大楼17层01-12室</w:t>
      </w:r>
    </w:p>
    <w:p w14:paraId="5AD6E884">
      <w:pPr>
        <w:snapToGrid w:val="0"/>
        <w:spacing w:line="360" w:lineRule="auto"/>
        <w:ind w:firstLine="420" w:firstLineChars="200"/>
        <w:rPr>
          <w:rFonts w:hint="eastAsia" w:ascii="宋体" w:hAnsi="宋体" w:cs="Arial"/>
          <w:kern w:val="0"/>
        </w:rPr>
      </w:pPr>
      <w:r>
        <w:rPr>
          <w:rFonts w:hint="eastAsia" w:ascii="宋体" w:hAnsi="宋体" w:cs="Arial"/>
          <w:kern w:val="0"/>
        </w:rPr>
        <w:t>办公地址：北京市东城区东长安街1号东方广场安永大楼17层01-12室</w:t>
      </w:r>
    </w:p>
    <w:p w14:paraId="3D69D3C9">
      <w:pPr>
        <w:snapToGrid w:val="0"/>
        <w:spacing w:line="360" w:lineRule="auto"/>
        <w:ind w:firstLine="420" w:firstLineChars="200"/>
        <w:rPr>
          <w:rFonts w:hint="eastAsia" w:ascii="宋体" w:hAnsi="宋体" w:cs="Arial"/>
          <w:kern w:val="0"/>
        </w:rPr>
      </w:pPr>
      <w:r>
        <w:rPr>
          <w:rFonts w:hint="eastAsia" w:ascii="宋体" w:hAnsi="宋体" w:cs="Arial"/>
          <w:kern w:val="0"/>
        </w:rPr>
        <w:t>执行事务合伙人：毛鞍宁</w:t>
      </w:r>
    </w:p>
    <w:p w14:paraId="570A2082">
      <w:pPr>
        <w:snapToGrid w:val="0"/>
        <w:spacing w:line="360" w:lineRule="auto"/>
        <w:ind w:firstLine="420" w:firstLineChars="200"/>
        <w:rPr>
          <w:rFonts w:hint="eastAsia" w:ascii="宋体" w:hAnsi="宋体" w:cs="Arial"/>
          <w:kern w:val="0"/>
        </w:rPr>
      </w:pPr>
      <w:r>
        <w:rPr>
          <w:rFonts w:hint="eastAsia" w:ascii="宋体" w:hAnsi="宋体" w:cs="Arial"/>
          <w:kern w:val="0"/>
        </w:rPr>
        <w:t>联系电话：（010）58153000</w:t>
      </w:r>
    </w:p>
    <w:p w14:paraId="488CAE3A">
      <w:pPr>
        <w:snapToGrid w:val="0"/>
        <w:spacing w:line="360" w:lineRule="auto"/>
        <w:ind w:firstLine="420" w:firstLineChars="200"/>
        <w:rPr>
          <w:rFonts w:hint="eastAsia" w:ascii="宋体" w:hAnsi="宋体" w:cs="Arial"/>
          <w:kern w:val="0"/>
        </w:rPr>
      </w:pPr>
      <w:r>
        <w:rPr>
          <w:rFonts w:hint="eastAsia" w:ascii="宋体" w:hAnsi="宋体" w:cs="Arial"/>
          <w:kern w:val="0"/>
        </w:rPr>
        <w:t>传真电话：（010）85188298</w:t>
      </w:r>
    </w:p>
    <w:p w14:paraId="454E1ECD">
      <w:pPr>
        <w:snapToGrid w:val="0"/>
        <w:spacing w:line="360" w:lineRule="auto"/>
        <w:ind w:firstLine="420" w:firstLineChars="200"/>
        <w:rPr>
          <w:rFonts w:hint="eastAsia" w:ascii="宋体" w:hAnsi="宋体" w:cs="Arial"/>
          <w:kern w:val="0"/>
        </w:rPr>
      </w:pPr>
      <w:r>
        <w:rPr>
          <w:rFonts w:hint="eastAsia" w:ascii="宋体" w:hAnsi="宋体" w:cs="Arial"/>
          <w:kern w:val="0"/>
        </w:rPr>
        <w:t>经办注册会计师：高鹤、楼坚、王海彦</w:t>
      </w:r>
    </w:p>
    <w:p w14:paraId="60227059">
      <w:pPr>
        <w:snapToGrid w:val="0"/>
        <w:spacing w:line="360" w:lineRule="auto"/>
        <w:ind w:firstLine="420" w:firstLineChars="200"/>
        <w:rPr>
          <w:rFonts w:hint="eastAsia" w:ascii="宋体" w:hAnsi="宋体" w:cs="Arial"/>
          <w:kern w:val="0"/>
        </w:rPr>
      </w:pPr>
      <w:r>
        <w:rPr>
          <w:rFonts w:hint="eastAsia" w:ascii="宋体" w:hAnsi="宋体" w:cs="Arial"/>
          <w:kern w:val="0"/>
        </w:rPr>
        <w:t>联系人：王海彦</w:t>
      </w:r>
    </w:p>
    <w:p w14:paraId="71823C7B">
      <w:pPr>
        <w:snapToGrid w:val="0"/>
        <w:spacing w:line="360" w:lineRule="auto"/>
        <w:ind w:firstLine="420" w:firstLineChars="200"/>
        <w:rPr>
          <w:rFonts w:hint="eastAsia" w:ascii="宋体" w:hAnsi="宋体" w:cs="Arial"/>
          <w:kern w:val="0"/>
        </w:rPr>
        <w:sectPr>
          <w:pgSz w:w="11906" w:h="16838"/>
          <w:pgMar w:top="1440" w:right="1803" w:bottom="1440" w:left="1803" w:header="851" w:footer="992" w:gutter="0"/>
          <w:cols w:space="425" w:num="1"/>
          <w:docGrid w:type="lines" w:linePitch="312" w:charSpace="0"/>
        </w:sectPr>
      </w:pPr>
    </w:p>
    <w:p w14:paraId="31726ABC">
      <w:pPr>
        <w:pStyle w:val="2"/>
        <w:jc w:val="center"/>
        <w:rPr>
          <w:rFonts w:ascii="宋体" w:hAnsi="宋体" w:eastAsia="宋体"/>
          <w:sz w:val="30"/>
          <w:highlight w:val="none"/>
        </w:rPr>
      </w:pPr>
      <w:bookmarkStart w:id="43" w:name="_Toc20861"/>
      <w:r>
        <w:rPr>
          <w:rFonts w:hint="eastAsia" w:ascii="宋体" w:hAnsi="宋体" w:eastAsia="宋体"/>
          <w:sz w:val="30"/>
          <w:highlight w:val="none"/>
        </w:rPr>
        <w:t>六、基金合同摘要</w:t>
      </w:r>
      <w:bookmarkEnd w:id="42"/>
      <w:bookmarkEnd w:id="43"/>
    </w:p>
    <w:p w14:paraId="5439FCF2">
      <w:pPr>
        <w:ind w:firstLine="420" w:firstLineChars="0"/>
        <w:rPr>
          <w:rFonts w:ascii="宋体" w:hAnsi="宋体" w:eastAsia="宋体"/>
          <w:highlight w:val="none"/>
        </w:rPr>
      </w:pPr>
      <w:bookmarkStart w:id="44" w:name="chapter_level1_6_56148_section_1"/>
      <w:bookmarkEnd w:id="44"/>
      <w:bookmarkStart w:id="45" w:name="chapter_level1_6_56148_section_1_end"/>
      <w:bookmarkEnd w:id="45"/>
      <w:r>
        <w:rPr>
          <w:rFonts w:ascii="宋体" w:hAnsi="宋体" w:eastAsia="宋体"/>
          <w:highlight w:val="none"/>
        </w:rPr>
        <w:t>基金合同的内容摘要见附件：基金合同摘要。</w:t>
      </w:r>
    </w:p>
    <w:p w14:paraId="53A9E9C6">
      <w:pPr>
        <w:rPr>
          <w:rFonts w:ascii="宋体" w:hAnsi="宋体" w:eastAsia="宋体"/>
          <w:highlight w:val="none"/>
        </w:rPr>
        <w:sectPr>
          <w:pgSz w:w="11906" w:h="16838"/>
          <w:pgMar w:top="1440" w:right="1803" w:bottom="1440" w:left="1803" w:header="851" w:footer="992" w:gutter="0"/>
          <w:cols w:space="425" w:num="1"/>
          <w:docGrid w:type="lines" w:linePitch="312" w:charSpace="0"/>
        </w:sectPr>
      </w:pPr>
    </w:p>
    <w:p w14:paraId="09F688BD">
      <w:pPr>
        <w:pStyle w:val="2"/>
        <w:jc w:val="center"/>
        <w:rPr>
          <w:rFonts w:ascii="宋体" w:hAnsi="宋体" w:eastAsia="宋体"/>
          <w:sz w:val="30"/>
          <w:highlight w:val="none"/>
        </w:rPr>
      </w:pPr>
      <w:bookmarkStart w:id="46" w:name="_Toc25489"/>
      <w:bookmarkStart w:id="47" w:name="chapter_level1_7_56149"/>
      <w:r>
        <w:rPr>
          <w:rFonts w:hint="eastAsia" w:ascii="宋体" w:hAnsi="宋体" w:eastAsia="宋体"/>
          <w:sz w:val="30"/>
          <w:highlight w:val="none"/>
        </w:rPr>
        <w:t>七、基金财务状况</w:t>
      </w:r>
      <w:bookmarkEnd w:id="46"/>
      <w:bookmarkEnd w:id="47"/>
    </w:p>
    <w:p w14:paraId="737EBFB5">
      <w:pPr>
        <w:pStyle w:val="9"/>
        <w:spacing w:before="0" w:beforeAutospacing="0" w:after="0" w:afterAutospacing="0" w:line="360" w:lineRule="auto"/>
        <w:ind w:firstLine="420"/>
        <w:rPr>
          <w:rFonts w:ascii="Times New Roman" w:hAnsi="Times New Roman" w:cs="Times New Roman"/>
          <w:sz w:val="21"/>
          <w:szCs w:val="21"/>
          <w:highlight w:val="none"/>
        </w:rPr>
      </w:pPr>
      <w:bookmarkStart w:id="48" w:name="chapter_level1_7_56149_section_1"/>
      <w:bookmarkEnd w:id="48"/>
      <w:bookmarkStart w:id="49" w:name="_Toc23786"/>
      <w:bookmarkStart w:id="50" w:name="chapter_level1_8_56150"/>
      <w:bookmarkStart w:id="51" w:name="chapter_level1_9_56151"/>
      <w:bookmarkStart w:id="52" w:name="_Toc18836"/>
      <w:r>
        <w:rPr>
          <w:rFonts w:ascii="Times New Roman" w:hAnsi="Times New Roman" w:cs="Times New Roman"/>
          <w:sz w:val="21"/>
          <w:szCs w:val="21"/>
          <w:highlight w:val="none"/>
        </w:rPr>
        <w:t xml:space="preserve">（一）基金募集期间费用 </w:t>
      </w:r>
    </w:p>
    <w:p w14:paraId="2D8B8B8F">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基金合同生效前所发生的信息披露费、律师费和会计师费以及其他费用不从基金财产中支付。 </w:t>
      </w:r>
    </w:p>
    <w:p w14:paraId="2CC72C00">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（二）基金上市前重要财务事项 </w:t>
      </w:r>
    </w:p>
    <w:p w14:paraId="4A192D7E">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本基金发售后至上市交易公告书公告前无重要财务事项发生。 </w:t>
      </w:r>
    </w:p>
    <w:p w14:paraId="03E5764C">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（三）基金资产负债表 </w:t>
      </w:r>
    </w:p>
    <w:p w14:paraId="6F5C4112">
      <w:pPr>
        <w:pStyle w:val="9"/>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截至公告前两个工</w:t>
      </w:r>
      <w:r>
        <w:rPr>
          <w:rFonts w:hint="eastAsia" w:ascii="宋体" w:hAnsi="宋体" w:eastAsia="宋体" w:cs="宋体"/>
          <w:sz w:val="21"/>
          <w:szCs w:val="21"/>
          <w:highlight w:val="none"/>
        </w:rPr>
        <w:t>作日即</w:t>
      </w:r>
      <w:r>
        <w:rPr>
          <w:rFonts w:hint="eastAsia" w:cs="宋体"/>
          <w:sz w:val="21"/>
          <w:szCs w:val="21"/>
          <w:highlight w:val="none"/>
          <w:lang w:eastAsia="zh-CN"/>
        </w:rPr>
        <w:t>2026年9月18日</w:t>
      </w:r>
      <w:r>
        <w:rPr>
          <w:rFonts w:hint="eastAsia" w:ascii="宋体" w:hAnsi="宋体" w:eastAsia="宋体" w:cs="宋体"/>
          <w:sz w:val="21"/>
          <w:szCs w:val="21"/>
          <w:highlight w:val="none"/>
        </w:rPr>
        <w:t>，本</w:t>
      </w:r>
      <w:r>
        <w:rPr>
          <w:rFonts w:ascii="Times New Roman" w:hAnsi="Times New Roman" w:cs="Times New Roman"/>
          <w:sz w:val="21"/>
          <w:szCs w:val="21"/>
          <w:highlight w:val="none"/>
        </w:rPr>
        <w:t>基金的资产</w:t>
      </w:r>
      <w:bookmarkStart w:id="53" w:name="chapter_level1_7_56149_section_1_end"/>
      <w:bookmarkEnd w:id="53"/>
      <w:r>
        <w:rPr>
          <w:rFonts w:ascii="Times New Roman" w:hAnsi="Times New Roman" w:cs="Times New Roman"/>
          <w:sz w:val="21"/>
          <w:szCs w:val="21"/>
          <w:highlight w:val="none"/>
        </w:rPr>
        <w:t>负债表如下（未经审计）：</w:t>
      </w:r>
    </w:p>
    <w:p w14:paraId="611C96F5">
      <w:pPr>
        <w:adjustRightInd w:val="0"/>
        <w:snapToGrid w:val="0"/>
        <w:spacing w:line="360" w:lineRule="auto"/>
        <w:ind w:firstLine="371" w:firstLineChars="177"/>
        <w:jc w:val="right"/>
        <w:rPr>
          <w:rFonts w:ascii="Times New Roman" w:hAnsi="Times New Roman" w:cs="Times New Roman"/>
          <w:kern w:val="0"/>
          <w:szCs w:val="21"/>
          <w:highlight w:val="none"/>
        </w:rPr>
      </w:pPr>
      <w:r>
        <w:rPr>
          <w:rFonts w:ascii="Times New Roman" w:hAnsi="Times New Roman" w:cs="Times New Roman"/>
          <w:kern w:val="0"/>
          <w:szCs w:val="21"/>
          <w:highlight w:val="none"/>
        </w:rPr>
        <w:t>单位：人民币元</w:t>
      </w:r>
    </w:p>
    <w:tbl>
      <w:tblPr>
        <w:tblStyle w:val="11"/>
        <w:tblW w:w="5000" w:type="pct"/>
        <w:tblInd w:w="0" w:type="dxa"/>
        <w:tblLayout w:type="autofit"/>
        <w:tblCellMar>
          <w:top w:w="0" w:type="dxa"/>
          <w:left w:w="108" w:type="dxa"/>
          <w:bottom w:w="0" w:type="dxa"/>
          <w:right w:w="108" w:type="dxa"/>
        </w:tblCellMar>
      </w:tblPr>
      <w:tblGrid>
        <w:gridCol w:w="3957"/>
        <w:gridCol w:w="4559"/>
      </w:tblGrid>
      <w:tr w14:paraId="7F3563C8">
        <w:tblPrEx>
          <w:tblCellMar>
            <w:top w:w="0" w:type="dxa"/>
            <w:left w:w="108" w:type="dxa"/>
            <w:bottom w:w="0" w:type="dxa"/>
            <w:right w:w="108" w:type="dxa"/>
          </w:tblCellMar>
        </w:tblPrEx>
        <w:trPr>
          <w:trHeight w:val="300" w:hRule="atLeast"/>
        </w:trPr>
        <w:tc>
          <w:tcPr>
            <w:tcW w:w="2323" w:type="pct"/>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7E5D6B41">
            <w:pPr>
              <w:widowControl/>
              <w:snapToGrid w:val="0"/>
              <w:spacing w:line="360" w:lineRule="auto"/>
              <w:ind w:firstLine="371" w:firstLineChars="177"/>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 产</w:t>
            </w:r>
          </w:p>
        </w:tc>
        <w:tc>
          <w:tcPr>
            <w:tcW w:w="2676" w:type="pct"/>
            <w:tcBorders>
              <w:top w:val="single" w:color="auto" w:sz="8" w:space="0"/>
              <w:left w:val="nil"/>
              <w:bottom w:val="single" w:color="auto" w:sz="8" w:space="0"/>
              <w:right w:val="single" w:color="auto" w:sz="8" w:space="0"/>
            </w:tcBorders>
            <w:shd w:val="clear" w:color="auto" w:fill="auto"/>
            <w:vAlign w:val="center"/>
          </w:tcPr>
          <w:p w14:paraId="622790D5">
            <w:pPr>
              <w:widowControl/>
              <w:snapToGrid w:val="0"/>
              <w:spacing w:line="360" w:lineRule="auto"/>
              <w:ind w:firstLine="371" w:firstLineChars="177"/>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本报告期末</w:t>
            </w:r>
          </w:p>
        </w:tc>
      </w:tr>
      <w:tr w14:paraId="263D61ED">
        <w:tblPrEx>
          <w:tblCellMar>
            <w:top w:w="0" w:type="dxa"/>
            <w:left w:w="108" w:type="dxa"/>
            <w:bottom w:w="0" w:type="dxa"/>
            <w:right w:w="108" w:type="dxa"/>
          </w:tblCellMar>
        </w:tblPrEx>
        <w:trPr>
          <w:trHeight w:val="300" w:hRule="atLeast"/>
        </w:trPr>
        <w:tc>
          <w:tcPr>
            <w:tcW w:w="2323" w:type="pct"/>
            <w:vMerge w:val="continue"/>
            <w:tcBorders>
              <w:top w:val="single" w:color="auto" w:sz="8" w:space="0"/>
              <w:left w:val="single" w:color="auto" w:sz="8" w:space="0"/>
              <w:bottom w:val="single" w:color="auto" w:sz="8" w:space="0"/>
              <w:right w:val="single" w:color="auto" w:sz="8" w:space="0"/>
            </w:tcBorders>
            <w:vAlign w:val="center"/>
          </w:tcPr>
          <w:p w14:paraId="464019F6">
            <w:pPr>
              <w:widowControl/>
              <w:snapToGrid w:val="0"/>
              <w:spacing w:line="360" w:lineRule="auto"/>
              <w:ind w:firstLine="371" w:firstLineChars="177"/>
              <w:jc w:val="center"/>
              <w:rPr>
                <w:rFonts w:ascii="Times New Roman" w:hAnsi="Times New Roman" w:cs="Times New Roman"/>
                <w:color w:val="000000"/>
                <w:kern w:val="0"/>
                <w:szCs w:val="21"/>
                <w:highlight w:val="none"/>
              </w:rPr>
            </w:pPr>
          </w:p>
        </w:tc>
        <w:tc>
          <w:tcPr>
            <w:tcW w:w="2676" w:type="pct"/>
            <w:tcBorders>
              <w:top w:val="nil"/>
              <w:left w:val="nil"/>
              <w:bottom w:val="single" w:color="auto" w:sz="8" w:space="0"/>
              <w:right w:val="single" w:color="auto" w:sz="8" w:space="0"/>
            </w:tcBorders>
            <w:shd w:val="clear" w:color="auto" w:fill="auto"/>
            <w:vAlign w:val="center"/>
          </w:tcPr>
          <w:p w14:paraId="25D62E3F">
            <w:pPr>
              <w:widowControl/>
              <w:snapToGrid w:val="0"/>
              <w:spacing w:line="360" w:lineRule="auto"/>
              <w:ind w:firstLine="371" w:firstLineChars="177"/>
              <w:jc w:val="center"/>
              <w:rPr>
                <w:rFonts w:hint="eastAsia" w:ascii="Times New Roman" w:hAnsi="Times New Roman" w:cs="Times New Roman" w:eastAsiaTheme="minorEastAsia"/>
                <w:color w:val="000000"/>
                <w:kern w:val="0"/>
                <w:szCs w:val="21"/>
                <w:highlight w:val="none"/>
                <w:lang w:eastAsia="zh-CN"/>
              </w:rPr>
            </w:pPr>
            <w:r>
              <w:rPr>
                <w:rFonts w:hint="eastAsia" w:ascii="Times New Roman" w:hAnsi="Times New Roman" w:cs="Times New Roman"/>
                <w:szCs w:val="21"/>
                <w:highlight w:val="none"/>
                <w:lang w:eastAsia="zh-CN"/>
              </w:rPr>
              <w:t>2026年9月18日</w:t>
            </w:r>
          </w:p>
        </w:tc>
      </w:tr>
      <w:tr w14:paraId="1648949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1AD20A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 产：</w:t>
            </w:r>
          </w:p>
        </w:tc>
        <w:tc>
          <w:tcPr>
            <w:tcW w:w="2676" w:type="pct"/>
            <w:tcBorders>
              <w:top w:val="nil"/>
              <w:left w:val="nil"/>
              <w:bottom w:val="single" w:color="auto" w:sz="8" w:space="0"/>
              <w:right w:val="single" w:color="auto" w:sz="8" w:space="0"/>
            </w:tcBorders>
            <w:shd w:val="clear" w:color="auto" w:fill="auto"/>
            <w:vAlign w:val="center"/>
          </w:tcPr>
          <w:p w14:paraId="06834A74">
            <w:pPr>
              <w:widowControl/>
              <w:snapToGrid w:val="0"/>
              <w:spacing w:line="360" w:lineRule="auto"/>
              <w:ind w:firstLine="371" w:firstLineChars="177"/>
              <w:jc w:val="right"/>
              <w:rPr>
                <w:rFonts w:ascii="Times New Roman" w:hAnsi="Times New Roman" w:cs="Times New Roman"/>
                <w:color w:val="000000"/>
                <w:kern w:val="0"/>
                <w:szCs w:val="21"/>
                <w:highlight w:val="none"/>
              </w:rPr>
            </w:pPr>
          </w:p>
        </w:tc>
      </w:tr>
      <w:tr w14:paraId="63D1FE1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1E55B5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银行存款</w:t>
            </w:r>
          </w:p>
        </w:tc>
        <w:tc>
          <w:tcPr>
            <w:tcW w:w="2676" w:type="pct"/>
            <w:tcBorders>
              <w:top w:val="nil"/>
              <w:left w:val="nil"/>
              <w:bottom w:val="single" w:color="auto" w:sz="8" w:space="0"/>
              <w:right w:val="single" w:color="auto" w:sz="8" w:space="0"/>
            </w:tcBorders>
            <w:shd w:val="clear" w:color="auto" w:fill="auto"/>
            <w:vAlign w:val="center"/>
          </w:tcPr>
          <w:p w14:paraId="4CC244E8">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0"/>
                <w:szCs w:val="20"/>
                <w:u w:val="none"/>
                <w:lang w:val="en-US" w:eastAsia="zh-CN" w:bidi="ar"/>
              </w:rPr>
              <w:t>11,493,676.66</w:t>
            </w:r>
          </w:p>
        </w:tc>
      </w:tr>
      <w:tr w14:paraId="6343E17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0AD84F4">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结算备付金</w:t>
            </w:r>
          </w:p>
        </w:tc>
        <w:tc>
          <w:tcPr>
            <w:tcW w:w="2676" w:type="pct"/>
            <w:tcBorders>
              <w:top w:val="nil"/>
              <w:left w:val="nil"/>
              <w:bottom w:val="single" w:color="auto" w:sz="8" w:space="0"/>
              <w:right w:val="single" w:color="auto" w:sz="8" w:space="0"/>
            </w:tcBorders>
            <w:shd w:val="clear" w:color="auto" w:fill="auto"/>
            <w:vAlign w:val="center"/>
          </w:tcPr>
          <w:p w14:paraId="1A31579D">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0"/>
                <w:szCs w:val="20"/>
                <w:u w:val="none"/>
                <w:lang w:val="en-US" w:eastAsia="zh-CN" w:bidi="ar"/>
              </w:rPr>
              <w:t>143,398,030.36</w:t>
            </w:r>
          </w:p>
        </w:tc>
      </w:tr>
      <w:tr w14:paraId="3598CB82">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EACE4C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存出保证金</w:t>
            </w:r>
          </w:p>
        </w:tc>
        <w:tc>
          <w:tcPr>
            <w:tcW w:w="2676" w:type="pct"/>
            <w:tcBorders>
              <w:top w:val="nil"/>
              <w:left w:val="nil"/>
              <w:bottom w:val="single" w:color="auto" w:sz="8" w:space="0"/>
              <w:right w:val="single" w:color="auto" w:sz="8" w:space="0"/>
            </w:tcBorders>
            <w:shd w:val="clear" w:color="auto" w:fill="auto"/>
            <w:vAlign w:val="top"/>
          </w:tcPr>
          <w:p w14:paraId="4A98A144">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2341C1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8091E0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交易性金融资产</w:t>
            </w:r>
          </w:p>
        </w:tc>
        <w:tc>
          <w:tcPr>
            <w:tcW w:w="2676" w:type="pct"/>
            <w:tcBorders>
              <w:top w:val="nil"/>
              <w:left w:val="nil"/>
              <w:bottom w:val="single" w:color="auto" w:sz="8" w:space="0"/>
              <w:right w:val="single" w:color="auto" w:sz="8" w:space="0"/>
            </w:tcBorders>
            <w:shd w:val="clear" w:color="auto" w:fill="auto"/>
            <w:vAlign w:val="center"/>
          </w:tcPr>
          <w:p w14:paraId="7089868E">
            <w:pPr>
              <w:keepNext w:val="0"/>
              <w:keepLines w:val="0"/>
              <w:widowControl/>
              <w:suppressLineNumbers w:val="0"/>
              <w:jc w:val="right"/>
              <w:textAlignment w:val="center"/>
              <w:rPr>
                <w:rFonts w:hint="eastAsia" w:ascii="宋体" w:hAnsi="宋体" w:eastAsia="宋体" w:cs="宋体"/>
                <w:kern w:val="2"/>
                <w:sz w:val="21"/>
                <w:szCs w:val="22"/>
                <w:highlight w:val="none"/>
                <w:lang w:val="en-US" w:eastAsia="zh-CN" w:bidi="ar-SA"/>
              </w:rPr>
            </w:pPr>
            <w:r>
              <w:rPr>
                <w:rFonts w:hint="eastAsia" w:ascii="宋体" w:hAnsi="宋体" w:eastAsia="宋体" w:cs="宋体"/>
                <w:i w:val="0"/>
                <w:iCs w:val="0"/>
                <w:color w:val="000000"/>
                <w:kern w:val="0"/>
                <w:sz w:val="20"/>
                <w:szCs w:val="20"/>
                <w:u w:val="none"/>
                <w:lang w:val="en-US" w:eastAsia="zh-CN" w:bidi="ar"/>
              </w:rPr>
              <w:t>51,727,725.01</w:t>
            </w:r>
          </w:p>
        </w:tc>
      </w:tr>
      <w:tr w14:paraId="4E81BBD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588ED79">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其中：股票投资</w:t>
            </w:r>
          </w:p>
        </w:tc>
        <w:tc>
          <w:tcPr>
            <w:tcW w:w="2676" w:type="pct"/>
            <w:tcBorders>
              <w:top w:val="nil"/>
              <w:left w:val="nil"/>
              <w:bottom w:val="single" w:color="auto" w:sz="8" w:space="0"/>
              <w:right w:val="single" w:color="auto" w:sz="8" w:space="0"/>
            </w:tcBorders>
            <w:shd w:val="clear" w:color="auto" w:fill="auto"/>
            <w:vAlign w:val="center"/>
          </w:tcPr>
          <w:p w14:paraId="732F9EA9">
            <w:pPr>
              <w:keepNext w:val="0"/>
              <w:keepLines w:val="0"/>
              <w:widowControl/>
              <w:suppressLineNumbers w:val="0"/>
              <w:jc w:val="right"/>
              <w:textAlignment w:val="center"/>
              <w:rPr>
                <w:rFonts w:hint="eastAsia" w:ascii="宋体" w:hAnsi="宋体" w:eastAsia="宋体" w:cs="宋体"/>
                <w:kern w:val="2"/>
                <w:sz w:val="21"/>
                <w:szCs w:val="22"/>
                <w:highlight w:val="none"/>
                <w:lang w:val="en-US" w:eastAsia="zh-CN" w:bidi="ar-SA"/>
              </w:rPr>
            </w:pPr>
            <w:r>
              <w:rPr>
                <w:rFonts w:hint="eastAsia" w:ascii="宋体" w:hAnsi="宋体" w:eastAsia="宋体" w:cs="宋体"/>
                <w:i w:val="0"/>
                <w:iCs w:val="0"/>
                <w:color w:val="000000"/>
                <w:kern w:val="0"/>
                <w:sz w:val="20"/>
                <w:szCs w:val="20"/>
                <w:u w:val="none"/>
                <w:lang w:val="en-US" w:eastAsia="zh-CN" w:bidi="ar"/>
              </w:rPr>
              <w:t>51,727,725.01</w:t>
            </w:r>
          </w:p>
        </w:tc>
      </w:tr>
      <w:tr w14:paraId="05E2B2E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FC3642E">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债券投资</w:t>
            </w:r>
          </w:p>
        </w:tc>
        <w:tc>
          <w:tcPr>
            <w:tcW w:w="2676" w:type="pct"/>
            <w:tcBorders>
              <w:top w:val="nil"/>
              <w:left w:val="nil"/>
              <w:bottom w:val="single" w:color="auto" w:sz="8" w:space="0"/>
              <w:right w:val="single" w:color="auto" w:sz="8" w:space="0"/>
            </w:tcBorders>
            <w:shd w:val="clear" w:color="auto" w:fill="auto"/>
            <w:vAlign w:val="top"/>
          </w:tcPr>
          <w:p w14:paraId="70D9813C">
            <w:pPr>
              <w:jc w:val="right"/>
              <w:rPr>
                <w:rFonts w:hint="eastAsia" w:ascii="宋体" w:hAnsi="宋体" w:eastAsia="宋体" w:cs="宋体"/>
                <w:kern w:val="2"/>
                <w:sz w:val="21"/>
                <w:szCs w:val="22"/>
                <w:highlight w:val="none"/>
                <w:lang w:val="en-US" w:eastAsia="zh-CN" w:bidi="ar-SA"/>
              </w:rPr>
            </w:pPr>
            <w:r>
              <w:rPr>
                <w:rFonts w:hint="eastAsia" w:ascii="宋体" w:hAnsi="宋体" w:eastAsia="宋体" w:cs="宋体"/>
                <w:highlight w:val="none"/>
                <w:lang w:val="en-US" w:eastAsia="zh-CN"/>
              </w:rPr>
              <w:t>-</w:t>
            </w:r>
          </w:p>
        </w:tc>
      </w:tr>
      <w:tr w14:paraId="1D1A7713">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0CCCA0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资产支持证券投资</w:t>
            </w:r>
          </w:p>
        </w:tc>
        <w:tc>
          <w:tcPr>
            <w:tcW w:w="2676" w:type="pct"/>
            <w:tcBorders>
              <w:top w:val="nil"/>
              <w:left w:val="nil"/>
              <w:bottom w:val="single" w:color="auto" w:sz="8" w:space="0"/>
              <w:right w:val="single" w:color="auto" w:sz="8" w:space="0"/>
            </w:tcBorders>
            <w:shd w:val="clear" w:color="auto" w:fill="auto"/>
            <w:vAlign w:val="top"/>
          </w:tcPr>
          <w:p w14:paraId="09A489E5">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3663C8A8">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431C3E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衍生金融资产</w:t>
            </w:r>
          </w:p>
        </w:tc>
        <w:tc>
          <w:tcPr>
            <w:tcW w:w="2676" w:type="pct"/>
            <w:tcBorders>
              <w:top w:val="nil"/>
              <w:left w:val="nil"/>
              <w:bottom w:val="single" w:color="auto" w:sz="8" w:space="0"/>
              <w:right w:val="single" w:color="auto" w:sz="8" w:space="0"/>
            </w:tcBorders>
            <w:shd w:val="clear" w:color="auto" w:fill="auto"/>
            <w:vAlign w:val="top"/>
          </w:tcPr>
          <w:p w14:paraId="29E62062">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0D6FD54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B55DDA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买入返售金融资产</w:t>
            </w:r>
          </w:p>
        </w:tc>
        <w:tc>
          <w:tcPr>
            <w:tcW w:w="2676" w:type="pct"/>
            <w:tcBorders>
              <w:top w:val="nil"/>
              <w:left w:val="nil"/>
              <w:bottom w:val="single" w:color="auto" w:sz="8" w:space="0"/>
              <w:right w:val="single" w:color="auto" w:sz="8" w:space="0"/>
            </w:tcBorders>
            <w:shd w:val="clear" w:color="auto" w:fill="auto"/>
            <w:vAlign w:val="top"/>
          </w:tcPr>
          <w:p w14:paraId="21043C5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34BE678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1D781D8">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应收证券清算款</w:t>
            </w:r>
          </w:p>
        </w:tc>
        <w:tc>
          <w:tcPr>
            <w:tcW w:w="2676" w:type="pct"/>
            <w:tcBorders>
              <w:top w:val="nil"/>
              <w:left w:val="nil"/>
              <w:bottom w:val="single" w:color="auto" w:sz="8" w:space="0"/>
              <w:right w:val="single" w:color="auto" w:sz="8" w:space="0"/>
            </w:tcBorders>
            <w:shd w:val="clear" w:color="auto" w:fill="auto"/>
            <w:vAlign w:val="top"/>
          </w:tcPr>
          <w:p w14:paraId="260F5EB1">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2B12A6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484D9C5">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应收股利</w:t>
            </w:r>
          </w:p>
        </w:tc>
        <w:tc>
          <w:tcPr>
            <w:tcW w:w="2676" w:type="pct"/>
            <w:tcBorders>
              <w:top w:val="nil"/>
              <w:left w:val="nil"/>
              <w:bottom w:val="single" w:color="auto" w:sz="8" w:space="0"/>
              <w:right w:val="single" w:color="auto" w:sz="8" w:space="0"/>
            </w:tcBorders>
            <w:shd w:val="clear" w:color="auto" w:fill="auto"/>
            <w:vAlign w:val="top"/>
          </w:tcPr>
          <w:p w14:paraId="36F2DC94">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CB05432">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1E520A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应收申购款</w:t>
            </w:r>
          </w:p>
        </w:tc>
        <w:tc>
          <w:tcPr>
            <w:tcW w:w="2676" w:type="pct"/>
            <w:tcBorders>
              <w:top w:val="nil"/>
              <w:left w:val="nil"/>
              <w:bottom w:val="single" w:color="auto" w:sz="8" w:space="0"/>
              <w:right w:val="single" w:color="auto" w:sz="8" w:space="0"/>
            </w:tcBorders>
            <w:shd w:val="clear" w:color="auto" w:fill="auto"/>
            <w:vAlign w:val="top"/>
          </w:tcPr>
          <w:p w14:paraId="26AF6ACF">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6ED67E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3527C69">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2676" w:type="pct"/>
            <w:tcBorders>
              <w:top w:val="nil"/>
              <w:left w:val="nil"/>
              <w:bottom w:val="single" w:color="auto" w:sz="8" w:space="0"/>
              <w:right w:val="single" w:color="auto" w:sz="8" w:space="0"/>
            </w:tcBorders>
            <w:shd w:val="clear" w:color="auto" w:fill="auto"/>
            <w:vAlign w:val="top"/>
          </w:tcPr>
          <w:p w14:paraId="2586645E">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CEB2F7E">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B281C5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资产总计</w:t>
            </w:r>
          </w:p>
        </w:tc>
        <w:tc>
          <w:tcPr>
            <w:tcW w:w="2676" w:type="pct"/>
            <w:tcBorders>
              <w:top w:val="nil"/>
              <w:left w:val="nil"/>
              <w:bottom w:val="single" w:color="auto" w:sz="8" w:space="0"/>
              <w:right w:val="single" w:color="auto" w:sz="8" w:space="0"/>
            </w:tcBorders>
            <w:shd w:val="clear" w:color="auto" w:fill="auto"/>
            <w:vAlign w:val="center"/>
          </w:tcPr>
          <w:p w14:paraId="73B11D04">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206,619,432.03</w:t>
            </w:r>
          </w:p>
        </w:tc>
      </w:tr>
      <w:tr w14:paraId="021B548D">
        <w:tblPrEx>
          <w:tblCellMar>
            <w:top w:w="0" w:type="dxa"/>
            <w:left w:w="108" w:type="dxa"/>
            <w:bottom w:w="0" w:type="dxa"/>
            <w:right w:w="108" w:type="dxa"/>
          </w:tblCellMar>
        </w:tblPrEx>
        <w:trPr>
          <w:trHeight w:val="300" w:hRule="atLeast"/>
        </w:trPr>
        <w:tc>
          <w:tcPr>
            <w:tcW w:w="2323" w:type="pct"/>
            <w:vMerge w:val="restart"/>
            <w:tcBorders>
              <w:top w:val="nil"/>
              <w:left w:val="single" w:color="auto" w:sz="8" w:space="0"/>
              <w:bottom w:val="single" w:color="auto" w:sz="8" w:space="0"/>
              <w:right w:val="single" w:color="auto" w:sz="8" w:space="0"/>
            </w:tcBorders>
            <w:shd w:val="clear" w:color="auto" w:fill="auto"/>
            <w:vAlign w:val="center"/>
          </w:tcPr>
          <w:p w14:paraId="6E65D20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负债和所有者权益</w:t>
            </w:r>
          </w:p>
        </w:tc>
        <w:tc>
          <w:tcPr>
            <w:tcW w:w="2676" w:type="pct"/>
            <w:tcBorders>
              <w:top w:val="nil"/>
              <w:left w:val="nil"/>
              <w:bottom w:val="single" w:color="auto" w:sz="8" w:space="0"/>
              <w:right w:val="single" w:color="auto" w:sz="8" w:space="0"/>
            </w:tcBorders>
            <w:shd w:val="clear" w:color="auto" w:fill="auto"/>
            <w:vAlign w:val="center"/>
          </w:tcPr>
          <w:p w14:paraId="7B7DB4D0">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0E13A8EE">
        <w:tblPrEx>
          <w:tblCellMar>
            <w:top w:w="0" w:type="dxa"/>
            <w:left w:w="108" w:type="dxa"/>
            <w:bottom w:w="0" w:type="dxa"/>
            <w:right w:w="108" w:type="dxa"/>
          </w:tblCellMar>
        </w:tblPrEx>
        <w:trPr>
          <w:trHeight w:val="300" w:hRule="atLeast"/>
        </w:trPr>
        <w:tc>
          <w:tcPr>
            <w:tcW w:w="2323" w:type="pct"/>
            <w:vMerge w:val="continue"/>
            <w:tcBorders>
              <w:top w:val="nil"/>
              <w:left w:val="single" w:color="auto" w:sz="8" w:space="0"/>
              <w:bottom w:val="single" w:color="auto" w:sz="8" w:space="0"/>
              <w:right w:val="single" w:color="auto" w:sz="8" w:space="0"/>
            </w:tcBorders>
            <w:vAlign w:val="center"/>
          </w:tcPr>
          <w:p w14:paraId="70266629">
            <w:pPr>
              <w:widowControl/>
              <w:snapToGrid w:val="0"/>
              <w:spacing w:line="360" w:lineRule="auto"/>
              <w:ind w:firstLine="371" w:firstLineChars="177"/>
              <w:jc w:val="left"/>
              <w:rPr>
                <w:rFonts w:ascii="Times New Roman" w:hAnsi="Times New Roman" w:cs="Times New Roman"/>
                <w:color w:val="000000"/>
                <w:kern w:val="0"/>
                <w:szCs w:val="21"/>
                <w:highlight w:val="none"/>
              </w:rPr>
            </w:pPr>
          </w:p>
        </w:tc>
        <w:tc>
          <w:tcPr>
            <w:tcW w:w="2676" w:type="pct"/>
            <w:tcBorders>
              <w:top w:val="nil"/>
              <w:left w:val="nil"/>
              <w:bottom w:val="single" w:color="auto" w:sz="8" w:space="0"/>
              <w:right w:val="single" w:color="auto" w:sz="8" w:space="0"/>
            </w:tcBorders>
            <w:shd w:val="clear" w:color="auto" w:fill="auto"/>
            <w:vAlign w:val="center"/>
          </w:tcPr>
          <w:p w14:paraId="3EC611B6">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6EEB4687">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9EB33D4">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 债：</w:t>
            </w:r>
          </w:p>
        </w:tc>
        <w:tc>
          <w:tcPr>
            <w:tcW w:w="2676" w:type="pct"/>
            <w:tcBorders>
              <w:top w:val="nil"/>
              <w:left w:val="nil"/>
              <w:bottom w:val="single" w:color="auto" w:sz="8" w:space="0"/>
              <w:right w:val="single" w:color="auto" w:sz="8" w:space="0"/>
            </w:tcBorders>
            <w:shd w:val="clear" w:color="auto" w:fill="auto"/>
            <w:vAlign w:val="center"/>
          </w:tcPr>
          <w:p w14:paraId="71D87EB4">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6400E776">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8FD8F0A">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短期借款</w:t>
            </w:r>
          </w:p>
        </w:tc>
        <w:tc>
          <w:tcPr>
            <w:tcW w:w="2676" w:type="pct"/>
            <w:tcBorders>
              <w:top w:val="nil"/>
              <w:left w:val="nil"/>
              <w:bottom w:val="single" w:color="auto" w:sz="8" w:space="0"/>
              <w:right w:val="single" w:color="auto" w:sz="8" w:space="0"/>
            </w:tcBorders>
            <w:shd w:val="clear" w:color="auto" w:fill="auto"/>
            <w:vAlign w:val="center"/>
          </w:tcPr>
          <w:p w14:paraId="203EEAF1">
            <w:pPr>
              <w:widowControl/>
              <w:snapToGrid w:val="0"/>
              <w:spacing w:line="360" w:lineRule="auto"/>
              <w:ind w:firstLine="371" w:firstLineChars="177"/>
              <w:jc w:val="right"/>
              <w:rPr>
                <w:rFonts w:hint="eastAsia" w:ascii="宋体" w:hAnsi="宋体" w:eastAsia="宋体" w:cs="宋体"/>
                <w:kern w:val="0"/>
                <w:szCs w:val="21"/>
                <w:highlight w:val="none"/>
              </w:rPr>
            </w:pPr>
            <w:r>
              <w:rPr>
                <w:rFonts w:hint="eastAsia" w:ascii="宋体" w:hAnsi="宋体" w:eastAsia="宋体" w:cs="宋体"/>
                <w:highlight w:val="none"/>
                <w:lang w:val="en-US" w:eastAsia="zh-CN"/>
              </w:rPr>
              <w:t>-</w:t>
            </w:r>
          </w:p>
        </w:tc>
      </w:tr>
      <w:tr w14:paraId="54948227">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666EE6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交易性金融负债</w:t>
            </w:r>
          </w:p>
        </w:tc>
        <w:tc>
          <w:tcPr>
            <w:tcW w:w="2676" w:type="pct"/>
            <w:tcBorders>
              <w:top w:val="nil"/>
              <w:left w:val="nil"/>
              <w:bottom w:val="single" w:color="auto" w:sz="8" w:space="0"/>
              <w:right w:val="single" w:color="auto" w:sz="8" w:space="0"/>
            </w:tcBorders>
            <w:shd w:val="clear" w:color="auto" w:fill="auto"/>
            <w:vAlign w:val="top"/>
          </w:tcPr>
          <w:p w14:paraId="2AC78F66">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4C59B49">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18425F0">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衍生金融负债</w:t>
            </w:r>
          </w:p>
        </w:tc>
        <w:tc>
          <w:tcPr>
            <w:tcW w:w="2676" w:type="pct"/>
            <w:tcBorders>
              <w:top w:val="nil"/>
              <w:left w:val="nil"/>
              <w:bottom w:val="single" w:color="auto" w:sz="8" w:space="0"/>
              <w:right w:val="single" w:color="auto" w:sz="8" w:space="0"/>
            </w:tcBorders>
            <w:shd w:val="clear" w:color="auto" w:fill="auto"/>
            <w:vAlign w:val="top"/>
          </w:tcPr>
          <w:p w14:paraId="4B25942B">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1C73AD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8454ED3">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卖出回购金融资产款</w:t>
            </w:r>
          </w:p>
        </w:tc>
        <w:tc>
          <w:tcPr>
            <w:tcW w:w="2676" w:type="pct"/>
            <w:tcBorders>
              <w:top w:val="nil"/>
              <w:left w:val="nil"/>
              <w:bottom w:val="single" w:color="auto" w:sz="8" w:space="0"/>
              <w:right w:val="single" w:color="auto" w:sz="8" w:space="0"/>
            </w:tcBorders>
            <w:shd w:val="clear" w:color="auto" w:fill="auto"/>
            <w:vAlign w:val="top"/>
          </w:tcPr>
          <w:p w14:paraId="585590B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06D994C3">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35E314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应付证券清算款</w:t>
            </w:r>
          </w:p>
        </w:tc>
        <w:tc>
          <w:tcPr>
            <w:tcW w:w="2676" w:type="pct"/>
            <w:tcBorders>
              <w:top w:val="nil"/>
              <w:left w:val="nil"/>
              <w:bottom w:val="single" w:color="auto" w:sz="8" w:space="0"/>
              <w:right w:val="single" w:color="auto" w:sz="8" w:space="0"/>
            </w:tcBorders>
            <w:shd w:val="clear" w:color="auto" w:fill="auto"/>
            <w:vAlign w:val="top"/>
          </w:tcPr>
          <w:p w14:paraId="45FE02BC">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w:t>
            </w:r>
          </w:p>
        </w:tc>
      </w:tr>
      <w:tr w14:paraId="41CC0F85">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4CAD97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应付赎回款</w:t>
            </w:r>
          </w:p>
        </w:tc>
        <w:tc>
          <w:tcPr>
            <w:tcW w:w="2676" w:type="pct"/>
            <w:tcBorders>
              <w:top w:val="nil"/>
              <w:left w:val="nil"/>
              <w:bottom w:val="single" w:color="auto" w:sz="8" w:space="0"/>
              <w:right w:val="single" w:color="auto" w:sz="8" w:space="0"/>
            </w:tcBorders>
            <w:shd w:val="clear" w:color="auto" w:fill="auto"/>
            <w:vAlign w:val="top"/>
          </w:tcPr>
          <w:p w14:paraId="0447FC94">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C140323">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AD9C5B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应付管理人报酬</w:t>
            </w:r>
          </w:p>
        </w:tc>
        <w:tc>
          <w:tcPr>
            <w:tcW w:w="2676" w:type="pct"/>
            <w:tcBorders>
              <w:top w:val="nil"/>
              <w:left w:val="nil"/>
              <w:bottom w:val="single" w:color="auto" w:sz="8" w:space="0"/>
              <w:right w:val="single" w:color="auto" w:sz="8" w:space="0"/>
            </w:tcBorders>
            <w:shd w:val="clear" w:color="auto" w:fill="auto"/>
            <w:vAlign w:val="center"/>
          </w:tcPr>
          <w:p w14:paraId="42374E38">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0"/>
                <w:szCs w:val="20"/>
                <w:u w:val="none"/>
                <w:lang w:val="en-US" w:eastAsia="zh-CN" w:bidi="ar"/>
              </w:rPr>
              <w:t>5,657.33</w:t>
            </w:r>
          </w:p>
        </w:tc>
      </w:tr>
      <w:tr w14:paraId="40220477">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2287C50">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应付托管费</w:t>
            </w:r>
          </w:p>
        </w:tc>
        <w:tc>
          <w:tcPr>
            <w:tcW w:w="2676" w:type="pct"/>
            <w:tcBorders>
              <w:top w:val="nil"/>
              <w:left w:val="nil"/>
              <w:bottom w:val="single" w:color="auto" w:sz="8" w:space="0"/>
              <w:right w:val="single" w:color="auto" w:sz="8" w:space="0"/>
            </w:tcBorders>
            <w:shd w:val="clear" w:color="auto" w:fill="auto"/>
            <w:vAlign w:val="center"/>
          </w:tcPr>
          <w:p w14:paraId="23D2BBD6">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0"/>
                <w:szCs w:val="20"/>
                <w:u w:val="none"/>
                <w:lang w:val="en-US" w:eastAsia="zh-CN" w:bidi="ar"/>
              </w:rPr>
              <w:t>1,131.47</w:t>
            </w:r>
          </w:p>
        </w:tc>
      </w:tr>
      <w:tr w14:paraId="70A45D64">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9BAEEA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应付销售服务费</w:t>
            </w:r>
          </w:p>
        </w:tc>
        <w:tc>
          <w:tcPr>
            <w:tcW w:w="2676" w:type="pct"/>
            <w:tcBorders>
              <w:top w:val="nil"/>
              <w:left w:val="nil"/>
              <w:bottom w:val="single" w:color="auto" w:sz="8" w:space="0"/>
              <w:right w:val="single" w:color="auto" w:sz="8" w:space="0"/>
            </w:tcBorders>
            <w:shd w:val="clear" w:color="auto" w:fill="auto"/>
            <w:vAlign w:val="top"/>
          </w:tcPr>
          <w:p w14:paraId="2F25B711">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C590432">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ACBC926">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应付交易费用</w:t>
            </w:r>
          </w:p>
        </w:tc>
        <w:tc>
          <w:tcPr>
            <w:tcW w:w="2676" w:type="pct"/>
            <w:tcBorders>
              <w:top w:val="nil"/>
              <w:left w:val="nil"/>
              <w:bottom w:val="single" w:color="auto" w:sz="8" w:space="0"/>
              <w:right w:val="single" w:color="auto" w:sz="8" w:space="0"/>
            </w:tcBorders>
            <w:shd w:val="clear" w:color="auto" w:fill="auto"/>
            <w:vAlign w:val="top"/>
          </w:tcPr>
          <w:p w14:paraId="5D585CF5">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606F2D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88E1AFA">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应交税费</w:t>
            </w:r>
          </w:p>
        </w:tc>
        <w:tc>
          <w:tcPr>
            <w:tcW w:w="2676" w:type="pct"/>
            <w:tcBorders>
              <w:top w:val="nil"/>
              <w:left w:val="nil"/>
              <w:bottom w:val="single" w:color="auto" w:sz="8" w:space="0"/>
              <w:right w:val="single" w:color="auto" w:sz="8" w:space="0"/>
            </w:tcBorders>
            <w:shd w:val="clear" w:color="auto" w:fill="auto"/>
            <w:vAlign w:val="top"/>
          </w:tcPr>
          <w:p w14:paraId="63AB7E86">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6978EF85">
        <w:tblPrEx>
          <w:tblCellMar>
            <w:top w:w="0" w:type="dxa"/>
            <w:left w:w="108" w:type="dxa"/>
            <w:bottom w:w="0" w:type="dxa"/>
            <w:right w:w="108" w:type="dxa"/>
          </w:tblCellMar>
        </w:tblPrEx>
        <w:trPr>
          <w:trHeight w:val="9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036D533">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应付利润</w:t>
            </w:r>
          </w:p>
        </w:tc>
        <w:tc>
          <w:tcPr>
            <w:tcW w:w="2676" w:type="pct"/>
            <w:tcBorders>
              <w:top w:val="nil"/>
              <w:left w:val="nil"/>
              <w:bottom w:val="single" w:color="auto" w:sz="8" w:space="0"/>
              <w:right w:val="single" w:color="auto" w:sz="8" w:space="0"/>
            </w:tcBorders>
            <w:shd w:val="clear" w:color="auto" w:fill="auto"/>
            <w:vAlign w:val="top"/>
          </w:tcPr>
          <w:p w14:paraId="5F2A962A">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EAD538D">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81A147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其他负债</w:t>
            </w:r>
          </w:p>
        </w:tc>
        <w:tc>
          <w:tcPr>
            <w:tcW w:w="2676" w:type="pct"/>
            <w:tcBorders>
              <w:top w:val="nil"/>
              <w:left w:val="nil"/>
              <w:bottom w:val="single" w:color="auto" w:sz="8" w:space="0"/>
              <w:right w:val="single" w:color="auto" w:sz="8" w:space="0"/>
            </w:tcBorders>
            <w:shd w:val="clear" w:color="auto" w:fill="auto"/>
            <w:vAlign w:val="center"/>
          </w:tcPr>
          <w:p w14:paraId="054D27D9">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2,242.98</w:t>
            </w:r>
          </w:p>
        </w:tc>
      </w:tr>
      <w:tr w14:paraId="6569164A">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97B65E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负债合计</w:t>
            </w:r>
          </w:p>
        </w:tc>
        <w:tc>
          <w:tcPr>
            <w:tcW w:w="2676" w:type="pct"/>
            <w:tcBorders>
              <w:top w:val="nil"/>
              <w:left w:val="nil"/>
              <w:bottom w:val="single" w:color="auto" w:sz="8" w:space="0"/>
              <w:right w:val="single" w:color="auto" w:sz="8" w:space="0"/>
            </w:tcBorders>
            <w:shd w:val="clear" w:color="auto" w:fill="auto"/>
            <w:vAlign w:val="center"/>
          </w:tcPr>
          <w:p w14:paraId="20083F6B">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9,031.78</w:t>
            </w:r>
          </w:p>
        </w:tc>
      </w:tr>
      <w:tr w14:paraId="6CDAF3F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0E84309">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所有者权益：</w:t>
            </w:r>
          </w:p>
        </w:tc>
        <w:tc>
          <w:tcPr>
            <w:tcW w:w="2676" w:type="pct"/>
            <w:tcBorders>
              <w:top w:val="nil"/>
              <w:left w:val="nil"/>
              <w:bottom w:val="single" w:color="auto" w:sz="8" w:space="0"/>
              <w:right w:val="single" w:color="auto" w:sz="8" w:space="0"/>
            </w:tcBorders>
            <w:shd w:val="clear" w:color="auto" w:fill="auto"/>
            <w:vAlign w:val="top"/>
          </w:tcPr>
          <w:p w14:paraId="04FBE28A">
            <w:pPr>
              <w:jc w:val="right"/>
              <w:rPr>
                <w:rFonts w:hint="eastAsia" w:ascii="宋体" w:hAnsi="宋体" w:eastAsia="宋体" w:cs="宋体"/>
                <w:highlight w:val="none"/>
              </w:rPr>
            </w:pPr>
          </w:p>
        </w:tc>
      </w:tr>
      <w:tr w14:paraId="751EB17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9D8F215">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实收基金</w:t>
            </w:r>
          </w:p>
        </w:tc>
        <w:tc>
          <w:tcPr>
            <w:tcW w:w="2676" w:type="pct"/>
            <w:tcBorders>
              <w:top w:val="nil"/>
              <w:left w:val="nil"/>
              <w:bottom w:val="single" w:color="auto" w:sz="8" w:space="0"/>
              <w:right w:val="single" w:color="auto" w:sz="8" w:space="0"/>
            </w:tcBorders>
            <w:shd w:val="clear" w:color="auto" w:fill="auto"/>
            <w:vAlign w:val="center"/>
          </w:tcPr>
          <w:p w14:paraId="45124610">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206,492,415.00</w:t>
            </w:r>
          </w:p>
        </w:tc>
      </w:tr>
      <w:tr w14:paraId="32141DF8">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D01A51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未分配利润</w:t>
            </w:r>
          </w:p>
        </w:tc>
        <w:tc>
          <w:tcPr>
            <w:tcW w:w="2676" w:type="pct"/>
            <w:tcBorders>
              <w:top w:val="nil"/>
              <w:left w:val="nil"/>
              <w:bottom w:val="single" w:color="auto" w:sz="8" w:space="0"/>
              <w:right w:val="single" w:color="auto" w:sz="8" w:space="0"/>
            </w:tcBorders>
            <w:shd w:val="clear" w:color="auto" w:fill="auto"/>
            <w:vAlign w:val="bottom"/>
          </w:tcPr>
          <w:p w14:paraId="0B0A30C0">
            <w:pPr>
              <w:keepNext w:val="0"/>
              <w:keepLines w:val="0"/>
              <w:widowControl/>
              <w:suppressLineNumbers w:val="0"/>
              <w:jc w:val="right"/>
              <w:textAlignment w:val="center"/>
              <w:rPr>
                <w:rFonts w:hint="eastAsia" w:ascii="Arial" w:hAnsi="Arial" w:cs="Arial" w:eastAsiaTheme="minorEastAsia"/>
                <w:i w:val="0"/>
                <w:iCs w:val="0"/>
                <w:color w:val="000000"/>
                <w:kern w:val="2"/>
                <w:sz w:val="20"/>
                <w:szCs w:val="20"/>
                <w:u w:val="none"/>
                <w:lang w:val="en-US" w:eastAsia="zh-CN" w:bidi="ar-SA"/>
              </w:rPr>
            </w:pPr>
            <w:r>
              <w:rPr>
                <w:rFonts w:hint="default" w:ascii="宋体" w:hAnsi="宋体" w:eastAsia="宋体" w:cs="宋体"/>
                <w:i w:val="0"/>
                <w:iCs w:val="0"/>
                <w:color w:val="000000"/>
                <w:kern w:val="0"/>
                <w:sz w:val="20"/>
                <w:szCs w:val="20"/>
                <w:u w:val="none"/>
                <w:lang w:val="en-US" w:eastAsia="zh-CN" w:bidi="ar"/>
              </w:rPr>
              <w:t xml:space="preserve"> 117,985.25 </w:t>
            </w:r>
          </w:p>
        </w:tc>
      </w:tr>
      <w:tr w14:paraId="6AB2FE0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A41854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所有者权益合计</w:t>
            </w:r>
          </w:p>
        </w:tc>
        <w:tc>
          <w:tcPr>
            <w:tcW w:w="2676" w:type="pct"/>
            <w:tcBorders>
              <w:top w:val="nil"/>
              <w:left w:val="nil"/>
              <w:bottom w:val="single" w:color="auto" w:sz="8" w:space="0"/>
              <w:right w:val="single" w:color="auto" w:sz="8" w:space="0"/>
            </w:tcBorders>
            <w:shd w:val="clear" w:color="auto" w:fill="auto"/>
            <w:vAlign w:val="bottom"/>
          </w:tcPr>
          <w:p w14:paraId="3AD4583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 xml:space="preserve"> 206,610,400.25 </w:t>
            </w:r>
          </w:p>
        </w:tc>
      </w:tr>
      <w:tr w14:paraId="59E490E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31C0E33">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负债和所有者权益总计</w:t>
            </w:r>
          </w:p>
        </w:tc>
        <w:tc>
          <w:tcPr>
            <w:tcW w:w="2676" w:type="pct"/>
            <w:tcBorders>
              <w:top w:val="nil"/>
              <w:left w:val="nil"/>
              <w:bottom w:val="single" w:color="auto" w:sz="8" w:space="0"/>
              <w:right w:val="single" w:color="auto" w:sz="8" w:space="0"/>
            </w:tcBorders>
            <w:shd w:val="clear" w:color="auto" w:fill="auto"/>
            <w:vAlign w:val="bottom"/>
          </w:tcPr>
          <w:p w14:paraId="775095F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 xml:space="preserve"> 206,619,432.03 </w:t>
            </w:r>
          </w:p>
        </w:tc>
      </w:tr>
    </w:tbl>
    <w:p w14:paraId="3ECB1CF7">
      <w:pPr>
        <w:widowControl/>
        <w:snapToGrid w:val="0"/>
        <w:spacing w:line="360" w:lineRule="auto"/>
        <w:ind w:firstLine="371" w:firstLineChars="177"/>
        <w:jc w:val="left"/>
        <w:rPr>
          <w:rFonts w:hint="eastAsia" w:ascii="宋体" w:hAnsi="宋体" w:eastAsia="宋体" w:cs="宋体"/>
          <w:color w:val="000000"/>
          <w:kern w:val="0"/>
          <w:szCs w:val="21"/>
          <w:highlight w:val="none"/>
          <w:lang w:val="en-US" w:eastAsia="zh-CN"/>
        </w:rPr>
        <w:sectPr>
          <w:pgSz w:w="11906" w:h="16838"/>
          <w:pgMar w:top="1440" w:right="1803" w:bottom="1440" w:left="1803" w:header="851" w:footer="992" w:gutter="0"/>
          <w:cols w:space="425" w:num="1"/>
          <w:docGrid w:type="lines" w:linePitch="312" w:charSpace="0"/>
        </w:sectPr>
      </w:pPr>
      <w:r>
        <w:rPr>
          <w:rFonts w:hint="eastAsia" w:ascii="宋体" w:hAnsi="宋体" w:eastAsia="宋体" w:cs="宋体"/>
          <w:color w:val="000000"/>
          <w:kern w:val="0"/>
          <w:szCs w:val="21"/>
          <w:highlight w:val="none"/>
        </w:rPr>
        <w:t>注：截至</w:t>
      </w:r>
      <w:r>
        <w:rPr>
          <w:rFonts w:hint="eastAsia" w:ascii="宋体" w:hAnsi="宋体" w:eastAsia="宋体" w:cs="宋体"/>
          <w:color w:val="000000"/>
          <w:kern w:val="0"/>
          <w:szCs w:val="21"/>
          <w:highlight w:val="none"/>
          <w:lang w:eastAsia="zh-CN"/>
        </w:rPr>
        <w:t>2026年9月18日</w:t>
      </w:r>
      <w:r>
        <w:rPr>
          <w:rFonts w:hint="eastAsia" w:ascii="宋体" w:hAnsi="宋体" w:eastAsia="宋体" w:cs="宋体"/>
          <w:color w:val="000000"/>
          <w:kern w:val="0"/>
          <w:szCs w:val="21"/>
          <w:highlight w:val="none"/>
        </w:rPr>
        <w:t>，基金份额净值</w:t>
      </w:r>
      <w:r>
        <w:rPr>
          <w:rFonts w:hint="eastAsia" w:ascii="宋体" w:hAnsi="宋体" w:eastAsia="宋体" w:cs="宋体"/>
          <w:color w:val="000000"/>
          <w:kern w:val="0"/>
          <w:szCs w:val="21"/>
          <w:highlight w:val="none"/>
          <w:lang w:val="en-US" w:eastAsia="zh-CN"/>
        </w:rPr>
        <w:t>1.0006</w:t>
      </w:r>
      <w:r>
        <w:rPr>
          <w:rFonts w:hint="eastAsia" w:ascii="宋体" w:hAnsi="宋体" w:eastAsia="宋体" w:cs="宋体"/>
          <w:color w:val="000000"/>
          <w:kern w:val="0"/>
          <w:szCs w:val="21"/>
          <w:highlight w:val="none"/>
        </w:rPr>
        <w:t>元，基金份额总额</w:t>
      </w:r>
      <w:r>
        <w:rPr>
          <w:rFonts w:hint="eastAsia" w:ascii="宋体" w:hAnsi="宋体" w:eastAsia="宋体" w:cs="宋体"/>
          <w:color w:val="000000"/>
          <w:kern w:val="0"/>
          <w:szCs w:val="21"/>
          <w:highlight w:val="none"/>
          <w:lang w:eastAsia="zh-CN"/>
        </w:rPr>
        <w:t>206,492,415.00</w:t>
      </w:r>
      <w:r>
        <w:rPr>
          <w:rFonts w:hint="eastAsia" w:ascii="宋体" w:hAnsi="宋体" w:eastAsia="宋体" w:cs="宋体"/>
          <w:color w:val="000000"/>
          <w:kern w:val="0"/>
          <w:szCs w:val="21"/>
          <w:highlight w:val="none"/>
        </w:rPr>
        <w:t>份。</w:t>
      </w:r>
      <w:r>
        <w:rPr>
          <w:rFonts w:hint="eastAsia" w:ascii="宋体" w:hAnsi="宋体" w:eastAsia="宋体" w:cs="宋体"/>
          <w:color w:val="000000"/>
          <w:kern w:val="0"/>
          <w:szCs w:val="21"/>
          <w:highlight w:val="none"/>
          <w:lang w:val="en-US" w:eastAsia="zh-CN"/>
        </w:rPr>
        <w:t xml:space="preserve"> </w:t>
      </w:r>
    </w:p>
    <w:p w14:paraId="4B94C629">
      <w:pPr>
        <w:pStyle w:val="2"/>
        <w:jc w:val="center"/>
        <w:rPr>
          <w:rFonts w:hint="eastAsia" w:ascii="宋体" w:hAnsi="宋体" w:eastAsia="宋体" w:cstheme="majorBidi"/>
          <w:sz w:val="30"/>
          <w:highlight w:val="none"/>
        </w:rPr>
      </w:pPr>
      <w:r>
        <w:rPr>
          <w:rFonts w:hint="eastAsia" w:ascii="宋体" w:hAnsi="宋体" w:eastAsia="宋体" w:cstheme="majorBidi"/>
          <w:sz w:val="30"/>
          <w:highlight w:val="none"/>
        </w:rPr>
        <w:t>八、基金投资组合</w:t>
      </w:r>
      <w:bookmarkEnd w:id="49"/>
      <w:bookmarkEnd w:id="50"/>
    </w:p>
    <w:p w14:paraId="5F85061C">
      <w:pPr>
        <w:spacing w:line="360" w:lineRule="auto"/>
        <w:ind w:firstLine="420" w:firstLineChars="200"/>
        <w:rPr>
          <w:rFonts w:ascii="Times New Roman" w:hAnsi="Times New Roman" w:eastAsia="宋体" w:cs="Times New Roman"/>
          <w:b w:val="0"/>
          <w:bCs w:val="0"/>
          <w:i w:val="0"/>
          <w:iCs w:val="0"/>
          <w:highlight w:val="none"/>
        </w:rPr>
      </w:pPr>
      <w:bookmarkStart w:id="54" w:name="chapter_level1_8_56150_section_1"/>
      <w:bookmarkEnd w:id="54"/>
      <w:r>
        <w:rPr>
          <w:rFonts w:ascii="Times New Roman" w:hAnsi="Times New Roman" w:eastAsia="宋体" w:cs="Times New Roman"/>
          <w:b w:val="0"/>
          <w:bCs w:val="0"/>
          <w:i w:val="0"/>
          <w:iCs w:val="0"/>
          <w:highlight w:val="none"/>
        </w:rPr>
        <w:t>本基金目前仍处于建仓期，在上市首日前，基金管理人将使本基金的投资组合比例符合有关法律法规、部门规章、规范性文件的规定和基金合同的有关规定。</w:t>
      </w:r>
    </w:p>
    <w:p w14:paraId="0E4D63C2">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截至公告前两个工作日即</w:t>
      </w:r>
      <w:r>
        <w:rPr>
          <w:rFonts w:hint="eastAsia" w:ascii="宋体" w:hAnsi="宋体" w:eastAsia="宋体" w:cs="宋体"/>
          <w:highlight w:val="none"/>
          <w:lang w:eastAsia="zh-CN"/>
        </w:rPr>
        <w:t>2026年9月18日</w:t>
      </w:r>
      <w:r>
        <w:rPr>
          <w:rFonts w:hint="eastAsia" w:ascii="宋体" w:hAnsi="宋体" w:eastAsia="宋体" w:cs="宋体"/>
          <w:highlight w:val="none"/>
        </w:rPr>
        <w:t>，本基金的投资组合情况如下：</w:t>
      </w:r>
    </w:p>
    <w:p w14:paraId="2A4E6CBC">
      <w:pPr>
        <w:widowControl/>
        <w:numPr>
          <w:ilvl w:val="0"/>
          <w:numId w:val="1"/>
        </w:numPr>
        <w:adjustRightInd w:val="0"/>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基金资产组合情况</w:t>
      </w:r>
    </w:p>
    <w:tbl>
      <w:tblPr>
        <w:tblStyle w:val="11"/>
        <w:tblW w:w="5000" w:type="pct"/>
        <w:jc w:val="right"/>
        <w:tblLayout w:type="autofit"/>
        <w:tblCellMar>
          <w:top w:w="0" w:type="dxa"/>
          <w:left w:w="108" w:type="dxa"/>
          <w:bottom w:w="0" w:type="dxa"/>
          <w:right w:w="108" w:type="dxa"/>
        </w:tblCellMar>
      </w:tblPr>
      <w:tblGrid>
        <w:gridCol w:w="864"/>
        <w:gridCol w:w="3694"/>
        <w:gridCol w:w="2447"/>
        <w:gridCol w:w="1511"/>
      </w:tblGrid>
      <w:tr w14:paraId="3DE70B77">
        <w:tblPrEx>
          <w:tblCellMar>
            <w:top w:w="0" w:type="dxa"/>
            <w:left w:w="108" w:type="dxa"/>
            <w:bottom w:w="0" w:type="dxa"/>
            <w:right w:w="108" w:type="dxa"/>
          </w:tblCellMar>
        </w:tblPrEx>
        <w:trPr>
          <w:trHeight w:val="870" w:hRule="atLeast"/>
          <w:jc w:val="right"/>
        </w:trPr>
        <w:tc>
          <w:tcPr>
            <w:tcW w:w="50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CE966DD">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序号</w:t>
            </w:r>
          </w:p>
        </w:tc>
        <w:tc>
          <w:tcPr>
            <w:tcW w:w="2168" w:type="pct"/>
            <w:tcBorders>
              <w:top w:val="single" w:color="000000" w:sz="8" w:space="0"/>
              <w:left w:val="nil"/>
              <w:bottom w:val="single" w:color="000000" w:sz="8" w:space="0"/>
              <w:right w:val="single" w:color="000000" w:sz="8" w:space="0"/>
            </w:tcBorders>
            <w:shd w:val="clear" w:color="auto" w:fill="auto"/>
            <w:vAlign w:val="center"/>
          </w:tcPr>
          <w:p w14:paraId="38DD056E">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项目</w:t>
            </w:r>
          </w:p>
        </w:tc>
        <w:tc>
          <w:tcPr>
            <w:tcW w:w="1436" w:type="pct"/>
            <w:tcBorders>
              <w:top w:val="single" w:color="000000" w:sz="8" w:space="0"/>
              <w:left w:val="nil"/>
              <w:bottom w:val="single" w:color="000000" w:sz="8" w:space="0"/>
              <w:right w:val="single" w:color="000000" w:sz="8" w:space="0"/>
            </w:tcBorders>
            <w:shd w:val="clear" w:color="auto" w:fill="auto"/>
            <w:vAlign w:val="center"/>
          </w:tcPr>
          <w:p w14:paraId="154E95E1">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金额（元）</w:t>
            </w:r>
          </w:p>
        </w:tc>
        <w:tc>
          <w:tcPr>
            <w:tcW w:w="887" w:type="pct"/>
            <w:tcBorders>
              <w:top w:val="single" w:color="000000" w:sz="8" w:space="0"/>
              <w:left w:val="nil"/>
              <w:bottom w:val="single" w:color="000000" w:sz="8" w:space="0"/>
              <w:right w:val="single" w:color="000000" w:sz="8" w:space="0"/>
            </w:tcBorders>
            <w:shd w:val="clear" w:color="auto" w:fill="auto"/>
            <w:vAlign w:val="center"/>
          </w:tcPr>
          <w:p w14:paraId="15DF40D8">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占基金总资产的比例（%）</w:t>
            </w:r>
          </w:p>
        </w:tc>
      </w:tr>
      <w:tr w14:paraId="4C2590C9">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07FA4DFB">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p>
        </w:tc>
        <w:tc>
          <w:tcPr>
            <w:tcW w:w="2168" w:type="pct"/>
            <w:tcBorders>
              <w:top w:val="nil"/>
              <w:left w:val="nil"/>
              <w:bottom w:val="single" w:color="000000" w:sz="8" w:space="0"/>
              <w:right w:val="single" w:color="000000" w:sz="8" w:space="0"/>
            </w:tcBorders>
            <w:shd w:val="clear" w:color="auto" w:fill="auto"/>
            <w:vAlign w:val="bottom"/>
          </w:tcPr>
          <w:p w14:paraId="5C160A93">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权益投资</w:t>
            </w:r>
          </w:p>
        </w:tc>
        <w:tc>
          <w:tcPr>
            <w:tcW w:w="1436" w:type="pct"/>
            <w:tcBorders>
              <w:top w:val="nil"/>
              <w:left w:val="nil"/>
              <w:bottom w:val="single" w:color="000000" w:sz="8" w:space="0"/>
              <w:right w:val="single" w:color="000000" w:sz="8" w:space="0"/>
            </w:tcBorders>
            <w:shd w:val="clear" w:color="auto" w:fill="auto"/>
            <w:vAlign w:val="bottom"/>
          </w:tcPr>
          <w:p w14:paraId="711525A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 xml:space="preserve"> 51,727,725.01 </w:t>
            </w:r>
          </w:p>
        </w:tc>
        <w:tc>
          <w:tcPr>
            <w:tcW w:w="887" w:type="pct"/>
            <w:tcBorders>
              <w:top w:val="nil"/>
              <w:left w:val="nil"/>
              <w:bottom w:val="single" w:color="000000" w:sz="8" w:space="0"/>
              <w:right w:val="single" w:color="000000" w:sz="8" w:space="0"/>
            </w:tcBorders>
            <w:shd w:val="clear" w:color="auto" w:fill="auto"/>
            <w:vAlign w:val="center"/>
          </w:tcPr>
          <w:p w14:paraId="3413945B">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25.04</w:t>
            </w:r>
          </w:p>
        </w:tc>
      </w:tr>
      <w:tr w14:paraId="361DF362">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58A3C0B2">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6735A366">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其中：股票</w:t>
            </w:r>
          </w:p>
        </w:tc>
        <w:tc>
          <w:tcPr>
            <w:tcW w:w="1436" w:type="pct"/>
            <w:tcBorders>
              <w:top w:val="nil"/>
              <w:left w:val="nil"/>
              <w:bottom w:val="single" w:color="000000" w:sz="8" w:space="0"/>
              <w:right w:val="single" w:color="000000" w:sz="8" w:space="0"/>
            </w:tcBorders>
            <w:shd w:val="clear" w:color="auto" w:fill="auto"/>
            <w:vAlign w:val="bottom"/>
          </w:tcPr>
          <w:p w14:paraId="453E30D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 xml:space="preserve"> 51,727,725.01 </w:t>
            </w:r>
          </w:p>
        </w:tc>
        <w:tc>
          <w:tcPr>
            <w:tcW w:w="887" w:type="pct"/>
            <w:tcBorders>
              <w:top w:val="nil"/>
              <w:left w:val="nil"/>
              <w:bottom w:val="single" w:color="000000" w:sz="8" w:space="0"/>
              <w:right w:val="single" w:color="000000" w:sz="8" w:space="0"/>
            </w:tcBorders>
            <w:shd w:val="clear" w:color="auto" w:fill="auto"/>
            <w:vAlign w:val="center"/>
          </w:tcPr>
          <w:p w14:paraId="71FBA043">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25.04</w:t>
            </w:r>
          </w:p>
        </w:tc>
      </w:tr>
      <w:tr w14:paraId="5C959121">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1E62DBB0">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w:t>
            </w:r>
          </w:p>
        </w:tc>
        <w:tc>
          <w:tcPr>
            <w:tcW w:w="2168" w:type="pct"/>
            <w:tcBorders>
              <w:top w:val="nil"/>
              <w:left w:val="nil"/>
              <w:bottom w:val="single" w:color="000000" w:sz="8" w:space="0"/>
              <w:right w:val="single" w:color="000000" w:sz="8" w:space="0"/>
            </w:tcBorders>
            <w:shd w:val="clear" w:color="auto" w:fill="auto"/>
            <w:vAlign w:val="bottom"/>
          </w:tcPr>
          <w:p w14:paraId="7501DE11">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固定收益投资</w:t>
            </w:r>
          </w:p>
        </w:tc>
        <w:tc>
          <w:tcPr>
            <w:tcW w:w="1436" w:type="pct"/>
            <w:tcBorders>
              <w:top w:val="nil"/>
              <w:left w:val="nil"/>
              <w:bottom w:val="single" w:color="000000" w:sz="8" w:space="0"/>
              <w:right w:val="single" w:color="000000" w:sz="8" w:space="0"/>
            </w:tcBorders>
            <w:shd w:val="clear" w:color="auto" w:fill="auto"/>
            <w:vAlign w:val="center"/>
          </w:tcPr>
          <w:p w14:paraId="55D6EECF">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3D8094E2">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72E6B107">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1AAFB3C3">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128DE819">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其中：债券</w:t>
            </w:r>
          </w:p>
        </w:tc>
        <w:tc>
          <w:tcPr>
            <w:tcW w:w="1436" w:type="pct"/>
            <w:tcBorders>
              <w:top w:val="nil"/>
              <w:left w:val="nil"/>
              <w:bottom w:val="single" w:color="000000" w:sz="8" w:space="0"/>
              <w:right w:val="single" w:color="000000" w:sz="8" w:space="0"/>
            </w:tcBorders>
            <w:shd w:val="clear" w:color="auto" w:fill="auto"/>
            <w:vAlign w:val="center"/>
          </w:tcPr>
          <w:p w14:paraId="2C68BCF4">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27DC7197">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51B4746D">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6B9944EA">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151309B7">
            <w:pPr>
              <w:widowControl/>
              <w:snapToGrid w:val="0"/>
              <w:spacing w:line="360" w:lineRule="auto"/>
              <w:ind w:firstLine="630" w:firstLineChars="300"/>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资产支持证券</w:t>
            </w:r>
          </w:p>
        </w:tc>
        <w:tc>
          <w:tcPr>
            <w:tcW w:w="1436" w:type="pct"/>
            <w:tcBorders>
              <w:top w:val="nil"/>
              <w:left w:val="nil"/>
              <w:bottom w:val="single" w:color="000000" w:sz="8" w:space="0"/>
              <w:right w:val="single" w:color="000000" w:sz="8" w:space="0"/>
            </w:tcBorders>
            <w:shd w:val="clear" w:color="auto" w:fill="auto"/>
            <w:vAlign w:val="center"/>
          </w:tcPr>
          <w:p w14:paraId="25E89AB2">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614A9F00">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0AAC5273">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514F69C6">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w:t>
            </w:r>
          </w:p>
        </w:tc>
        <w:tc>
          <w:tcPr>
            <w:tcW w:w="2168" w:type="pct"/>
            <w:tcBorders>
              <w:top w:val="nil"/>
              <w:left w:val="nil"/>
              <w:bottom w:val="single" w:color="000000" w:sz="8" w:space="0"/>
              <w:right w:val="single" w:color="000000" w:sz="8" w:space="0"/>
            </w:tcBorders>
            <w:shd w:val="clear" w:color="auto" w:fill="auto"/>
            <w:vAlign w:val="bottom"/>
          </w:tcPr>
          <w:p w14:paraId="4F33D3D7">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金融衍生品投资</w:t>
            </w:r>
          </w:p>
        </w:tc>
        <w:tc>
          <w:tcPr>
            <w:tcW w:w="1436" w:type="pct"/>
            <w:tcBorders>
              <w:top w:val="nil"/>
              <w:left w:val="nil"/>
              <w:bottom w:val="single" w:color="000000" w:sz="8" w:space="0"/>
              <w:right w:val="single" w:color="000000" w:sz="8" w:space="0"/>
            </w:tcBorders>
            <w:shd w:val="clear" w:color="auto" w:fill="auto"/>
            <w:vAlign w:val="center"/>
          </w:tcPr>
          <w:p w14:paraId="0B1D32D5">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1E204047">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75B86820">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39B1DCAB">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w:t>
            </w:r>
          </w:p>
        </w:tc>
        <w:tc>
          <w:tcPr>
            <w:tcW w:w="2168" w:type="pct"/>
            <w:tcBorders>
              <w:top w:val="nil"/>
              <w:left w:val="nil"/>
              <w:bottom w:val="single" w:color="000000" w:sz="8" w:space="0"/>
              <w:right w:val="single" w:color="000000" w:sz="8" w:space="0"/>
            </w:tcBorders>
            <w:shd w:val="clear" w:color="auto" w:fill="auto"/>
            <w:vAlign w:val="bottom"/>
          </w:tcPr>
          <w:p w14:paraId="28C50654">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买入返售金融资产</w:t>
            </w:r>
          </w:p>
        </w:tc>
        <w:tc>
          <w:tcPr>
            <w:tcW w:w="1436" w:type="pct"/>
            <w:tcBorders>
              <w:top w:val="nil"/>
              <w:left w:val="nil"/>
              <w:bottom w:val="single" w:color="000000" w:sz="8" w:space="0"/>
              <w:right w:val="single" w:color="000000" w:sz="8" w:space="0"/>
            </w:tcBorders>
            <w:shd w:val="clear" w:color="auto" w:fill="auto"/>
            <w:vAlign w:val="center"/>
          </w:tcPr>
          <w:p w14:paraId="560E6FDD">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54FFE745">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6088A345">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7CB3E80F">
            <w:pPr>
              <w:widowControl/>
              <w:snapToGrid w:val="0"/>
              <w:spacing w:line="360" w:lineRule="auto"/>
              <w:jc w:val="center"/>
              <w:rPr>
                <w:rFonts w:ascii="Times New Roman" w:hAnsi="Times New Roman" w:cs="Times New Roman"/>
                <w:color w:val="000000"/>
                <w:kern w:val="0"/>
                <w:szCs w:val="21"/>
                <w:highlight w:val="none"/>
              </w:rPr>
            </w:pPr>
          </w:p>
        </w:tc>
        <w:tc>
          <w:tcPr>
            <w:tcW w:w="2168" w:type="pct"/>
            <w:tcBorders>
              <w:top w:val="nil"/>
              <w:left w:val="nil"/>
              <w:bottom w:val="single" w:color="000000" w:sz="8" w:space="0"/>
              <w:right w:val="single" w:color="000000" w:sz="8" w:space="0"/>
            </w:tcBorders>
            <w:shd w:val="clear" w:color="auto" w:fill="auto"/>
            <w:vAlign w:val="bottom"/>
          </w:tcPr>
          <w:p w14:paraId="33175BB2">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其中：买断式回购的买入返售金融资产</w:t>
            </w:r>
          </w:p>
        </w:tc>
        <w:tc>
          <w:tcPr>
            <w:tcW w:w="1436" w:type="pct"/>
            <w:tcBorders>
              <w:top w:val="nil"/>
              <w:left w:val="nil"/>
              <w:bottom w:val="single" w:color="000000" w:sz="8" w:space="0"/>
              <w:right w:val="single" w:color="000000" w:sz="8" w:space="0"/>
            </w:tcBorders>
            <w:shd w:val="clear" w:color="auto" w:fill="auto"/>
            <w:vAlign w:val="center"/>
          </w:tcPr>
          <w:p w14:paraId="3E38CBF2">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1F70DBB7">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0518E174">
        <w:tblPrEx>
          <w:tblCellMar>
            <w:top w:w="0" w:type="dxa"/>
            <w:left w:w="108" w:type="dxa"/>
            <w:bottom w:w="0" w:type="dxa"/>
            <w:right w:w="108" w:type="dxa"/>
          </w:tblCellMar>
        </w:tblPrEx>
        <w:trPr>
          <w:trHeight w:val="48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7C1432EE">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5</w:t>
            </w:r>
          </w:p>
        </w:tc>
        <w:tc>
          <w:tcPr>
            <w:tcW w:w="2168" w:type="pct"/>
            <w:tcBorders>
              <w:top w:val="nil"/>
              <w:left w:val="nil"/>
              <w:bottom w:val="single" w:color="000000" w:sz="8" w:space="0"/>
              <w:right w:val="single" w:color="000000" w:sz="8" w:space="0"/>
            </w:tcBorders>
            <w:shd w:val="clear" w:color="auto" w:fill="auto"/>
            <w:vAlign w:val="bottom"/>
          </w:tcPr>
          <w:p w14:paraId="47F6BD3A">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银行存款和结算备付金合计</w:t>
            </w:r>
          </w:p>
        </w:tc>
        <w:tc>
          <w:tcPr>
            <w:tcW w:w="1436" w:type="pct"/>
            <w:tcBorders>
              <w:top w:val="nil"/>
              <w:left w:val="nil"/>
              <w:bottom w:val="single" w:color="000000" w:sz="8" w:space="0"/>
              <w:right w:val="single" w:color="000000" w:sz="8" w:space="0"/>
            </w:tcBorders>
            <w:shd w:val="clear" w:color="auto" w:fill="auto"/>
            <w:vAlign w:val="bottom"/>
          </w:tcPr>
          <w:p w14:paraId="34031F1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 xml:space="preserve"> 154,891,707.02 </w:t>
            </w:r>
          </w:p>
        </w:tc>
        <w:tc>
          <w:tcPr>
            <w:tcW w:w="887" w:type="pct"/>
            <w:tcBorders>
              <w:top w:val="nil"/>
              <w:left w:val="nil"/>
              <w:bottom w:val="single" w:color="000000" w:sz="8" w:space="0"/>
              <w:right w:val="single" w:color="000000" w:sz="8" w:space="0"/>
            </w:tcBorders>
            <w:shd w:val="clear" w:color="auto" w:fill="auto"/>
            <w:vAlign w:val="bottom"/>
          </w:tcPr>
          <w:p w14:paraId="07FD534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74.96</w:t>
            </w:r>
          </w:p>
        </w:tc>
      </w:tr>
      <w:tr w14:paraId="721ACDA9">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456C6973">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6</w:t>
            </w:r>
          </w:p>
        </w:tc>
        <w:tc>
          <w:tcPr>
            <w:tcW w:w="2168" w:type="pct"/>
            <w:tcBorders>
              <w:top w:val="nil"/>
              <w:left w:val="nil"/>
              <w:bottom w:val="single" w:color="000000" w:sz="8" w:space="0"/>
              <w:right w:val="single" w:color="000000" w:sz="8" w:space="0"/>
            </w:tcBorders>
            <w:shd w:val="clear" w:color="auto" w:fill="auto"/>
            <w:vAlign w:val="bottom"/>
          </w:tcPr>
          <w:p w14:paraId="77873BE6">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1436" w:type="pct"/>
            <w:tcBorders>
              <w:top w:val="nil"/>
              <w:left w:val="nil"/>
              <w:bottom w:val="single" w:color="000000" w:sz="8" w:space="0"/>
              <w:right w:val="single" w:color="000000" w:sz="8" w:space="0"/>
            </w:tcBorders>
            <w:shd w:val="clear" w:color="auto" w:fill="auto"/>
            <w:vAlign w:val="center"/>
          </w:tcPr>
          <w:p w14:paraId="413E7BD1">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w:t>
            </w:r>
          </w:p>
        </w:tc>
        <w:tc>
          <w:tcPr>
            <w:tcW w:w="887" w:type="pct"/>
            <w:tcBorders>
              <w:top w:val="nil"/>
              <w:left w:val="nil"/>
              <w:bottom w:val="single" w:color="000000" w:sz="8" w:space="0"/>
              <w:right w:val="single" w:color="000000" w:sz="8" w:space="0"/>
            </w:tcBorders>
            <w:shd w:val="clear" w:color="auto" w:fill="auto"/>
            <w:vAlign w:val="center"/>
          </w:tcPr>
          <w:p w14:paraId="1623903E">
            <w:pPr>
              <w:jc w:val="right"/>
              <w:rPr>
                <w:rFonts w:hint="eastAsia" w:ascii="宋体" w:hAnsi="宋体" w:eastAsia="宋体" w:cs="宋体"/>
                <w:color w:val="000000"/>
                <w:kern w:val="0"/>
                <w:sz w:val="21"/>
                <w:szCs w:val="21"/>
                <w:highlight w:val="none"/>
                <w:u w:val="none"/>
                <w:lang w:val="en-US" w:eastAsia="zh-CN" w:bidi="ar"/>
              </w:rPr>
            </w:pPr>
            <w:r>
              <w:rPr>
                <w:rFonts w:hint="eastAsia" w:ascii="宋体" w:hAnsi="宋体" w:eastAsia="宋体" w:cs="宋体"/>
                <w:highlight w:val="none"/>
                <w:lang w:val="en-US" w:eastAsia="zh-CN"/>
              </w:rPr>
              <w:t>-</w:t>
            </w:r>
          </w:p>
        </w:tc>
      </w:tr>
      <w:tr w14:paraId="3A2DEBDB">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23D518CC">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7</w:t>
            </w:r>
          </w:p>
        </w:tc>
        <w:tc>
          <w:tcPr>
            <w:tcW w:w="2168" w:type="pct"/>
            <w:tcBorders>
              <w:top w:val="nil"/>
              <w:left w:val="nil"/>
              <w:bottom w:val="single" w:color="000000" w:sz="8" w:space="0"/>
              <w:right w:val="single" w:color="000000" w:sz="8" w:space="0"/>
            </w:tcBorders>
            <w:shd w:val="clear" w:color="auto" w:fill="auto"/>
            <w:vAlign w:val="bottom"/>
          </w:tcPr>
          <w:p w14:paraId="5144A086">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1436" w:type="pct"/>
            <w:tcBorders>
              <w:top w:val="nil"/>
              <w:left w:val="nil"/>
              <w:bottom w:val="single" w:color="000000" w:sz="8" w:space="0"/>
              <w:right w:val="single" w:color="000000" w:sz="8" w:space="0"/>
            </w:tcBorders>
            <w:shd w:val="clear" w:color="auto" w:fill="auto"/>
            <w:vAlign w:val="center"/>
          </w:tcPr>
          <w:p w14:paraId="44E725DD">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206,619,432.03</w:t>
            </w:r>
          </w:p>
        </w:tc>
        <w:tc>
          <w:tcPr>
            <w:tcW w:w="887" w:type="pct"/>
            <w:tcBorders>
              <w:top w:val="nil"/>
              <w:left w:val="nil"/>
              <w:bottom w:val="single" w:color="000000" w:sz="8" w:space="0"/>
              <w:right w:val="single" w:color="000000" w:sz="8" w:space="0"/>
            </w:tcBorders>
            <w:shd w:val="clear" w:color="auto" w:fill="auto"/>
            <w:vAlign w:val="center"/>
          </w:tcPr>
          <w:p w14:paraId="5CB8AA82">
            <w:pPr>
              <w:jc w:val="right"/>
              <w:rPr>
                <w:rFonts w:hint="default" w:ascii="宋体" w:hAnsi="宋体" w:eastAsia="宋体" w:cs="宋体"/>
                <w:color w:val="000000"/>
                <w:kern w:val="0"/>
                <w:sz w:val="21"/>
                <w:szCs w:val="21"/>
                <w:highlight w:val="none"/>
                <w:u w:val="none"/>
                <w:lang w:val="en-US" w:bidi="ar"/>
              </w:rPr>
            </w:pPr>
            <w:r>
              <w:rPr>
                <w:rFonts w:hint="eastAsia" w:ascii="宋体" w:hAnsi="宋体" w:eastAsia="宋体" w:cs="宋体"/>
                <w:highlight w:val="none"/>
                <w:lang w:val="en-US" w:eastAsia="zh-CN"/>
              </w:rPr>
              <w:t>100.00</w:t>
            </w:r>
          </w:p>
        </w:tc>
      </w:tr>
    </w:tbl>
    <w:p w14:paraId="071D8278">
      <w:pPr>
        <w:widowControl/>
        <w:numPr>
          <w:ilvl w:val="0"/>
          <w:numId w:val="2"/>
        </w:numPr>
        <w:adjustRightInd w:val="0"/>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按行业分类的股票投资组合</w:t>
      </w:r>
    </w:p>
    <w:tbl>
      <w:tblPr>
        <w:tblStyle w:val="11"/>
        <w:tblW w:w="5000" w:type="pct"/>
        <w:tblInd w:w="0" w:type="dxa"/>
        <w:tblLayout w:type="autofit"/>
        <w:tblCellMar>
          <w:top w:w="0" w:type="dxa"/>
          <w:left w:w="108" w:type="dxa"/>
          <w:bottom w:w="0" w:type="dxa"/>
          <w:right w:w="108" w:type="dxa"/>
        </w:tblCellMar>
      </w:tblPr>
      <w:tblGrid>
        <w:gridCol w:w="806"/>
        <w:gridCol w:w="4261"/>
        <w:gridCol w:w="2264"/>
        <w:gridCol w:w="1185"/>
      </w:tblGrid>
      <w:tr w14:paraId="40E6AFA2">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DEED91F">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代码</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508C0B4">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行业类别</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2906D3F9">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公允价值（元）</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771BBA3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占基金资产净值比例（％）</w:t>
            </w:r>
          </w:p>
        </w:tc>
      </w:tr>
      <w:tr w14:paraId="2EFD68EF">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523614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A</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15988C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农、林、牧、渔业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3B55A6F5">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4FA588F8">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4C90F856">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9B88D19">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B</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43F462D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采矿业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713F08AC">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24,114,459.01 </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0244D6CE">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11.67</w:t>
            </w:r>
          </w:p>
        </w:tc>
      </w:tr>
      <w:tr w14:paraId="117B4EDA">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961B8A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C</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374A1E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制造业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3AAF9AFC">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27,613,266.00 </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61459D0B">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13.36</w:t>
            </w:r>
          </w:p>
        </w:tc>
      </w:tr>
      <w:tr w14:paraId="5E86C278">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BFEB6A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D</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59303E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电力、热力、燃气及水生产和供应业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32A01ACA">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07B659D6">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FB2D085">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F96F80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E</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425AA4F">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建筑业</w:t>
            </w:r>
          </w:p>
        </w:tc>
        <w:tc>
          <w:tcPr>
            <w:tcW w:w="1329" w:type="pct"/>
            <w:tcBorders>
              <w:top w:val="single" w:color="000000" w:sz="8" w:space="0"/>
              <w:left w:val="nil"/>
              <w:bottom w:val="single" w:color="000000" w:sz="8" w:space="0"/>
              <w:right w:val="single" w:color="000000" w:sz="8" w:space="0"/>
            </w:tcBorders>
            <w:shd w:val="clear" w:color="auto" w:fill="auto"/>
            <w:vAlign w:val="top"/>
          </w:tcPr>
          <w:p w14:paraId="3A3A8889">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top"/>
          </w:tcPr>
          <w:p w14:paraId="29164A0F">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6B6B328E">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1B53CEA">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F</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69366DF9">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批发和零售业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1E3E5D60">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4B3A110A">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53CD550B">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7E37F7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G</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DBDA99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交通运输、仓储和邮政业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4AAC1012">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3C6041E2">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7B75F32B">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213EB8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H</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BB6C41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住宿和餐饮业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1A0894E7">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1F440198">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46CAA984">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8CC156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I</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00163F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信息传输、软件和信息技术服务业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22FF976C">
            <w:pPr>
              <w:jc w:val="right"/>
              <w:rPr>
                <w:rFonts w:hint="eastAsia" w:ascii="宋体" w:hAnsi="宋体" w:eastAsia="宋体" w:cs="宋体"/>
                <w:highlight w:val="none"/>
                <w:lang w:eastAsia="zh-CN"/>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6A6B3C7B">
            <w:pPr>
              <w:jc w:val="right"/>
              <w:rPr>
                <w:rFonts w:hint="eastAsia" w:ascii="宋体" w:hAnsi="宋体" w:eastAsia="宋体" w:cs="宋体"/>
                <w:highlight w:val="none"/>
                <w:lang w:eastAsia="zh-CN"/>
              </w:rPr>
            </w:pPr>
            <w:r>
              <w:rPr>
                <w:rFonts w:hint="eastAsia" w:ascii="宋体" w:hAnsi="宋体" w:eastAsia="宋体" w:cs="宋体"/>
                <w:sz w:val="21"/>
                <w:szCs w:val="21"/>
                <w:highlight w:val="none"/>
                <w:lang w:val="en-US" w:eastAsia="zh-CN"/>
              </w:rPr>
              <w:t>-</w:t>
            </w:r>
          </w:p>
        </w:tc>
      </w:tr>
      <w:tr w14:paraId="489C511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DA15A4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J</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B58AF6F">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金融业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1A99C066">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336ADE89">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3DB51E93">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345CBF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K</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B552BD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房地产业</w:t>
            </w:r>
          </w:p>
        </w:tc>
        <w:tc>
          <w:tcPr>
            <w:tcW w:w="1329" w:type="pct"/>
            <w:tcBorders>
              <w:top w:val="single" w:color="000000" w:sz="8" w:space="0"/>
              <w:left w:val="nil"/>
              <w:bottom w:val="single" w:color="000000" w:sz="8" w:space="0"/>
              <w:right w:val="single" w:color="000000" w:sz="8" w:space="0"/>
            </w:tcBorders>
            <w:shd w:val="clear" w:color="auto" w:fill="auto"/>
            <w:vAlign w:val="top"/>
          </w:tcPr>
          <w:p w14:paraId="174DF840">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top"/>
          </w:tcPr>
          <w:p w14:paraId="07AC28FE">
            <w:pPr>
              <w:jc w:val="right"/>
              <w:rPr>
                <w:rFonts w:hint="eastAsia" w:ascii="宋体" w:hAnsi="宋体" w:eastAsia="宋体" w:cs="宋体"/>
                <w:highlight w:val="none"/>
              </w:rPr>
            </w:pPr>
            <w:r>
              <w:rPr>
                <w:rFonts w:hint="eastAsia" w:ascii="宋体" w:hAnsi="宋体" w:eastAsia="宋体" w:cs="宋体"/>
                <w:highlight w:val="none"/>
              </w:rPr>
              <w:t>-</w:t>
            </w:r>
          </w:p>
        </w:tc>
      </w:tr>
      <w:tr w14:paraId="048BB33F">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757AD7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L</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64A1E39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租赁和商务服务业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4957B33D">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6BFB561D">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7906CEAF">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13F9A6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M</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DEA2F5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科学研究和技术服务业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5ABA8A7C">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723BBD8A">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0EFCD7B">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4506F0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N</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3BBD97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水利、环境和公共设施管理业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4F94F97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19237DBE">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05C1EE60">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E809FA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O</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6089829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居民服务、修理和其他服务业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740FDF41">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40B17B99">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FCC85C4">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E7465B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P</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2BF11B9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教育</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4045365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5EFA73DC">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15EB8FD">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820EA7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Q</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A6ABC44">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卫生和社会工作</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7934F34D">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1677C3F3">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06E596B5">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908D8BA">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R</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AF9372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文化、体育和娱乐业</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6D9B070E">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11504F7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39BAD6D">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940BF02">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S</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9D2426E">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综合</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2D4CDCAC">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5DA90804">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610414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A8EEFCC">
            <w:pPr>
              <w:adjustRightInd w:val="0"/>
              <w:snapToGrid w:val="0"/>
              <w:spacing w:line="360" w:lineRule="auto"/>
              <w:rPr>
                <w:rFonts w:ascii="Times New Roman" w:hAnsi="Times New Roman" w:cs="Times New Roman"/>
                <w:color w:val="000000"/>
                <w:kern w:val="0"/>
                <w:szCs w:val="21"/>
                <w:highlight w:val="none"/>
              </w:rPr>
            </w:pP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ADB22A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34405867">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51,727,725.01 </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46B9EFE4">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25.04</w:t>
            </w:r>
          </w:p>
        </w:tc>
      </w:tr>
    </w:tbl>
    <w:p w14:paraId="2514965A">
      <w:pPr>
        <w:widowControl/>
        <w:numPr>
          <w:ilvl w:val="0"/>
          <w:numId w:val="2"/>
        </w:numPr>
        <w:adjustRightInd w:val="0"/>
        <w:snapToGrid w:val="0"/>
        <w:spacing w:before="156" w:beforeLines="50" w:line="360" w:lineRule="auto"/>
        <w:ind w:left="0" w:leftChars="0" w:firstLine="0" w:firstLineChars="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期末按公允价值占基金资产净值比例大小排序的前十名股票明细</w:t>
      </w:r>
    </w:p>
    <w:tbl>
      <w:tblPr>
        <w:tblStyle w:val="11"/>
        <w:tblW w:w="5102" w:type="pct"/>
        <w:tblInd w:w="-176" w:type="dxa"/>
        <w:tblLayout w:type="fixed"/>
        <w:tblCellMar>
          <w:top w:w="0" w:type="dxa"/>
          <w:left w:w="108" w:type="dxa"/>
          <w:bottom w:w="0" w:type="dxa"/>
          <w:right w:w="108" w:type="dxa"/>
        </w:tblCellMar>
      </w:tblPr>
      <w:tblGrid>
        <w:gridCol w:w="748"/>
        <w:gridCol w:w="1323"/>
        <w:gridCol w:w="1188"/>
        <w:gridCol w:w="1559"/>
        <w:gridCol w:w="2394"/>
        <w:gridCol w:w="1479"/>
      </w:tblGrid>
      <w:tr w14:paraId="40513001">
        <w:tblPrEx>
          <w:tblCellMar>
            <w:top w:w="0" w:type="dxa"/>
            <w:left w:w="108" w:type="dxa"/>
            <w:bottom w:w="0" w:type="dxa"/>
            <w:right w:w="108" w:type="dxa"/>
          </w:tblCellMar>
        </w:tblPrEx>
        <w:trPr>
          <w:trHeight w:val="870" w:hRule="atLeast"/>
        </w:trPr>
        <w:tc>
          <w:tcPr>
            <w:tcW w:w="430" w:type="pct"/>
            <w:tcBorders>
              <w:top w:val="single" w:color="000000" w:sz="8" w:space="0"/>
              <w:left w:val="single" w:color="000000" w:sz="8" w:space="0"/>
              <w:bottom w:val="single" w:color="000000" w:sz="8" w:space="0"/>
              <w:right w:val="single" w:color="000000" w:sz="8" w:space="0"/>
            </w:tcBorders>
            <w:noWrap w:val="0"/>
            <w:vAlign w:val="center"/>
          </w:tcPr>
          <w:p w14:paraId="3E892935">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序号</w:t>
            </w:r>
          </w:p>
        </w:tc>
        <w:tc>
          <w:tcPr>
            <w:tcW w:w="761" w:type="pct"/>
            <w:tcBorders>
              <w:top w:val="single" w:color="000000" w:sz="8" w:space="0"/>
              <w:left w:val="nil"/>
              <w:bottom w:val="single" w:color="000000" w:sz="8" w:space="0"/>
              <w:right w:val="single" w:color="000000" w:sz="8" w:space="0"/>
            </w:tcBorders>
            <w:noWrap w:val="0"/>
            <w:vAlign w:val="center"/>
          </w:tcPr>
          <w:p w14:paraId="6BA6D60F">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股票代码</w:t>
            </w:r>
          </w:p>
        </w:tc>
        <w:tc>
          <w:tcPr>
            <w:tcW w:w="683" w:type="pct"/>
            <w:tcBorders>
              <w:top w:val="single" w:color="000000" w:sz="8" w:space="0"/>
              <w:left w:val="nil"/>
              <w:bottom w:val="single" w:color="000000" w:sz="8" w:space="0"/>
              <w:right w:val="single" w:color="000000" w:sz="8" w:space="0"/>
            </w:tcBorders>
            <w:noWrap w:val="0"/>
            <w:vAlign w:val="center"/>
          </w:tcPr>
          <w:p w14:paraId="5219CB33">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股票名称</w:t>
            </w:r>
          </w:p>
        </w:tc>
        <w:tc>
          <w:tcPr>
            <w:tcW w:w="896" w:type="pct"/>
            <w:tcBorders>
              <w:top w:val="single" w:color="000000" w:sz="8" w:space="0"/>
              <w:left w:val="nil"/>
              <w:bottom w:val="single" w:color="000000" w:sz="8" w:space="0"/>
              <w:right w:val="single" w:color="000000" w:sz="8" w:space="0"/>
            </w:tcBorders>
            <w:noWrap w:val="0"/>
            <w:vAlign w:val="center"/>
          </w:tcPr>
          <w:p w14:paraId="568165FD">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数量（股）</w:t>
            </w:r>
          </w:p>
        </w:tc>
        <w:tc>
          <w:tcPr>
            <w:tcW w:w="1377" w:type="pct"/>
            <w:tcBorders>
              <w:top w:val="single" w:color="000000" w:sz="8" w:space="0"/>
              <w:left w:val="nil"/>
              <w:bottom w:val="single" w:color="000000" w:sz="8" w:space="0"/>
              <w:right w:val="single" w:color="000000" w:sz="8" w:space="0"/>
            </w:tcBorders>
            <w:noWrap w:val="0"/>
            <w:vAlign w:val="center"/>
          </w:tcPr>
          <w:p w14:paraId="3A46945C">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公允价值（元）</w:t>
            </w:r>
          </w:p>
        </w:tc>
        <w:tc>
          <w:tcPr>
            <w:tcW w:w="850" w:type="pct"/>
            <w:tcBorders>
              <w:top w:val="single" w:color="000000" w:sz="8" w:space="0"/>
              <w:left w:val="nil"/>
              <w:bottom w:val="single" w:color="000000" w:sz="8" w:space="0"/>
              <w:right w:val="single" w:color="000000" w:sz="8" w:space="0"/>
            </w:tcBorders>
            <w:noWrap w:val="0"/>
            <w:vAlign w:val="center"/>
          </w:tcPr>
          <w:p w14:paraId="0C4FC3FD">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占基金资产净值比例（%）</w:t>
            </w:r>
          </w:p>
        </w:tc>
      </w:tr>
      <w:tr w14:paraId="302CB31D">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5B33F284">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1690D52A">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601899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2ACC29D7">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紫金矿业</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2BD5C70A">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185,900.00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07B1D081">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5,839,119.00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4639F2E3">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2.83%</w:t>
            </w:r>
          </w:p>
        </w:tc>
      </w:tr>
      <w:tr w14:paraId="685FD4EC">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4616CA01">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3753BD09">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603993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22D70ED8">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洛阳钼业</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004B016E">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258,551.00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75D9D0E9">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4,527,228.01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51AD82B1">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2.19%</w:t>
            </w:r>
          </w:p>
        </w:tc>
      </w:tr>
      <w:tr w14:paraId="626685DC">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619A6A5C">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648AA53E">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600111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25830DA6">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北方稀土</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282FB0E0">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75,100.00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3614DC69">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2,768,186.00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489D86E1">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1.34%</w:t>
            </w:r>
          </w:p>
        </w:tc>
      </w:tr>
      <w:tr w14:paraId="74B72659">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5CF0F234">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6D31E9D0">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601600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294DC6B1">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中国铝业</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70125495">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234,800.00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6E1D7E17">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2,195,380.00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00202D46">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1.06%</w:t>
            </w:r>
          </w:p>
        </w:tc>
      </w:tr>
      <w:tr w14:paraId="4A2981BE">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414F7930">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46D4D310">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600988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726C4F60">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赤峰黄金</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5EBEFAED">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49,000.00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018F0C09">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2,168,740.00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67FC560C">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1.05%</w:t>
            </w:r>
          </w:p>
        </w:tc>
      </w:tr>
      <w:tr w14:paraId="7314F43C">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2100C8F1">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6DA95F9E">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600489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6F9CDF73">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中金黄金</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5B70D5EB">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85,900.00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C1B0D3D">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2,065,895.00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559F3AF2">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14:paraId="3B4D7BF9">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7168C964">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560B6F8F">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601168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55697813">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西部矿业</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4A4684ED">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49,300.00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AA53A4C">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1,776,279.00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1326F9CA">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0.86%</w:t>
            </w:r>
          </w:p>
        </w:tc>
      </w:tr>
      <w:tr w14:paraId="548AEEB2">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5CEEFBA2">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7315B09C">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600547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3B8102BA">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山东黄金</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4712A242">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53,200.00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F31305D">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1,743,364.00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579D4D25">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0.84%</w:t>
            </w:r>
          </w:p>
        </w:tc>
      </w:tr>
      <w:tr w14:paraId="4E0648A1">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73682C68">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513D9682">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600549 SH</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72E104EE">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厦门钨业</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0DC2C8BA">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33,300.00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20870D3C">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1,681,317.00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357A41A8">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0.81%</w:t>
            </w:r>
          </w:p>
        </w:tc>
      </w:tr>
      <w:tr w14:paraId="28DE81B9">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6EF89AEE">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10</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5C0A3A41">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000807 SZ</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69B58E5C">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云铝股份</w:t>
            </w:r>
          </w:p>
        </w:tc>
        <w:tc>
          <w:tcPr>
            <w:tcW w:w="896" w:type="pct"/>
            <w:tcBorders>
              <w:top w:val="single" w:color="auto" w:sz="4" w:space="0"/>
              <w:left w:val="single" w:color="auto" w:sz="4" w:space="0"/>
              <w:bottom w:val="single" w:color="auto" w:sz="4" w:space="0"/>
              <w:right w:val="single" w:color="auto" w:sz="4" w:space="0"/>
            </w:tcBorders>
            <w:noWrap w:val="0"/>
            <w:vAlign w:val="center"/>
          </w:tcPr>
          <w:p w14:paraId="3861D9A7">
            <w:pPr>
              <w:jc w:val="right"/>
              <w:rPr>
                <w:rFonts w:hint="eastAsia" w:ascii="宋体" w:hAnsi="宋体" w:eastAsia="宋体" w:cs="宋体"/>
                <w:highlight w:val="none"/>
                <w:lang w:val="en-US" w:eastAsia="zh-CN"/>
              </w:rPr>
            </w:pPr>
            <w:r>
              <w:rPr>
                <w:rFonts w:hint="eastAsia" w:ascii="宋体" w:hAnsi="宋体" w:eastAsia="宋体" w:cs="宋体"/>
                <w:highlight w:val="none"/>
                <w:lang w:val="en-US" w:eastAsia="zh-CN"/>
              </w:rPr>
              <w:t>61,400.00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2D739205">
            <w:pPr>
              <w:keepNext w:val="0"/>
              <w:keepLines w:val="0"/>
              <w:widowControl/>
              <w:suppressLineNumbers w:val="0"/>
              <w:jc w:val="right"/>
              <w:textAlignment w:val="center"/>
              <w:rPr>
                <w:rFonts w:hint="eastAsia" w:ascii="宋体" w:hAnsi="宋体" w:eastAsia="宋体" w:cs="宋体"/>
                <w:highlight w:val="none"/>
                <w:lang w:val="en-US" w:eastAsia="zh-CN"/>
              </w:rPr>
            </w:pPr>
            <w:r>
              <w:rPr>
                <w:rFonts w:hint="eastAsia" w:ascii="宋体" w:hAnsi="宋体" w:eastAsia="宋体" w:cs="宋体"/>
                <w:i w:val="0"/>
                <w:iCs w:val="0"/>
                <w:color w:val="000000"/>
                <w:kern w:val="0"/>
                <w:sz w:val="22"/>
                <w:szCs w:val="22"/>
                <w:u w:val="none"/>
                <w:lang w:val="en-US" w:eastAsia="zh-CN" w:bidi="ar"/>
              </w:rPr>
              <w:t xml:space="preserve"> 1,680,518.00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0A7A9CFE">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0.81%</w:t>
            </w:r>
          </w:p>
        </w:tc>
      </w:tr>
    </w:tbl>
    <w:p w14:paraId="4318682B">
      <w:pPr>
        <w:widowControl/>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（四）按券种分类的债券投资组合</w:t>
      </w:r>
    </w:p>
    <w:p w14:paraId="20499C6F">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，本基金未持有债券。</w:t>
      </w:r>
    </w:p>
    <w:p w14:paraId="271A377B">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（五）按公允价值占基金资产净值比例大小排序的前五名债券明细</w:t>
      </w:r>
    </w:p>
    <w:p w14:paraId="39E8F90F">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，本基金未持有债券。</w:t>
      </w:r>
    </w:p>
    <w:p w14:paraId="154DD510">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（六）按公允价值占净值比例大小排序的前十名资产支持证券投资明细 </w:t>
      </w:r>
    </w:p>
    <w:p w14:paraId="1A77F952">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 xml:space="preserve">，本基金未持有资产支持证券。 </w:t>
      </w:r>
    </w:p>
    <w:p w14:paraId="2E8C04F3">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（七）按公允价值占基金资产净值比例大小排序的前五名贵金属投资明细 </w:t>
      </w:r>
    </w:p>
    <w:p w14:paraId="3F3B8224">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，本基金未持有贵金属。</w:t>
      </w:r>
    </w:p>
    <w:p w14:paraId="1D19390E">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（八）按公允价值占净值比例大小排序的前五名权证投资明细 </w:t>
      </w:r>
    </w:p>
    <w:p w14:paraId="75EFC7FD">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，本基金未持有权证。</w:t>
      </w:r>
    </w:p>
    <w:p w14:paraId="0E95A460">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（九）本基金投资的股指期货交易情况说明 </w:t>
      </w:r>
    </w:p>
    <w:p w14:paraId="0E12DFEF">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 xml:space="preserve">，本基金未持有股指期货。 </w:t>
      </w:r>
    </w:p>
    <w:p w14:paraId="7C1EC453">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（十）本基金投资的国债期货交易情况说明 </w:t>
      </w:r>
    </w:p>
    <w:p w14:paraId="5161E554">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，本基金未持有国债期货。</w:t>
      </w:r>
    </w:p>
    <w:p w14:paraId="24B1D5D2">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（十一）投资组合报告附注</w:t>
      </w:r>
    </w:p>
    <w:p w14:paraId="2BDEC803">
      <w:pPr>
        <w:widowControl/>
        <w:snapToGrid w:val="0"/>
        <w:spacing w:line="360" w:lineRule="auto"/>
        <w:ind w:firstLine="420" w:firstLineChars="200"/>
        <w:rPr>
          <w:rFonts w:hint="eastAsia"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r>
        <w:rPr>
          <w:rFonts w:hint="eastAsia" w:ascii="Times New Roman" w:hAnsi="Times New Roman" w:cs="Times New Roman"/>
          <w:color w:val="000000"/>
          <w:kern w:val="0"/>
          <w:szCs w:val="21"/>
          <w:highlight w:val="none"/>
        </w:rPr>
        <w:t>基金投资前十名证券的发行主体被监管部门立案调查或编制日前一年内受到公开谴责、处罚的投资决策程序说明</w:t>
      </w:r>
    </w:p>
    <w:p w14:paraId="554692D2">
      <w:pPr>
        <w:widowControl/>
        <w:snapToGrid w:val="0"/>
        <w:spacing w:line="360" w:lineRule="auto"/>
        <w:ind w:firstLine="420" w:firstLineChars="200"/>
        <w:rPr>
          <w:rFonts w:hint="eastAsia" w:ascii="Times New Roman" w:hAnsi="Times New Roman" w:cs="Times New Roman"/>
          <w:color w:val="000000"/>
          <w:kern w:val="0"/>
          <w:szCs w:val="21"/>
          <w:highlight w:val="none"/>
        </w:rPr>
      </w:pPr>
      <w:r>
        <w:rPr>
          <w:rFonts w:hint="eastAsia" w:ascii="Times New Roman" w:hAnsi="Times New Roman" w:cs="Times New Roman"/>
          <w:color w:val="000000"/>
          <w:kern w:val="0"/>
          <w:szCs w:val="21"/>
          <w:highlight w:val="none"/>
        </w:rPr>
        <w:t>本基金投资的前十名证券的发行主体中，紫金矿业集团股份有限公司在报告编制前一年受到苏尼特左旗应急管理局的处罚。中国北方稀土(集团)高科技股份有限公司在报告编制前一年受到昆都仑区应急管理局的处罚。中国铝业股份有限公司在报告编制前一年受到孝义市应急管理局和西宁市生态环境局的处罚。山东黄金矿业股份有限公司在报告编制前一年受到莱州市应急管理局的处罚。本基金对上述证券的投资决策程序符合相关法规及公司制度的要求。</w:t>
      </w:r>
    </w:p>
    <w:p w14:paraId="6C92A1F3">
      <w:pPr>
        <w:widowControl/>
        <w:snapToGrid w:val="0"/>
        <w:spacing w:line="360" w:lineRule="auto"/>
        <w:ind w:firstLine="420" w:firstLineChars="200"/>
        <w:rPr>
          <w:rFonts w:hint="eastAsia" w:ascii="Times New Roman" w:hAnsi="Times New Roman" w:cs="Times New Roman"/>
          <w:color w:val="000000"/>
          <w:kern w:val="0"/>
          <w:szCs w:val="21"/>
          <w:highlight w:val="none"/>
        </w:rPr>
      </w:pPr>
      <w:r>
        <w:rPr>
          <w:rFonts w:hint="eastAsia" w:ascii="Times New Roman" w:hAnsi="Times New Roman" w:cs="Times New Roman"/>
          <w:color w:val="000000"/>
          <w:kern w:val="0"/>
          <w:szCs w:val="21"/>
          <w:highlight w:val="none"/>
        </w:rPr>
        <w:t>除上述主体外，基金管理人未发现本基金投资的前十名证券发行主体出现本期被监管部门立案调查，或在报告编制日前一年受到公开谴责、处罚的情形。</w:t>
      </w:r>
    </w:p>
    <w:p w14:paraId="250692BE">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2、本基金前十名股票中，没有投资于超出基金合同</w:t>
      </w:r>
      <w:r>
        <w:rPr>
          <w:rFonts w:hint="eastAsia" w:ascii="Times New Roman" w:hAnsi="Times New Roman" w:cs="Times New Roman"/>
          <w:color w:val="000000"/>
          <w:kern w:val="0"/>
          <w:szCs w:val="21"/>
          <w:highlight w:val="none"/>
          <w:lang w:val="en-US" w:eastAsia="zh-CN"/>
        </w:rPr>
        <w:t>约</w:t>
      </w:r>
      <w:r>
        <w:rPr>
          <w:rFonts w:ascii="Times New Roman" w:hAnsi="Times New Roman" w:cs="Times New Roman"/>
          <w:color w:val="000000"/>
          <w:kern w:val="0"/>
          <w:szCs w:val="21"/>
          <w:highlight w:val="none"/>
        </w:rPr>
        <w:t>定备选股票库之外的股票。</w:t>
      </w:r>
    </w:p>
    <w:p w14:paraId="24A318EA">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3、其他资产构成如下：</w:t>
      </w:r>
    </w:p>
    <w:tbl>
      <w:tblPr>
        <w:tblStyle w:val="11"/>
        <w:tblW w:w="8097" w:type="dxa"/>
        <w:tblInd w:w="91" w:type="dxa"/>
        <w:tblLayout w:type="autofit"/>
        <w:tblCellMar>
          <w:top w:w="0" w:type="dxa"/>
          <w:left w:w="108" w:type="dxa"/>
          <w:bottom w:w="0" w:type="dxa"/>
          <w:right w:w="108" w:type="dxa"/>
        </w:tblCellMar>
      </w:tblPr>
      <w:tblGrid>
        <w:gridCol w:w="1032"/>
        <w:gridCol w:w="2246"/>
        <w:gridCol w:w="4819"/>
      </w:tblGrid>
      <w:tr w14:paraId="69656861">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4B01">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序号</w:t>
            </w:r>
          </w:p>
        </w:tc>
        <w:tc>
          <w:tcPr>
            <w:tcW w:w="2246" w:type="dxa"/>
            <w:tcBorders>
              <w:top w:val="single" w:color="000000" w:sz="4" w:space="0"/>
              <w:left w:val="nil"/>
              <w:bottom w:val="single" w:color="000000" w:sz="4" w:space="0"/>
              <w:right w:val="single" w:color="000000" w:sz="4" w:space="0"/>
            </w:tcBorders>
            <w:shd w:val="clear" w:color="auto" w:fill="auto"/>
            <w:vAlign w:val="center"/>
          </w:tcPr>
          <w:p w14:paraId="5DEEAA91">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4819" w:type="dxa"/>
            <w:tcBorders>
              <w:top w:val="single" w:color="000000" w:sz="4" w:space="0"/>
              <w:left w:val="nil"/>
              <w:bottom w:val="single" w:color="000000" w:sz="4" w:space="0"/>
              <w:right w:val="single" w:color="000000" w:sz="4" w:space="0"/>
            </w:tcBorders>
            <w:shd w:val="clear" w:color="auto" w:fill="auto"/>
            <w:vAlign w:val="center"/>
          </w:tcPr>
          <w:p w14:paraId="60514870">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金额（元）</w:t>
            </w:r>
          </w:p>
        </w:tc>
      </w:tr>
      <w:tr w14:paraId="296013B3">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2F19C">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p>
        </w:tc>
        <w:tc>
          <w:tcPr>
            <w:tcW w:w="2246" w:type="dxa"/>
            <w:tcBorders>
              <w:top w:val="single" w:color="000000" w:sz="4" w:space="0"/>
              <w:left w:val="nil"/>
              <w:bottom w:val="single" w:color="000000" w:sz="4" w:space="0"/>
              <w:right w:val="single" w:color="000000" w:sz="4" w:space="0"/>
            </w:tcBorders>
            <w:shd w:val="clear" w:color="auto" w:fill="auto"/>
            <w:vAlign w:val="center"/>
          </w:tcPr>
          <w:p w14:paraId="5707DD68">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存出保证金</w:t>
            </w:r>
          </w:p>
        </w:tc>
        <w:tc>
          <w:tcPr>
            <w:tcW w:w="4819" w:type="dxa"/>
            <w:tcBorders>
              <w:top w:val="single" w:color="000000" w:sz="4" w:space="0"/>
              <w:left w:val="nil"/>
              <w:bottom w:val="single" w:color="000000" w:sz="4" w:space="0"/>
              <w:right w:val="single" w:color="000000" w:sz="4" w:space="0"/>
            </w:tcBorders>
            <w:shd w:val="clear" w:color="auto" w:fill="auto"/>
          </w:tcPr>
          <w:p w14:paraId="08F524CF">
            <w:pPr>
              <w:jc w:val="right"/>
              <w:rPr>
                <w:rFonts w:ascii="Times New Roman" w:hAnsi="Times New Roman" w:cs="Times New Roman"/>
                <w:highlight w:val="none"/>
              </w:rPr>
            </w:pPr>
            <w:r>
              <w:rPr>
                <w:rFonts w:hint="eastAsia" w:ascii="Times New Roman" w:hAnsi="Times New Roman" w:cs="Times New Roman"/>
                <w:highlight w:val="none"/>
              </w:rPr>
              <w:t>-</w:t>
            </w:r>
          </w:p>
        </w:tc>
      </w:tr>
      <w:tr w14:paraId="199B57DD">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8CB9">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w:t>
            </w:r>
          </w:p>
        </w:tc>
        <w:tc>
          <w:tcPr>
            <w:tcW w:w="2246" w:type="dxa"/>
            <w:tcBorders>
              <w:top w:val="single" w:color="000000" w:sz="4" w:space="0"/>
              <w:left w:val="nil"/>
              <w:bottom w:val="single" w:color="000000" w:sz="4" w:space="0"/>
              <w:right w:val="single" w:color="000000" w:sz="4" w:space="0"/>
            </w:tcBorders>
            <w:shd w:val="clear" w:color="auto" w:fill="auto"/>
          </w:tcPr>
          <w:p w14:paraId="6DB83931">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应收证券清算款</w:t>
            </w:r>
          </w:p>
        </w:tc>
        <w:tc>
          <w:tcPr>
            <w:tcW w:w="4819" w:type="dxa"/>
            <w:tcBorders>
              <w:top w:val="single" w:color="000000" w:sz="4" w:space="0"/>
              <w:left w:val="nil"/>
              <w:bottom w:val="single" w:color="000000" w:sz="4" w:space="0"/>
              <w:right w:val="single" w:color="000000" w:sz="4" w:space="0"/>
            </w:tcBorders>
            <w:shd w:val="clear" w:color="auto" w:fill="auto"/>
          </w:tcPr>
          <w:p w14:paraId="184C2C5C">
            <w:pPr>
              <w:jc w:val="right"/>
              <w:rPr>
                <w:rFonts w:ascii="Times New Roman" w:hAnsi="Times New Roman" w:cs="Times New Roman"/>
                <w:highlight w:val="none"/>
              </w:rPr>
            </w:pPr>
            <w:r>
              <w:rPr>
                <w:rFonts w:hint="eastAsia" w:ascii="Times New Roman" w:hAnsi="Times New Roman" w:cs="Times New Roman"/>
                <w:highlight w:val="none"/>
              </w:rPr>
              <w:t>-</w:t>
            </w:r>
          </w:p>
        </w:tc>
      </w:tr>
      <w:tr w14:paraId="5613CB24">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BCC5">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w:t>
            </w:r>
          </w:p>
        </w:tc>
        <w:tc>
          <w:tcPr>
            <w:tcW w:w="2246" w:type="dxa"/>
            <w:tcBorders>
              <w:top w:val="single" w:color="000000" w:sz="4" w:space="0"/>
              <w:left w:val="nil"/>
              <w:bottom w:val="single" w:color="000000" w:sz="4" w:space="0"/>
              <w:right w:val="single" w:color="000000" w:sz="4" w:space="0"/>
            </w:tcBorders>
            <w:shd w:val="clear" w:color="auto" w:fill="auto"/>
          </w:tcPr>
          <w:p w14:paraId="20595A5C">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应收利息</w:t>
            </w:r>
          </w:p>
        </w:tc>
        <w:tc>
          <w:tcPr>
            <w:tcW w:w="4819" w:type="dxa"/>
            <w:tcBorders>
              <w:top w:val="single" w:color="000000" w:sz="4" w:space="0"/>
              <w:left w:val="nil"/>
              <w:bottom w:val="single" w:color="000000" w:sz="4" w:space="0"/>
              <w:right w:val="single" w:color="000000" w:sz="4" w:space="0"/>
            </w:tcBorders>
            <w:shd w:val="clear" w:color="auto" w:fill="auto"/>
          </w:tcPr>
          <w:p w14:paraId="6456BD42">
            <w:pPr>
              <w:jc w:val="right"/>
              <w:rPr>
                <w:rFonts w:ascii="Times New Roman" w:hAnsi="Times New Roman" w:cs="Times New Roman"/>
                <w:highlight w:val="none"/>
              </w:rPr>
            </w:pPr>
            <w:r>
              <w:rPr>
                <w:rFonts w:hint="eastAsia" w:ascii="Times New Roman" w:hAnsi="Times New Roman" w:cs="Times New Roman"/>
                <w:highlight w:val="none"/>
              </w:rPr>
              <w:t>-</w:t>
            </w:r>
          </w:p>
        </w:tc>
      </w:tr>
      <w:tr w14:paraId="6645F461">
        <w:tblPrEx>
          <w:tblCellMar>
            <w:top w:w="0" w:type="dxa"/>
            <w:left w:w="108" w:type="dxa"/>
            <w:bottom w:w="0" w:type="dxa"/>
            <w:right w:w="108" w:type="dxa"/>
          </w:tblCellMar>
        </w:tblPrEx>
        <w:trPr>
          <w:trHeight w:val="285" w:hRule="atLeast"/>
        </w:trPr>
        <w:tc>
          <w:tcPr>
            <w:tcW w:w="1032" w:type="dxa"/>
            <w:tcBorders>
              <w:top w:val="nil"/>
              <w:left w:val="single" w:color="000000" w:sz="4" w:space="0"/>
              <w:bottom w:val="single" w:color="000000" w:sz="4" w:space="0"/>
              <w:right w:val="single" w:color="000000" w:sz="4" w:space="0"/>
            </w:tcBorders>
            <w:shd w:val="clear" w:color="auto" w:fill="auto"/>
            <w:vAlign w:val="center"/>
          </w:tcPr>
          <w:p w14:paraId="1219D381">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w:t>
            </w:r>
          </w:p>
        </w:tc>
        <w:tc>
          <w:tcPr>
            <w:tcW w:w="2246" w:type="dxa"/>
            <w:tcBorders>
              <w:top w:val="nil"/>
              <w:left w:val="nil"/>
              <w:bottom w:val="single" w:color="000000" w:sz="4" w:space="0"/>
              <w:right w:val="single" w:color="000000" w:sz="4" w:space="0"/>
            </w:tcBorders>
            <w:shd w:val="clear" w:color="auto" w:fill="auto"/>
          </w:tcPr>
          <w:p w14:paraId="42AB57D9">
            <w:pPr>
              <w:widowControl/>
              <w:snapToGrid w:val="0"/>
              <w:spacing w:line="360" w:lineRule="auto"/>
              <w:jc w:val="left"/>
              <w:rPr>
                <w:rFonts w:ascii="Times New Roman" w:hAnsi="Times New Roman" w:cs="Times New Roman"/>
                <w:color w:val="000000"/>
                <w:kern w:val="0"/>
                <w:szCs w:val="21"/>
                <w:highlight w:val="none"/>
              </w:rPr>
            </w:pPr>
            <w:r>
              <w:rPr>
                <w:rFonts w:hint="eastAsia"/>
                <w:color w:val="000000"/>
                <w:kern w:val="0"/>
                <w:szCs w:val="21"/>
                <w:highlight w:val="none"/>
              </w:rPr>
              <w:t>待摊费用</w:t>
            </w:r>
          </w:p>
        </w:tc>
        <w:tc>
          <w:tcPr>
            <w:tcW w:w="4819" w:type="dxa"/>
            <w:tcBorders>
              <w:top w:val="nil"/>
              <w:left w:val="nil"/>
              <w:bottom w:val="single" w:color="000000" w:sz="4" w:space="0"/>
              <w:right w:val="single" w:color="000000" w:sz="4" w:space="0"/>
            </w:tcBorders>
            <w:shd w:val="clear" w:color="auto" w:fill="auto"/>
          </w:tcPr>
          <w:p w14:paraId="23F6D4BC">
            <w:pPr>
              <w:jc w:val="right"/>
              <w:rPr>
                <w:rFonts w:hint="eastAsia"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w:t>
            </w:r>
          </w:p>
        </w:tc>
      </w:tr>
      <w:tr w14:paraId="086D2B48">
        <w:tblPrEx>
          <w:tblCellMar>
            <w:top w:w="0" w:type="dxa"/>
            <w:left w:w="108" w:type="dxa"/>
            <w:bottom w:w="0" w:type="dxa"/>
            <w:right w:w="108" w:type="dxa"/>
          </w:tblCellMar>
        </w:tblPrEx>
        <w:trPr>
          <w:trHeight w:val="285" w:hRule="atLeast"/>
        </w:trPr>
        <w:tc>
          <w:tcPr>
            <w:tcW w:w="1032" w:type="dxa"/>
            <w:tcBorders>
              <w:top w:val="nil"/>
              <w:left w:val="single" w:color="000000" w:sz="4" w:space="0"/>
              <w:bottom w:val="single" w:color="000000" w:sz="4" w:space="0"/>
              <w:right w:val="single" w:color="000000" w:sz="4" w:space="0"/>
            </w:tcBorders>
            <w:shd w:val="clear" w:color="auto" w:fill="auto"/>
            <w:vAlign w:val="center"/>
          </w:tcPr>
          <w:p w14:paraId="781C78C8">
            <w:pPr>
              <w:widowControl/>
              <w:snapToGrid w:val="0"/>
              <w:spacing w:line="360" w:lineRule="auto"/>
              <w:jc w:val="center"/>
              <w:rPr>
                <w:rFonts w:hint="eastAsia" w:ascii="Times New Roman" w:hAnsi="Times New Roman" w:cs="Times New Roman" w:eastAsiaTheme="minorEastAsia"/>
                <w:color w:val="000000"/>
                <w:kern w:val="0"/>
                <w:szCs w:val="21"/>
                <w:highlight w:val="none"/>
                <w:lang w:val="en-US" w:eastAsia="zh-CN"/>
              </w:rPr>
            </w:pPr>
            <w:r>
              <w:rPr>
                <w:rFonts w:hint="eastAsia" w:ascii="Times New Roman" w:hAnsi="Times New Roman" w:cs="Times New Roman"/>
                <w:color w:val="000000"/>
                <w:kern w:val="0"/>
                <w:szCs w:val="21"/>
                <w:highlight w:val="none"/>
                <w:lang w:val="en-US" w:eastAsia="zh-CN"/>
              </w:rPr>
              <w:t>5</w:t>
            </w:r>
          </w:p>
        </w:tc>
        <w:tc>
          <w:tcPr>
            <w:tcW w:w="2246" w:type="dxa"/>
            <w:tcBorders>
              <w:top w:val="nil"/>
              <w:left w:val="nil"/>
              <w:bottom w:val="single" w:color="000000" w:sz="4" w:space="0"/>
              <w:right w:val="single" w:color="000000" w:sz="4" w:space="0"/>
            </w:tcBorders>
            <w:shd w:val="clear" w:color="auto" w:fill="auto"/>
          </w:tcPr>
          <w:p w14:paraId="3C78E258">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w:t>
            </w:r>
          </w:p>
        </w:tc>
        <w:tc>
          <w:tcPr>
            <w:tcW w:w="4819" w:type="dxa"/>
            <w:tcBorders>
              <w:top w:val="nil"/>
              <w:left w:val="nil"/>
              <w:bottom w:val="single" w:color="000000" w:sz="4" w:space="0"/>
              <w:right w:val="single" w:color="000000" w:sz="4" w:space="0"/>
            </w:tcBorders>
            <w:shd w:val="clear" w:color="auto" w:fill="auto"/>
          </w:tcPr>
          <w:p w14:paraId="7395C271">
            <w:pPr>
              <w:jc w:val="righ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w:t>
            </w:r>
          </w:p>
        </w:tc>
      </w:tr>
      <w:tr w14:paraId="08E2BE49">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0C5D1">
            <w:pPr>
              <w:widowControl/>
              <w:snapToGrid w:val="0"/>
              <w:spacing w:line="360" w:lineRule="auto"/>
              <w:jc w:val="center"/>
              <w:rPr>
                <w:rFonts w:hint="eastAsia" w:ascii="Times New Roman" w:hAnsi="Times New Roman" w:cs="Times New Roman" w:eastAsiaTheme="minorEastAsia"/>
                <w:color w:val="000000"/>
                <w:kern w:val="0"/>
                <w:szCs w:val="21"/>
                <w:highlight w:val="none"/>
                <w:lang w:eastAsia="zh-CN"/>
              </w:rPr>
            </w:pPr>
            <w:r>
              <w:rPr>
                <w:rFonts w:hint="eastAsia" w:ascii="Times New Roman" w:hAnsi="Times New Roman" w:cs="Times New Roman"/>
                <w:color w:val="000000"/>
                <w:kern w:val="0"/>
                <w:szCs w:val="21"/>
                <w:highlight w:val="none"/>
                <w:lang w:val="en-US" w:eastAsia="zh-CN"/>
              </w:rPr>
              <w:t>6</w:t>
            </w:r>
          </w:p>
        </w:tc>
        <w:tc>
          <w:tcPr>
            <w:tcW w:w="2246" w:type="dxa"/>
            <w:tcBorders>
              <w:top w:val="single" w:color="000000" w:sz="4" w:space="0"/>
              <w:left w:val="nil"/>
              <w:bottom w:val="single" w:color="000000" w:sz="4" w:space="0"/>
              <w:right w:val="single" w:color="000000" w:sz="4" w:space="0"/>
            </w:tcBorders>
            <w:shd w:val="clear" w:color="auto" w:fill="auto"/>
          </w:tcPr>
          <w:p w14:paraId="48438A13">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4819" w:type="dxa"/>
            <w:tcBorders>
              <w:top w:val="single" w:color="000000" w:sz="4" w:space="0"/>
              <w:left w:val="nil"/>
              <w:bottom w:val="single" w:color="000000" w:sz="4" w:space="0"/>
              <w:right w:val="single" w:color="000000" w:sz="4" w:space="0"/>
            </w:tcBorders>
            <w:shd w:val="clear" w:color="auto" w:fill="auto"/>
          </w:tcPr>
          <w:p w14:paraId="58AA1E4E">
            <w:pPr>
              <w:jc w:val="right"/>
              <w:rPr>
                <w:rFonts w:hint="eastAsia"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w:t>
            </w:r>
          </w:p>
        </w:tc>
      </w:tr>
    </w:tbl>
    <w:p w14:paraId="301BCAB4">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4、本报告期末持有的处于转股期的可转换债券明细</w:t>
      </w:r>
    </w:p>
    <w:p w14:paraId="5062D77D">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，本基金未持有可转换债券。</w:t>
      </w:r>
    </w:p>
    <w:p w14:paraId="235A1213">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5、本报告期前十名股票中存在流通受限情况的说明</w:t>
      </w:r>
    </w:p>
    <w:p w14:paraId="2877A9E8">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2026年9月18日</w:t>
      </w:r>
      <w:r>
        <w:rPr>
          <w:rFonts w:ascii="Times New Roman" w:hAnsi="Times New Roman" w:cs="Times New Roman"/>
          <w:color w:val="000000"/>
          <w:kern w:val="0"/>
          <w:szCs w:val="21"/>
          <w:highlight w:val="none"/>
        </w:rPr>
        <w:t>，</w:t>
      </w:r>
      <w:r>
        <w:rPr>
          <w:rFonts w:hint="eastAsia" w:ascii="Times New Roman" w:hAnsi="Times New Roman" w:cs="Times New Roman"/>
          <w:color w:val="000000"/>
          <w:kern w:val="0"/>
          <w:szCs w:val="21"/>
          <w:highlight w:val="none"/>
        </w:rPr>
        <w:t>本基金前十名股票中不存在流通受限情况</w:t>
      </w:r>
      <w:r>
        <w:rPr>
          <w:rFonts w:ascii="Times New Roman" w:hAnsi="Times New Roman" w:cs="Times New Roman"/>
          <w:color w:val="000000"/>
          <w:kern w:val="0"/>
          <w:szCs w:val="21"/>
          <w:highlight w:val="none"/>
        </w:rPr>
        <w:t>。</w:t>
      </w:r>
    </w:p>
    <w:p w14:paraId="26794204">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6、投资组合报告附注的其他文字描述部分</w:t>
      </w:r>
    </w:p>
    <w:p w14:paraId="5466CD51">
      <w:pPr>
        <w:spacing w:line="360" w:lineRule="auto"/>
        <w:ind w:firstLine="420" w:firstLineChars="200"/>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由于四舍五入的原因，分项之和与合计项之间可能存在尾差。</w:t>
      </w:r>
    </w:p>
    <w:p w14:paraId="63E10011">
      <w:pPr>
        <w:rPr>
          <w:rFonts w:hint="eastAsia" w:ascii="宋体" w:hAnsi="宋体" w:eastAsia="宋体"/>
          <w:sz w:val="30"/>
          <w:highlight w:val="lightGray"/>
        </w:rPr>
      </w:pPr>
      <w:r>
        <w:rPr>
          <w:rFonts w:hint="eastAsia" w:ascii="宋体" w:hAnsi="宋体" w:eastAsia="宋体"/>
          <w:sz w:val="30"/>
          <w:highlight w:val="lightGray"/>
        </w:rPr>
        <w:br w:type="page"/>
      </w:r>
    </w:p>
    <w:p w14:paraId="4A56D4D0">
      <w:pPr>
        <w:pStyle w:val="2"/>
        <w:jc w:val="center"/>
        <w:rPr>
          <w:rFonts w:ascii="宋体" w:hAnsi="宋体" w:eastAsia="宋体"/>
          <w:sz w:val="30"/>
          <w:highlight w:val="none"/>
        </w:rPr>
      </w:pPr>
      <w:r>
        <w:rPr>
          <w:rFonts w:hint="eastAsia" w:ascii="宋体" w:hAnsi="宋体" w:eastAsia="宋体"/>
          <w:sz w:val="30"/>
          <w:highlight w:val="none"/>
        </w:rPr>
        <w:t>九、重大事件揭示</w:t>
      </w:r>
      <w:bookmarkEnd w:id="51"/>
      <w:bookmarkEnd w:id="52"/>
    </w:p>
    <w:p w14:paraId="71F9DBC5">
      <w:pPr>
        <w:spacing w:line="360" w:lineRule="auto"/>
        <w:ind w:firstLine="420" w:firstLineChars="200"/>
        <w:rPr>
          <w:rFonts w:ascii="宋体" w:hAnsi="宋体" w:eastAsia="宋体"/>
          <w:highlight w:val="none"/>
        </w:rPr>
      </w:pPr>
      <w:bookmarkStart w:id="55" w:name="chapter_level1_9_56151_section_1"/>
      <w:bookmarkEnd w:id="55"/>
      <w:r>
        <w:rPr>
          <w:rFonts w:ascii="宋体" w:hAnsi="宋体" w:eastAsia="宋体"/>
          <w:highlight w:val="none"/>
        </w:rPr>
        <w:t>本基金自合同生效至上市交易公告书公告前未发生对基金份额持有人有较大影响的重</w:t>
      </w:r>
      <w:bookmarkStart w:id="56" w:name="chapter_level1_9_56151_section_1_end"/>
      <w:bookmarkEnd w:id="56"/>
      <w:r>
        <w:rPr>
          <w:rFonts w:ascii="宋体" w:hAnsi="宋体" w:eastAsia="宋体"/>
          <w:highlight w:val="none"/>
        </w:rPr>
        <w:t>大事件。</w:t>
      </w:r>
    </w:p>
    <w:p w14:paraId="7CD4D71E">
      <w:pPr>
        <w:spacing w:line="360" w:lineRule="auto"/>
        <w:rPr>
          <w:rFonts w:ascii="宋体" w:hAnsi="宋体" w:eastAsia="宋体"/>
          <w:highlight w:val="none"/>
        </w:rPr>
        <w:sectPr>
          <w:pgSz w:w="11906" w:h="16838"/>
          <w:pgMar w:top="1440" w:right="1803" w:bottom="1440" w:left="1803" w:header="851" w:footer="992" w:gutter="0"/>
          <w:cols w:space="425" w:num="1"/>
          <w:docGrid w:type="lines" w:linePitch="312" w:charSpace="0"/>
        </w:sectPr>
      </w:pPr>
    </w:p>
    <w:p w14:paraId="1D78C2C9">
      <w:pPr>
        <w:pStyle w:val="2"/>
        <w:jc w:val="center"/>
        <w:rPr>
          <w:rFonts w:ascii="宋体" w:hAnsi="宋体" w:eastAsia="宋体"/>
          <w:sz w:val="30"/>
          <w:highlight w:val="none"/>
        </w:rPr>
      </w:pPr>
      <w:bookmarkStart w:id="57" w:name="chapter_level1_10_56152"/>
      <w:bookmarkStart w:id="58" w:name="_Toc802"/>
      <w:r>
        <w:rPr>
          <w:rFonts w:hint="eastAsia" w:ascii="宋体" w:hAnsi="宋体" w:eastAsia="宋体"/>
          <w:sz w:val="30"/>
          <w:highlight w:val="none"/>
        </w:rPr>
        <w:t>十、基金管理人承诺</w:t>
      </w:r>
      <w:bookmarkEnd w:id="57"/>
      <w:bookmarkEnd w:id="58"/>
    </w:p>
    <w:p w14:paraId="6CD01CD2">
      <w:pPr>
        <w:pStyle w:val="9"/>
        <w:spacing w:before="0" w:beforeAutospacing="0" w:after="0" w:afterAutospacing="0" w:line="360" w:lineRule="auto"/>
        <w:ind w:firstLine="420"/>
        <w:rPr>
          <w:sz w:val="21"/>
          <w:szCs w:val="21"/>
          <w:highlight w:val="none"/>
        </w:rPr>
      </w:pPr>
      <w:bookmarkStart w:id="59" w:name="chapter_level1_10_56152_section_1"/>
      <w:bookmarkEnd w:id="59"/>
      <w:r>
        <w:rPr>
          <w:rFonts w:hint="eastAsia"/>
          <w:sz w:val="21"/>
          <w:szCs w:val="21"/>
          <w:highlight w:val="none"/>
        </w:rPr>
        <w:t xml:space="preserve">基金管理人就基金上市交易之后履行管理人职责做出以下承诺： </w:t>
      </w:r>
    </w:p>
    <w:p w14:paraId="23D18EC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（一）严格遵守《基金法》及其他法律法规、基金合同的规定，以诚实信用、勤勉尽责的原则管理和运用基金资产。 </w:t>
      </w:r>
    </w:p>
    <w:p w14:paraId="2677F1B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（二）真实、准确、完整和及时地披露定期报告等有关信息披露文件，披露所有对基金份额持有人有重大影响的信息，并接受中国证监会、证券交易所的监督管理。 </w:t>
      </w:r>
    </w:p>
    <w:p w14:paraId="593D9332">
      <w:pPr>
        <w:pStyle w:val="9"/>
        <w:spacing w:before="0" w:beforeAutospacing="0" w:after="0" w:afterAutospacing="0" w:line="360" w:lineRule="auto"/>
        <w:ind w:firstLine="420"/>
        <w:rPr>
          <w:sz w:val="21"/>
          <w:szCs w:val="21"/>
          <w:highlight w:val="none"/>
        </w:rPr>
      </w:pPr>
      <w:r>
        <w:rPr>
          <w:rFonts w:hint="eastAsia"/>
          <w:sz w:val="21"/>
          <w:szCs w:val="21"/>
          <w:highlight w:val="none"/>
        </w:rPr>
        <w:t>（三）在知悉可能对基金价格产生误导性影响或引起较大波动的任何公共传播媒介中出</w:t>
      </w:r>
      <w:bookmarkStart w:id="60" w:name="chapter_level1_10_56152_section_1_end"/>
      <w:bookmarkEnd w:id="60"/>
      <w:r>
        <w:rPr>
          <w:rFonts w:hint="eastAsia"/>
          <w:sz w:val="21"/>
          <w:szCs w:val="21"/>
          <w:highlight w:val="none"/>
        </w:rPr>
        <w:t xml:space="preserve">现的或者在市场上流传的消息后，将及时予以公开澄清。 </w:t>
      </w:r>
    </w:p>
    <w:p w14:paraId="37D28DD3">
      <w:pPr>
        <w:widowControl/>
        <w:jc w:val="left"/>
        <w:rPr>
          <w:rFonts w:ascii="宋体" w:hAnsi="宋体" w:eastAsia="宋体"/>
          <w:highlight w:val="none"/>
        </w:rPr>
      </w:pPr>
      <w:r>
        <w:rPr>
          <w:rFonts w:ascii="宋体" w:hAnsi="宋体" w:eastAsia="宋体"/>
          <w:highlight w:val="none"/>
        </w:rPr>
        <w:br w:type="page"/>
      </w:r>
    </w:p>
    <w:p w14:paraId="20FA1DCD">
      <w:pPr>
        <w:pStyle w:val="2"/>
        <w:jc w:val="center"/>
        <w:rPr>
          <w:rFonts w:ascii="宋体" w:hAnsi="宋体" w:eastAsia="宋体"/>
          <w:sz w:val="30"/>
          <w:highlight w:val="none"/>
        </w:rPr>
      </w:pPr>
      <w:bookmarkStart w:id="61" w:name="_Toc31429"/>
      <w:bookmarkStart w:id="62" w:name="chapter_level1_11_56153"/>
      <w:r>
        <w:rPr>
          <w:rFonts w:hint="eastAsia" w:ascii="宋体" w:hAnsi="宋体" w:eastAsia="宋体"/>
          <w:sz w:val="30"/>
          <w:highlight w:val="none"/>
        </w:rPr>
        <w:t>十一、基金托管人承诺</w:t>
      </w:r>
      <w:bookmarkEnd w:id="61"/>
      <w:bookmarkEnd w:id="62"/>
    </w:p>
    <w:p w14:paraId="54C6021D">
      <w:pPr>
        <w:pStyle w:val="9"/>
        <w:spacing w:before="0" w:beforeAutospacing="0" w:after="0" w:afterAutospacing="0" w:line="360" w:lineRule="auto"/>
        <w:ind w:firstLine="420"/>
        <w:rPr>
          <w:sz w:val="21"/>
          <w:szCs w:val="21"/>
          <w:highlight w:val="none"/>
        </w:rPr>
      </w:pPr>
      <w:bookmarkStart w:id="63" w:name="chapter_level1_11_56153_section_1"/>
      <w:bookmarkEnd w:id="63"/>
      <w:r>
        <w:rPr>
          <w:rFonts w:hint="eastAsia"/>
          <w:sz w:val="21"/>
          <w:szCs w:val="21"/>
          <w:highlight w:val="none"/>
        </w:rPr>
        <w:t xml:space="preserve">基金托管人就本基金上市交易后履行托管人职责做出如下承诺： </w:t>
      </w:r>
    </w:p>
    <w:p w14:paraId="595F7C48">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（一）严格遵守《基金法》、《公开募集证券投资基金运作管理办法》及本基金《基金合同》、《托管协议》的规定，以诚实信用、勤勉尽责的原则托管基金资产。 </w:t>
      </w:r>
    </w:p>
    <w:p w14:paraId="3DA506A7">
      <w:pPr>
        <w:pStyle w:val="9"/>
        <w:spacing w:before="0" w:beforeAutospacing="0" w:after="0" w:afterAutospacing="0" w:line="360" w:lineRule="auto"/>
        <w:ind w:firstLine="420"/>
        <w:rPr>
          <w:sz w:val="21"/>
          <w:szCs w:val="21"/>
          <w:highlight w:val="none"/>
        </w:rPr>
      </w:pPr>
      <w:r>
        <w:rPr>
          <w:rFonts w:hint="eastAsia"/>
          <w:sz w:val="21"/>
          <w:szCs w:val="21"/>
          <w:highlight w:val="none"/>
        </w:rPr>
        <w:t>（二）根据《基金法》、《公开募集证券投资基金运作管理办法》及本基金《基金合同》、《托管协议》的规定，对基金的投资范围、基金资产的投资组合比例、基金资产净值的计算、基金份额净值计算进行监督和核查；如发现基金管理人违反《基金法》、《公开募集证券投资基金运作管理办法》及本基金《基金合同》、《托管协议》的规定，将及时通知基金管理人纠正；基金管理人对基金托管人通知的违规事项未能在限期内纠正的，基金托管人将及时</w:t>
      </w:r>
      <w:bookmarkStart w:id="64" w:name="chapter_level1_11_56153_section_1_end"/>
      <w:bookmarkEnd w:id="64"/>
      <w:r>
        <w:rPr>
          <w:rFonts w:hint="eastAsia"/>
          <w:sz w:val="21"/>
          <w:szCs w:val="21"/>
          <w:highlight w:val="none"/>
        </w:rPr>
        <w:t xml:space="preserve">向中国证监会报告。 </w:t>
      </w:r>
    </w:p>
    <w:p w14:paraId="437149A4">
      <w:pPr>
        <w:widowControl/>
        <w:jc w:val="left"/>
        <w:rPr>
          <w:rFonts w:ascii="宋体" w:hAnsi="宋体" w:eastAsia="宋体"/>
          <w:highlight w:val="none"/>
        </w:rPr>
      </w:pPr>
      <w:r>
        <w:rPr>
          <w:rFonts w:ascii="宋体" w:hAnsi="宋体" w:eastAsia="宋体"/>
          <w:highlight w:val="none"/>
        </w:rPr>
        <w:br w:type="page"/>
      </w:r>
    </w:p>
    <w:p w14:paraId="15DD2020">
      <w:pPr>
        <w:pStyle w:val="2"/>
        <w:jc w:val="center"/>
        <w:rPr>
          <w:rFonts w:ascii="宋体" w:hAnsi="宋体" w:eastAsia="宋体"/>
          <w:sz w:val="30"/>
          <w:highlight w:val="none"/>
        </w:rPr>
      </w:pPr>
      <w:bookmarkStart w:id="65" w:name="chapter_level1_12_56154"/>
      <w:bookmarkStart w:id="66" w:name="_Toc32296"/>
      <w:r>
        <w:rPr>
          <w:rFonts w:hint="eastAsia" w:ascii="宋体" w:hAnsi="宋体" w:eastAsia="宋体"/>
          <w:sz w:val="30"/>
          <w:highlight w:val="none"/>
        </w:rPr>
        <w:t>十二、基金上市推荐人意见</w:t>
      </w:r>
      <w:bookmarkEnd w:id="65"/>
      <w:bookmarkEnd w:id="66"/>
    </w:p>
    <w:p w14:paraId="1F793C0C">
      <w:pPr>
        <w:pStyle w:val="9"/>
        <w:spacing w:before="0" w:beforeAutospacing="0" w:after="0" w:afterAutospacing="0" w:line="360" w:lineRule="auto"/>
        <w:ind w:firstLine="420"/>
        <w:rPr>
          <w:sz w:val="21"/>
          <w:szCs w:val="21"/>
          <w:highlight w:val="none"/>
        </w:rPr>
      </w:pPr>
      <w:bookmarkStart w:id="67" w:name="chapter_level1_12_56154_section_1"/>
      <w:bookmarkEnd w:id="67"/>
      <w:r>
        <w:rPr>
          <w:rFonts w:hint="eastAsia"/>
          <w:sz w:val="21"/>
          <w:szCs w:val="21"/>
          <w:highlight w:val="none"/>
        </w:rPr>
        <w:t>本基金上市推荐人为</w:t>
      </w:r>
      <w:r>
        <w:rPr>
          <w:rFonts w:hint="eastAsia"/>
          <w:sz w:val="21"/>
          <w:szCs w:val="21"/>
          <w:highlight w:val="none"/>
          <w:lang w:val="en-US" w:eastAsia="zh-CN"/>
        </w:rPr>
        <w:t>平安证券股份有限公司</w:t>
      </w:r>
      <w:r>
        <w:rPr>
          <w:rFonts w:hint="eastAsia"/>
          <w:sz w:val="21"/>
          <w:szCs w:val="21"/>
          <w:highlight w:val="none"/>
        </w:rPr>
        <w:t xml:space="preserve">。上市推荐人就基金上市交易事宜出具如下意见： </w:t>
      </w:r>
    </w:p>
    <w:p w14:paraId="309A3A29">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1、本基金上市符合《基金法》、《上海证券交易所证券投资基金上市规则》规定的相关条件； </w:t>
      </w:r>
    </w:p>
    <w:p w14:paraId="189DC7C2">
      <w:pPr>
        <w:pStyle w:val="9"/>
        <w:spacing w:before="0" w:beforeAutospacing="0" w:after="0" w:afterAutospacing="0" w:line="360" w:lineRule="auto"/>
        <w:ind w:firstLine="420"/>
        <w:rPr>
          <w:sz w:val="21"/>
          <w:szCs w:val="21"/>
          <w:highlight w:val="none"/>
        </w:rPr>
      </w:pPr>
      <w:r>
        <w:rPr>
          <w:rFonts w:hint="eastAsia"/>
          <w:sz w:val="21"/>
          <w:szCs w:val="21"/>
          <w:highlight w:val="none"/>
        </w:rPr>
        <w:t>2、基金上市文件真实、准确、完整，符合相关规定要求，文件内所载的资料均经过核</w:t>
      </w:r>
      <w:bookmarkStart w:id="68" w:name="chapter_level1_12_56154_section_1_end"/>
      <w:bookmarkEnd w:id="68"/>
      <w:r>
        <w:rPr>
          <w:rFonts w:hint="eastAsia"/>
          <w:sz w:val="21"/>
          <w:szCs w:val="21"/>
          <w:highlight w:val="none"/>
        </w:rPr>
        <w:t xml:space="preserve">实。 </w:t>
      </w:r>
    </w:p>
    <w:p w14:paraId="5125B1C8">
      <w:pPr>
        <w:widowControl/>
        <w:jc w:val="left"/>
        <w:rPr>
          <w:rFonts w:ascii="宋体" w:hAnsi="宋体" w:eastAsia="宋体"/>
          <w:highlight w:val="none"/>
        </w:rPr>
      </w:pPr>
      <w:r>
        <w:rPr>
          <w:rFonts w:ascii="宋体" w:hAnsi="宋体" w:eastAsia="宋体"/>
          <w:highlight w:val="none"/>
        </w:rPr>
        <w:br w:type="page"/>
      </w:r>
    </w:p>
    <w:p w14:paraId="4DEF80CC">
      <w:pPr>
        <w:pStyle w:val="2"/>
        <w:jc w:val="center"/>
        <w:rPr>
          <w:rFonts w:ascii="宋体" w:hAnsi="宋体" w:eastAsia="宋体"/>
          <w:sz w:val="30"/>
          <w:highlight w:val="none"/>
        </w:rPr>
      </w:pPr>
      <w:bookmarkStart w:id="69" w:name="_Toc28556"/>
      <w:bookmarkStart w:id="70" w:name="chapter_level1_13_56155"/>
      <w:r>
        <w:rPr>
          <w:rFonts w:hint="eastAsia" w:ascii="宋体" w:hAnsi="宋体" w:eastAsia="宋体"/>
          <w:sz w:val="30"/>
          <w:highlight w:val="none"/>
        </w:rPr>
        <w:t>十三、备查文件目录</w:t>
      </w:r>
      <w:bookmarkEnd w:id="69"/>
      <w:bookmarkEnd w:id="70"/>
    </w:p>
    <w:p w14:paraId="14C36E26">
      <w:pPr>
        <w:pStyle w:val="9"/>
        <w:spacing w:before="0" w:beforeAutospacing="0" w:after="0" w:afterAutospacing="0" w:line="360" w:lineRule="auto"/>
        <w:ind w:firstLine="420"/>
        <w:rPr>
          <w:sz w:val="21"/>
          <w:szCs w:val="21"/>
          <w:highlight w:val="none"/>
        </w:rPr>
      </w:pPr>
      <w:bookmarkStart w:id="71" w:name="chapter_level1_13_56155_section_1"/>
      <w:bookmarkEnd w:id="71"/>
      <w:r>
        <w:rPr>
          <w:rFonts w:hint="eastAsia"/>
          <w:sz w:val="21"/>
          <w:szCs w:val="21"/>
          <w:highlight w:val="none"/>
        </w:rPr>
        <w:t>（一）中国证监会准予</w:t>
      </w:r>
      <w:r>
        <w:rPr>
          <w:rFonts w:hint="eastAsia"/>
          <w:sz w:val="21"/>
          <w:szCs w:val="21"/>
          <w:highlight w:val="none"/>
          <w:lang w:eastAsia="zh-CN"/>
        </w:rPr>
        <w:t>博时中证有色金属矿业主题交易型开放式指数证券投资基金</w:t>
      </w:r>
      <w:r>
        <w:rPr>
          <w:rFonts w:hint="eastAsia"/>
          <w:sz w:val="21"/>
          <w:szCs w:val="21"/>
          <w:highlight w:val="none"/>
        </w:rPr>
        <w:t xml:space="preserve">注册的批复文件 </w:t>
      </w:r>
    </w:p>
    <w:p w14:paraId="153E8130">
      <w:pPr>
        <w:pStyle w:val="9"/>
        <w:spacing w:before="0" w:beforeAutospacing="0" w:after="0" w:afterAutospacing="0" w:line="360" w:lineRule="auto"/>
        <w:ind w:firstLine="420"/>
        <w:rPr>
          <w:sz w:val="21"/>
          <w:szCs w:val="21"/>
          <w:highlight w:val="none"/>
        </w:rPr>
      </w:pPr>
      <w:r>
        <w:rPr>
          <w:rFonts w:hint="eastAsia"/>
          <w:sz w:val="21"/>
          <w:szCs w:val="21"/>
          <w:highlight w:val="none"/>
        </w:rPr>
        <w:t>（二）《</w:t>
      </w:r>
      <w:r>
        <w:rPr>
          <w:rFonts w:hint="eastAsia"/>
          <w:sz w:val="21"/>
          <w:szCs w:val="21"/>
          <w:highlight w:val="none"/>
          <w:lang w:eastAsia="zh-CN"/>
        </w:rPr>
        <w:t>博时中证有色金属矿业主题交易型开放式指数证券投资基金</w:t>
      </w:r>
      <w:r>
        <w:rPr>
          <w:rFonts w:hint="eastAsia"/>
          <w:sz w:val="21"/>
          <w:szCs w:val="21"/>
          <w:highlight w:val="none"/>
        </w:rPr>
        <w:t xml:space="preserve">基金合同》 </w:t>
      </w:r>
    </w:p>
    <w:p w14:paraId="5F3024DF">
      <w:pPr>
        <w:pStyle w:val="9"/>
        <w:spacing w:before="0" w:beforeAutospacing="0" w:after="0" w:afterAutospacing="0" w:line="360" w:lineRule="auto"/>
        <w:ind w:firstLine="420"/>
        <w:rPr>
          <w:sz w:val="21"/>
          <w:szCs w:val="21"/>
          <w:highlight w:val="none"/>
        </w:rPr>
      </w:pPr>
      <w:r>
        <w:rPr>
          <w:rFonts w:hint="eastAsia"/>
          <w:sz w:val="21"/>
          <w:szCs w:val="21"/>
          <w:highlight w:val="none"/>
        </w:rPr>
        <w:t>（三）《</w:t>
      </w:r>
      <w:r>
        <w:rPr>
          <w:rFonts w:hint="eastAsia"/>
          <w:sz w:val="21"/>
          <w:szCs w:val="21"/>
          <w:highlight w:val="none"/>
          <w:lang w:eastAsia="zh-CN"/>
        </w:rPr>
        <w:t>博时中证有色金属矿业主题交易型开放式指数证券投资基金</w:t>
      </w:r>
      <w:r>
        <w:rPr>
          <w:rFonts w:hint="eastAsia"/>
          <w:sz w:val="21"/>
          <w:szCs w:val="21"/>
          <w:highlight w:val="none"/>
        </w:rPr>
        <w:t xml:space="preserve">托管协议》 </w:t>
      </w:r>
    </w:p>
    <w:p w14:paraId="5EDCEB08">
      <w:pPr>
        <w:pStyle w:val="9"/>
        <w:spacing w:before="0" w:beforeAutospacing="0" w:after="0" w:afterAutospacing="0" w:line="360" w:lineRule="auto"/>
        <w:ind w:firstLine="420"/>
        <w:rPr>
          <w:sz w:val="21"/>
          <w:szCs w:val="21"/>
          <w:highlight w:val="none"/>
        </w:rPr>
      </w:pPr>
      <w:r>
        <w:rPr>
          <w:rFonts w:hint="eastAsia"/>
          <w:sz w:val="21"/>
          <w:szCs w:val="21"/>
          <w:highlight w:val="none"/>
        </w:rPr>
        <w:t>（四）《</w:t>
      </w:r>
      <w:r>
        <w:rPr>
          <w:rFonts w:hint="eastAsia"/>
          <w:sz w:val="21"/>
          <w:szCs w:val="21"/>
          <w:highlight w:val="none"/>
          <w:lang w:eastAsia="zh-CN"/>
        </w:rPr>
        <w:t>博时中证有色金属矿业主题交易型开放式指数证券投资基金</w:t>
      </w:r>
      <w:r>
        <w:rPr>
          <w:rFonts w:hint="eastAsia"/>
          <w:sz w:val="21"/>
          <w:szCs w:val="21"/>
          <w:highlight w:val="none"/>
        </w:rPr>
        <w:t xml:space="preserve">招募说明书》 </w:t>
      </w:r>
    </w:p>
    <w:p w14:paraId="4303E724">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（五）基金管理人业务资格批件、营业执照 </w:t>
      </w:r>
    </w:p>
    <w:p w14:paraId="36A1CD4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（六）基金托管人业务资格批件、营业执照 </w:t>
      </w:r>
    </w:p>
    <w:p w14:paraId="5749399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（七）法律意见书 </w:t>
      </w:r>
    </w:p>
    <w:p w14:paraId="5294624C">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（八）中国证监会要求的其他文件 </w:t>
      </w:r>
    </w:p>
    <w:p w14:paraId="480F10F4">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存放地点：备查文件存放于基金管理人和/或基金托管人处。 </w:t>
      </w:r>
    </w:p>
    <w:p w14:paraId="0F479DA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查阅方式：投资者可在营业时间免费查阅，也可按工本费购买复印件。 </w:t>
      </w:r>
    </w:p>
    <w:p w14:paraId="1C1A5979">
      <w:pPr>
        <w:pStyle w:val="9"/>
        <w:spacing w:before="0" w:beforeAutospacing="0" w:after="0" w:afterAutospacing="0" w:line="360" w:lineRule="auto"/>
        <w:ind w:firstLine="420"/>
        <w:rPr>
          <w:sz w:val="21"/>
          <w:szCs w:val="21"/>
          <w:highlight w:val="none"/>
        </w:rPr>
      </w:pPr>
    </w:p>
    <w:p w14:paraId="77CDDD76">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风险提示：本基金管理人承诺以诚实信用、勤勉尽责的原则管理和运用基金财产，但不保证基金一定盈利，也不保证最低收益。基金的过往业绩并不代表其将来表现。投资有风险，敬请投资人认真阅读基金的相关法律文件，并选择适合自身风险承受能力的投资品种进行投资。 </w:t>
      </w:r>
    </w:p>
    <w:p w14:paraId="0467CD59">
      <w:pPr>
        <w:pStyle w:val="9"/>
        <w:spacing w:before="0" w:beforeAutospacing="0" w:after="0" w:afterAutospacing="0" w:line="360" w:lineRule="auto"/>
        <w:ind w:firstLine="420"/>
        <w:rPr>
          <w:sz w:val="21"/>
          <w:szCs w:val="21"/>
          <w:highlight w:val="none"/>
        </w:rPr>
      </w:pPr>
    </w:p>
    <w:p w14:paraId="103E59C2">
      <w:pPr>
        <w:pStyle w:val="9"/>
        <w:spacing w:before="0" w:beforeAutospacing="0" w:after="0" w:afterAutospacing="0" w:line="360" w:lineRule="auto"/>
        <w:ind w:firstLine="420"/>
        <w:rPr>
          <w:sz w:val="21"/>
          <w:szCs w:val="21"/>
          <w:highlight w:val="none"/>
        </w:rPr>
      </w:pPr>
    </w:p>
    <w:p w14:paraId="1F881214">
      <w:pPr>
        <w:pStyle w:val="9"/>
        <w:spacing w:before="0" w:beforeAutospacing="0" w:after="0" w:afterAutospacing="0" w:line="360" w:lineRule="auto"/>
        <w:ind w:firstLine="420"/>
        <w:rPr>
          <w:sz w:val="21"/>
          <w:szCs w:val="21"/>
          <w:highlight w:val="none"/>
        </w:rPr>
      </w:pPr>
    </w:p>
    <w:p w14:paraId="01B52C29">
      <w:pPr>
        <w:pStyle w:val="9"/>
        <w:spacing w:before="0" w:beforeAutospacing="0" w:after="0" w:afterAutospacing="0" w:line="360" w:lineRule="auto"/>
        <w:ind w:firstLine="420"/>
        <w:rPr>
          <w:sz w:val="21"/>
          <w:szCs w:val="21"/>
          <w:highlight w:val="none"/>
        </w:rPr>
      </w:pPr>
    </w:p>
    <w:p w14:paraId="06A9C9D3">
      <w:pPr>
        <w:pStyle w:val="9"/>
        <w:spacing w:before="0" w:beforeAutospacing="0" w:after="0" w:afterAutospacing="0" w:line="360" w:lineRule="auto"/>
        <w:ind w:firstLine="420"/>
        <w:rPr>
          <w:sz w:val="21"/>
          <w:szCs w:val="21"/>
          <w:highlight w:val="none"/>
        </w:rPr>
      </w:pPr>
    </w:p>
    <w:p w14:paraId="6D273CED">
      <w:pPr>
        <w:pStyle w:val="9"/>
        <w:spacing w:before="0" w:beforeAutospacing="0" w:after="0" w:afterAutospacing="0" w:line="360" w:lineRule="auto"/>
        <w:ind w:firstLine="420"/>
        <w:rPr>
          <w:sz w:val="21"/>
          <w:szCs w:val="21"/>
          <w:highlight w:val="none"/>
        </w:rPr>
      </w:pPr>
    </w:p>
    <w:p w14:paraId="13C5CEBB">
      <w:pPr>
        <w:pStyle w:val="9"/>
        <w:spacing w:before="0" w:beforeAutospacing="0" w:after="0" w:afterAutospacing="0" w:line="360" w:lineRule="auto"/>
        <w:ind w:firstLine="420"/>
        <w:jc w:val="right"/>
        <w:rPr>
          <w:sz w:val="21"/>
          <w:szCs w:val="21"/>
          <w:highlight w:val="none"/>
        </w:rPr>
      </w:pPr>
      <w:bookmarkStart w:id="72" w:name="field_0_managerorgfullname_3"/>
      <w:r>
        <w:rPr>
          <w:rFonts w:hint="eastAsia"/>
          <w:sz w:val="21"/>
          <w:szCs w:val="21"/>
          <w:highlight w:val="none"/>
        </w:rPr>
        <w:t>博时基金管理有限公司</w:t>
      </w:r>
      <w:bookmarkEnd w:id="72"/>
      <w:r>
        <w:rPr>
          <w:rFonts w:hint="eastAsia"/>
          <w:sz w:val="21"/>
          <w:szCs w:val="21"/>
          <w:highlight w:val="none"/>
        </w:rPr>
        <w:t xml:space="preserve"> </w:t>
      </w:r>
    </w:p>
    <w:p w14:paraId="4830C89A">
      <w:pPr>
        <w:pStyle w:val="9"/>
        <w:spacing w:before="0" w:beforeAutospacing="0" w:after="0" w:afterAutospacing="0" w:line="360" w:lineRule="auto"/>
        <w:ind w:firstLine="420"/>
        <w:jc w:val="right"/>
        <w:rPr>
          <w:sz w:val="21"/>
          <w:szCs w:val="21"/>
          <w:highlight w:val="none"/>
        </w:rPr>
      </w:pPr>
      <w:bookmarkStart w:id="73" w:name="chapter_level1_13_56155_section_1_end"/>
      <w:bookmarkEnd w:id="73"/>
      <w:r>
        <w:rPr>
          <w:rFonts w:hint="eastAsia"/>
          <w:sz w:val="21"/>
          <w:szCs w:val="21"/>
          <w:highlight w:val="none"/>
          <w:lang w:eastAsia="zh-CN"/>
        </w:rPr>
        <w:t>2026年9月22日</w:t>
      </w:r>
      <w:r>
        <w:rPr>
          <w:rFonts w:hint="eastAsia"/>
          <w:sz w:val="21"/>
          <w:szCs w:val="21"/>
          <w:highlight w:val="none"/>
        </w:rPr>
        <w:t xml:space="preserve"> </w:t>
      </w:r>
    </w:p>
    <w:p w14:paraId="191D3322">
      <w:pPr>
        <w:widowControl/>
        <w:jc w:val="left"/>
        <w:rPr>
          <w:rFonts w:ascii="宋体" w:hAnsi="宋体" w:eastAsia="宋体"/>
          <w:highlight w:val="lightGray"/>
        </w:rPr>
        <w:sectPr>
          <w:pgSz w:w="11906" w:h="16838"/>
          <w:pgMar w:top="1440" w:right="1803" w:bottom="1440" w:left="1803" w:header="851" w:footer="992" w:gutter="0"/>
          <w:cols w:space="425" w:num="1"/>
          <w:docGrid w:type="lines" w:linePitch="312" w:charSpace="0"/>
        </w:sectPr>
      </w:pPr>
    </w:p>
    <w:p w14:paraId="0B03413B">
      <w:pPr>
        <w:pStyle w:val="2"/>
        <w:jc w:val="center"/>
        <w:rPr>
          <w:rFonts w:ascii="宋体" w:hAnsi="宋体" w:eastAsia="宋体"/>
          <w:sz w:val="30"/>
          <w:highlight w:val="none"/>
        </w:rPr>
      </w:pPr>
      <w:bookmarkStart w:id="74" w:name="_Toc14698"/>
      <w:bookmarkStart w:id="75" w:name="chapter_level1_14_56156"/>
      <w:r>
        <w:rPr>
          <w:rFonts w:hint="eastAsia" w:ascii="宋体" w:hAnsi="宋体" w:eastAsia="宋体"/>
          <w:sz w:val="30"/>
          <w:highlight w:val="none"/>
        </w:rPr>
        <w:t>附件：基金合同摘要</w:t>
      </w:r>
      <w:bookmarkEnd w:id="74"/>
      <w:bookmarkEnd w:id="75"/>
    </w:p>
    <w:p w14:paraId="4D73D43C">
      <w:pPr>
        <w:snapToGrid w:val="0"/>
        <w:spacing w:line="360" w:lineRule="auto"/>
        <w:ind w:firstLine="420" w:firstLineChars="200"/>
        <w:rPr>
          <w:rFonts w:ascii="宋体" w:hAnsi="宋体"/>
          <w:sz w:val="21"/>
          <w:szCs w:val="21"/>
        </w:rPr>
      </w:pPr>
      <w:bookmarkStart w:id="76" w:name="chapter_level1_14_56156_section_1"/>
      <w:bookmarkEnd w:id="76"/>
      <w:bookmarkStart w:id="77" w:name="end"/>
      <w:bookmarkEnd w:id="77"/>
      <w:r>
        <w:rPr>
          <w:rFonts w:hint="eastAsia" w:ascii="宋体" w:hAnsi="宋体"/>
          <w:sz w:val="21"/>
          <w:szCs w:val="21"/>
        </w:rPr>
        <w:t>一、基金份额持有人、基金管理人和基金托管人的权利、义务</w:t>
      </w:r>
    </w:p>
    <w:p w14:paraId="1E706CDF">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（一）基金份额持有人的权利与义务</w:t>
      </w:r>
    </w:p>
    <w:p w14:paraId="3609709A">
      <w:pPr>
        <w:snapToGrid w:val="0"/>
        <w:spacing w:line="360" w:lineRule="auto"/>
        <w:ind w:firstLine="420" w:firstLineChars="200"/>
        <w:rPr>
          <w:rFonts w:hint="eastAsia" w:ascii="宋体" w:hAnsi="宋体"/>
          <w:sz w:val="21"/>
          <w:szCs w:val="21"/>
        </w:rPr>
      </w:pPr>
      <w:r>
        <w:rPr>
          <w:rFonts w:hint="eastAsia" w:ascii="宋体" w:hAnsi="宋体"/>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DDCCDCD">
      <w:pPr>
        <w:snapToGrid w:val="0"/>
        <w:spacing w:line="360" w:lineRule="auto"/>
        <w:ind w:firstLine="420" w:firstLineChars="200"/>
        <w:rPr>
          <w:rFonts w:hint="eastAsia" w:ascii="宋体" w:hAnsi="宋体"/>
          <w:sz w:val="21"/>
          <w:szCs w:val="21"/>
        </w:rPr>
      </w:pPr>
      <w:r>
        <w:rPr>
          <w:rFonts w:hint="eastAsia" w:ascii="宋体" w:hAnsi="宋体"/>
          <w:sz w:val="21"/>
          <w:szCs w:val="21"/>
        </w:rPr>
        <w:t>每份基金份额具有同等的合法权益。</w:t>
      </w:r>
    </w:p>
    <w:p w14:paraId="41A65214">
      <w:pPr>
        <w:snapToGrid w:val="0"/>
        <w:spacing w:line="360" w:lineRule="auto"/>
        <w:ind w:firstLine="420" w:firstLineChars="200"/>
        <w:rPr>
          <w:rFonts w:hint="eastAsia" w:ascii="宋体" w:hAnsi="宋体"/>
          <w:sz w:val="21"/>
          <w:szCs w:val="21"/>
        </w:rPr>
      </w:pPr>
      <w:r>
        <w:rPr>
          <w:rFonts w:hint="eastAsia" w:ascii="宋体" w:hAnsi="宋体"/>
          <w:sz w:val="21"/>
          <w:szCs w:val="21"/>
        </w:rPr>
        <w:t>1、根据《基金法》、《运作办法》及其他有关规定，基金份额持有人的权利包括但不限于：</w:t>
      </w:r>
    </w:p>
    <w:p w14:paraId="78852ADC">
      <w:pPr>
        <w:snapToGrid w:val="0"/>
        <w:spacing w:line="360" w:lineRule="auto"/>
        <w:ind w:firstLine="420" w:firstLineChars="200"/>
        <w:rPr>
          <w:rFonts w:hint="eastAsia" w:ascii="宋体" w:hAnsi="宋体"/>
          <w:sz w:val="21"/>
          <w:szCs w:val="21"/>
        </w:rPr>
      </w:pPr>
      <w:r>
        <w:rPr>
          <w:rFonts w:hint="eastAsia" w:ascii="宋体" w:hAnsi="宋体"/>
          <w:sz w:val="21"/>
          <w:szCs w:val="21"/>
        </w:rPr>
        <w:t>（1）分享基金财产收益；</w:t>
      </w:r>
    </w:p>
    <w:p w14:paraId="36936E78">
      <w:pPr>
        <w:snapToGrid w:val="0"/>
        <w:spacing w:line="360" w:lineRule="auto"/>
        <w:ind w:firstLine="420" w:firstLineChars="200"/>
        <w:rPr>
          <w:rFonts w:hint="eastAsia" w:ascii="宋体" w:hAnsi="宋体"/>
          <w:sz w:val="21"/>
          <w:szCs w:val="21"/>
        </w:rPr>
      </w:pPr>
      <w:r>
        <w:rPr>
          <w:rFonts w:hint="eastAsia" w:ascii="宋体" w:hAnsi="宋体"/>
          <w:sz w:val="21"/>
          <w:szCs w:val="21"/>
        </w:rPr>
        <w:t>（2）参与分配清算后的剩余基金财产；</w:t>
      </w:r>
    </w:p>
    <w:p w14:paraId="2EC95CB7">
      <w:pPr>
        <w:snapToGrid w:val="0"/>
        <w:spacing w:line="360" w:lineRule="auto"/>
        <w:ind w:firstLine="420" w:firstLineChars="200"/>
        <w:rPr>
          <w:rFonts w:hint="eastAsia" w:ascii="宋体" w:hAnsi="宋体"/>
          <w:sz w:val="21"/>
          <w:szCs w:val="21"/>
        </w:rPr>
      </w:pPr>
      <w:r>
        <w:rPr>
          <w:rFonts w:hint="eastAsia" w:ascii="宋体" w:hAnsi="宋体"/>
          <w:sz w:val="21"/>
          <w:szCs w:val="21"/>
        </w:rPr>
        <w:t>（3）依法转让或者申请赎回其持有的基金份额；</w:t>
      </w:r>
    </w:p>
    <w:p w14:paraId="74EC2991">
      <w:pPr>
        <w:snapToGrid w:val="0"/>
        <w:spacing w:line="360" w:lineRule="auto"/>
        <w:ind w:firstLine="420" w:firstLineChars="200"/>
        <w:rPr>
          <w:rFonts w:hint="eastAsia" w:ascii="宋体" w:hAnsi="宋体"/>
          <w:sz w:val="21"/>
          <w:szCs w:val="21"/>
        </w:rPr>
      </w:pPr>
      <w:r>
        <w:rPr>
          <w:rFonts w:hint="eastAsia" w:ascii="宋体" w:hAnsi="宋体"/>
          <w:sz w:val="21"/>
          <w:szCs w:val="21"/>
        </w:rPr>
        <w:t>（4）按照规定要求召开基金份额持有人大会或者召集基金份额持有人大会；</w:t>
      </w:r>
    </w:p>
    <w:p w14:paraId="03C6DE8F">
      <w:pPr>
        <w:snapToGrid w:val="0"/>
        <w:spacing w:line="360" w:lineRule="auto"/>
        <w:ind w:firstLine="420" w:firstLineChars="200"/>
        <w:rPr>
          <w:rFonts w:hint="eastAsia" w:ascii="宋体" w:hAnsi="宋体"/>
          <w:sz w:val="21"/>
          <w:szCs w:val="21"/>
        </w:rPr>
      </w:pPr>
      <w:r>
        <w:rPr>
          <w:rFonts w:hint="eastAsia" w:ascii="宋体" w:hAnsi="宋体"/>
          <w:sz w:val="21"/>
          <w:szCs w:val="21"/>
        </w:rPr>
        <w:t>（5）出席或者委派代表出席基金份额持有人大会，对基金份额持有人大会审议事项行使表决权；</w:t>
      </w:r>
    </w:p>
    <w:p w14:paraId="7FB77AC1">
      <w:pPr>
        <w:snapToGrid w:val="0"/>
        <w:spacing w:line="360" w:lineRule="auto"/>
        <w:ind w:firstLine="420" w:firstLineChars="200"/>
        <w:rPr>
          <w:rFonts w:hint="eastAsia" w:ascii="宋体" w:hAnsi="宋体"/>
          <w:sz w:val="21"/>
          <w:szCs w:val="21"/>
        </w:rPr>
      </w:pPr>
      <w:r>
        <w:rPr>
          <w:rFonts w:hint="eastAsia" w:ascii="宋体" w:hAnsi="宋体"/>
          <w:sz w:val="21"/>
          <w:szCs w:val="21"/>
        </w:rPr>
        <w:t>（6）查阅或者复制公开披露的基金信息资料；</w:t>
      </w:r>
    </w:p>
    <w:p w14:paraId="2D5D8100">
      <w:pPr>
        <w:snapToGrid w:val="0"/>
        <w:spacing w:line="360" w:lineRule="auto"/>
        <w:ind w:firstLine="420" w:firstLineChars="200"/>
        <w:rPr>
          <w:rFonts w:hint="eastAsia" w:ascii="宋体" w:hAnsi="宋体"/>
          <w:sz w:val="21"/>
          <w:szCs w:val="21"/>
        </w:rPr>
      </w:pPr>
      <w:r>
        <w:rPr>
          <w:rFonts w:hint="eastAsia" w:ascii="宋体" w:hAnsi="宋体"/>
          <w:sz w:val="21"/>
          <w:szCs w:val="21"/>
        </w:rPr>
        <w:t>（7）监督基金管理人的投资运作；</w:t>
      </w:r>
    </w:p>
    <w:p w14:paraId="793E6852">
      <w:pPr>
        <w:snapToGrid w:val="0"/>
        <w:spacing w:line="360" w:lineRule="auto"/>
        <w:ind w:firstLine="420" w:firstLineChars="200"/>
        <w:rPr>
          <w:rFonts w:hint="eastAsia" w:ascii="宋体" w:hAnsi="宋体"/>
          <w:sz w:val="21"/>
          <w:szCs w:val="21"/>
        </w:rPr>
      </w:pPr>
      <w:r>
        <w:rPr>
          <w:rFonts w:hint="eastAsia" w:ascii="宋体" w:hAnsi="宋体"/>
          <w:sz w:val="21"/>
          <w:szCs w:val="21"/>
        </w:rPr>
        <w:t>（8）对基金管理人、基金托管人、基金服务机构损害其合法权益的行为依法提起诉讼或仲裁；</w:t>
      </w:r>
    </w:p>
    <w:p w14:paraId="41A49981">
      <w:pPr>
        <w:snapToGrid w:val="0"/>
        <w:spacing w:line="360" w:lineRule="auto"/>
        <w:ind w:firstLine="420" w:firstLineChars="200"/>
        <w:rPr>
          <w:rFonts w:hint="eastAsia" w:ascii="宋体" w:hAnsi="宋体"/>
          <w:sz w:val="21"/>
          <w:szCs w:val="21"/>
        </w:rPr>
      </w:pPr>
      <w:r>
        <w:rPr>
          <w:rFonts w:hint="eastAsia" w:ascii="宋体" w:hAnsi="宋体"/>
          <w:sz w:val="21"/>
          <w:szCs w:val="21"/>
        </w:rPr>
        <w:t>（9）法律法规及中国证监会规定的和《基金合同》约定的其他权利。</w:t>
      </w:r>
    </w:p>
    <w:p w14:paraId="6E5EE511">
      <w:pPr>
        <w:snapToGrid w:val="0"/>
        <w:spacing w:line="360" w:lineRule="auto"/>
        <w:ind w:firstLine="420" w:firstLineChars="200"/>
        <w:rPr>
          <w:rFonts w:hint="eastAsia" w:ascii="宋体" w:hAnsi="宋体"/>
          <w:sz w:val="21"/>
          <w:szCs w:val="21"/>
        </w:rPr>
      </w:pPr>
      <w:r>
        <w:rPr>
          <w:rFonts w:hint="eastAsia" w:ascii="宋体" w:hAnsi="宋体"/>
          <w:sz w:val="21"/>
          <w:szCs w:val="21"/>
        </w:rPr>
        <w:t>2、根据《基金法》、《运作办法》及其他有关规定，基金份额持有人的义务包括但不限于：</w:t>
      </w:r>
    </w:p>
    <w:p w14:paraId="5692694A">
      <w:pPr>
        <w:snapToGrid w:val="0"/>
        <w:spacing w:line="360" w:lineRule="auto"/>
        <w:ind w:firstLine="420" w:firstLineChars="200"/>
        <w:rPr>
          <w:rFonts w:hint="eastAsia" w:ascii="宋体" w:hAnsi="宋体"/>
          <w:sz w:val="21"/>
          <w:szCs w:val="21"/>
        </w:rPr>
      </w:pPr>
      <w:r>
        <w:rPr>
          <w:rFonts w:hint="eastAsia" w:ascii="宋体" w:hAnsi="宋体"/>
          <w:sz w:val="21"/>
          <w:szCs w:val="21"/>
        </w:rPr>
        <w:t>（1）认真阅读并遵守《基金合同》、招募说明书及基金产品资料概要等信息披露文件；</w:t>
      </w:r>
    </w:p>
    <w:p w14:paraId="4848738F">
      <w:pPr>
        <w:snapToGrid w:val="0"/>
        <w:spacing w:line="360" w:lineRule="auto"/>
        <w:ind w:firstLine="420" w:firstLineChars="200"/>
        <w:rPr>
          <w:rFonts w:hint="eastAsia" w:ascii="宋体" w:hAnsi="宋体"/>
          <w:sz w:val="21"/>
          <w:szCs w:val="21"/>
        </w:rPr>
      </w:pPr>
      <w:r>
        <w:rPr>
          <w:rFonts w:hint="eastAsia" w:ascii="宋体" w:hAnsi="宋体"/>
          <w:sz w:val="21"/>
          <w:szCs w:val="21"/>
        </w:rPr>
        <w:t>（2）了解所投资基金产品，了解自身风险承受能力，自主判断基金的投资价值，自主做出投资决策，自行承担投资风险；</w:t>
      </w:r>
    </w:p>
    <w:p w14:paraId="1F334A21">
      <w:pPr>
        <w:snapToGrid w:val="0"/>
        <w:spacing w:line="360" w:lineRule="auto"/>
        <w:ind w:firstLine="420" w:firstLineChars="200"/>
        <w:rPr>
          <w:rFonts w:hint="eastAsia" w:ascii="宋体" w:hAnsi="宋体"/>
          <w:sz w:val="21"/>
          <w:szCs w:val="21"/>
        </w:rPr>
      </w:pPr>
      <w:r>
        <w:rPr>
          <w:rFonts w:hint="eastAsia" w:ascii="宋体" w:hAnsi="宋体"/>
          <w:sz w:val="21"/>
          <w:szCs w:val="21"/>
        </w:rPr>
        <w:t>（3）关注基金信息披露，及时行使权利和履行义务；</w:t>
      </w:r>
    </w:p>
    <w:p w14:paraId="3741D5E7">
      <w:pPr>
        <w:snapToGrid w:val="0"/>
        <w:spacing w:line="360" w:lineRule="auto"/>
        <w:ind w:firstLine="420" w:firstLineChars="200"/>
        <w:rPr>
          <w:rFonts w:hint="eastAsia" w:ascii="宋体" w:hAnsi="宋体"/>
          <w:sz w:val="21"/>
          <w:szCs w:val="21"/>
        </w:rPr>
      </w:pPr>
      <w:r>
        <w:rPr>
          <w:rFonts w:hint="eastAsia" w:ascii="宋体" w:hAnsi="宋体"/>
          <w:sz w:val="21"/>
          <w:szCs w:val="21"/>
        </w:rPr>
        <w:t>（4）交纳基金认购款项和/或认购股票、申购对价及法律法规和《基金合同》所规定的费用；</w:t>
      </w:r>
    </w:p>
    <w:p w14:paraId="087131D3">
      <w:pPr>
        <w:snapToGrid w:val="0"/>
        <w:spacing w:line="360" w:lineRule="auto"/>
        <w:ind w:firstLine="420" w:firstLineChars="200"/>
        <w:rPr>
          <w:rFonts w:hint="eastAsia" w:ascii="宋体" w:hAnsi="宋体"/>
          <w:sz w:val="21"/>
          <w:szCs w:val="21"/>
        </w:rPr>
      </w:pPr>
      <w:r>
        <w:rPr>
          <w:rFonts w:hint="eastAsia" w:ascii="宋体" w:hAnsi="宋体"/>
          <w:sz w:val="21"/>
          <w:szCs w:val="21"/>
        </w:rPr>
        <w:t>（5）在其持有的基金份额范围内，承担基金亏损或者《基金合同》终止的有限责任；</w:t>
      </w:r>
    </w:p>
    <w:p w14:paraId="75CFB796">
      <w:pPr>
        <w:snapToGrid w:val="0"/>
        <w:spacing w:line="360" w:lineRule="auto"/>
        <w:ind w:firstLine="420" w:firstLineChars="200"/>
        <w:rPr>
          <w:rFonts w:hint="eastAsia" w:ascii="宋体" w:hAnsi="宋体"/>
          <w:sz w:val="21"/>
          <w:szCs w:val="21"/>
        </w:rPr>
      </w:pPr>
    </w:p>
    <w:p w14:paraId="40E11695">
      <w:pPr>
        <w:snapToGrid w:val="0"/>
        <w:spacing w:line="360" w:lineRule="auto"/>
        <w:ind w:firstLine="420" w:firstLineChars="200"/>
        <w:rPr>
          <w:rFonts w:hint="eastAsia" w:ascii="宋体" w:hAnsi="宋体"/>
          <w:sz w:val="21"/>
          <w:szCs w:val="21"/>
        </w:rPr>
      </w:pPr>
      <w:r>
        <w:rPr>
          <w:rFonts w:hint="eastAsia" w:ascii="宋体" w:hAnsi="宋体"/>
          <w:sz w:val="21"/>
          <w:szCs w:val="21"/>
        </w:rPr>
        <w:t>（6）不从事任何有损基金及其他《基金合同》当事人合法权益的活动；</w:t>
      </w:r>
    </w:p>
    <w:p w14:paraId="495B9710">
      <w:pPr>
        <w:snapToGrid w:val="0"/>
        <w:spacing w:line="360" w:lineRule="auto"/>
        <w:ind w:firstLine="420" w:firstLineChars="200"/>
        <w:rPr>
          <w:rFonts w:hint="eastAsia" w:ascii="宋体" w:hAnsi="宋体"/>
          <w:sz w:val="21"/>
          <w:szCs w:val="21"/>
        </w:rPr>
      </w:pPr>
      <w:r>
        <w:rPr>
          <w:rFonts w:hint="eastAsia" w:ascii="宋体" w:hAnsi="宋体"/>
          <w:sz w:val="21"/>
          <w:szCs w:val="21"/>
        </w:rPr>
        <w:t>（7）执行生效的基金份额持有人大会的决议；</w:t>
      </w:r>
    </w:p>
    <w:p w14:paraId="3B9F226F">
      <w:pPr>
        <w:snapToGrid w:val="0"/>
        <w:spacing w:line="360" w:lineRule="auto"/>
        <w:ind w:firstLine="420" w:firstLineChars="200"/>
        <w:rPr>
          <w:rFonts w:hint="eastAsia" w:ascii="宋体" w:hAnsi="宋体"/>
          <w:sz w:val="21"/>
          <w:szCs w:val="21"/>
        </w:rPr>
      </w:pPr>
      <w:r>
        <w:rPr>
          <w:rFonts w:hint="eastAsia" w:ascii="宋体" w:hAnsi="宋体"/>
          <w:sz w:val="21"/>
          <w:szCs w:val="21"/>
        </w:rPr>
        <w:t>（8）返还在基金交易过程中因任何原因获得的不当得利；</w:t>
      </w:r>
    </w:p>
    <w:p w14:paraId="288061EE">
      <w:pPr>
        <w:snapToGrid w:val="0"/>
        <w:spacing w:line="360" w:lineRule="auto"/>
        <w:ind w:firstLine="420" w:firstLineChars="200"/>
        <w:rPr>
          <w:rFonts w:hint="eastAsia" w:ascii="宋体" w:hAnsi="宋体"/>
          <w:sz w:val="21"/>
          <w:szCs w:val="21"/>
        </w:rPr>
      </w:pPr>
      <w:r>
        <w:rPr>
          <w:rFonts w:hint="eastAsia" w:ascii="宋体" w:hAnsi="宋体"/>
          <w:sz w:val="21"/>
          <w:szCs w:val="21"/>
        </w:rPr>
        <w:t>（9）法律法规及中国证监会规定的和《基金合同》约定的其他义务。</w:t>
      </w:r>
    </w:p>
    <w:p w14:paraId="30822618">
      <w:pPr>
        <w:snapToGrid w:val="0"/>
        <w:spacing w:line="360" w:lineRule="auto"/>
        <w:ind w:firstLine="420" w:firstLineChars="200"/>
        <w:rPr>
          <w:rFonts w:ascii="宋体" w:hAnsi="宋体"/>
          <w:sz w:val="21"/>
          <w:szCs w:val="21"/>
        </w:rPr>
      </w:pPr>
      <w:r>
        <w:rPr>
          <w:rFonts w:hint="eastAsia" w:ascii="宋体" w:hAnsi="宋体"/>
          <w:sz w:val="21"/>
          <w:szCs w:val="21"/>
        </w:rPr>
        <w:t>（二）基金管理人的权利与义务</w:t>
      </w:r>
    </w:p>
    <w:p w14:paraId="5FCFA6DD">
      <w:pPr>
        <w:snapToGrid w:val="0"/>
        <w:spacing w:line="360" w:lineRule="auto"/>
        <w:ind w:firstLine="420" w:firstLineChars="200"/>
        <w:rPr>
          <w:rFonts w:hint="eastAsia" w:ascii="宋体" w:hAnsi="宋体"/>
          <w:sz w:val="21"/>
          <w:szCs w:val="21"/>
        </w:rPr>
      </w:pPr>
      <w:r>
        <w:rPr>
          <w:rFonts w:hint="eastAsia" w:ascii="宋体" w:hAnsi="宋体"/>
          <w:sz w:val="21"/>
          <w:szCs w:val="21"/>
        </w:rPr>
        <w:t>1、根据《基金法》、《运作办法》及其他有关规定，基金管理人的权利包括但不限于：</w:t>
      </w:r>
    </w:p>
    <w:p w14:paraId="1E2D5FB0">
      <w:pPr>
        <w:snapToGrid w:val="0"/>
        <w:spacing w:line="360" w:lineRule="auto"/>
        <w:ind w:firstLine="420" w:firstLineChars="200"/>
        <w:rPr>
          <w:rFonts w:hint="eastAsia" w:ascii="宋体" w:hAnsi="宋体"/>
          <w:sz w:val="21"/>
          <w:szCs w:val="21"/>
        </w:rPr>
      </w:pPr>
      <w:r>
        <w:rPr>
          <w:rFonts w:hint="eastAsia" w:ascii="宋体" w:hAnsi="宋体"/>
          <w:sz w:val="21"/>
          <w:szCs w:val="21"/>
        </w:rPr>
        <w:t>（1）依法募集资金；</w:t>
      </w:r>
    </w:p>
    <w:p w14:paraId="63542695">
      <w:pPr>
        <w:snapToGrid w:val="0"/>
        <w:spacing w:line="360" w:lineRule="auto"/>
        <w:ind w:firstLine="420" w:firstLineChars="200"/>
        <w:rPr>
          <w:rFonts w:hint="eastAsia" w:ascii="宋体" w:hAnsi="宋体"/>
          <w:sz w:val="21"/>
          <w:szCs w:val="21"/>
        </w:rPr>
      </w:pPr>
      <w:r>
        <w:rPr>
          <w:rFonts w:hint="eastAsia" w:ascii="宋体" w:hAnsi="宋体"/>
          <w:sz w:val="21"/>
          <w:szCs w:val="21"/>
        </w:rPr>
        <w:t>（2）自《基金合同》生效之日起，根据法律法规和《基金合同》独立运用并管理基金财产；</w:t>
      </w:r>
    </w:p>
    <w:p w14:paraId="230F6682">
      <w:pPr>
        <w:snapToGrid w:val="0"/>
        <w:spacing w:line="360" w:lineRule="auto"/>
        <w:ind w:firstLine="420" w:firstLineChars="200"/>
        <w:rPr>
          <w:rFonts w:hint="eastAsia" w:ascii="宋体" w:hAnsi="宋体"/>
          <w:sz w:val="21"/>
          <w:szCs w:val="21"/>
        </w:rPr>
      </w:pPr>
      <w:r>
        <w:rPr>
          <w:rFonts w:hint="eastAsia" w:ascii="宋体" w:hAnsi="宋体"/>
          <w:sz w:val="21"/>
          <w:szCs w:val="21"/>
        </w:rPr>
        <w:t>（3）依照《基金合同》收取基金管理费以及法律法规规定或中国证监会批准的其他费用；</w:t>
      </w:r>
    </w:p>
    <w:p w14:paraId="082E07AA">
      <w:pPr>
        <w:snapToGrid w:val="0"/>
        <w:spacing w:line="360" w:lineRule="auto"/>
        <w:ind w:firstLine="420" w:firstLineChars="200"/>
        <w:rPr>
          <w:rFonts w:hint="eastAsia" w:ascii="宋体" w:hAnsi="宋体"/>
          <w:sz w:val="21"/>
          <w:szCs w:val="21"/>
        </w:rPr>
      </w:pPr>
      <w:r>
        <w:rPr>
          <w:rFonts w:hint="eastAsia" w:ascii="宋体" w:hAnsi="宋体"/>
          <w:sz w:val="21"/>
          <w:szCs w:val="21"/>
        </w:rPr>
        <w:t>（4）销售基金份额；</w:t>
      </w:r>
    </w:p>
    <w:p w14:paraId="7A898AC5">
      <w:pPr>
        <w:snapToGrid w:val="0"/>
        <w:spacing w:line="360" w:lineRule="auto"/>
        <w:ind w:firstLine="420" w:firstLineChars="200"/>
        <w:rPr>
          <w:rFonts w:hint="eastAsia" w:ascii="宋体" w:hAnsi="宋体"/>
          <w:sz w:val="21"/>
          <w:szCs w:val="21"/>
        </w:rPr>
      </w:pPr>
      <w:r>
        <w:rPr>
          <w:rFonts w:hint="eastAsia" w:ascii="宋体" w:hAnsi="宋体"/>
          <w:sz w:val="21"/>
          <w:szCs w:val="21"/>
        </w:rPr>
        <w:t>（5）按照规定召集基金份额持有人大会；</w:t>
      </w:r>
    </w:p>
    <w:p w14:paraId="6479B6CB">
      <w:pPr>
        <w:snapToGrid w:val="0"/>
        <w:spacing w:line="360" w:lineRule="auto"/>
        <w:ind w:firstLine="420" w:firstLineChars="200"/>
        <w:rPr>
          <w:rFonts w:hint="eastAsia" w:ascii="宋体" w:hAnsi="宋体"/>
          <w:sz w:val="21"/>
          <w:szCs w:val="21"/>
        </w:rPr>
      </w:pPr>
      <w:r>
        <w:rPr>
          <w:rFonts w:hint="eastAsia" w:ascii="宋体" w:hAnsi="宋体"/>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40AB4D94">
      <w:pPr>
        <w:snapToGrid w:val="0"/>
        <w:spacing w:line="360" w:lineRule="auto"/>
        <w:ind w:firstLine="420" w:firstLineChars="200"/>
        <w:rPr>
          <w:rFonts w:hint="eastAsia" w:ascii="宋体" w:hAnsi="宋体"/>
          <w:sz w:val="21"/>
          <w:szCs w:val="21"/>
        </w:rPr>
      </w:pPr>
      <w:r>
        <w:rPr>
          <w:rFonts w:hint="eastAsia" w:ascii="宋体" w:hAnsi="宋体"/>
          <w:sz w:val="21"/>
          <w:szCs w:val="21"/>
        </w:rPr>
        <w:t>（7）在基金托管人更换时，提名新的基金托管人；</w:t>
      </w:r>
    </w:p>
    <w:p w14:paraId="534E59A3">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（8）选择、更换基金销售机构，对基金销售机构的相关行为进行监督和处理； </w:t>
      </w:r>
    </w:p>
    <w:p w14:paraId="567538A7">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（9）担任或委托其他符合条件的机构担任基金登记机构办理基金登记业务并获得《基金合同》规定的费用； </w:t>
      </w:r>
    </w:p>
    <w:p w14:paraId="2A314B5D">
      <w:pPr>
        <w:snapToGrid w:val="0"/>
        <w:spacing w:line="360" w:lineRule="auto"/>
        <w:ind w:firstLine="420" w:firstLineChars="200"/>
        <w:rPr>
          <w:rFonts w:hint="eastAsia" w:ascii="宋体" w:hAnsi="宋体"/>
          <w:sz w:val="21"/>
          <w:szCs w:val="21"/>
        </w:rPr>
      </w:pPr>
      <w:r>
        <w:rPr>
          <w:rFonts w:hint="eastAsia" w:ascii="宋体" w:hAnsi="宋体"/>
          <w:sz w:val="21"/>
          <w:szCs w:val="21"/>
        </w:rPr>
        <w:t>（10）依据《基金合同》及有关法律规定决定基金收益的分配方案；</w:t>
      </w:r>
      <w:r>
        <w:rPr>
          <w:rFonts w:hint="eastAsia" w:ascii="宋体" w:hAnsi="宋体"/>
          <w:sz w:val="21"/>
          <w:szCs w:val="21"/>
        </w:rPr>
        <w:tab/>
      </w:r>
    </w:p>
    <w:p w14:paraId="7776221B">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（11）在《基金合同》约定的范围内，拒绝或暂停受理申购与赎回申请； </w:t>
      </w:r>
    </w:p>
    <w:p w14:paraId="3F8C3E46">
      <w:pPr>
        <w:snapToGrid w:val="0"/>
        <w:spacing w:line="360" w:lineRule="auto"/>
        <w:ind w:firstLine="420" w:firstLineChars="200"/>
        <w:rPr>
          <w:rFonts w:hint="eastAsia" w:ascii="宋体" w:hAnsi="宋体"/>
          <w:sz w:val="21"/>
          <w:szCs w:val="21"/>
        </w:rPr>
      </w:pPr>
      <w:r>
        <w:rPr>
          <w:rFonts w:hint="eastAsia" w:ascii="宋体" w:hAnsi="宋体"/>
          <w:sz w:val="21"/>
          <w:szCs w:val="21"/>
        </w:rPr>
        <w:t>（12）依照法律法规为基金的利益对被投资公司行使股东权利，为基金的利益行使因基金财产投资于证券所产生的权利；</w:t>
      </w:r>
    </w:p>
    <w:p w14:paraId="375D84EE">
      <w:pPr>
        <w:snapToGrid w:val="0"/>
        <w:spacing w:line="360" w:lineRule="auto"/>
        <w:ind w:firstLine="420" w:firstLineChars="200"/>
        <w:rPr>
          <w:rFonts w:hint="eastAsia" w:ascii="宋体" w:hAnsi="宋体"/>
          <w:sz w:val="21"/>
          <w:szCs w:val="21"/>
        </w:rPr>
      </w:pPr>
      <w:r>
        <w:rPr>
          <w:rFonts w:hint="eastAsia" w:ascii="宋体" w:hAnsi="宋体"/>
          <w:sz w:val="21"/>
          <w:szCs w:val="21"/>
        </w:rPr>
        <w:t>（13）在法律法规允许的前提下，为基金的利益依法为基金进行融资和转融通证券出借业务；</w:t>
      </w:r>
    </w:p>
    <w:p w14:paraId="0B747375">
      <w:pPr>
        <w:snapToGrid w:val="0"/>
        <w:spacing w:line="360" w:lineRule="auto"/>
        <w:ind w:firstLine="420" w:firstLineChars="200"/>
        <w:rPr>
          <w:rFonts w:hint="eastAsia" w:ascii="宋体" w:hAnsi="宋体"/>
          <w:sz w:val="21"/>
          <w:szCs w:val="21"/>
        </w:rPr>
      </w:pPr>
      <w:r>
        <w:rPr>
          <w:rFonts w:hint="eastAsia" w:ascii="宋体" w:hAnsi="宋体"/>
          <w:sz w:val="21"/>
          <w:szCs w:val="21"/>
        </w:rPr>
        <w:t>（14）以基金管理人的名义，代表基金份额持有人的利益行使诉讼权利或者实施其他法律行为；</w:t>
      </w:r>
      <w:r>
        <w:rPr>
          <w:rFonts w:hint="eastAsia" w:ascii="宋体" w:hAnsi="宋体"/>
          <w:sz w:val="21"/>
          <w:szCs w:val="21"/>
        </w:rPr>
        <w:tab/>
      </w:r>
    </w:p>
    <w:p w14:paraId="433B005E">
      <w:pPr>
        <w:snapToGrid w:val="0"/>
        <w:spacing w:line="360" w:lineRule="auto"/>
        <w:ind w:firstLine="420" w:firstLineChars="200"/>
        <w:rPr>
          <w:rFonts w:hint="eastAsia" w:ascii="宋体" w:hAnsi="宋体"/>
          <w:sz w:val="21"/>
          <w:szCs w:val="21"/>
        </w:rPr>
      </w:pPr>
      <w:r>
        <w:rPr>
          <w:rFonts w:hint="eastAsia" w:ascii="宋体" w:hAnsi="宋体"/>
          <w:sz w:val="21"/>
          <w:szCs w:val="21"/>
        </w:rPr>
        <w:t>（15）选择、更换律师事务所、会计师事务所、证券、期货经纪商或其他为基金提供服务的外部机构；</w:t>
      </w:r>
      <w:r>
        <w:rPr>
          <w:rFonts w:hint="eastAsia" w:ascii="宋体" w:hAnsi="宋体"/>
          <w:sz w:val="21"/>
          <w:szCs w:val="21"/>
        </w:rPr>
        <w:tab/>
      </w:r>
    </w:p>
    <w:p w14:paraId="376DF78A">
      <w:pPr>
        <w:snapToGrid w:val="0"/>
        <w:spacing w:line="360" w:lineRule="auto"/>
        <w:ind w:firstLine="420" w:firstLineChars="200"/>
        <w:rPr>
          <w:rFonts w:hint="eastAsia" w:ascii="宋体" w:hAnsi="宋体"/>
          <w:sz w:val="21"/>
          <w:szCs w:val="21"/>
        </w:rPr>
      </w:pPr>
      <w:r>
        <w:rPr>
          <w:rFonts w:hint="eastAsia" w:ascii="宋体" w:hAnsi="宋体"/>
          <w:sz w:val="21"/>
          <w:szCs w:val="21"/>
        </w:rPr>
        <w:t>（16）在符合有关法律、法规、相关证券交易所及登记机构相关业务规则的规定及基金合同的前提下，制订和调整有关基金认购、申购、赎回等业务规则；</w:t>
      </w:r>
    </w:p>
    <w:p w14:paraId="3EBF0962">
      <w:pPr>
        <w:snapToGrid w:val="0"/>
        <w:spacing w:line="360" w:lineRule="auto"/>
        <w:ind w:firstLine="420" w:firstLineChars="200"/>
        <w:rPr>
          <w:rFonts w:hint="eastAsia" w:ascii="宋体" w:hAnsi="宋体"/>
          <w:sz w:val="21"/>
          <w:szCs w:val="21"/>
        </w:rPr>
      </w:pPr>
      <w:r>
        <w:rPr>
          <w:rFonts w:hint="eastAsia" w:ascii="宋体" w:hAnsi="宋体"/>
          <w:sz w:val="21"/>
          <w:szCs w:val="21"/>
        </w:rPr>
        <w:t>（17）法律法规及中国证监会规定的和《基金合同》约定的其他权利。</w:t>
      </w:r>
    </w:p>
    <w:p w14:paraId="1D7192EB">
      <w:pPr>
        <w:snapToGrid w:val="0"/>
        <w:spacing w:line="360" w:lineRule="auto"/>
        <w:ind w:firstLine="420" w:firstLineChars="200"/>
        <w:rPr>
          <w:rFonts w:hint="eastAsia" w:ascii="宋体" w:hAnsi="宋体"/>
          <w:sz w:val="21"/>
          <w:szCs w:val="21"/>
        </w:rPr>
      </w:pPr>
      <w:r>
        <w:rPr>
          <w:rFonts w:hint="eastAsia" w:ascii="宋体" w:hAnsi="宋体"/>
          <w:sz w:val="21"/>
          <w:szCs w:val="21"/>
        </w:rPr>
        <w:t>2、根据《基金法》、《运作办法》及其他有关规定，基金管理人的义务包括但不限于：</w:t>
      </w:r>
    </w:p>
    <w:p w14:paraId="741007EC">
      <w:pPr>
        <w:snapToGrid w:val="0"/>
        <w:spacing w:line="360" w:lineRule="auto"/>
        <w:ind w:firstLine="420" w:firstLineChars="200"/>
        <w:rPr>
          <w:rFonts w:hint="eastAsia" w:ascii="宋体" w:hAnsi="宋体"/>
          <w:sz w:val="21"/>
          <w:szCs w:val="21"/>
        </w:rPr>
      </w:pPr>
      <w:r>
        <w:rPr>
          <w:rFonts w:hint="eastAsia" w:ascii="宋体" w:hAnsi="宋体"/>
          <w:sz w:val="21"/>
          <w:szCs w:val="21"/>
        </w:rPr>
        <w:t>（1）依法募集资金，办理或者委托经中国证监会认定的其他机构代为办理基金份额的发售、申购、赎回和登记事宜；</w:t>
      </w:r>
    </w:p>
    <w:p w14:paraId="3B5F0DC6">
      <w:pPr>
        <w:snapToGrid w:val="0"/>
        <w:spacing w:line="360" w:lineRule="auto"/>
        <w:ind w:firstLine="420" w:firstLineChars="200"/>
        <w:rPr>
          <w:rFonts w:hint="eastAsia" w:ascii="宋体" w:hAnsi="宋体"/>
          <w:sz w:val="21"/>
          <w:szCs w:val="21"/>
        </w:rPr>
      </w:pPr>
      <w:r>
        <w:rPr>
          <w:rFonts w:hint="eastAsia" w:ascii="宋体" w:hAnsi="宋体"/>
          <w:sz w:val="21"/>
          <w:szCs w:val="21"/>
        </w:rPr>
        <w:t>（2）办理基金备案手续；</w:t>
      </w:r>
    </w:p>
    <w:p w14:paraId="0FF2BBBD">
      <w:pPr>
        <w:snapToGrid w:val="0"/>
        <w:spacing w:line="360" w:lineRule="auto"/>
        <w:ind w:firstLine="420" w:firstLineChars="200"/>
        <w:rPr>
          <w:rFonts w:hint="eastAsia" w:ascii="宋体" w:hAnsi="宋体"/>
          <w:sz w:val="21"/>
          <w:szCs w:val="21"/>
        </w:rPr>
      </w:pPr>
      <w:r>
        <w:rPr>
          <w:rFonts w:hint="eastAsia" w:ascii="宋体" w:hAnsi="宋体"/>
          <w:sz w:val="21"/>
          <w:szCs w:val="21"/>
        </w:rPr>
        <w:t>（3）自《基金合同》生效之日起，以诚实信用、谨慎勤勉的原则管理和运用基金财产；</w:t>
      </w:r>
    </w:p>
    <w:p w14:paraId="6769CA29">
      <w:pPr>
        <w:snapToGrid w:val="0"/>
        <w:spacing w:line="360" w:lineRule="auto"/>
        <w:ind w:firstLine="420" w:firstLineChars="200"/>
        <w:rPr>
          <w:rFonts w:hint="eastAsia" w:ascii="宋体" w:hAnsi="宋体"/>
          <w:sz w:val="21"/>
          <w:szCs w:val="21"/>
        </w:rPr>
      </w:pPr>
      <w:r>
        <w:rPr>
          <w:rFonts w:hint="eastAsia" w:ascii="宋体" w:hAnsi="宋体"/>
          <w:sz w:val="21"/>
          <w:szCs w:val="21"/>
        </w:rPr>
        <w:t>（4）配备足够的具有专业资格的人员进行基金投资分析、决策，以专业化的经营方式管理和运作基金财产；</w:t>
      </w:r>
    </w:p>
    <w:p w14:paraId="55B87AA9">
      <w:pPr>
        <w:snapToGrid w:val="0"/>
        <w:spacing w:line="360" w:lineRule="auto"/>
        <w:ind w:firstLine="420" w:firstLineChars="200"/>
        <w:rPr>
          <w:rFonts w:hint="eastAsia" w:ascii="宋体" w:hAnsi="宋体"/>
          <w:sz w:val="21"/>
          <w:szCs w:val="21"/>
        </w:rPr>
      </w:pPr>
      <w:r>
        <w:rPr>
          <w:rFonts w:hint="eastAsia" w:ascii="宋体" w:hAnsi="宋体"/>
          <w:sz w:val="21"/>
          <w:szCs w:val="21"/>
        </w:rPr>
        <w:t>（5）建立健全内部风险控制、监察与稽核、财务管理及人事管理等制度，保证所管理的基金财产和基金管理人的财产相互独立，对所管理的不同基金分别管理，分别记账，进行证券投资；</w:t>
      </w:r>
    </w:p>
    <w:p w14:paraId="646126B6">
      <w:pPr>
        <w:snapToGrid w:val="0"/>
        <w:spacing w:line="360" w:lineRule="auto"/>
        <w:ind w:firstLine="420" w:firstLineChars="200"/>
        <w:rPr>
          <w:rFonts w:hint="eastAsia" w:ascii="宋体" w:hAnsi="宋体"/>
          <w:sz w:val="21"/>
          <w:szCs w:val="21"/>
        </w:rPr>
      </w:pPr>
      <w:r>
        <w:rPr>
          <w:rFonts w:hint="eastAsia" w:ascii="宋体" w:hAnsi="宋体"/>
          <w:sz w:val="21"/>
          <w:szCs w:val="21"/>
        </w:rPr>
        <w:t>（6）除依据《基金法》、《基金合同》及其他有关规定外，不得利用基金财产为自己及任何第三人谋取利益，不得委托第三人运作基金财产；</w:t>
      </w:r>
    </w:p>
    <w:p w14:paraId="03DF32CB">
      <w:pPr>
        <w:snapToGrid w:val="0"/>
        <w:spacing w:line="360" w:lineRule="auto"/>
        <w:ind w:firstLine="420" w:firstLineChars="200"/>
        <w:rPr>
          <w:rFonts w:hint="eastAsia" w:ascii="宋体" w:hAnsi="宋体"/>
          <w:sz w:val="21"/>
          <w:szCs w:val="21"/>
        </w:rPr>
      </w:pPr>
      <w:r>
        <w:rPr>
          <w:rFonts w:hint="eastAsia" w:ascii="宋体" w:hAnsi="宋体"/>
          <w:sz w:val="21"/>
          <w:szCs w:val="21"/>
        </w:rPr>
        <w:t>（7）依法接受基金托管人的监督；</w:t>
      </w:r>
    </w:p>
    <w:p w14:paraId="0AD81CEC">
      <w:pPr>
        <w:snapToGrid w:val="0"/>
        <w:spacing w:line="360" w:lineRule="auto"/>
        <w:ind w:firstLine="420" w:firstLineChars="200"/>
        <w:rPr>
          <w:rFonts w:hint="eastAsia" w:ascii="宋体" w:hAnsi="宋体"/>
          <w:sz w:val="21"/>
          <w:szCs w:val="21"/>
        </w:rPr>
      </w:pPr>
      <w:r>
        <w:rPr>
          <w:rFonts w:hint="eastAsia" w:ascii="宋体" w:hAnsi="宋体"/>
          <w:sz w:val="21"/>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36BC389B">
      <w:pPr>
        <w:snapToGrid w:val="0"/>
        <w:spacing w:line="360" w:lineRule="auto"/>
        <w:ind w:firstLine="420" w:firstLineChars="200"/>
        <w:rPr>
          <w:rFonts w:hint="eastAsia" w:ascii="宋体" w:hAnsi="宋体"/>
          <w:sz w:val="21"/>
          <w:szCs w:val="21"/>
        </w:rPr>
      </w:pPr>
      <w:r>
        <w:rPr>
          <w:rFonts w:hint="eastAsia" w:ascii="宋体" w:hAnsi="宋体"/>
          <w:sz w:val="21"/>
          <w:szCs w:val="21"/>
        </w:rPr>
        <w:t>（9）进行基金会计核算并编制基金财务会计报告；</w:t>
      </w:r>
    </w:p>
    <w:p w14:paraId="6EA9A782">
      <w:pPr>
        <w:snapToGrid w:val="0"/>
        <w:spacing w:line="360" w:lineRule="auto"/>
        <w:ind w:firstLine="420" w:firstLineChars="200"/>
        <w:rPr>
          <w:rFonts w:hint="eastAsia" w:ascii="宋体" w:hAnsi="宋体"/>
          <w:sz w:val="21"/>
          <w:szCs w:val="21"/>
        </w:rPr>
      </w:pPr>
      <w:r>
        <w:rPr>
          <w:rFonts w:hint="eastAsia" w:ascii="宋体" w:hAnsi="宋体"/>
          <w:sz w:val="21"/>
          <w:szCs w:val="21"/>
        </w:rPr>
        <w:t>（10）编制季度报告、中期报告和年度报告；</w:t>
      </w:r>
    </w:p>
    <w:p w14:paraId="6234F92A">
      <w:pPr>
        <w:snapToGrid w:val="0"/>
        <w:spacing w:line="360" w:lineRule="auto"/>
        <w:ind w:firstLine="420" w:firstLineChars="200"/>
        <w:rPr>
          <w:rFonts w:hint="eastAsia" w:ascii="宋体" w:hAnsi="宋体"/>
          <w:sz w:val="21"/>
          <w:szCs w:val="21"/>
        </w:rPr>
      </w:pPr>
      <w:r>
        <w:rPr>
          <w:rFonts w:hint="eastAsia" w:ascii="宋体" w:hAnsi="宋体"/>
          <w:sz w:val="21"/>
          <w:szCs w:val="21"/>
        </w:rPr>
        <w:t>（11）严格按照《基金法》、《基金合同》及其他有关规定，履行信息披露及报告义务；</w:t>
      </w:r>
    </w:p>
    <w:p w14:paraId="3B07A454">
      <w:pPr>
        <w:snapToGrid w:val="0"/>
        <w:spacing w:line="360" w:lineRule="auto"/>
        <w:ind w:firstLine="420" w:firstLineChars="200"/>
        <w:rPr>
          <w:rFonts w:hint="eastAsia" w:ascii="宋体" w:hAnsi="宋体"/>
          <w:sz w:val="21"/>
          <w:szCs w:val="21"/>
        </w:rPr>
      </w:pPr>
      <w:r>
        <w:rPr>
          <w:rFonts w:hint="eastAsia" w:ascii="宋体" w:hAnsi="宋体"/>
          <w:sz w:val="21"/>
          <w:szCs w:val="21"/>
        </w:rPr>
        <w:t>（12）保守基金商业秘密，不泄露基金投资计划、投资意向等。除《基金法》、《基金合同》及其他有关规定另有规定外，在基金信息公开披露前应予保密，不向他人泄露，向审计、法律等外部专业顾问提供的情况除外；</w:t>
      </w:r>
    </w:p>
    <w:p w14:paraId="49E24122">
      <w:pPr>
        <w:snapToGrid w:val="0"/>
        <w:spacing w:line="360" w:lineRule="auto"/>
        <w:ind w:firstLine="420" w:firstLineChars="200"/>
        <w:rPr>
          <w:rFonts w:hint="eastAsia" w:ascii="宋体" w:hAnsi="宋体"/>
          <w:sz w:val="21"/>
          <w:szCs w:val="21"/>
        </w:rPr>
      </w:pPr>
      <w:r>
        <w:rPr>
          <w:rFonts w:hint="eastAsia" w:ascii="宋体" w:hAnsi="宋体"/>
          <w:sz w:val="21"/>
          <w:szCs w:val="21"/>
        </w:rPr>
        <w:t>（13）按《基金合同》的约定确定基金收益分配方案，及时向基金份额持有人分配基金收益；</w:t>
      </w:r>
    </w:p>
    <w:p w14:paraId="11C48085">
      <w:pPr>
        <w:snapToGrid w:val="0"/>
        <w:spacing w:line="360" w:lineRule="auto"/>
        <w:ind w:firstLine="420" w:firstLineChars="200"/>
        <w:rPr>
          <w:rFonts w:hint="eastAsia" w:ascii="宋体" w:hAnsi="宋体"/>
          <w:sz w:val="21"/>
          <w:szCs w:val="21"/>
        </w:rPr>
      </w:pPr>
      <w:r>
        <w:rPr>
          <w:rFonts w:hint="eastAsia" w:ascii="宋体" w:hAnsi="宋体"/>
          <w:sz w:val="21"/>
          <w:szCs w:val="21"/>
        </w:rPr>
        <w:t>（14）按规定受理申购与赎回申请，及时、足额支付赎回对价；</w:t>
      </w:r>
    </w:p>
    <w:p w14:paraId="20136D9B">
      <w:pPr>
        <w:snapToGrid w:val="0"/>
        <w:spacing w:line="360" w:lineRule="auto"/>
        <w:ind w:firstLine="420" w:firstLineChars="200"/>
        <w:rPr>
          <w:rFonts w:hint="eastAsia" w:ascii="宋体" w:hAnsi="宋体"/>
          <w:sz w:val="21"/>
          <w:szCs w:val="21"/>
        </w:rPr>
      </w:pPr>
      <w:r>
        <w:rPr>
          <w:rFonts w:hint="eastAsia" w:ascii="宋体" w:hAnsi="宋体"/>
          <w:sz w:val="21"/>
          <w:szCs w:val="21"/>
        </w:rPr>
        <w:t>（15）依据《基金法》、《基金合同》及其他有关规定召集基金份额持有人大会或配合基金托管人、基金份额持有人依法召集基金份额持有人大会；</w:t>
      </w:r>
    </w:p>
    <w:p w14:paraId="741454D7">
      <w:pPr>
        <w:snapToGrid w:val="0"/>
        <w:spacing w:line="360" w:lineRule="auto"/>
        <w:ind w:firstLine="420" w:firstLineChars="200"/>
        <w:rPr>
          <w:rFonts w:hint="eastAsia" w:ascii="宋体" w:hAnsi="宋体"/>
          <w:sz w:val="21"/>
          <w:szCs w:val="21"/>
        </w:rPr>
      </w:pPr>
      <w:r>
        <w:rPr>
          <w:rFonts w:hint="eastAsia" w:ascii="宋体" w:hAnsi="宋体"/>
          <w:sz w:val="21"/>
          <w:szCs w:val="21"/>
        </w:rPr>
        <w:t>（16）按规定保存基金财产管理业务活动的会计账册、报表、记录和其他相关资料，保存期限不低于法定最低期限；</w:t>
      </w:r>
    </w:p>
    <w:p w14:paraId="3303A516">
      <w:pPr>
        <w:snapToGrid w:val="0"/>
        <w:spacing w:line="360" w:lineRule="auto"/>
        <w:ind w:firstLine="420" w:firstLineChars="200"/>
        <w:rPr>
          <w:rFonts w:hint="eastAsia" w:ascii="宋体" w:hAnsi="宋体"/>
          <w:sz w:val="21"/>
          <w:szCs w:val="21"/>
        </w:rPr>
      </w:pPr>
      <w:r>
        <w:rPr>
          <w:rFonts w:hint="eastAsia" w:ascii="宋体" w:hAnsi="宋体"/>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D104198">
      <w:pPr>
        <w:snapToGrid w:val="0"/>
        <w:spacing w:line="360" w:lineRule="auto"/>
        <w:ind w:firstLine="420" w:firstLineChars="200"/>
        <w:rPr>
          <w:rFonts w:hint="eastAsia" w:ascii="宋体" w:hAnsi="宋体"/>
          <w:sz w:val="21"/>
          <w:szCs w:val="21"/>
        </w:rPr>
      </w:pPr>
      <w:r>
        <w:rPr>
          <w:rFonts w:hint="eastAsia" w:ascii="宋体" w:hAnsi="宋体"/>
          <w:sz w:val="21"/>
          <w:szCs w:val="21"/>
        </w:rPr>
        <w:t>（18）组织并参加基金财产清算小组，参与基金财产的保管、清理、估价、变现和分配；</w:t>
      </w:r>
    </w:p>
    <w:p w14:paraId="1BBC6FF5">
      <w:pPr>
        <w:snapToGrid w:val="0"/>
        <w:spacing w:line="360" w:lineRule="auto"/>
        <w:ind w:firstLine="420" w:firstLineChars="200"/>
        <w:rPr>
          <w:rFonts w:hint="eastAsia" w:ascii="宋体" w:hAnsi="宋体"/>
          <w:sz w:val="21"/>
          <w:szCs w:val="21"/>
        </w:rPr>
      </w:pPr>
      <w:r>
        <w:rPr>
          <w:rFonts w:hint="eastAsia" w:ascii="宋体" w:hAnsi="宋体"/>
          <w:sz w:val="21"/>
          <w:szCs w:val="21"/>
        </w:rPr>
        <w:t>（19）面临解散、依法被撤销或者被依法宣告破产时，及时报告中国证监会和银行业监督管理机构，并通知基金托管人；</w:t>
      </w:r>
    </w:p>
    <w:p w14:paraId="60DCA64D">
      <w:pPr>
        <w:snapToGrid w:val="0"/>
        <w:spacing w:line="360" w:lineRule="auto"/>
        <w:ind w:firstLine="420" w:firstLineChars="200"/>
        <w:rPr>
          <w:rFonts w:hint="eastAsia" w:ascii="宋体" w:hAnsi="宋体"/>
          <w:sz w:val="21"/>
          <w:szCs w:val="21"/>
        </w:rPr>
      </w:pPr>
      <w:r>
        <w:rPr>
          <w:rFonts w:hint="eastAsia" w:ascii="宋体" w:hAnsi="宋体"/>
          <w:sz w:val="21"/>
          <w:szCs w:val="21"/>
        </w:rPr>
        <w:t>（20）因违反《基金合同》导致基金财产的损失或损害基金份额持有人合法权益时，应当承担赔偿责任，其赔偿责任不因其退任而免除；</w:t>
      </w:r>
    </w:p>
    <w:p w14:paraId="5B280F4E">
      <w:pPr>
        <w:snapToGrid w:val="0"/>
        <w:spacing w:line="360" w:lineRule="auto"/>
        <w:ind w:firstLine="420" w:firstLineChars="200"/>
        <w:rPr>
          <w:rFonts w:hint="eastAsia" w:ascii="宋体" w:hAnsi="宋体"/>
          <w:sz w:val="21"/>
          <w:szCs w:val="21"/>
        </w:rPr>
      </w:pPr>
      <w:r>
        <w:rPr>
          <w:rFonts w:hint="eastAsia" w:ascii="宋体" w:hAnsi="宋体"/>
          <w:sz w:val="21"/>
          <w:szCs w:val="21"/>
        </w:rPr>
        <w:t>（21）监督基金托管人按法律法规和《基金合同》规定履行自己的义务，基金托管人违反《基金合同》造成基金财产损失时，基金管理人应为基金份额持有人利益向基金托管人追偿；</w:t>
      </w:r>
    </w:p>
    <w:p w14:paraId="5CD9D38D">
      <w:pPr>
        <w:snapToGrid w:val="0"/>
        <w:spacing w:line="360" w:lineRule="auto"/>
        <w:ind w:firstLine="420" w:firstLineChars="200"/>
        <w:rPr>
          <w:rFonts w:hint="eastAsia" w:ascii="宋体" w:hAnsi="宋体"/>
          <w:sz w:val="21"/>
          <w:szCs w:val="21"/>
        </w:rPr>
      </w:pPr>
      <w:r>
        <w:rPr>
          <w:rFonts w:hint="eastAsia" w:ascii="宋体" w:hAnsi="宋体"/>
          <w:sz w:val="21"/>
          <w:szCs w:val="21"/>
        </w:rPr>
        <w:t>（22）当基金管理人将其义务委托第三方处理时，应当对第三方处理有关基金事务的行为承担责任；</w:t>
      </w:r>
    </w:p>
    <w:p w14:paraId="7B3D5E88">
      <w:pPr>
        <w:snapToGrid w:val="0"/>
        <w:spacing w:line="360" w:lineRule="auto"/>
        <w:ind w:firstLine="420" w:firstLineChars="200"/>
        <w:rPr>
          <w:rFonts w:hint="eastAsia" w:ascii="宋体" w:hAnsi="宋体"/>
          <w:sz w:val="21"/>
          <w:szCs w:val="21"/>
        </w:rPr>
      </w:pPr>
      <w:r>
        <w:rPr>
          <w:rFonts w:hint="eastAsia" w:ascii="宋体" w:hAnsi="宋体"/>
          <w:sz w:val="21"/>
          <w:szCs w:val="21"/>
        </w:rPr>
        <w:t>（23）以基金管理人名义，代表基金份额持有人利益行使诉讼权利或实施其他法律行为；</w:t>
      </w:r>
    </w:p>
    <w:p w14:paraId="2200CB23">
      <w:pPr>
        <w:snapToGrid w:val="0"/>
        <w:spacing w:line="360" w:lineRule="auto"/>
        <w:ind w:firstLine="420" w:firstLineChars="200"/>
        <w:rPr>
          <w:rFonts w:hint="eastAsia" w:ascii="宋体" w:hAnsi="宋体"/>
          <w:sz w:val="21"/>
          <w:szCs w:val="21"/>
        </w:rPr>
      </w:pPr>
      <w:r>
        <w:rPr>
          <w:rFonts w:hint="eastAsia" w:ascii="宋体" w:hAnsi="宋体"/>
          <w:sz w:val="21"/>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703303DD">
      <w:pPr>
        <w:snapToGrid w:val="0"/>
        <w:spacing w:line="360" w:lineRule="auto"/>
        <w:ind w:firstLine="420" w:firstLineChars="200"/>
        <w:rPr>
          <w:rFonts w:hint="eastAsia" w:ascii="宋体" w:hAnsi="宋体"/>
          <w:sz w:val="21"/>
          <w:szCs w:val="21"/>
        </w:rPr>
      </w:pPr>
      <w:r>
        <w:rPr>
          <w:rFonts w:hint="eastAsia" w:ascii="宋体" w:hAnsi="宋体"/>
          <w:sz w:val="21"/>
          <w:szCs w:val="21"/>
        </w:rPr>
        <w:t>（25）执行生效的基金份额持有人大会的决议；</w:t>
      </w:r>
    </w:p>
    <w:p w14:paraId="223760D5">
      <w:pPr>
        <w:snapToGrid w:val="0"/>
        <w:spacing w:line="360" w:lineRule="auto"/>
        <w:ind w:firstLine="420" w:firstLineChars="200"/>
        <w:rPr>
          <w:rFonts w:hint="eastAsia" w:ascii="宋体" w:hAnsi="宋体"/>
          <w:sz w:val="21"/>
          <w:szCs w:val="21"/>
        </w:rPr>
      </w:pPr>
      <w:r>
        <w:rPr>
          <w:rFonts w:hint="eastAsia" w:ascii="宋体" w:hAnsi="宋体"/>
          <w:sz w:val="21"/>
          <w:szCs w:val="21"/>
        </w:rPr>
        <w:t>（26）建立并保存基金份额持有人名册；</w:t>
      </w:r>
    </w:p>
    <w:p w14:paraId="567A62FB">
      <w:pPr>
        <w:snapToGrid w:val="0"/>
        <w:spacing w:line="360" w:lineRule="auto"/>
        <w:ind w:firstLine="420" w:firstLineChars="200"/>
        <w:rPr>
          <w:rFonts w:hint="eastAsia" w:ascii="宋体" w:hAnsi="宋体"/>
          <w:sz w:val="21"/>
          <w:szCs w:val="21"/>
        </w:rPr>
      </w:pPr>
      <w:r>
        <w:rPr>
          <w:rFonts w:hint="eastAsia" w:ascii="宋体" w:hAnsi="宋体"/>
          <w:sz w:val="21"/>
          <w:szCs w:val="21"/>
        </w:rPr>
        <w:t>（27）法律法规及中国证监会规定的和《基金合同》约定的其他义务。</w:t>
      </w:r>
    </w:p>
    <w:p w14:paraId="3BE5EE83">
      <w:pPr>
        <w:snapToGrid w:val="0"/>
        <w:spacing w:line="360" w:lineRule="auto"/>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w:t>
      </w:r>
      <w:r>
        <w:rPr>
          <w:rFonts w:ascii="宋体" w:hAnsi="宋体"/>
          <w:sz w:val="21"/>
          <w:szCs w:val="21"/>
        </w:rPr>
        <w:tab/>
      </w:r>
      <w:r>
        <w:rPr>
          <w:rFonts w:ascii="宋体" w:hAnsi="宋体"/>
          <w:sz w:val="21"/>
          <w:szCs w:val="21"/>
        </w:rPr>
        <w:t>基金托管人的权利与义务</w:t>
      </w:r>
    </w:p>
    <w:p w14:paraId="5787535D">
      <w:pPr>
        <w:snapToGrid w:val="0"/>
        <w:spacing w:line="360" w:lineRule="auto"/>
        <w:ind w:firstLine="420" w:firstLineChars="200"/>
        <w:rPr>
          <w:rFonts w:hint="eastAsia" w:ascii="宋体" w:hAnsi="宋体"/>
          <w:sz w:val="21"/>
          <w:szCs w:val="21"/>
        </w:rPr>
      </w:pPr>
      <w:r>
        <w:rPr>
          <w:rFonts w:hint="eastAsia" w:ascii="宋体" w:hAnsi="宋体"/>
          <w:sz w:val="21"/>
          <w:szCs w:val="21"/>
        </w:rPr>
        <w:t>1、根据《基金法》、《运作办法》及其他有关规定，基金托管人的权利包括但不限于：</w:t>
      </w:r>
    </w:p>
    <w:p w14:paraId="1B38E994">
      <w:pPr>
        <w:snapToGrid w:val="0"/>
        <w:spacing w:line="360" w:lineRule="auto"/>
        <w:ind w:firstLine="420" w:firstLineChars="200"/>
        <w:rPr>
          <w:rFonts w:hint="eastAsia" w:ascii="宋体" w:hAnsi="宋体"/>
          <w:sz w:val="21"/>
          <w:szCs w:val="21"/>
        </w:rPr>
      </w:pPr>
      <w:r>
        <w:rPr>
          <w:rFonts w:hint="eastAsia" w:ascii="宋体" w:hAnsi="宋体"/>
          <w:sz w:val="21"/>
          <w:szCs w:val="21"/>
        </w:rPr>
        <w:t>（1）自《基金合同》生效之日起，依法律法规和《基金合同》的规定安全保管基金财产；</w:t>
      </w:r>
    </w:p>
    <w:p w14:paraId="472B9085">
      <w:pPr>
        <w:snapToGrid w:val="0"/>
        <w:spacing w:line="360" w:lineRule="auto"/>
        <w:ind w:firstLine="420" w:firstLineChars="200"/>
        <w:rPr>
          <w:rFonts w:hint="eastAsia" w:ascii="宋体" w:hAnsi="宋体"/>
          <w:sz w:val="21"/>
          <w:szCs w:val="21"/>
        </w:rPr>
      </w:pPr>
      <w:r>
        <w:rPr>
          <w:rFonts w:hint="eastAsia" w:ascii="宋体" w:hAnsi="宋体"/>
          <w:sz w:val="21"/>
          <w:szCs w:val="21"/>
        </w:rPr>
        <w:t>（2）依《基金合同》约定获得基金托管费以及法律法规规定或监管部门批准的其他费用；</w:t>
      </w:r>
    </w:p>
    <w:p w14:paraId="68EDA3F8">
      <w:pPr>
        <w:snapToGrid w:val="0"/>
        <w:spacing w:line="360" w:lineRule="auto"/>
        <w:ind w:firstLine="420" w:firstLineChars="200"/>
        <w:rPr>
          <w:rFonts w:hint="eastAsia" w:ascii="宋体" w:hAnsi="宋体"/>
          <w:sz w:val="21"/>
          <w:szCs w:val="21"/>
        </w:rPr>
      </w:pPr>
      <w:r>
        <w:rPr>
          <w:rFonts w:hint="eastAsia" w:ascii="宋体" w:hAnsi="宋体"/>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E26C135">
      <w:pPr>
        <w:snapToGrid w:val="0"/>
        <w:spacing w:line="360" w:lineRule="auto"/>
        <w:ind w:firstLine="420" w:firstLineChars="200"/>
        <w:rPr>
          <w:rFonts w:hint="eastAsia" w:ascii="宋体" w:hAnsi="宋体"/>
          <w:sz w:val="21"/>
          <w:szCs w:val="21"/>
        </w:rPr>
      </w:pPr>
      <w:r>
        <w:rPr>
          <w:rFonts w:hint="eastAsia" w:ascii="宋体" w:hAnsi="宋体"/>
          <w:sz w:val="21"/>
          <w:szCs w:val="21"/>
        </w:rPr>
        <w:t>（4）根据相关市场规则，为基金开设资金账户、证券账户等投资所需账户，为基金办理证券、期货交易资金清算；</w:t>
      </w:r>
    </w:p>
    <w:p w14:paraId="45B3DF1E">
      <w:pPr>
        <w:snapToGrid w:val="0"/>
        <w:spacing w:line="360" w:lineRule="auto"/>
        <w:ind w:firstLine="420" w:firstLineChars="200"/>
        <w:rPr>
          <w:rFonts w:hint="eastAsia" w:ascii="宋体" w:hAnsi="宋体"/>
          <w:sz w:val="21"/>
          <w:szCs w:val="21"/>
        </w:rPr>
      </w:pPr>
      <w:r>
        <w:rPr>
          <w:rFonts w:hint="eastAsia" w:ascii="宋体" w:hAnsi="宋体"/>
          <w:sz w:val="21"/>
          <w:szCs w:val="21"/>
        </w:rPr>
        <w:t>（5）提议召开或召集基金份额持有人大会；</w:t>
      </w:r>
    </w:p>
    <w:p w14:paraId="67EF3998">
      <w:pPr>
        <w:snapToGrid w:val="0"/>
        <w:spacing w:line="360" w:lineRule="auto"/>
        <w:ind w:firstLine="420" w:firstLineChars="200"/>
        <w:rPr>
          <w:rFonts w:hint="eastAsia" w:ascii="宋体" w:hAnsi="宋体"/>
          <w:sz w:val="21"/>
          <w:szCs w:val="21"/>
        </w:rPr>
      </w:pPr>
      <w:r>
        <w:rPr>
          <w:rFonts w:hint="eastAsia" w:ascii="宋体" w:hAnsi="宋体"/>
          <w:sz w:val="21"/>
          <w:szCs w:val="21"/>
        </w:rPr>
        <w:t>（6）在基金管理人更换时，提名新的基金管理人；</w:t>
      </w:r>
    </w:p>
    <w:p w14:paraId="421FA57C">
      <w:pPr>
        <w:snapToGrid w:val="0"/>
        <w:spacing w:line="360" w:lineRule="auto"/>
        <w:ind w:firstLine="420" w:firstLineChars="200"/>
        <w:rPr>
          <w:rFonts w:hint="eastAsia" w:ascii="宋体" w:hAnsi="宋体"/>
          <w:sz w:val="21"/>
          <w:szCs w:val="21"/>
        </w:rPr>
      </w:pPr>
      <w:r>
        <w:rPr>
          <w:rFonts w:hint="eastAsia" w:ascii="宋体" w:hAnsi="宋体"/>
          <w:sz w:val="21"/>
          <w:szCs w:val="21"/>
        </w:rPr>
        <w:t>（7）法律法规及中国证监会规定的和《基金合同》约定的其他权利。</w:t>
      </w:r>
    </w:p>
    <w:p w14:paraId="3094303F">
      <w:pPr>
        <w:snapToGrid w:val="0"/>
        <w:spacing w:line="360" w:lineRule="auto"/>
        <w:ind w:firstLine="420" w:firstLineChars="200"/>
        <w:rPr>
          <w:rFonts w:hint="eastAsia" w:ascii="宋体" w:hAnsi="宋体"/>
          <w:sz w:val="21"/>
          <w:szCs w:val="21"/>
        </w:rPr>
      </w:pPr>
      <w:r>
        <w:rPr>
          <w:rFonts w:hint="eastAsia" w:ascii="宋体" w:hAnsi="宋体"/>
          <w:sz w:val="21"/>
          <w:szCs w:val="21"/>
        </w:rPr>
        <w:t>2、根据《基金法》、《运作办法》及其他有关规定，基金托管人的义务包括但不限于：</w:t>
      </w:r>
    </w:p>
    <w:p w14:paraId="170A5B05">
      <w:pPr>
        <w:snapToGrid w:val="0"/>
        <w:spacing w:line="360" w:lineRule="auto"/>
        <w:ind w:firstLine="420" w:firstLineChars="200"/>
        <w:rPr>
          <w:rFonts w:hint="eastAsia" w:ascii="宋体" w:hAnsi="宋体"/>
          <w:sz w:val="21"/>
          <w:szCs w:val="21"/>
        </w:rPr>
      </w:pPr>
      <w:r>
        <w:rPr>
          <w:rFonts w:hint="eastAsia" w:ascii="宋体" w:hAnsi="宋体"/>
          <w:sz w:val="21"/>
          <w:szCs w:val="21"/>
        </w:rPr>
        <w:t>（1）以诚实信用、勤勉尽责的原则持有并安全保管基金财产；</w:t>
      </w:r>
    </w:p>
    <w:p w14:paraId="360610C4">
      <w:pPr>
        <w:snapToGrid w:val="0"/>
        <w:spacing w:line="360" w:lineRule="auto"/>
        <w:ind w:firstLine="420" w:firstLineChars="200"/>
        <w:rPr>
          <w:rFonts w:hint="eastAsia" w:ascii="宋体" w:hAnsi="宋体"/>
          <w:sz w:val="21"/>
          <w:szCs w:val="21"/>
        </w:rPr>
      </w:pPr>
      <w:r>
        <w:rPr>
          <w:rFonts w:hint="eastAsia" w:ascii="宋体" w:hAnsi="宋体"/>
          <w:sz w:val="21"/>
          <w:szCs w:val="21"/>
        </w:rPr>
        <w:t>（2）设立专门的基金托管部门，具有符合要求的营业场所，配备足够的、合格的熟悉基金托管业务的专职人员，负责基金财产托管事宜；</w:t>
      </w:r>
    </w:p>
    <w:p w14:paraId="6FCB1242">
      <w:pPr>
        <w:snapToGrid w:val="0"/>
        <w:spacing w:line="360" w:lineRule="auto"/>
        <w:ind w:firstLine="420" w:firstLineChars="200"/>
        <w:rPr>
          <w:rFonts w:hint="eastAsia" w:ascii="宋体" w:hAnsi="宋体"/>
          <w:sz w:val="21"/>
          <w:szCs w:val="21"/>
        </w:rPr>
      </w:pPr>
      <w:r>
        <w:rPr>
          <w:rFonts w:hint="eastAsia" w:ascii="宋体" w:hAnsi="宋体"/>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5757EF6">
      <w:pPr>
        <w:snapToGrid w:val="0"/>
        <w:spacing w:line="360" w:lineRule="auto"/>
        <w:ind w:firstLine="420" w:firstLineChars="200"/>
        <w:rPr>
          <w:rFonts w:hint="eastAsia" w:ascii="宋体" w:hAnsi="宋体"/>
          <w:sz w:val="21"/>
          <w:szCs w:val="21"/>
        </w:rPr>
      </w:pPr>
      <w:r>
        <w:rPr>
          <w:rFonts w:hint="eastAsia" w:ascii="宋体" w:hAnsi="宋体"/>
          <w:sz w:val="21"/>
          <w:szCs w:val="21"/>
        </w:rPr>
        <w:t>（4）除依据《基金法》、《基金合同》及其他有关规定外，不得利用基金财产为自己及任何第三人谋取利益，不得委托第三人托管基金财产；</w:t>
      </w:r>
    </w:p>
    <w:p w14:paraId="5E67C9C4">
      <w:pPr>
        <w:snapToGrid w:val="0"/>
        <w:spacing w:line="360" w:lineRule="auto"/>
        <w:ind w:firstLine="420" w:firstLineChars="200"/>
        <w:rPr>
          <w:rFonts w:hint="eastAsia" w:ascii="宋体" w:hAnsi="宋体"/>
          <w:sz w:val="21"/>
          <w:szCs w:val="21"/>
        </w:rPr>
      </w:pPr>
      <w:r>
        <w:rPr>
          <w:rFonts w:hint="eastAsia" w:ascii="宋体" w:hAnsi="宋体"/>
          <w:sz w:val="21"/>
          <w:szCs w:val="21"/>
        </w:rPr>
        <w:t>（5）保管由基金管理人代表基金签订的与基金有关的重大合同及有关凭证；</w:t>
      </w:r>
    </w:p>
    <w:p w14:paraId="64DAE876">
      <w:pPr>
        <w:snapToGrid w:val="0"/>
        <w:spacing w:line="360" w:lineRule="auto"/>
        <w:ind w:firstLine="420" w:firstLineChars="200"/>
        <w:rPr>
          <w:rFonts w:hint="eastAsia" w:ascii="宋体" w:hAnsi="宋体"/>
          <w:sz w:val="21"/>
          <w:szCs w:val="21"/>
        </w:rPr>
      </w:pPr>
      <w:r>
        <w:rPr>
          <w:rFonts w:hint="eastAsia" w:ascii="宋体" w:hAnsi="宋体"/>
          <w:sz w:val="21"/>
          <w:szCs w:val="21"/>
        </w:rPr>
        <w:t>（6）按规定开设基金财产的资金账户、证券账户等投资所需账户，按照《基金合同》的约定，根据基金管理人的投资指令，及时办理清算、交割事宜；</w:t>
      </w:r>
    </w:p>
    <w:p w14:paraId="22E672C1">
      <w:pPr>
        <w:snapToGrid w:val="0"/>
        <w:spacing w:line="360" w:lineRule="auto"/>
        <w:ind w:firstLine="420" w:firstLineChars="200"/>
        <w:rPr>
          <w:rFonts w:hint="eastAsia" w:ascii="宋体" w:hAnsi="宋体"/>
          <w:sz w:val="21"/>
          <w:szCs w:val="21"/>
        </w:rPr>
      </w:pPr>
      <w:r>
        <w:rPr>
          <w:rFonts w:hint="eastAsia" w:ascii="宋体" w:hAnsi="宋体"/>
          <w:sz w:val="21"/>
          <w:szCs w:val="21"/>
        </w:rPr>
        <w:t>（7）保守基金商业秘密，除《基金法》、《基金合同》及其他有关规定另</w:t>
      </w:r>
    </w:p>
    <w:p w14:paraId="5D8A2621">
      <w:pPr>
        <w:snapToGrid w:val="0"/>
        <w:spacing w:line="360" w:lineRule="auto"/>
        <w:ind w:firstLine="420" w:firstLineChars="200"/>
        <w:rPr>
          <w:rFonts w:hint="eastAsia" w:ascii="宋体" w:hAnsi="宋体"/>
          <w:sz w:val="21"/>
          <w:szCs w:val="21"/>
        </w:rPr>
      </w:pPr>
      <w:r>
        <w:rPr>
          <w:rFonts w:hint="eastAsia" w:ascii="宋体" w:hAnsi="宋体"/>
          <w:sz w:val="21"/>
          <w:szCs w:val="21"/>
        </w:rPr>
        <w:t>有规定外，在基金信息公开披露前予以保密，向审计、法律等外部专业顾问提供的情况除外；</w:t>
      </w:r>
    </w:p>
    <w:p w14:paraId="534C2D15">
      <w:pPr>
        <w:snapToGrid w:val="0"/>
        <w:spacing w:line="360" w:lineRule="auto"/>
        <w:ind w:firstLine="420" w:firstLineChars="200"/>
        <w:rPr>
          <w:rFonts w:hint="eastAsia" w:ascii="宋体" w:hAnsi="宋体"/>
          <w:sz w:val="21"/>
          <w:szCs w:val="21"/>
        </w:rPr>
      </w:pPr>
      <w:r>
        <w:rPr>
          <w:rFonts w:hint="eastAsia" w:ascii="宋体" w:hAnsi="宋体"/>
          <w:sz w:val="21"/>
          <w:szCs w:val="21"/>
        </w:rPr>
        <w:t>（8）复核、审查基金管理人计算的基金资产净值、基金份额净值、基金份额申购、赎回对价的现金部分；</w:t>
      </w:r>
    </w:p>
    <w:p w14:paraId="4CC002D0">
      <w:pPr>
        <w:snapToGrid w:val="0"/>
        <w:spacing w:line="360" w:lineRule="auto"/>
        <w:ind w:firstLine="420" w:firstLineChars="200"/>
        <w:rPr>
          <w:rFonts w:hint="eastAsia" w:ascii="宋体" w:hAnsi="宋体"/>
          <w:sz w:val="21"/>
          <w:szCs w:val="21"/>
        </w:rPr>
      </w:pPr>
      <w:r>
        <w:rPr>
          <w:rFonts w:hint="eastAsia" w:ascii="宋体" w:hAnsi="宋体"/>
          <w:sz w:val="21"/>
          <w:szCs w:val="21"/>
        </w:rPr>
        <w:t>（9）办理与基金托管业务活动有关的信息披露事项；</w:t>
      </w:r>
    </w:p>
    <w:p w14:paraId="144A5FBC">
      <w:pPr>
        <w:snapToGrid w:val="0"/>
        <w:spacing w:line="360" w:lineRule="auto"/>
        <w:ind w:firstLine="420" w:firstLineChars="200"/>
        <w:rPr>
          <w:rFonts w:hint="eastAsia" w:ascii="宋体" w:hAnsi="宋体"/>
          <w:sz w:val="21"/>
          <w:szCs w:val="21"/>
        </w:rPr>
      </w:pPr>
      <w:r>
        <w:rPr>
          <w:rFonts w:hint="eastAsia" w:ascii="宋体" w:hAnsi="宋体"/>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7FD97E3">
      <w:pPr>
        <w:snapToGrid w:val="0"/>
        <w:spacing w:line="360" w:lineRule="auto"/>
        <w:ind w:firstLine="420" w:firstLineChars="200"/>
        <w:rPr>
          <w:rFonts w:hint="eastAsia" w:ascii="宋体" w:hAnsi="宋体"/>
          <w:sz w:val="21"/>
          <w:szCs w:val="21"/>
        </w:rPr>
      </w:pPr>
      <w:r>
        <w:rPr>
          <w:rFonts w:hint="eastAsia" w:ascii="宋体" w:hAnsi="宋体"/>
          <w:sz w:val="21"/>
          <w:szCs w:val="21"/>
        </w:rPr>
        <w:t>（11）保存基金托管业务活动的记录、账册、报表和其他相关资料，保存期限按照法律法规的规定执行；</w:t>
      </w:r>
    </w:p>
    <w:p w14:paraId="71922C80">
      <w:pPr>
        <w:snapToGrid w:val="0"/>
        <w:spacing w:line="360" w:lineRule="auto"/>
        <w:ind w:firstLine="420" w:firstLineChars="200"/>
        <w:rPr>
          <w:rFonts w:hint="eastAsia" w:ascii="宋体" w:hAnsi="宋体"/>
          <w:sz w:val="21"/>
          <w:szCs w:val="21"/>
        </w:rPr>
      </w:pPr>
      <w:r>
        <w:rPr>
          <w:rFonts w:hint="eastAsia" w:ascii="宋体" w:hAnsi="宋体"/>
          <w:sz w:val="21"/>
          <w:szCs w:val="21"/>
        </w:rPr>
        <w:t>（12）从基金管理人或其委托的登记机构处接收并保存基金份额持有人名册；</w:t>
      </w:r>
    </w:p>
    <w:p w14:paraId="7D61DC99">
      <w:pPr>
        <w:snapToGrid w:val="0"/>
        <w:spacing w:line="360" w:lineRule="auto"/>
        <w:ind w:firstLine="420" w:firstLineChars="200"/>
        <w:rPr>
          <w:rFonts w:hint="eastAsia" w:ascii="宋体" w:hAnsi="宋体"/>
          <w:sz w:val="21"/>
          <w:szCs w:val="21"/>
        </w:rPr>
      </w:pPr>
      <w:r>
        <w:rPr>
          <w:rFonts w:hint="eastAsia" w:ascii="宋体" w:hAnsi="宋体"/>
          <w:sz w:val="21"/>
          <w:szCs w:val="21"/>
        </w:rPr>
        <w:t>（13）按规定制作相关账册并与基金管理人核对；</w:t>
      </w:r>
    </w:p>
    <w:p w14:paraId="30A6EE3D">
      <w:pPr>
        <w:snapToGrid w:val="0"/>
        <w:spacing w:line="360" w:lineRule="auto"/>
        <w:ind w:firstLine="420" w:firstLineChars="200"/>
        <w:rPr>
          <w:rFonts w:hint="eastAsia" w:ascii="宋体" w:hAnsi="宋体"/>
          <w:sz w:val="21"/>
          <w:szCs w:val="21"/>
        </w:rPr>
      </w:pPr>
      <w:r>
        <w:rPr>
          <w:rFonts w:hint="eastAsia" w:ascii="宋体" w:hAnsi="宋体"/>
          <w:sz w:val="21"/>
          <w:szCs w:val="21"/>
        </w:rPr>
        <w:t>（14）依据基金管理人的指令或有关规定向基金份额持有人支付基金收益和赎回对价的现金部分；</w:t>
      </w:r>
    </w:p>
    <w:p w14:paraId="7DC4442E">
      <w:pPr>
        <w:snapToGrid w:val="0"/>
        <w:spacing w:line="360" w:lineRule="auto"/>
        <w:ind w:firstLine="420" w:firstLineChars="200"/>
        <w:rPr>
          <w:rFonts w:hint="eastAsia" w:ascii="宋体" w:hAnsi="宋体"/>
          <w:sz w:val="21"/>
          <w:szCs w:val="21"/>
        </w:rPr>
      </w:pPr>
      <w:r>
        <w:rPr>
          <w:rFonts w:hint="eastAsia" w:ascii="宋体" w:hAnsi="宋体"/>
          <w:sz w:val="21"/>
          <w:szCs w:val="21"/>
        </w:rPr>
        <w:t>（15）依据《基金法》、《基金合同》及其他有关规定，召集基金份额持有人大会或配合基金管理人、基金份额持有人依法召集基金份额持有人大会；</w:t>
      </w:r>
    </w:p>
    <w:p w14:paraId="3C4C60E1">
      <w:pPr>
        <w:snapToGrid w:val="0"/>
        <w:spacing w:line="360" w:lineRule="auto"/>
        <w:ind w:firstLine="420" w:firstLineChars="200"/>
        <w:rPr>
          <w:rFonts w:hint="eastAsia" w:ascii="宋体" w:hAnsi="宋体"/>
          <w:sz w:val="21"/>
          <w:szCs w:val="21"/>
        </w:rPr>
      </w:pPr>
      <w:r>
        <w:rPr>
          <w:rFonts w:hint="eastAsia" w:ascii="宋体" w:hAnsi="宋体"/>
          <w:sz w:val="21"/>
          <w:szCs w:val="21"/>
        </w:rPr>
        <w:t>（16）按照法律法规和《基金合同》和托管协议的规定监督基金管理人的投资运作；</w:t>
      </w:r>
    </w:p>
    <w:p w14:paraId="2DB56D23">
      <w:pPr>
        <w:snapToGrid w:val="0"/>
        <w:spacing w:line="360" w:lineRule="auto"/>
        <w:ind w:firstLine="420" w:firstLineChars="200"/>
        <w:rPr>
          <w:rFonts w:hint="eastAsia" w:ascii="宋体" w:hAnsi="宋体"/>
          <w:sz w:val="21"/>
          <w:szCs w:val="21"/>
        </w:rPr>
      </w:pPr>
      <w:r>
        <w:rPr>
          <w:rFonts w:hint="eastAsia" w:ascii="宋体" w:hAnsi="宋体"/>
          <w:sz w:val="21"/>
          <w:szCs w:val="21"/>
        </w:rPr>
        <w:t>（17）参加基金财产清算小组，参与基金财产的保管、清理、估价、变现和分配；</w:t>
      </w:r>
    </w:p>
    <w:p w14:paraId="1E5AC379">
      <w:pPr>
        <w:snapToGrid w:val="0"/>
        <w:spacing w:line="360" w:lineRule="auto"/>
        <w:ind w:firstLine="420" w:firstLineChars="200"/>
        <w:rPr>
          <w:rFonts w:hint="eastAsia" w:ascii="宋体" w:hAnsi="宋体"/>
          <w:sz w:val="21"/>
          <w:szCs w:val="21"/>
        </w:rPr>
      </w:pPr>
      <w:r>
        <w:rPr>
          <w:rFonts w:hint="eastAsia" w:ascii="宋体" w:hAnsi="宋体"/>
          <w:sz w:val="21"/>
          <w:szCs w:val="21"/>
        </w:rPr>
        <w:t>（18）面临解散、依法被撤销或者被依法宣告破产时，及时报告中国证监会和银行业监督管理机构，并通知基金管理人；</w:t>
      </w:r>
    </w:p>
    <w:p w14:paraId="1C75F2DB">
      <w:pPr>
        <w:snapToGrid w:val="0"/>
        <w:spacing w:line="360" w:lineRule="auto"/>
        <w:ind w:firstLine="420" w:firstLineChars="200"/>
        <w:rPr>
          <w:rFonts w:hint="eastAsia" w:ascii="宋体" w:hAnsi="宋体"/>
          <w:sz w:val="21"/>
          <w:szCs w:val="21"/>
        </w:rPr>
      </w:pPr>
      <w:r>
        <w:rPr>
          <w:rFonts w:hint="eastAsia" w:ascii="宋体" w:hAnsi="宋体"/>
          <w:sz w:val="21"/>
          <w:szCs w:val="21"/>
        </w:rPr>
        <w:t>（19）因违反《基金合同》导致基金财产损失时，应承担赔偿责任，其赔偿责任不因其退任而免除；</w:t>
      </w:r>
    </w:p>
    <w:p w14:paraId="20880539">
      <w:pPr>
        <w:snapToGrid w:val="0"/>
        <w:spacing w:line="360" w:lineRule="auto"/>
        <w:ind w:firstLine="420" w:firstLineChars="200"/>
        <w:rPr>
          <w:rFonts w:hint="eastAsia" w:ascii="宋体" w:hAnsi="宋体"/>
          <w:sz w:val="21"/>
          <w:szCs w:val="21"/>
        </w:rPr>
      </w:pPr>
      <w:r>
        <w:rPr>
          <w:rFonts w:hint="eastAsia" w:ascii="宋体" w:hAnsi="宋体"/>
          <w:sz w:val="21"/>
          <w:szCs w:val="21"/>
        </w:rPr>
        <w:t>（20）按规定监督基金管理人按法律法规和《基金合同》规定履行自己的义务，基金管理人因违反《基金合同》造成基金财产损失时，应为基金份额持有人利益向基金管理人追偿；</w:t>
      </w:r>
    </w:p>
    <w:p w14:paraId="64DB48F7">
      <w:pPr>
        <w:snapToGrid w:val="0"/>
        <w:spacing w:line="360" w:lineRule="auto"/>
        <w:ind w:firstLine="420" w:firstLineChars="200"/>
        <w:rPr>
          <w:rFonts w:hint="eastAsia" w:ascii="宋体" w:hAnsi="宋体"/>
          <w:sz w:val="21"/>
          <w:szCs w:val="21"/>
        </w:rPr>
      </w:pPr>
      <w:r>
        <w:rPr>
          <w:rFonts w:hint="eastAsia" w:ascii="宋体" w:hAnsi="宋体"/>
          <w:sz w:val="21"/>
          <w:szCs w:val="21"/>
        </w:rPr>
        <w:t>（21）执行生效的基金份额持有人大会的决议；</w:t>
      </w:r>
    </w:p>
    <w:p w14:paraId="17B0515A">
      <w:pPr>
        <w:snapToGrid w:val="0"/>
        <w:spacing w:line="360" w:lineRule="auto"/>
        <w:ind w:firstLine="420" w:firstLineChars="200"/>
        <w:rPr>
          <w:rFonts w:hint="eastAsia" w:ascii="宋体" w:hAnsi="宋体"/>
          <w:sz w:val="21"/>
          <w:szCs w:val="21"/>
        </w:rPr>
      </w:pPr>
      <w:r>
        <w:rPr>
          <w:rFonts w:hint="eastAsia" w:ascii="宋体" w:hAnsi="宋体"/>
          <w:sz w:val="21"/>
          <w:szCs w:val="21"/>
        </w:rPr>
        <w:t>（22）法律法规及中国证监会规定的和《基金合同》约定的其他义务。</w:t>
      </w:r>
    </w:p>
    <w:p w14:paraId="3B0B8E0F">
      <w:pPr>
        <w:snapToGrid w:val="0"/>
        <w:spacing w:line="360" w:lineRule="auto"/>
        <w:ind w:firstLine="420" w:firstLineChars="200"/>
        <w:rPr>
          <w:rFonts w:ascii="宋体" w:hAnsi="宋体"/>
          <w:sz w:val="21"/>
          <w:szCs w:val="21"/>
        </w:rPr>
      </w:pPr>
      <w:r>
        <w:rPr>
          <w:rFonts w:hint="eastAsia" w:ascii="宋体" w:hAnsi="宋体"/>
          <w:sz w:val="21"/>
          <w:szCs w:val="21"/>
        </w:rPr>
        <w:t>二、基金份额持有人大会召集、议事及表决的程序和规则</w:t>
      </w:r>
    </w:p>
    <w:p w14:paraId="2F34368F">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基金份额持有人大会由基金份额持有人组成，基金份额持有人的合法授权代表有权代表基金份额持有人出席会议并表决。基金份额持有人持有的每一基金份额拥有平等的投票权。</w:t>
      </w:r>
    </w:p>
    <w:p w14:paraId="6EE4501A">
      <w:pPr>
        <w:snapToGrid w:val="0"/>
        <w:spacing w:line="360" w:lineRule="auto"/>
        <w:ind w:firstLine="420" w:firstLineChars="200"/>
        <w:rPr>
          <w:rFonts w:hint="eastAsia" w:ascii="宋体" w:hAnsi="宋体"/>
          <w:sz w:val="21"/>
          <w:szCs w:val="21"/>
        </w:rPr>
      </w:pPr>
      <w:r>
        <w:rPr>
          <w:rFonts w:hint="eastAsia" w:ascii="宋体" w:hAnsi="宋体"/>
          <w:sz w:val="21"/>
          <w:szCs w:val="21"/>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359DE044">
      <w:pPr>
        <w:snapToGrid w:val="0"/>
        <w:spacing w:line="360" w:lineRule="auto"/>
        <w:ind w:firstLine="420" w:firstLineChars="200"/>
        <w:rPr>
          <w:rFonts w:hint="eastAsia" w:ascii="宋体" w:hAnsi="宋体"/>
          <w:sz w:val="21"/>
          <w:szCs w:val="21"/>
        </w:rPr>
      </w:pPr>
      <w:r>
        <w:rPr>
          <w:rFonts w:hint="eastAsia" w:ascii="宋体" w:hAnsi="宋体"/>
          <w:sz w:val="21"/>
          <w:szCs w:val="21"/>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39B5A5F8">
      <w:pPr>
        <w:snapToGrid w:val="0"/>
        <w:spacing w:line="360" w:lineRule="auto"/>
        <w:ind w:firstLine="420" w:firstLineChars="200"/>
        <w:rPr>
          <w:rFonts w:hint="eastAsia" w:ascii="宋体" w:hAnsi="宋体"/>
          <w:sz w:val="21"/>
          <w:szCs w:val="21"/>
        </w:rPr>
      </w:pPr>
      <w:r>
        <w:rPr>
          <w:rFonts w:hint="eastAsia" w:ascii="宋体" w:hAnsi="宋体"/>
          <w:sz w:val="21"/>
          <w:szCs w:val="21"/>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09A9DC11">
      <w:pPr>
        <w:snapToGrid w:val="0"/>
        <w:spacing w:line="360" w:lineRule="auto"/>
        <w:ind w:firstLine="420" w:firstLineChars="200"/>
        <w:rPr>
          <w:rFonts w:hint="eastAsia" w:ascii="宋体" w:hAnsi="宋体"/>
          <w:sz w:val="21"/>
          <w:szCs w:val="21"/>
        </w:rPr>
      </w:pPr>
      <w:r>
        <w:rPr>
          <w:rFonts w:hint="eastAsia" w:ascii="宋体" w:hAnsi="宋体"/>
          <w:sz w:val="21"/>
          <w:szCs w:val="21"/>
        </w:rPr>
        <w:t>本基金份额持有人大会不设日常机构。</w:t>
      </w:r>
    </w:p>
    <w:p w14:paraId="68B011DD">
      <w:pPr>
        <w:snapToGrid w:val="0"/>
        <w:spacing w:line="360" w:lineRule="auto"/>
        <w:ind w:firstLine="420" w:firstLineChars="200"/>
        <w:rPr>
          <w:rFonts w:hint="eastAsia" w:ascii="宋体" w:hAnsi="宋体"/>
          <w:sz w:val="21"/>
          <w:szCs w:val="21"/>
        </w:rPr>
      </w:pPr>
      <w:r>
        <w:rPr>
          <w:rFonts w:hint="eastAsia" w:ascii="宋体" w:hAnsi="宋体"/>
          <w:sz w:val="21"/>
          <w:szCs w:val="21"/>
        </w:rPr>
        <w:t>法律法规或监管机构对基金份额持有人大会另有规定的，从其规定。</w:t>
      </w:r>
    </w:p>
    <w:p w14:paraId="612F3C6D">
      <w:pPr>
        <w:snapToGrid w:val="0"/>
        <w:spacing w:line="360" w:lineRule="auto"/>
        <w:ind w:firstLine="420" w:firstLineChars="200"/>
        <w:rPr>
          <w:rFonts w:hint="eastAsia" w:ascii="宋体" w:hAnsi="宋体"/>
          <w:sz w:val="21"/>
          <w:szCs w:val="21"/>
        </w:rPr>
      </w:pPr>
      <w:r>
        <w:rPr>
          <w:rFonts w:hint="eastAsia" w:ascii="宋体" w:hAnsi="宋体"/>
          <w:sz w:val="21"/>
          <w:szCs w:val="21"/>
        </w:rPr>
        <w:t>（一）召开事由</w:t>
      </w:r>
    </w:p>
    <w:p w14:paraId="743C3B67">
      <w:pPr>
        <w:snapToGrid w:val="0"/>
        <w:spacing w:line="360" w:lineRule="auto"/>
        <w:ind w:firstLine="420" w:firstLineChars="200"/>
        <w:rPr>
          <w:rFonts w:hint="eastAsia" w:ascii="宋体" w:hAnsi="宋体"/>
          <w:sz w:val="21"/>
          <w:szCs w:val="21"/>
        </w:rPr>
      </w:pPr>
      <w:r>
        <w:rPr>
          <w:rFonts w:hint="eastAsia" w:ascii="宋体" w:hAnsi="宋体"/>
          <w:sz w:val="21"/>
          <w:szCs w:val="21"/>
        </w:rPr>
        <w:t>1、除法律法规、中国证监会另有规定外，当出现或需要决定下列事由之一的，应当召开基金份额持有人大会：</w:t>
      </w:r>
    </w:p>
    <w:p w14:paraId="4E42245F">
      <w:pPr>
        <w:snapToGrid w:val="0"/>
        <w:spacing w:line="360" w:lineRule="auto"/>
        <w:ind w:firstLine="420" w:firstLineChars="200"/>
        <w:rPr>
          <w:rFonts w:hint="eastAsia" w:ascii="宋体" w:hAnsi="宋体"/>
          <w:sz w:val="21"/>
          <w:szCs w:val="21"/>
        </w:rPr>
      </w:pPr>
      <w:r>
        <w:rPr>
          <w:rFonts w:hint="eastAsia" w:ascii="宋体" w:hAnsi="宋体"/>
          <w:sz w:val="21"/>
          <w:szCs w:val="21"/>
        </w:rPr>
        <w:t>（1）终止《基金合同》，《基金合同》另有约定的除外；</w:t>
      </w:r>
    </w:p>
    <w:p w14:paraId="387E5973">
      <w:pPr>
        <w:snapToGrid w:val="0"/>
        <w:spacing w:line="360" w:lineRule="auto"/>
        <w:ind w:firstLine="420" w:firstLineChars="200"/>
        <w:rPr>
          <w:rFonts w:hint="eastAsia" w:ascii="宋体" w:hAnsi="宋体"/>
          <w:sz w:val="21"/>
          <w:szCs w:val="21"/>
        </w:rPr>
      </w:pPr>
      <w:r>
        <w:rPr>
          <w:rFonts w:hint="eastAsia" w:ascii="宋体" w:hAnsi="宋体"/>
          <w:sz w:val="21"/>
          <w:szCs w:val="21"/>
        </w:rPr>
        <w:t>（2）更换基金管理人；</w:t>
      </w:r>
    </w:p>
    <w:p w14:paraId="793C3BE0">
      <w:pPr>
        <w:snapToGrid w:val="0"/>
        <w:spacing w:line="360" w:lineRule="auto"/>
        <w:ind w:firstLine="420" w:firstLineChars="200"/>
        <w:rPr>
          <w:rFonts w:hint="eastAsia" w:ascii="宋体" w:hAnsi="宋体"/>
          <w:sz w:val="21"/>
          <w:szCs w:val="21"/>
        </w:rPr>
      </w:pPr>
      <w:r>
        <w:rPr>
          <w:rFonts w:hint="eastAsia" w:ascii="宋体" w:hAnsi="宋体"/>
          <w:sz w:val="21"/>
          <w:szCs w:val="21"/>
        </w:rPr>
        <w:t>（3）更换基金托管人；</w:t>
      </w:r>
    </w:p>
    <w:p w14:paraId="15418E31">
      <w:pPr>
        <w:snapToGrid w:val="0"/>
        <w:spacing w:line="360" w:lineRule="auto"/>
        <w:ind w:firstLine="420" w:firstLineChars="200"/>
        <w:rPr>
          <w:rFonts w:hint="eastAsia" w:ascii="宋体" w:hAnsi="宋体"/>
          <w:sz w:val="21"/>
          <w:szCs w:val="21"/>
        </w:rPr>
      </w:pPr>
      <w:r>
        <w:rPr>
          <w:rFonts w:hint="eastAsia" w:ascii="宋体" w:hAnsi="宋体"/>
          <w:sz w:val="21"/>
          <w:szCs w:val="21"/>
        </w:rPr>
        <w:t>（4）转换基金运作方式；</w:t>
      </w:r>
    </w:p>
    <w:p w14:paraId="26961B8C">
      <w:pPr>
        <w:snapToGrid w:val="0"/>
        <w:spacing w:line="360" w:lineRule="auto"/>
        <w:ind w:firstLine="420" w:firstLineChars="200"/>
        <w:rPr>
          <w:rFonts w:hint="eastAsia" w:ascii="宋体" w:hAnsi="宋体"/>
          <w:sz w:val="21"/>
          <w:szCs w:val="21"/>
        </w:rPr>
      </w:pPr>
      <w:r>
        <w:rPr>
          <w:rFonts w:hint="eastAsia" w:ascii="宋体" w:hAnsi="宋体"/>
          <w:sz w:val="21"/>
          <w:szCs w:val="21"/>
        </w:rPr>
        <w:t>（5）调整基金管理人、基金托管人的报酬标准；</w:t>
      </w:r>
    </w:p>
    <w:p w14:paraId="3E93F6D2">
      <w:pPr>
        <w:snapToGrid w:val="0"/>
        <w:spacing w:line="360" w:lineRule="auto"/>
        <w:ind w:firstLine="420" w:firstLineChars="200"/>
        <w:rPr>
          <w:rFonts w:hint="eastAsia" w:ascii="宋体" w:hAnsi="宋体"/>
          <w:sz w:val="21"/>
          <w:szCs w:val="21"/>
        </w:rPr>
      </w:pPr>
      <w:r>
        <w:rPr>
          <w:rFonts w:hint="eastAsia" w:ascii="宋体" w:hAnsi="宋体"/>
          <w:sz w:val="21"/>
          <w:szCs w:val="21"/>
        </w:rPr>
        <w:t>（6）变更基金类别；</w:t>
      </w:r>
    </w:p>
    <w:p w14:paraId="5B552301">
      <w:pPr>
        <w:snapToGrid w:val="0"/>
        <w:spacing w:line="360" w:lineRule="auto"/>
        <w:ind w:firstLine="420" w:firstLineChars="200"/>
        <w:rPr>
          <w:rFonts w:hint="eastAsia" w:ascii="宋体" w:hAnsi="宋体"/>
          <w:sz w:val="21"/>
          <w:szCs w:val="21"/>
        </w:rPr>
      </w:pPr>
      <w:r>
        <w:rPr>
          <w:rFonts w:hint="eastAsia" w:ascii="宋体" w:hAnsi="宋体"/>
          <w:sz w:val="21"/>
          <w:szCs w:val="21"/>
        </w:rPr>
        <w:t>（7）本基金与其他基金的合并；</w:t>
      </w:r>
    </w:p>
    <w:p w14:paraId="70ED705B">
      <w:pPr>
        <w:snapToGrid w:val="0"/>
        <w:spacing w:line="360" w:lineRule="auto"/>
        <w:ind w:firstLine="420" w:firstLineChars="200"/>
        <w:rPr>
          <w:rFonts w:hint="eastAsia" w:ascii="宋体" w:hAnsi="宋体"/>
          <w:sz w:val="21"/>
          <w:szCs w:val="21"/>
        </w:rPr>
      </w:pPr>
      <w:r>
        <w:rPr>
          <w:rFonts w:hint="eastAsia" w:ascii="宋体" w:hAnsi="宋体"/>
          <w:sz w:val="21"/>
          <w:szCs w:val="21"/>
        </w:rPr>
        <w:t>（8）变更基金投资目标、范围或策略；</w:t>
      </w:r>
    </w:p>
    <w:p w14:paraId="1A68D70D">
      <w:pPr>
        <w:snapToGrid w:val="0"/>
        <w:spacing w:line="360" w:lineRule="auto"/>
        <w:ind w:firstLine="420" w:firstLineChars="200"/>
        <w:rPr>
          <w:rFonts w:hint="eastAsia" w:ascii="宋体" w:hAnsi="宋体"/>
          <w:sz w:val="21"/>
          <w:szCs w:val="21"/>
        </w:rPr>
      </w:pPr>
      <w:r>
        <w:rPr>
          <w:rFonts w:hint="eastAsia" w:ascii="宋体" w:hAnsi="宋体"/>
          <w:sz w:val="21"/>
          <w:szCs w:val="21"/>
        </w:rPr>
        <w:t>（9）变更基金份额持有人大会程序；</w:t>
      </w:r>
    </w:p>
    <w:p w14:paraId="423C06A4">
      <w:pPr>
        <w:snapToGrid w:val="0"/>
        <w:spacing w:line="360" w:lineRule="auto"/>
        <w:ind w:firstLine="420" w:firstLineChars="200"/>
        <w:rPr>
          <w:rFonts w:hint="eastAsia" w:ascii="宋体" w:hAnsi="宋体"/>
          <w:sz w:val="21"/>
          <w:szCs w:val="21"/>
        </w:rPr>
      </w:pPr>
      <w:r>
        <w:rPr>
          <w:rFonts w:hint="eastAsia" w:ascii="宋体" w:hAnsi="宋体"/>
          <w:sz w:val="21"/>
          <w:szCs w:val="21"/>
        </w:rPr>
        <w:t>（10）基金管理人或基金托管人要求召开基金份额持有人大会；</w:t>
      </w:r>
    </w:p>
    <w:p w14:paraId="0813AA1A">
      <w:pPr>
        <w:snapToGrid w:val="0"/>
        <w:spacing w:line="360" w:lineRule="auto"/>
        <w:ind w:firstLine="420" w:firstLineChars="200"/>
        <w:rPr>
          <w:rFonts w:hint="eastAsia" w:ascii="宋体" w:hAnsi="宋体"/>
          <w:sz w:val="21"/>
          <w:szCs w:val="21"/>
        </w:rPr>
      </w:pPr>
      <w:r>
        <w:rPr>
          <w:rFonts w:hint="eastAsia" w:ascii="宋体" w:hAnsi="宋体"/>
          <w:sz w:val="21"/>
          <w:szCs w:val="21"/>
        </w:rPr>
        <w:t>（11）单独或合计持有本基金总份额10%以上（含10%）基金份额的基金份额持有人（以基金管理人收到提议当日的基金份额计算，下同）就同一事项书面要求召开基金份额持有人大会；</w:t>
      </w:r>
    </w:p>
    <w:p w14:paraId="4CAC128C">
      <w:pPr>
        <w:snapToGrid w:val="0"/>
        <w:spacing w:line="360" w:lineRule="auto"/>
        <w:ind w:firstLine="420" w:firstLineChars="200"/>
        <w:rPr>
          <w:rFonts w:hint="eastAsia" w:ascii="宋体" w:hAnsi="宋体"/>
          <w:sz w:val="21"/>
          <w:szCs w:val="21"/>
        </w:rPr>
      </w:pPr>
      <w:r>
        <w:rPr>
          <w:rFonts w:hint="eastAsia" w:ascii="宋体" w:hAnsi="宋体"/>
          <w:sz w:val="21"/>
          <w:szCs w:val="21"/>
        </w:rPr>
        <w:t>（12）对基金合同当事人权利和义务产生重大影响的其他事项；</w:t>
      </w:r>
    </w:p>
    <w:p w14:paraId="0B8F3B2B">
      <w:pPr>
        <w:snapToGrid w:val="0"/>
        <w:spacing w:line="360" w:lineRule="auto"/>
        <w:ind w:firstLine="420" w:firstLineChars="200"/>
        <w:rPr>
          <w:rFonts w:hint="eastAsia" w:ascii="宋体" w:hAnsi="宋体"/>
          <w:sz w:val="21"/>
          <w:szCs w:val="21"/>
        </w:rPr>
      </w:pPr>
      <w:r>
        <w:rPr>
          <w:rFonts w:hint="eastAsia" w:ascii="宋体" w:hAnsi="宋体"/>
          <w:sz w:val="21"/>
          <w:szCs w:val="21"/>
        </w:rPr>
        <w:t>（13）终止基金上市，但因基金不再具备上市条件而被上海证券交易所终止上市的除外；</w:t>
      </w:r>
    </w:p>
    <w:p w14:paraId="4C56FADD">
      <w:pPr>
        <w:snapToGrid w:val="0"/>
        <w:spacing w:line="360" w:lineRule="auto"/>
        <w:ind w:firstLine="420" w:firstLineChars="200"/>
        <w:rPr>
          <w:rFonts w:hint="eastAsia" w:ascii="宋体" w:hAnsi="宋体"/>
          <w:sz w:val="21"/>
          <w:szCs w:val="21"/>
        </w:rPr>
      </w:pPr>
      <w:r>
        <w:rPr>
          <w:rFonts w:hint="eastAsia" w:ascii="宋体" w:hAnsi="宋体"/>
          <w:sz w:val="21"/>
          <w:szCs w:val="21"/>
        </w:rPr>
        <w:t>（14）法律法规、《基金合同》或中国证监会规定的其他应当召开基金份额持有人大会的事项。</w:t>
      </w:r>
    </w:p>
    <w:p w14:paraId="3F90E552">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51133C17">
      <w:pPr>
        <w:snapToGrid w:val="0"/>
        <w:spacing w:line="360" w:lineRule="auto"/>
        <w:ind w:firstLine="420" w:firstLineChars="200"/>
        <w:rPr>
          <w:rFonts w:hint="eastAsia" w:ascii="宋体" w:hAnsi="宋体"/>
          <w:sz w:val="21"/>
          <w:szCs w:val="21"/>
        </w:rPr>
      </w:pPr>
      <w:r>
        <w:rPr>
          <w:rFonts w:hint="eastAsia" w:ascii="宋体" w:hAnsi="宋体"/>
          <w:sz w:val="21"/>
          <w:szCs w:val="21"/>
        </w:rPr>
        <w:t>（1）法律法规要求增加的基金费用的收取；</w:t>
      </w:r>
    </w:p>
    <w:p w14:paraId="054637CD">
      <w:pPr>
        <w:snapToGrid w:val="0"/>
        <w:spacing w:line="360" w:lineRule="auto"/>
        <w:ind w:firstLine="420" w:firstLineChars="200"/>
        <w:rPr>
          <w:rFonts w:hint="eastAsia" w:ascii="宋体" w:hAnsi="宋体"/>
          <w:sz w:val="21"/>
          <w:szCs w:val="21"/>
        </w:rPr>
      </w:pPr>
      <w:r>
        <w:rPr>
          <w:rFonts w:hint="eastAsia" w:ascii="宋体" w:hAnsi="宋体"/>
          <w:sz w:val="21"/>
          <w:szCs w:val="21"/>
        </w:rPr>
        <w:t>（2）调整本基金的申购费率、变更收费方式或调整基金份额类别设置、对基金份额分类办法及规则进行调整；</w:t>
      </w:r>
    </w:p>
    <w:p w14:paraId="57860A13">
      <w:pPr>
        <w:snapToGrid w:val="0"/>
        <w:spacing w:line="360" w:lineRule="auto"/>
        <w:ind w:firstLine="420" w:firstLineChars="200"/>
        <w:rPr>
          <w:rFonts w:hint="eastAsia" w:ascii="宋体" w:hAnsi="宋体"/>
          <w:sz w:val="21"/>
          <w:szCs w:val="21"/>
        </w:rPr>
      </w:pPr>
      <w:r>
        <w:rPr>
          <w:rFonts w:hint="eastAsia" w:ascii="宋体" w:hAnsi="宋体"/>
          <w:sz w:val="21"/>
          <w:szCs w:val="21"/>
        </w:rPr>
        <w:t>（3）因相应的法律法规、上海证券交易所或者登记机构的相关业务规则发生变动而应当对《基金合同》进行修改；</w:t>
      </w:r>
    </w:p>
    <w:p w14:paraId="3DCFFC2D">
      <w:pPr>
        <w:snapToGrid w:val="0"/>
        <w:spacing w:line="360" w:lineRule="auto"/>
        <w:ind w:firstLine="420" w:firstLineChars="200"/>
        <w:rPr>
          <w:rFonts w:hint="eastAsia" w:ascii="宋体" w:hAnsi="宋体"/>
          <w:sz w:val="21"/>
          <w:szCs w:val="21"/>
        </w:rPr>
      </w:pPr>
      <w:r>
        <w:rPr>
          <w:rFonts w:hint="eastAsia" w:ascii="宋体" w:hAnsi="宋体"/>
          <w:sz w:val="21"/>
          <w:szCs w:val="21"/>
        </w:rPr>
        <w:t>（4）对《基金合同》的修改对基金份额持有人利益无实质性不利影响或修改不涉及《基金合同》当事人权利义务关系发生重大变化；</w:t>
      </w:r>
    </w:p>
    <w:p w14:paraId="1C2DE902">
      <w:pPr>
        <w:snapToGrid w:val="0"/>
        <w:spacing w:line="360" w:lineRule="auto"/>
        <w:ind w:firstLine="420" w:firstLineChars="200"/>
        <w:rPr>
          <w:rFonts w:hint="eastAsia" w:ascii="宋体" w:hAnsi="宋体"/>
          <w:sz w:val="21"/>
          <w:szCs w:val="21"/>
        </w:rPr>
      </w:pPr>
      <w:r>
        <w:rPr>
          <w:rFonts w:hint="eastAsia" w:ascii="宋体" w:hAnsi="宋体"/>
          <w:sz w:val="21"/>
          <w:szCs w:val="21"/>
        </w:rPr>
        <w:t>（5）基金管理人、相关证券交易所和登记机构等调整有关基金申购、赎回、交易、转托管、非交易过户等业务的规则；</w:t>
      </w:r>
    </w:p>
    <w:p w14:paraId="451D10C9">
      <w:pPr>
        <w:snapToGrid w:val="0"/>
        <w:spacing w:line="360" w:lineRule="auto"/>
        <w:ind w:firstLine="420" w:firstLineChars="200"/>
        <w:rPr>
          <w:rFonts w:hint="eastAsia" w:ascii="宋体" w:hAnsi="宋体"/>
          <w:sz w:val="21"/>
          <w:szCs w:val="21"/>
        </w:rPr>
      </w:pPr>
      <w:r>
        <w:rPr>
          <w:rFonts w:hint="eastAsia" w:ascii="宋体" w:hAnsi="宋体"/>
          <w:sz w:val="21"/>
          <w:szCs w:val="21"/>
        </w:rPr>
        <w:t>（6）经履行相关程序后，基金推出新业务或服务；</w:t>
      </w:r>
    </w:p>
    <w:p w14:paraId="103E7097">
      <w:pPr>
        <w:snapToGrid w:val="0"/>
        <w:spacing w:line="360" w:lineRule="auto"/>
        <w:ind w:firstLine="420" w:firstLineChars="200"/>
        <w:rPr>
          <w:rFonts w:hint="eastAsia" w:ascii="宋体" w:hAnsi="宋体"/>
          <w:sz w:val="21"/>
          <w:szCs w:val="21"/>
        </w:rPr>
      </w:pPr>
      <w:r>
        <w:rPr>
          <w:rFonts w:hint="eastAsia" w:ascii="宋体" w:hAnsi="宋体"/>
          <w:sz w:val="21"/>
          <w:szCs w:val="21"/>
        </w:rPr>
        <w:t>（7）调整基金的申购赎回方式及申购对价、赎回对价组成；调整申购赎回清单的内容，调整申购赎回清单计算和公告时间或频率；</w:t>
      </w:r>
    </w:p>
    <w:p w14:paraId="5D582578">
      <w:pPr>
        <w:snapToGrid w:val="0"/>
        <w:spacing w:line="360" w:lineRule="auto"/>
        <w:ind w:firstLine="420" w:firstLineChars="200"/>
        <w:rPr>
          <w:rFonts w:hint="eastAsia" w:ascii="宋体" w:hAnsi="宋体"/>
          <w:sz w:val="21"/>
          <w:szCs w:val="21"/>
        </w:rPr>
      </w:pPr>
      <w:r>
        <w:rPr>
          <w:rFonts w:hint="eastAsia" w:ascii="宋体" w:hAnsi="宋体"/>
          <w:sz w:val="21"/>
          <w:szCs w:val="21"/>
        </w:rPr>
        <w:t>（8）按照法律法规和《基金合同》规定不需召开基金份额持有人大会的其他情形。</w:t>
      </w:r>
    </w:p>
    <w:p w14:paraId="18194AC4">
      <w:pPr>
        <w:snapToGrid w:val="0"/>
        <w:spacing w:line="360" w:lineRule="auto"/>
        <w:ind w:firstLine="420" w:firstLineChars="200"/>
        <w:rPr>
          <w:rFonts w:hint="eastAsia" w:ascii="宋体" w:hAnsi="宋体"/>
          <w:sz w:val="21"/>
          <w:szCs w:val="21"/>
        </w:rPr>
      </w:pPr>
      <w:r>
        <w:rPr>
          <w:rFonts w:hint="eastAsia" w:ascii="宋体" w:hAnsi="宋体"/>
          <w:sz w:val="21"/>
          <w:szCs w:val="21"/>
        </w:rPr>
        <w:t>（二）会议召集人及召集方式</w:t>
      </w:r>
    </w:p>
    <w:p w14:paraId="08DDD077">
      <w:pPr>
        <w:snapToGrid w:val="0"/>
        <w:spacing w:line="360" w:lineRule="auto"/>
        <w:ind w:firstLine="420" w:firstLineChars="200"/>
        <w:rPr>
          <w:rFonts w:hint="eastAsia" w:ascii="宋体" w:hAnsi="宋体"/>
          <w:sz w:val="21"/>
          <w:szCs w:val="21"/>
        </w:rPr>
      </w:pPr>
      <w:r>
        <w:rPr>
          <w:rFonts w:hint="eastAsia" w:ascii="宋体" w:hAnsi="宋体"/>
          <w:sz w:val="21"/>
          <w:szCs w:val="21"/>
        </w:rPr>
        <w:t>1、除法律法规规定或《基金合同》另有约定外，基金份额持有人大会由基金管理人召集。</w:t>
      </w:r>
    </w:p>
    <w:p w14:paraId="7FFC51EC">
      <w:pPr>
        <w:snapToGrid w:val="0"/>
        <w:spacing w:line="360" w:lineRule="auto"/>
        <w:ind w:firstLine="420" w:firstLineChars="200"/>
        <w:rPr>
          <w:rFonts w:hint="eastAsia" w:ascii="宋体" w:hAnsi="宋体"/>
          <w:sz w:val="21"/>
          <w:szCs w:val="21"/>
        </w:rPr>
      </w:pPr>
      <w:r>
        <w:rPr>
          <w:rFonts w:hint="eastAsia" w:ascii="宋体" w:hAnsi="宋体"/>
          <w:sz w:val="21"/>
          <w:szCs w:val="21"/>
        </w:rPr>
        <w:t>2、基金管理人未按规定召集或不能召集时，由基金托管人召集。</w:t>
      </w:r>
    </w:p>
    <w:p w14:paraId="62AC8D03">
      <w:pPr>
        <w:snapToGrid w:val="0"/>
        <w:spacing w:line="360" w:lineRule="auto"/>
        <w:ind w:firstLine="420" w:firstLineChars="200"/>
        <w:rPr>
          <w:rFonts w:hint="eastAsia" w:ascii="宋体" w:hAnsi="宋体"/>
          <w:sz w:val="21"/>
          <w:szCs w:val="21"/>
        </w:rPr>
      </w:pPr>
      <w:r>
        <w:rPr>
          <w:rFonts w:hint="eastAsia" w:ascii="宋体" w:hAnsi="宋体"/>
          <w:sz w:val="21"/>
          <w:szCs w:val="21"/>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106DBAF">
      <w:pPr>
        <w:snapToGrid w:val="0"/>
        <w:spacing w:line="360" w:lineRule="auto"/>
        <w:ind w:firstLine="420" w:firstLineChars="200"/>
        <w:rPr>
          <w:rFonts w:hint="eastAsia" w:ascii="宋体" w:hAnsi="宋体"/>
          <w:sz w:val="21"/>
          <w:szCs w:val="21"/>
        </w:rPr>
      </w:pPr>
      <w:r>
        <w:rPr>
          <w:rFonts w:hint="eastAsia" w:ascii="宋体" w:hAnsi="宋体"/>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34AC379">
      <w:pPr>
        <w:snapToGrid w:val="0"/>
        <w:spacing w:line="360" w:lineRule="auto"/>
        <w:ind w:firstLine="420" w:firstLineChars="200"/>
        <w:rPr>
          <w:rFonts w:hint="eastAsia" w:ascii="宋体" w:hAnsi="宋体"/>
          <w:sz w:val="21"/>
          <w:szCs w:val="21"/>
        </w:rPr>
      </w:pPr>
      <w:r>
        <w:rPr>
          <w:rFonts w:hint="eastAsia" w:ascii="宋体" w:hAnsi="宋体"/>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0A60179">
      <w:pPr>
        <w:snapToGrid w:val="0"/>
        <w:spacing w:line="360" w:lineRule="auto"/>
        <w:ind w:firstLine="420" w:firstLineChars="200"/>
        <w:rPr>
          <w:rFonts w:hint="eastAsia" w:ascii="宋体" w:hAnsi="宋体"/>
          <w:sz w:val="21"/>
          <w:szCs w:val="21"/>
        </w:rPr>
      </w:pPr>
      <w:r>
        <w:rPr>
          <w:rFonts w:hint="eastAsia" w:ascii="宋体" w:hAnsi="宋体"/>
          <w:sz w:val="21"/>
          <w:szCs w:val="21"/>
        </w:rPr>
        <w:t>6、基金份额持有人会议的召集人负责选择确定开会时间、地点、方式和权益登记日。</w:t>
      </w:r>
    </w:p>
    <w:p w14:paraId="2549D478">
      <w:pPr>
        <w:snapToGrid w:val="0"/>
        <w:spacing w:line="360" w:lineRule="auto"/>
        <w:ind w:firstLine="420" w:firstLineChars="200"/>
        <w:rPr>
          <w:rFonts w:hint="eastAsia" w:ascii="宋体" w:hAnsi="宋体"/>
          <w:sz w:val="21"/>
          <w:szCs w:val="21"/>
        </w:rPr>
      </w:pPr>
      <w:r>
        <w:rPr>
          <w:rFonts w:hint="eastAsia" w:ascii="宋体" w:hAnsi="宋体"/>
          <w:sz w:val="21"/>
          <w:szCs w:val="21"/>
        </w:rPr>
        <w:t>（三）召开基金份额持有人大会的通知时间、通知内容、通知方式</w:t>
      </w:r>
    </w:p>
    <w:p w14:paraId="420F09B3">
      <w:pPr>
        <w:snapToGrid w:val="0"/>
        <w:spacing w:line="360" w:lineRule="auto"/>
        <w:ind w:firstLine="420" w:firstLineChars="200"/>
        <w:rPr>
          <w:rFonts w:hint="eastAsia" w:ascii="宋体" w:hAnsi="宋体"/>
          <w:sz w:val="21"/>
          <w:szCs w:val="21"/>
        </w:rPr>
      </w:pPr>
      <w:r>
        <w:rPr>
          <w:rFonts w:hint="eastAsia" w:ascii="宋体" w:hAnsi="宋体"/>
          <w:sz w:val="21"/>
          <w:szCs w:val="21"/>
        </w:rPr>
        <w:t>1、召开基金份额持有人大会，召集人应于会议召开前30日，在规定媒介公告。基金份额持有人大会通知应至少载明以下内容：</w:t>
      </w:r>
    </w:p>
    <w:p w14:paraId="319F491C">
      <w:pPr>
        <w:snapToGrid w:val="0"/>
        <w:spacing w:line="360" w:lineRule="auto"/>
        <w:ind w:firstLine="420" w:firstLineChars="200"/>
        <w:rPr>
          <w:rFonts w:hint="eastAsia" w:ascii="宋体" w:hAnsi="宋体"/>
          <w:sz w:val="21"/>
          <w:szCs w:val="21"/>
        </w:rPr>
      </w:pPr>
      <w:r>
        <w:rPr>
          <w:rFonts w:hint="eastAsia" w:ascii="宋体" w:hAnsi="宋体"/>
          <w:sz w:val="21"/>
          <w:szCs w:val="21"/>
        </w:rPr>
        <w:t>（1）会议召开的时间、地点和会议形式；</w:t>
      </w:r>
    </w:p>
    <w:p w14:paraId="17673FBD">
      <w:pPr>
        <w:snapToGrid w:val="0"/>
        <w:spacing w:line="360" w:lineRule="auto"/>
        <w:ind w:firstLine="420" w:firstLineChars="200"/>
        <w:rPr>
          <w:rFonts w:hint="eastAsia" w:ascii="宋体" w:hAnsi="宋体"/>
          <w:sz w:val="21"/>
          <w:szCs w:val="21"/>
        </w:rPr>
      </w:pPr>
      <w:r>
        <w:rPr>
          <w:rFonts w:hint="eastAsia" w:ascii="宋体" w:hAnsi="宋体"/>
          <w:sz w:val="21"/>
          <w:szCs w:val="21"/>
        </w:rPr>
        <w:t>（2）会议拟审议的事项、议事程序和表决方式；</w:t>
      </w:r>
    </w:p>
    <w:p w14:paraId="77C9D5FD">
      <w:pPr>
        <w:snapToGrid w:val="0"/>
        <w:spacing w:line="360" w:lineRule="auto"/>
        <w:ind w:firstLine="420" w:firstLineChars="200"/>
        <w:rPr>
          <w:rFonts w:hint="eastAsia" w:ascii="宋体" w:hAnsi="宋体"/>
          <w:sz w:val="21"/>
          <w:szCs w:val="21"/>
        </w:rPr>
      </w:pPr>
      <w:r>
        <w:rPr>
          <w:rFonts w:hint="eastAsia" w:ascii="宋体" w:hAnsi="宋体"/>
          <w:sz w:val="21"/>
          <w:szCs w:val="21"/>
        </w:rPr>
        <w:t>（3）有权出席基金份额持有人大会的基金份额持有人的权益登记日；</w:t>
      </w:r>
    </w:p>
    <w:p w14:paraId="34BD2754">
      <w:pPr>
        <w:snapToGrid w:val="0"/>
        <w:spacing w:line="360" w:lineRule="auto"/>
        <w:ind w:firstLine="420" w:firstLineChars="200"/>
        <w:rPr>
          <w:rFonts w:hint="eastAsia" w:ascii="宋体" w:hAnsi="宋体"/>
          <w:sz w:val="21"/>
          <w:szCs w:val="21"/>
        </w:rPr>
      </w:pPr>
      <w:r>
        <w:rPr>
          <w:rFonts w:hint="eastAsia" w:ascii="宋体" w:hAnsi="宋体"/>
          <w:sz w:val="21"/>
          <w:szCs w:val="21"/>
        </w:rPr>
        <w:t>（4）授权委托证明的内容要求（包括但不限于代理人身份，代理权限和代理有效期限等）、送达时间和地点；</w:t>
      </w:r>
    </w:p>
    <w:p w14:paraId="6575F1E7">
      <w:pPr>
        <w:snapToGrid w:val="0"/>
        <w:spacing w:line="360" w:lineRule="auto"/>
        <w:ind w:firstLine="420" w:firstLineChars="200"/>
        <w:rPr>
          <w:rFonts w:hint="eastAsia" w:ascii="宋体" w:hAnsi="宋体"/>
          <w:sz w:val="21"/>
          <w:szCs w:val="21"/>
        </w:rPr>
      </w:pPr>
      <w:r>
        <w:rPr>
          <w:rFonts w:hint="eastAsia" w:ascii="宋体" w:hAnsi="宋体"/>
          <w:sz w:val="21"/>
          <w:szCs w:val="21"/>
        </w:rPr>
        <w:t>（5）会务常设联系人姓名及联系电话；</w:t>
      </w:r>
    </w:p>
    <w:p w14:paraId="7E7283CC">
      <w:pPr>
        <w:snapToGrid w:val="0"/>
        <w:spacing w:line="360" w:lineRule="auto"/>
        <w:ind w:firstLine="420" w:firstLineChars="200"/>
        <w:rPr>
          <w:rFonts w:hint="eastAsia" w:ascii="宋体" w:hAnsi="宋体"/>
          <w:sz w:val="21"/>
          <w:szCs w:val="21"/>
        </w:rPr>
      </w:pPr>
      <w:r>
        <w:rPr>
          <w:rFonts w:hint="eastAsia" w:ascii="宋体" w:hAnsi="宋体"/>
          <w:sz w:val="21"/>
          <w:szCs w:val="21"/>
        </w:rPr>
        <w:t>（6）出席会议者必须准备的文件和必须履行的手续；</w:t>
      </w:r>
    </w:p>
    <w:p w14:paraId="00298A36">
      <w:pPr>
        <w:snapToGrid w:val="0"/>
        <w:spacing w:line="360" w:lineRule="auto"/>
        <w:ind w:firstLine="420" w:firstLineChars="200"/>
        <w:rPr>
          <w:rFonts w:hint="eastAsia" w:ascii="宋体" w:hAnsi="宋体"/>
          <w:sz w:val="21"/>
          <w:szCs w:val="21"/>
        </w:rPr>
      </w:pPr>
      <w:r>
        <w:rPr>
          <w:rFonts w:hint="eastAsia" w:ascii="宋体" w:hAnsi="宋体"/>
          <w:sz w:val="21"/>
          <w:szCs w:val="21"/>
        </w:rPr>
        <w:t>（7）召集人需要通知的其他事项。</w:t>
      </w:r>
    </w:p>
    <w:p w14:paraId="09B74FAE">
      <w:pPr>
        <w:snapToGrid w:val="0"/>
        <w:spacing w:line="360" w:lineRule="auto"/>
        <w:ind w:firstLine="420" w:firstLineChars="200"/>
        <w:rPr>
          <w:rFonts w:hint="eastAsia" w:ascii="宋体" w:hAnsi="宋体"/>
          <w:sz w:val="21"/>
          <w:szCs w:val="21"/>
        </w:rPr>
      </w:pPr>
      <w:r>
        <w:rPr>
          <w:rFonts w:hint="eastAsia" w:ascii="宋体" w:hAnsi="宋体"/>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BE27C96">
      <w:pPr>
        <w:snapToGrid w:val="0"/>
        <w:spacing w:line="360" w:lineRule="auto"/>
        <w:ind w:firstLine="420" w:firstLineChars="200"/>
        <w:rPr>
          <w:rFonts w:hint="eastAsia" w:ascii="宋体" w:hAnsi="宋体"/>
          <w:sz w:val="21"/>
          <w:szCs w:val="21"/>
        </w:rPr>
      </w:pPr>
      <w:r>
        <w:rPr>
          <w:rFonts w:hint="eastAsia" w:ascii="宋体" w:hAnsi="宋体"/>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906CF76">
      <w:pPr>
        <w:snapToGrid w:val="0"/>
        <w:spacing w:line="360" w:lineRule="auto"/>
        <w:ind w:firstLine="420" w:firstLineChars="200"/>
        <w:rPr>
          <w:rFonts w:hint="eastAsia" w:ascii="宋体" w:hAnsi="宋体"/>
          <w:sz w:val="21"/>
          <w:szCs w:val="21"/>
        </w:rPr>
      </w:pPr>
      <w:r>
        <w:rPr>
          <w:rFonts w:hint="eastAsia" w:ascii="宋体" w:hAnsi="宋体"/>
          <w:sz w:val="21"/>
          <w:szCs w:val="21"/>
        </w:rPr>
        <w:t>（四）基金份额持有人出席会议的方式</w:t>
      </w:r>
    </w:p>
    <w:p w14:paraId="009266B9">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基金份额持有人大会可通过现场开会方式、通讯开会方式或法律法规、监管机构允许的其他方式召开，会议的召开方式由会议召集人确定。</w:t>
      </w:r>
    </w:p>
    <w:p w14:paraId="687AA8F6">
      <w:pPr>
        <w:snapToGrid w:val="0"/>
        <w:spacing w:line="360" w:lineRule="auto"/>
        <w:ind w:firstLine="420" w:firstLineChars="200"/>
        <w:rPr>
          <w:rFonts w:hint="eastAsia" w:ascii="宋体" w:hAnsi="宋体"/>
          <w:sz w:val="21"/>
          <w:szCs w:val="21"/>
        </w:rPr>
      </w:pPr>
      <w:r>
        <w:rPr>
          <w:rFonts w:hint="eastAsia" w:ascii="宋体" w:hAnsi="宋体"/>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96F94DB">
      <w:pPr>
        <w:snapToGrid w:val="0"/>
        <w:spacing w:line="360" w:lineRule="auto"/>
        <w:ind w:firstLine="420" w:firstLineChars="200"/>
        <w:rPr>
          <w:rFonts w:hint="eastAsia" w:ascii="宋体" w:hAnsi="宋体"/>
          <w:sz w:val="21"/>
          <w:szCs w:val="21"/>
        </w:rPr>
      </w:pPr>
      <w:r>
        <w:rPr>
          <w:rFonts w:hint="eastAsia" w:ascii="宋体" w:hAnsi="宋体"/>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75BFC7B">
      <w:pPr>
        <w:snapToGrid w:val="0"/>
        <w:spacing w:line="360" w:lineRule="auto"/>
        <w:ind w:firstLine="420" w:firstLineChars="200"/>
        <w:rPr>
          <w:rFonts w:hint="eastAsia" w:ascii="宋体" w:hAnsi="宋体"/>
          <w:sz w:val="21"/>
          <w:szCs w:val="21"/>
        </w:rPr>
      </w:pPr>
      <w:r>
        <w:rPr>
          <w:rFonts w:hint="eastAsia" w:ascii="宋体" w:hAnsi="宋体"/>
          <w:sz w:val="21"/>
          <w:szCs w:val="21"/>
        </w:rPr>
        <w:t>（2）经核对，汇总到会者出示的在权益登记日持有基金份额的凭证显示，有效的基金份额不少于本基金在权益登记日基金总份额的二分之一（含二分之一）。</w:t>
      </w:r>
    </w:p>
    <w:p w14:paraId="2D0F22DD">
      <w:pPr>
        <w:snapToGrid w:val="0"/>
        <w:spacing w:line="360" w:lineRule="auto"/>
        <w:ind w:firstLine="420" w:firstLineChars="200"/>
        <w:rPr>
          <w:rFonts w:hint="eastAsia" w:ascii="宋体" w:hAnsi="宋体"/>
          <w:sz w:val="21"/>
          <w:szCs w:val="21"/>
        </w:rPr>
      </w:pPr>
      <w:r>
        <w:rPr>
          <w:rFonts w:hint="eastAsia" w:ascii="宋体" w:hAnsi="宋体"/>
          <w:sz w:val="21"/>
          <w:szCs w:val="21"/>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F546A44">
      <w:pPr>
        <w:snapToGrid w:val="0"/>
        <w:spacing w:line="360" w:lineRule="auto"/>
        <w:ind w:firstLine="420" w:firstLineChars="200"/>
        <w:rPr>
          <w:rFonts w:hint="eastAsia" w:ascii="宋体" w:hAnsi="宋体"/>
          <w:sz w:val="21"/>
          <w:szCs w:val="21"/>
        </w:rPr>
      </w:pPr>
      <w:r>
        <w:rPr>
          <w:rFonts w:hint="eastAsia" w:ascii="宋体" w:hAnsi="宋体"/>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1E915216">
      <w:pPr>
        <w:snapToGrid w:val="0"/>
        <w:spacing w:line="360" w:lineRule="auto"/>
        <w:ind w:firstLine="420" w:firstLineChars="200"/>
        <w:rPr>
          <w:rFonts w:hint="eastAsia" w:ascii="宋体" w:hAnsi="宋体"/>
          <w:sz w:val="21"/>
          <w:szCs w:val="21"/>
        </w:rPr>
      </w:pPr>
      <w:r>
        <w:rPr>
          <w:rFonts w:hint="eastAsia" w:ascii="宋体" w:hAnsi="宋体"/>
          <w:sz w:val="21"/>
          <w:szCs w:val="21"/>
        </w:rPr>
        <w:t>在同时符合以下条件时，通讯开会的方式视为有效：</w:t>
      </w:r>
    </w:p>
    <w:p w14:paraId="11EF2FA5">
      <w:pPr>
        <w:snapToGrid w:val="0"/>
        <w:spacing w:line="360" w:lineRule="auto"/>
        <w:ind w:firstLine="420" w:firstLineChars="200"/>
        <w:rPr>
          <w:rFonts w:hint="eastAsia" w:ascii="宋体" w:hAnsi="宋体"/>
          <w:sz w:val="21"/>
          <w:szCs w:val="21"/>
        </w:rPr>
      </w:pPr>
      <w:r>
        <w:rPr>
          <w:rFonts w:hint="eastAsia" w:ascii="宋体" w:hAnsi="宋体"/>
          <w:sz w:val="21"/>
          <w:szCs w:val="21"/>
        </w:rPr>
        <w:t>（1）会议召集人按《基金合同》约定公布会议通知后，在 2个工作日内连续公布相关提示性公告；</w:t>
      </w:r>
    </w:p>
    <w:p w14:paraId="16A73122">
      <w:pPr>
        <w:snapToGrid w:val="0"/>
        <w:spacing w:line="360" w:lineRule="auto"/>
        <w:ind w:firstLine="420" w:firstLineChars="200"/>
        <w:rPr>
          <w:rFonts w:hint="eastAsia" w:ascii="宋体" w:hAnsi="宋体"/>
          <w:sz w:val="21"/>
          <w:szCs w:val="21"/>
        </w:rPr>
      </w:pPr>
      <w:r>
        <w:rPr>
          <w:rFonts w:hint="eastAsia" w:ascii="宋体" w:hAnsi="宋体"/>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E6F9474">
      <w:pPr>
        <w:snapToGrid w:val="0"/>
        <w:spacing w:line="360" w:lineRule="auto"/>
        <w:ind w:firstLine="420" w:firstLineChars="200"/>
        <w:rPr>
          <w:rFonts w:hint="eastAsia" w:ascii="宋体" w:hAnsi="宋体"/>
          <w:sz w:val="21"/>
          <w:szCs w:val="21"/>
        </w:rPr>
      </w:pPr>
      <w:r>
        <w:rPr>
          <w:rFonts w:hint="eastAsia" w:ascii="宋体" w:hAnsi="宋体"/>
          <w:sz w:val="21"/>
          <w:szCs w:val="21"/>
        </w:rPr>
        <w:t>（3）本人直接出具表决意见或授权他人代表出具表决意见的，基金份额持有人所持有的基金份额不小于在权益登记日基金总份额的二分之一（含二分之一）；</w:t>
      </w:r>
    </w:p>
    <w:p w14:paraId="3F315758">
      <w:pPr>
        <w:snapToGrid w:val="0"/>
        <w:spacing w:line="360" w:lineRule="auto"/>
        <w:ind w:firstLine="420" w:firstLineChars="200"/>
        <w:rPr>
          <w:rFonts w:hint="eastAsia" w:ascii="宋体" w:hAnsi="宋体"/>
          <w:sz w:val="21"/>
          <w:szCs w:val="21"/>
        </w:rPr>
      </w:pPr>
      <w:r>
        <w:rPr>
          <w:rFonts w:hint="eastAsia" w:ascii="宋体" w:hAnsi="宋体"/>
          <w:sz w:val="21"/>
          <w:szCs w:val="21"/>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F4D9D05">
      <w:pPr>
        <w:snapToGrid w:val="0"/>
        <w:spacing w:line="360" w:lineRule="auto"/>
        <w:ind w:firstLine="420" w:firstLineChars="200"/>
        <w:rPr>
          <w:rFonts w:hint="eastAsia" w:ascii="宋体" w:hAnsi="宋体"/>
          <w:sz w:val="21"/>
          <w:szCs w:val="21"/>
        </w:rPr>
      </w:pPr>
      <w:r>
        <w:rPr>
          <w:rFonts w:hint="eastAsia" w:ascii="宋体" w:hAnsi="宋体"/>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D089545">
      <w:pPr>
        <w:snapToGrid w:val="0"/>
        <w:spacing w:line="360" w:lineRule="auto"/>
        <w:ind w:firstLine="420" w:firstLineChars="200"/>
        <w:rPr>
          <w:rFonts w:hint="eastAsia" w:ascii="宋体" w:hAnsi="宋体"/>
          <w:sz w:val="21"/>
          <w:szCs w:val="21"/>
        </w:rPr>
      </w:pPr>
      <w:r>
        <w:rPr>
          <w:rFonts w:hint="eastAsia" w:ascii="宋体" w:hAnsi="宋体"/>
          <w:sz w:val="21"/>
          <w:szCs w:val="21"/>
        </w:rPr>
        <w:t xml:space="preserve"> 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1D76C5A4">
      <w:pPr>
        <w:snapToGrid w:val="0"/>
        <w:spacing w:line="360" w:lineRule="auto"/>
        <w:ind w:firstLine="420" w:firstLineChars="200"/>
        <w:rPr>
          <w:rFonts w:hint="eastAsia" w:ascii="宋体" w:hAnsi="宋体"/>
          <w:sz w:val="21"/>
          <w:szCs w:val="21"/>
        </w:rPr>
      </w:pPr>
      <w:r>
        <w:rPr>
          <w:rFonts w:hint="eastAsia" w:ascii="宋体" w:hAnsi="宋体"/>
          <w:sz w:val="21"/>
          <w:szCs w:val="21"/>
        </w:rPr>
        <w:t>（五）议事内容与程序</w:t>
      </w:r>
    </w:p>
    <w:p w14:paraId="7A6C4047">
      <w:pPr>
        <w:snapToGrid w:val="0"/>
        <w:spacing w:line="360" w:lineRule="auto"/>
        <w:ind w:firstLine="420" w:firstLineChars="200"/>
        <w:rPr>
          <w:rFonts w:hint="eastAsia" w:ascii="宋体" w:hAnsi="宋体"/>
          <w:sz w:val="21"/>
          <w:szCs w:val="21"/>
        </w:rPr>
      </w:pPr>
      <w:r>
        <w:rPr>
          <w:rFonts w:hint="eastAsia" w:ascii="宋体" w:hAnsi="宋体"/>
          <w:sz w:val="21"/>
          <w:szCs w:val="21"/>
        </w:rPr>
        <w:t>1、议事内容及提案权</w:t>
      </w:r>
    </w:p>
    <w:p w14:paraId="449A0829">
      <w:pPr>
        <w:snapToGrid w:val="0"/>
        <w:spacing w:line="360" w:lineRule="auto"/>
        <w:ind w:firstLine="420" w:firstLineChars="200"/>
        <w:rPr>
          <w:rFonts w:hint="eastAsia" w:ascii="宋体" w:hAnsi="宋体"/>
          <w:sz w:val="21"/>
          <w:szCs w:val="21"/>
        </w:rPr>
      </w:pPr>
      <w:r>
        <w:rPr>
          <w:rFonts w:hint="eastAsia" w:ascii="宋体" w:hAnsi="宋体"/>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7574EF4">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基金份额持有人大会的召集人发出召集会议的通知后，对原有提案的修改应当在基金份额持有人大会召开前及时公告。</w:t>
      </w:r>
    </w:p>
    <w:p w14:paraId="510AAEF6">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基金份额持有人大会不得对未事先公告的议事内容进行表决。</w:t>
      </w:r>
    </w:p>
    <w:p w14:paraId="33A12419">
      <w:pPr>
        <w:snapToGrid w:val="0"/>
        <w:spacing w:line="360" w:lineRule="auto"/>
        <w:ind w:firstLine="420" w:firstLineChars="200"/>
        <w:rPr>
          <w:rFonts w:hint="eastAsia" w:ascii="宋体" w:hAnsi="宋体"/>
          <w:sz w:val="21"/>
          <w:szCs w:val="21"/>
        </w:rPr>
      </w:pPr>
      <w:r>
        <w:rPr>
          <w:rFonts w:hint="eastAsia" w:ascii="宋体" w:hAnsi="宋体"/>
          <w:sz w:val="21"/>
          <w:szCs w:val="21"/>
        </w:rPr>
        <w:t>2、议事程序</w:t>
      </w:r>
    </w:p>
    <w:p w14:paraId="6919E7F8">
      <w:pPr>
        <w:snapToGrid w:val="0"/>
        <w:spacing w:line="360" w:lineRule="auto"/>
        <w:ind w:firstLine="420" w:firstLineChars="200"/>
        <w:rPr>
          <w:rFonts w:hint="eastAsia" w:ascii="宋体" w:hAnsi="宋体"/>
          <w:sz w:val="21"/>
          <w:szCs w:val="21"/>
        </w:rPr>
      </w:pPr>
      <w:r>
        <w:rPr>
          <w:rFonts w:hint="eastAsia" w:ascii="宋体" w:hAnsi="宋体"/>
          <w:sz w:val="21"/>
          <w:szCs w:val="21"/>
        </w:rPr>
        <w:t>（1）现场开会</w:t>
      </w:r>
    </w:p>
    <w:p w14:paraId="391BD5FB">
      <w:pPr>
        <w:snapToGrid w:val="0"/>
        <w:spacing w:line="360" w:lineRule="auto"/>
        <w:ind w:firstLine="420" w:firstLineChars="200"/>
        <w:rPr>
          <w:rFonts w:hint="eastAsia" w:ascii="宋体" w:hAnsi="宋体"/>
          <w:sz w:val="21"/>
          <w:szCs w:val="21"/>
        </w:rPr>
      </w:pPr>
      <w:r>
        <w:rPr>
          <w:rFonts w:hint="eastAsia" w:ascii="宋体" w:hAnsi="宋体"/>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3692B80C">
      <w:pPr>
        <w:snapToGrid w:val="0"/>
        <w:spacing w:line="360" w:lineRule="auto"/>
        <w:ind w:firstLine="420" w:firstLineChars="200"/>
        <w:rPr>
          <w:rFonts w:hint="eastAsia" w:ascii="宋体" w:hAnsi="宋体"/>
          <w:sz w:val="21"/>
          <w:szCs w:val="21"/>
        </w:rPr>
      </w:pPr>
      <w:r>
        <w:rPr>
          <w:rFonts w:hint="eastAsia" w:ascii="宋体" w:hAnsi="宋体"/>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414E857F">
      <w:pPr>
        <w:snapToGrid w:val="0"/>
        <w:spacing w:line="360" w:lineRule="auto"/>
        <w:ind w:firstLine="420" w:firstLineChars="200"/>
        <w:rPr>
          <w:rFonts w:hint="eastAsia" w:ascii="宋体" w:hAnsi="宋体"/>
          <w:sz w:val="21"/>
          <w:szCs w:val="21"/>
        </w:rPr>
      </w:pPr>
      <w:r>
        <w:rPr>
          <w:rFonts w:hint="eastAsia" w:ascii="宋体" w:hAnsi="宋体"/>
          <w:sz w:val="21"/>
          <w:szCs w:val="21"/>
        </w:rPr>
        <w:t>（2）通讯开会</w:t>
      </w:r>
    </w:p>
    <w:p w14:paraId="1DF9ECC9">
      <w:pPr>
        <w:snapToGrid w:val="0"/>
        <w:spacing w:line="360" w:lineRule="auto"/>
        <w:ind w:firstLine="420" w:firstLineChars="200"/>
        <w:rPr>
          <w:rFonts w:hint="eastAsia" w:ascii="宋体" w:hAnsi="宋体"/>
          <w:sz w:val="21"/>
          <w:szCs w:val="21"/>
        </w:rPr>
      </w:pPr>
      <w:r>
        <w:rPr>
          <w:rFonts w:hint="eastAsia" w:ascii="宋体" w:hAnsi="宋体"/>
          <w:sz w:val="21"/>
          <w:szCs w:val="21"/>
        </w:rPr>
        <w:t>在通讯开会的情况下，首先由召集人提前30日公布提案，在所通知的表决截止日期后2个工作日内在公证机关监督下由召集人统计全部有效表决，在公证机关监督下形成决议。</w:t>
      </w:r>
    </w:p>
    <w:p w14:paraId="7E151AE0">
      <w:pPr>
        <w:snapToGrid w:val="0"/>
        <w:spacing w:line="360" w:lineRule="auto"/>
        <w:ind w:firstLine="420" w:firstLineChars="200"/>
        <w:rPr>
          <w:rFonts w:hint="eastAsia" w:ascii="宋体" w:hAnsi="宋体"/>
          <w:sz w:val="21"/>
          <w:szCs w:val="21"/>
        </w:rPr>
      </w:pPr>
      <w:r>
        <w:rPr>
          <w:rFonts w:hint="eastAsia" w:ascii="宋体" w:hAnsi="宋体"/>
          <w:sz w:val="21"/>
          <w:szCs w:val="21"/>
        </w:rPr>
        <w:t>（六）表决</w:t>
      </w:r>
    </w:p>
    <w:p w14:paraId="0442B628">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基金份额持有人所持每份基金份额有一票表决权。</w:t>
      </w:r>
    </w:p>
    <w:p w14:paraId="7067E2FE">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基金份额持有人大会决议分为一般决议和特别决议：</w:t>
      </w:r>
    </w:p>
    <w:p w14:paraId="6874F2FA">
      <w:pPr>
        <w:snapToGrid w:val="0"/>
        <w:spacing w:line="360" w:lineRule="auto"/>
        <w:ind w:firstLine="420" w:firstLineChars="200"/>
        <w:rPr>
          <w:rFonts w:hint="eastAsia" w:ascii="宋体" w:hAnsi="宋体"/>
          <w:sz w:val="21"/>
          <w:szCs w:val="21"/>
        </w:rPr>
      </w:pPr>
      <w:r>
        <w:rPr>
          <w:rFonts w:hint="eastAsia" w:ascii="宋体" w:hAnsi="宋体"/>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194E1D78">
      <w:pPr>
        <w:snapToGrid w:val="0"/>
        <w:spacing w:line="360" w:lineRule="auto"/>
        <w:ind w:firstLine="420" w:firstLineChars="200"/>
        <w:rPr>
          <w:rFonts w:hint="eastAsia" w:ascii="宋体" w:hAnsi="宋体"/>
          <w:sz w:val="21"/>
          <w:szCs w:val="21"/>
        </w:rPr>
      </w:pPr>
      <w:r>
        <w:rPr>
          <w:rFonts w:hint="eastAsia" w:ascii="宋体" w:hAnsi="宋体"/>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4E2E4DA8">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基金份额持有人大会采取记名方式进行投票表决。</w:t>
      </w:r>
    </w:p>
    <w:p w14:paraId="32B2934F">
      <w:pPr>
        <w:snapToGrid w:val="0"/>
        <w:spacing w:line="360" w:lineRule="auto"/>
        <w:ind w:firstLine="420" w:firstLineChars="200"/>
        <w:rPr>
          <w:rFonts w:hint="eastAsia" w:ascii="宋体" w:hAnsi="宋体"/>
          <w:sz w:val="21"/>
          <w:szCs w:val="21"/>
        </w:rPr>
      </w:pPr>
      <w:r>
        <w:rPr>
          <w:rFonts w:hint="eastAsia" w:ascii="宋体" w:hAnsi="宋体"/>
          <w:sz w:val="21"/>
          <w:szCs w:val="21"/>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0A056C90">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基金份额持有人大会的各项提案或同一项提案内并列的各项议题应当分开审议、逐项表决。</w:t>
      </w:r>
    </w:p>
    <w:p w14:paraId="28A8EC11">
      <w:pPr>
        <w:snapToGrid w:val="0"/>
        <w:spacing w:line="360" w:lineRule="auto"/>
        <w:ind w:firstLine="420" w:firstLineChars="200"/>
        <w:rPr>
          <w:rFonts w:hint="eastAsia" w:ascii="宋体" w:hAnsi="宋体"/>
          <w:sz w:val="21"/>
          <w:szCs w:val="21"/>
        </w:rPr>
      </w:pPr>
      <w:r>
        <w:rPr>
          <w:rFonts w:hint="eastAsia" w:ascii="宋体" w:hAnsi="宋体"/>
          <w:sz w:val="21"/>
          <w:szCs w:val="21"/>
        </w:rPr>
        <w:t>在上述规则的前提下，具体规则以召集人发布的基金份额持有人大会通知为准。</w:t>
      </w:r>
    </w:p>
    <w:p w14:paraId="536D0A2D">
      <w:pPr>
        <w:snapToGrid w:val="0"/>
        <w:spacing w:line="360" w:lineRule="auto"/>
        <w:ind w:firstLine="420" w:firstLineChars="200"/>
        <w:rPr>
          <w:rFonts w:hint="eastAsia" w:ascii="宋体" w:hAnsi="宋体"/>
          <w:sz w:val="21"/>
          <w:szCs w:val="21"/>
        </w:rPr>
      </w:pPr>
      <w:r>
        <w:rPr>
          <w:rFonts w:hint="eastAsia" w:ascii="宋体" w:hAnsi="宋体"/>
          <w:sz w:val="21"/>
          <w:szCs w:val="21"/>
        </w:rPr>
        <w:t>（七）计票</w:t>
      </w:r>
    </w:p>
    <w:p w14:paraId="3BAAE20F">
      <w:pPr>
        <w:snapToGrid w:val="0"/>
        <w:spacing w:line="360" w:lineRule="auto"/>
        <w:ind w:firstLine="420" w:firstLineChars="200"/>
        <w:rPr>
          <w:rFonts w:hint="eastAsia" w:ascii="宋体" w:hAnsi="宋体"/>
          <w:sz w:val="21"/>
          <w:szCs w:val="21"/>
        </w:rPr>
      </w:pPr>
      <w:r>
        <w:rPr>
          <w:rFonts w:hint="eastAsia" w:ascii="宋体" w:hAnsi="宋体"/>
          <w:sz w:val="21"/>
          <w:szCs w:val="21"/>
        </w:rPr>
        <w:t>1、现场开会</w:t>
      </w:r>
    </w:p>
    <w:p w14:paraId="49FCF31F">
      <w:pPr>
        <w:snapToGrid w:val="0"/>
        <w:spacing w:line="360" w:lineRule="auto"/>
        <w:ind w:firstLine="420" w:firstLineChars="200"/>
        <w:rPr>
          <w:rFonts w:hint="eastAsia" w:ascii="宋体" w:hAnsi="宋体"/>
          <w:sz w:val="21"/>
          <w:szCs w:val="21"/>
        </w:rPr>
      </w:pPr>
      <w:r>
        <w:rPr>
          <w:rFonts w:hint="eastAsia" w:ascii="宋体" w:hAnsi="宋体"/>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21701C6">
      <w:pPr>
        <w:snapToGrid w:val="0"/>
        <w:spacing w:line="360" w:lineRule="auto"/>
        <w:ind w:firstLine="420" w:firstLineChars="200"/>
        <w:rPr>
          <w:rFonts w:hint="eastAsia" w:ascii="宋体" w:hAnsi="宋体"/>
          <w:sz w:val="21"/>
          <w:szCs w:val="21"/>
        </w:rPr>
      </w:pPr>
      <w:r>
        <w:rPr>
          <w:rFonts w:hint="eastAsia" w:ascii="宋体" w:hAnsi="宋体"/>
          <w:sz w:val="21"/>
          <w:szCs w:val="21"/>
        </w:rPr>
        <w:t>（2）监票人应当在基金份额持有人表决后立即进行清点并由大会主持人当场公布计票结果。</w:t>
      </w:r>
    </w:p>
    <w:p w14:paraId="340CF78E">
      <w:pPr>
        <w:snapToGrid w:val="0"/>
        <w:spacing w:line="360" w:lineRule="auto"/>
        <w:ind w:firstLine="420" w:firstLineChars="200"/>
        <w:rPr>
          <w:rFonts w:hint="eastAsia" w:ascii="宋体" w:hAnsi="宋体"/>
          <w:sz w:val="21"/>
          <w:szCs w:val="21"/>
        </w:rPr>
      </w:pPr>
      <w:r>
        <w:rPr>
          <w:rFonts w:hint="eastAsia" w:ascii="宋体" w:hAnsi="宋体"/>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0F7C47C">
      <w:pPr>
        <w:snapToGrid w:val="0"/>
        <w:spacing w:line="360" w:lineRule="auto"/>
        <w:ind w:firstLine="420" w:firstLineChars="200"/>
        <w:rPr>
          <w:rFonts w:hint="eastAsia" w:ascii="宋体" w:hAnsi="宋体"/>
          <w:sz w:val="21"/>
          <w:szCs w:val="21"/>
        </w:rPr>
      </w:pPr>
      <w:r>
        <w:rPr>
          <w:rFonts w:hint="eastAsia" w:ascii="宋体" w:hAnsi="宋体"/>
          <w:sz w:val="21"/>
          <w:szCs w:val="21"/>
        </w:rPr>
        <w:t>（4）计票过程应由公证机关予以公证，基金管理人或基金托管人拒不出席大会的，不影响计票的效力。</w:t>
      </w:r>
    </w:p>
    <w:p w14:paraId="26558FB2">
      <w:pPr>
        <w:snapToGrid w:val="0"/>
        <w:spacing w:line="360" w:lineRule="auto"/>
        <w:ind w:firstLine="420" w:firstLineChars="200"/>
        <w:rPr>
          <w:rFonts w:hint="eastAsia" w:ascii="宋体" w:hAnsi="宋体"/>
          <w:sz w:val="21"/>
          <w:szCs w:val="21"/>
        </w:rPr>
      </w:pPr>
      <w:r>
        <w:rPr>
          <w:rFonts w:hint="eastAsia" w:ascii="宋体" w:hAnsi="宋体"/>
          <w:sz w:val="21"/>
          <w:szCs w:val="21"/>
        </w:rPr>
        <w:t>2、通讯开会</w:t>
      </w:r>
    </w:p>
    <w:p w14:paraId="32E279E0">
      <w:pPr>
        <w:snapToGrid w:val="0"/>
        <w:spacing w:line="360" w:lineRule="auto"/>
        <w:ind w:firstLine="420" w:firstLineChars="200"/>
        <w:rPr>
          <w:rFonts w:hint="eastAsia" w:ascii="宋体" w:hAnsi="宋体"/>
          <w:sz w:val="21"/>
          <w:szCs w:val="21"/>
        </w:rPr>
      </w:pPr>
      <w:r>
        <w:rPr>
          <w:rFonts w:hint="eastAsia" w:ascii="宋体" w:hAnsi="宋体"/>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748C0C32">
      <w:pPr>
        <w:snapToGrid w:val="0"/>
        <w:spacing w:line="360" w:lineRule="auto"/>
        <w:ind w:firstLine="420" w:firstLineChars="200"/>
        <w:rPr>
          <w:rFonts w:hint="eastAsia" w:ascii="宋体" w:hAnsi="宋体"/>
          <w:sz w:val="21"/>
          <w:szCs w:val="21"/>
        </w:rPr>
      </w:pPr>
      <w:r>
        <w:rPr>
          <w:rFonts w:hint="eastAsia" w:ascii="宋体" w:hAnsi="宋体"/>
          <w:sz w:val="21"/>
          <w:szCs w:val="21"/>
        </w:rPr>
        <w:t>（八）生效与公告</w:t>
      </w:r>
    </w:p>
    <w:p w14:paraId="78639E71">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基金份额持有人大会的决议，召集人应当自通过之日起5日内报中国证监会备案。</w:t>
      </w:r>
    </w:p>
    <w:p w14:paraId="58914EA9">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基金份额持有人大会的决议自表决通过之日起生效。</w:t>
      </w:r>
    </w:p>
    <w:p w14:paraId="73BE2E0D">
      <w:pPr>
        <w:snapToGrid w:val="0"/>
        <w:spacing w:line="360" w:lineRule="auto"/>
        <w:ind w:firstLine="420" w:firstLineChars="200"/>
        <w:rPr>
          <w:rFonts w:hint="eastAsia" w:ascii="宋体" w:hAnsi="宋体"/>
          <w:sz w:val="21"/>
          <w:szCs w:val="21"/>
        </w:rPr>
      </w:pPr>
      <w:r>
        <w:rPr>
          <w:rFonts w:hint="eastAsia" w:ascii="宋体" w:hAnsi="宋体"/>
          <w:sz w:val="21"/>
          <w:szCs w:val="21"/>
        </w:rPr>
        <w:t>基金份额持有人大会决议自生效之日起依照《信息披露办法》在规定媒介上公告。如果采用通讯方式进行表决，在公告基金份额持有人大会决议时，必须将公证书全文、公证机构、公证员姓名等一同公告。</w:t>
      </w:r>
    </w:p>
    <w:p w14:paraId="6A310ADA">
      <w:pPr>
        <w:snapToGrid w:val="0"/>
        <w:spacing w:line="360" w:lineRule="auto"/>
        <w:ind w:firstLine="420" w:firstLineChars="200"/>
        <w:rPr>
          <w:rFonts w:hint="eastAsia" w:ascii="宋体" w:hAnsi="宋体"/>
          <w:sz w:val="21"/>
          <w:szCs w:val="21"/>
        </w:rPr>
      </w:pPr>
      <w:r>
        <w:rPr>
          <w:rFonts w:hint="eastAsia" w:ascii="宋体" w:hAnsi="宋体"/>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4C297A7D">
      <w:pPr>
        <w:numPr>
          <w:ilvl w:val="0"/>
          <w:numId w:val="3"/>
        </w:numPr>
        <w:snapToGrid w:val="0"/>
        <w:spacing w:line="360" w:lineRule="auto"/>
        <w:ind w:firstLine="420" w:firstLineChars="200"/>
        <w:rPr>
          <w:rFonts w:hint="eastAsia" w:ascii="宋体" w:hAnsi="宋体"/>
          <w:sz w:val="21"/>
          <w:szCs w:val="21"/>
        </w:rPr>
      </w:pPr>
      <w:r>
        <w:rPr>
          <w:rFonts w:hint="eastAsia" w:ascii="宋体" w:hAnsi="宋体"/>
          <w:sz w:val="21"/>
          <w:szCs w:val="21"/>
        </w:rPr>
        <w:t>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14:paraId="6B758226">
      <w:pPr>
        <w:numPr>
          <w:ilvl w:val="0"/>
          <w:numId w:val="4"/>
        </w:numPr>
        <w:snapToGrid w:val="0"/>
        <w:spacing w:line="360" w:lineRule="auto"/>
        <w:ind w:firstLine="420" w:firstLineChars="200"/>
        <w:rPr>
          <w:rFonts w:hint="eastAsia" w:ascii="宋体" w:hAnsi="宋体"/>
          <w:sz w:val="21"/>
          <w:szCs w:val="21"/>
        </w:rPr>
      </w:pPr>
      <w:r>
        <w:rPr>
          <w:rFonts w:hint="eastAsia" w:ascii="宋体" w:hAnsi="宋体"/>
          <w:sz w:val="21"/>
          <w:szCs w:val="21"/>
        </w:rPr>
        <w:t>基金收益分配原则、执行方式</w:t>
      </w:r>
    </w:p>
    <w:p w14:paraId="2BF37835">
      <w:pPr>
        <w:numPr>
          <w:ilvl w:val="0"/>
          <w:numId w:val="0"/>
        </w:numPr>
        <w:snapToGrid w:val="0"/>
        <w:spacing w:line="360" w:lineRule="auto"/>
        <w:ind w:firstLine="420" w:firstLineChars="200"/>
        <w:rPr>
          <w:rFonts w:hint="default" w:ascii="宋体" w:hAnsi="宋体" w:eastAsiaTheme="minorEastAsia"/>
          <w:sz w:val="21"/>
          <w:szCs w:val="21"/>
          <w:lang w:val="en-US" w:eastAsia="zh-CN"/>
        </w:rPr>
      </w:pPr>
      <w:r>
        <w:rPr>
          <w:rFonts w:hint="eastAsia" w:ascii="宋体" w:hAnsi="宋体"/>
          <w:sz w:val="21"/>
          <w:szCs w:val="21"/>
          <w:lang w:val="en-US" w:eastAsia="zh-CN"/>
        </w:rPr>
        <w:t>（一）基金收益分配原则</w:t>
      </w:r>
    </w:p>
    <w:p w14:paraId="147A5F3D">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1、本基金基金份额的收益分配方式采用现金分红；</w:t>
      </w:r>
    </w:p>
    <w:p w14:paraId="75A3F148">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2、当收益评价日核定的基金份额净值增长率超过标的指数同期增长率或者基金可供分配利润金额大于零时，基金管理人可进行收益分配；</w:t>
      </w:r>
    </w:p>
    <w:p w14:paraId="237613F5">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w:t>
      </w:r>
    </w:p>
    <w:p w14:paraId="6253CFA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4、在符合上述基金分红条件的前提下，本基金可进行收益分配。评价时间、分配时间、分配方案及每次基金收益分配数额等内容，基金管理人可以根据实际情况确定并按照有关规定公告；</w:t>
      </w:r>
    </w:p>
    <w:p w14:paraId="4811502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5、每一基金份额享有同等分配权；</w:t>
      </w:r>
    </w:p>
    <w:p w14:paraId="5437EA6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6、法律法规或监管机关、证券交易所、登记机构另有规定的，从其规定。</w:t>
      </w:r>
    </w:p>
    <w:p w14:paraId="12BD5B74">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在不违反法律法规且对基金份额持有人利益无实质性不利影响的前提下，基金管理人经与基金托管人协商一致后可对基金收益分配原则进行调整，并及时公告。</w:t>
      </w:r>
    </w:p>
    <w:p w14:paraId="38D305C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（二）基金收益分配比例及金额的确定原则</w:t>
      </w:r>
    </w:p>
    <w:p w14:paraId="605CBED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1、在收益评价日，基金管理人计算基金份额净值增长率、标的指数同期增长率。</w:t>
      </w:r>
    </w:p>
    <w:p w14:paraId="75DD205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基金收益评价日本基金相对标的指数的超额收益率＝基金份额净值增长率－标的指数同期增长率。</w:t>
      </w:r>
    </w:p>
    <w:p w14:paraId="459C21D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70ED5C62">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期间如发生基金份额折算、拆分或合并，则以基金份额折算日、经拆分或合并调整后的基金份额折算日为初始日重新计算上述指标。</w:t>
      </w:r>
    </w:p>
    <w:p w14:paraId="77BB9488">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收益评价日日期以基金管理人相关公告为准。</w:t>
      </w:r>
    </w:p>
    <w:p w14:paraId="05EA4097">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2、基金可供分配利润指截至收益分配基准日基金未分配利润与未分配利润中已实现收益的孰低数。</w:t>
      </w:r>
    </w:p>
    <w:p w14:paraId="3433391C">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3、根据前述收益分配原则计算截至基金收益评价日本基金的超额收益率及基金可供分配利润，并确定收益分配比例。</w:t>
      </w:r>
    </w:p>
    <w:p w14:paraId="401EE567">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4、根据前述超额收益率、可供分配利润及收益分配比例计算收益分配金额。</w:t>
      </w:r>
    </w:p>
    <w:p w14:paraId="4E03F7F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（三）收益分配方案</w:t>
      </w:r>
    </w:p>
    <w:p w14:paraId="6D13E07E">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基金收益分配方案中应载明基金收益分配对象、分配时间、分配数额及比例、分配方式等内容。</w:t>
      </w:r>
    </w:p>
    <w:p w14:paraId="37887D9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（四）收益分配方案的确定、公告与实施</w:t>
      </w:r>
    </w:p>
    <w:p w14:paraId="7378F55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本基金收益分配方案由基金管理人拟定，并由基金托管人复核，依照《信息披露办法》的有关规定在规定媒介公告。</w:t>
      </w:r>
    </w:p>
    <w:p w14:paraId="22C6C36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（五）基金收益分配中发生的费用</w:t>
      </w:r>
    </w:p>
    <w:p w14:paraId="4C49B6E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基金收益分配时所发生的银行转账或其他手续费用由投资者自行承担。</w:t>
      </w:r>
    </w:p>
    <w:p w14:paraId="01C88987">
      <w:pPr>
        <w:snapToGrid w:val="0"/>
        <w:spacing w:line="360" w:lineRule="auto"/>
        <w:ind w:firstLine="420" w:firstLineChars="200"/>
        <w:rPr>
          <w:rFonts w:ascii="宋体" w:hAnsi="宋体"/>
          <w:sz w:val="21"/>
          <w:szCs w:val="21"/>
        </w:rPr>
      </w:pPr>
      <w:r>
        <w:rPr>
          <w:rFonts w:hint="eastAsia" w:ascii="宋体" w:hAnsi="宋体"/>
          <w:sz w:val="21"/>
          <w:szCs w:val="21"/>
        </w:rPr>
        <w:t>四、与基金财产管理、运作有关费用的提取、支付方式与比例</w:t>
      </w:r>
    </w:p>
    <w:p w14:paraId="35B4FD1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（一）基金费用的种类</w:t>
      </w:r>
    </w:p>
    <w:p w14:paraId="7D92A5E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1、基金管理人的管理费；</w:t>
      </w:r>
    </w:p>
    <w:p w14:paraId="55D19CD1">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2、基金托管人的托管费；</w:t>
      </w:r>
    </w:p>
    <w:p w14:paraId="1BB46CD7">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3、基金的证券、期货、股票期权交易费用；</w:t>
      </w:r>
    </w:p>
    <w:p w14:paraId="5CFC8A2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4、《基金合同》生效后与基金相关的信息披露费用，但法律法规、中国证监会另有规定的除外；</w:t>
      </w:r>
    </w:p>
    <w:p w14:paraId="5453938D">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5、《基金合同》生效后与基金相关的会计师费、公证费、律师费、审计费、仲裁费和诉讼费；</w:t>
      </w:r>
    </w:p>
    <w:p w14:paraId="143F4EA4">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6、基金份额持有人大会费用；</w:t>
      </w:r>
    </w:p>
    <w:p w14:paraId="5C151E99">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7、基金银行汇划费用、账户开户及维护费用、场内注册登记费用、IOPV计算与发布费用、收益分配中发生的费用（银行转账或其他手续费用除外）；</w:t>
      </w:r>
    </w:p>
    <w:p w14:paraId="1CB73BB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8、基金上市初费及年费；</w:t>
      </w:r>
    </w:p>
    <w:p w14:paraId="1F6906E4">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9、按照国家有关规定和《基金合同》约定，可以在基金财产中列支的其他费用。</w:t>
      </w:r>
    </w:p>
    <w:p w14:paraId="00C56B9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（二）基金费用计提方法、计提标准和支付方式</w:t>
      </w:r>
    </w:p>
    <w:p w14:paraId="5FD7A83A">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1、基金管理人的管理费</w:t>
      </w:r>
    </w:p>
    <w:p w14:paraId="707760FA">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本基金的管理费按前一日基金资产净值的0.50%年费率计提。管理费的计算方法如下：</w:t>
      </w:r>
    </w:p>
    <w:p w14:paraId="0E700325">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H＝E×0.50%÷当年天数</w:t>
      </w:r>
    </w:p>
    <w:p w14:paraId="0A85E2C0">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H为每日应计提的基金管理费</w:t>
      </w:r>
    </w:p>
    <w:p w14:paraId="6A253A28">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E为前一日的基金资产净值</w:t>
      </w:r>
    </w:p>
    <w:p w14:paraId="240787FA">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管理费每日计算，逐日累计至每月月末，按月支付，由基金托管人根据与基金管理人核对一致的财务数据，自动在次月初5个工作日内按照指定的账户路径进行资金支付，基金管理人无需再出具资金划拨指令。若遇法定节假日、公休日或不可抗力致使无法按时支付的，顺延至法定节假日、公休日结束之日起5个工作日内或不可抗力情形消除之日起5个工作日内支付。费用自动扣划后，基金管理人应进行核对，如发现数据不符，及时联系基金托管人协商解决。</w:t>
      </w:r>
    </w:p>
    <w:p w14:paraId="64BDF57A">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2、基金托管人的托管费</w:t>
      </w:r>
    </w:p>
    <w:p w14:paraId="5E6D319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本基金的托管费按前一日基金资产净值的0.10%年费率计提。托管费的计算方法如下：</w:t>
      </w:r>
    </w:p>
    <w:p w14:paraId="52E5270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H＝E×0.10%÷当年天数</w:t>
      </w:r>
    </w:p>
    <w:p w14:paraId="50548A09">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H为每日应计提的基金托管费</w:t>
      </w:r>
    </w:p>
    <w:p w14:paraId="2C67CFDD">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E为前一日的基金资产净值</w:t>
      </w:r>
    </w:p>
    <w:p w14:paraId="222A3E1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基金托管费每日计算，逐日累计至每月月末，按月支付，由基金托管人根据与基金管理人核对一致的财务数据，自动在次月初5个工作日内按照指定的账户路径进行资金支付，基金管理人无需再出具资金划拨指令。若遇法定节假日、公休日或不可抗力致使无法按时支付的，顺延至法定节假日、公休日结束之日起5个工作日内或不可抗力情形消除之日起5个工作日内支付。费用自动扣划后，基金管理人应进行核对，如发现数据不符，及时联系基金托管人协商解决。</w:t>
      </w:r>
    </w:p>
    <w:p w14:paraId="14AD1743">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上述“</w:t>
      </w:r>
      <w:r>
        <w:rPr>
          <w:rFonts w:hint="eastAsia" w:ascii="宋体" w:hAnsi="宋体"/>
          <w:color w:val="0C0C0C"/>
          <w:sz w:val="21"/>
          <w:szCs w:val="21"/>
          <w:lang w:eastAsia="zh-CN"/>
        </w:rPr>
        <w:t>（</w:t>
      </w:r>
      <w:r>
        <w:rPr>
          <w:rFonts w:hint="eastAsia" w:ascii="宋体" w:hAnsi="宋体"/>
          <w:color w:val="0C0C0C"/>
          <w:sz w:val="21"/>
          <w:szCs w:val="21"/>
          <w:lang w:val="en-US" w:eastAsia="zh-CN"/>
        </w:rPr>
        <w:t>一</w:t>
      </w:r>
      <w:r>
        <w:rPr>
          <w:rFonts w:hint="eastAsia" w:ascii="宋体" w:hAnsi="宋体"/>
          <w:color w:val="0C0C0C"/>
          <w:sz w:val="21"/>
          <w:szCs w:val="21"/>
          <w:lang w:eastAsia="zh-CN"/>
        </w:rPr>
        <w:t>）</w:t>
      </w:r>
      <w:r>
        <w:rPr>
          <w:rFonts w:hint="eastAsia" w:ascii="宋体" w:hAnsi="宋体"/>
          <w:color w:val="0C0C0C"/>
          <w:sz w:val="21"/>
          <w:szCs w:val="21"/>
        </w:rPr>
        <w:t>基金费用的种类”中第3－9项费用，根据有关法规及相应协议规定，按费用实际支出金额列入当期费用，由基金托管人从基金财产中支付。</w:t>
      </w:r>
    </w:p>
    <w:p w14:paraId="7A0EDF6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（三）不列入基金费用的项目</w:t>
      </w:r>
    </w:p>
    <w:p w14:paraId="1CED995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下列费用不列入基金费用：</w:t>
      </w:r>
    </w:p>
    <w:p w14:paraId="7C9E63C6">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1、基金管理人和基金托管人因未履行或未完全履行义务导致的费用支出或基金财产的损失；</w:t>
      </w:r>
    </w:p>
    <w:p w14:paraId="6DAFEFDE">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2、基金管理人和基金托管人处理与基金运作无关的事项发生的费用；</w:t>
      </w:r>
    </w:p>
    <w:p w14:paraId="11B4BCBC">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3、《基金合同》生效前的相关费用；</w:t>
      </w:r>
    </w:p>
    <w:p w14:paraId="513798EC">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4、指数许可使用费；</w:t>
      </w:r>
    </w:p>
    <w:p w14:paraId="30B7ACC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本基金按照基金管理人与标的指数许可方所签订的指数使用许可协议中所规定的指数许可使用费计提方法支付指数许可使用费，该指数许可使用费由基金管理人承担，不得从基金财产中列支。</w:t>
      </w:r>
    </w:p>
    <w:p w14:paraId="75EB9509">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如果指数许可使用费的计算方法、费率、支付方式和费用承担方等发生调整，本基金将采用调整后的方法或费率计算指数许可使用费；</w:t>
      </w:r>
    </w:p>
    <w:p w14:paraId="1A27618F">
      <w:pPr>
        <w:numPr>
          <w:ilvl w:val="0"/>
          <w:numId w:val="5"/>
        </w:num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其他根据相关法律法规及中国证监会的有关规定不得列入基金费用的项目。</w:t>
      </w:r>
    </w:p>
    <w:p w14:paraId="2917C9ED">
      <w:pPr>
        <w:numPr>
          <w:ilvl w:val="-1"/>
          <w:numId w:val="0"/>
        </w:num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（四）基金税收</w:t>
      </w:r>
    </w:p>
    <w:p w14:paraId="00729D51">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07DC75F3">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五、基金资产的投资范围和投资限制</w:t>
      </w:r>
    </w:p>
    <w:p w14:paraId="187526B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（一）投资范围</w:t>
      </w:r>
    </w:p>
    <w:p w14:paraId="71630C5B">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本基金主要投资于标的指数成份股和备选成份股（含存托凭证）。</w:t>
      </w:r>
    </w:p>
    <w:p w14:paraId="3F8E3126">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为更好地实现基金的投资目标，本基金可能会少量投资于依法发行上市的非成份股（包括创业板及其他经中国证监会核准或注册上市的股票和存托凭证）、债券（包括国债、金融债、地方政府债、政府支持债券、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116A82F">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本基金可根据法律法规的规定参与融资和转融通证券出借业务。</w:t>
      </w:r>
    </w:p>
    <w:p w14:paraId="70946279">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如法律法规或中国证监会以后允许基金投资其他品种，本基金管理人在履行适当程序后，可以将其纳入本基金的投资范围。</w:t>
      </w:r>
    </w:p>
    <w:p w14:paraId="55EC7852">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763484C8">
      <w:pPr>
        <w:adjustRightInd w:val="0"/>
        <w:snapToGrid w:val="0"/>
        <w:spacing w:line="360" w:lineRule="auto"/>
        <w:ind w:firstLine="420" w:firstLineChars="200"/>
        <w:rPr>
          <w:rFonts w:hint="eastAsia" w:ascii="宋体" w:hAnsi="宋体"/>
          <w:color w:val="0C0C0C"/>
          <w:sz w:val="21"/>
          <w:szCs w:val="21"/>
        </w:rPr>
      </w:pPr>
      <w:r>
        <w:rPr>
          <w:rFonts w:hint="eastAsia" w:ascii="宋体" w:hAnsi="宋体"/>
          <w:color w:val="0C0C0C"/>
          <w:sz w:val="21"/>
          <w:szCs w:val="21"/>
        </w:rPr>
        <w:t>若法律法规的相关规定发生变更或监管机构允许，本基金管理人在履行适当程序后，可对上述资产配置比例进行调整。</w:t>
      </w:r>
    </w:p>
    <w:p w14:paraId="57F1B5D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（二）投资限制</w:t>
      </w:r>
    </w:p>
    <w:p w14:paraId="11D1659F">
      <w:pPr>
        <w:snapToGrid w:val="0"/>
        <w:spacing w:line="360" w:lineRule="auto"/>
        <w:ind w:firstLine="420" w:firstLineChars="200"/>
        <w:rPr>
          <w:rFonts w:hint="eastAsia" w:ascii="宋体" w:hAnsi="宋体"/>
          <w:sz w:val="21"/>
          <w:szCs w:val="21"/>
        </w:rPr>
      </w:pPr>
      <w:r>
        <w:rPr>
          <w:rFonts w:hint="eastAsia" w:ascii="宋体" w:hAnsi="宋体"/>
          <w:sz w:val="21"/>
          <w:szCs w:val="21"/>
        </w:rPr>
        <w:t>1、组合限制</w:t>
      </w:r>
    </w:p>
    <w:p w14:paraId="4628EBD7">
      <w:pPr>
        <w:snapToGrid w:val="0"/>
        <w:spacing w:line="360" w:lineRule="auto"/>
        <w:ind w:firstLine="420" w:firstLineChars="200"/>
        <w:rPr>
          <w:rFonts w:hint="eastAsia" w:ascii="宋体" w:hAnsi="宋体"/>
          <w:sz w:val="21"/>
          <w:szCs w:val="21"/>
        </w:rPr>
      </w:pPr>
      <w:r>
        <w:rPr>
          <w:rFonts w:hint="eastAsia" w:ascii="宋体" w:hAnsi="宋体"/>
          <w:sz w:val="21"/>
          <w:szCs w:val="21"/>
        </w:rPr>
        <w:t>基金的投资组合应遵循以下限制：</w:t>
      </w:r>
    </w:p>
    <w:p w14:paraId="3F61B847">
      <w:pPr>
        <w:snapToGrid w:val="0"/>
        <w:spacing w:line="360" w:lineRule="auto"/>
        <w:ind w:firstLine="420" w:firstLineChars="200"/>
        <w:rPr>
          <w:rFonts w:hint="eastAsia" w:ascii="宋体" w:hAnsi="宋体"/>
          <w:sz w:val="21"/>
          <w:szCs w:val="21"/>
        </w:rPr>
      </w:pPr>
      <w:r>
        <w:rPr>
          <w:rFonts w:hint="eastAsia" w:ascii="宋体" w:hAnsi="宋体"/>
          <w:sz w:val="21"/>
          <w:szCs w:val="21"/>
        </w:rPr>
        <w:t>（1）本基金投资于标的指数成份股和备选成份股（含存托凭证）的资产比例不低于基金资产净值的90%，且不低于非现金基金资产的80%；</w:t>
      </w:r>
    </w:p>
    <w:p w14:paraId="59142E40">
      <w:pPr>
        <w:snapToGrid w:val="0"/>
        <w:spacing w:line="360" w:lineRule="auto"/>
        <w:ind w:firstLine="420" w:firstLineChars="200"/>
        <w:rPr>
          <w:rFonts w:hint="eastAsia" w:ascii="宋体" w:hAnsi="宋体"/>
          <w:sz w:val="21"/>
          <w:szCs w:val="21"/>
        </w:rPr>
      </w:pPr>
      <w:r>
        <w:rPr>
          <w:rFonts w:hint="eastAsia" w:ascii="宋体" w:hAnsi="宋体"/>
          <w:sz w:val="21"/>
          <w:szCs w:val="21"/>
        </w:rPr>
        <w:t>（2）本基金每个交易日日终在扣除股指期货、股票期权和国债期货合约需缴纳的交易保证金后，应当保持不低于交易保证金一倍的现金，其中现金不包括结算备付金、存出保证金和应收申购款等；</w:t>
      </w:r>
    </w:p>
    <w:p w14:paraId="4DB8D1F6">
      <w:pPr>
        <w:snapToGrid w:val="0"/>
        <w:spacing w:line="360" w:lineRule="auto"/>
        <w:ind w:firstLine="420" w:firstLineChars="200"/>
        <w:rPr>
          <w:rFonts w:hint="eastAsia" w:ascii="宋体" w:hAnsi="宋体"/>
          <w:sz w:val="21"/>
          <w:szCs w:val="21"/>
        </w:rPr>
      </w:pPr>
      <w:r>
        <w:rPr>
          <w:rFonts w:hint="eastAsia" w:ascii="宋体" w:hAnsi="宋体"/>
          <w:sz w:val="21"/>
          <w:szCs w:val="21"/>
        </w:rPr>
        <w:t>（3）本基金持有的全部资产支持证券，其市值不得超过基金资产净值的20％；</w:t>
      </w:r>
    </w:p>
    <w:p w14:paraId="46BA39B0">
      <w:pPr>
        <w:snapToGrid w:val="0"/>
        <w:spacing w:line="360" w:lineRule="auto"/>
        <w:ind w:firstLine="420" w:firstLineChars="200"/>
        <w:rPr>
          <w:rFonts w:hint="eastAsia" w:ascii="宋体" w:hAnsi="宋体"/>
          <w:sz w:val="21"/>
          <w:szCs w:val="21"/>
        </w:rPr>
      </w:pPr>
      <w:r>
        <w:rPr>
          <w:rFonts w:hint="eastAsia" w:ascii="宋体" w:hAnsi="宋体"/>
          <w:sz w:val="21"/>
          <w:szCs w:val="21"/>
        </w:rPr>
        <w:t>（4）本基金投资于同一原始权益人的各类资产支持证券的比例，不得超过基金资产净值的10％；</w:t>
      </w:r>
    </w:p>
    <w:p w14:paraId="07F42F4E">
      <w:pPr>
        <w:snapToGrid w:val="0"/>
        <w:spacing w:line="360" w:lineRule="auto"/>
        <w:ind w:firstLine="420" w:firstLineChars="200"/>
        <w:rPr>
          <w:rFonts w:hint="eastAsia" w:ascii="宋体" w:hAnsi="宋体"/>
          <w:sz w:val="21"/>
          <w:szCs w:val="21"/>
        </w:rPr>
      </w:pPr>
      <w:r>
        <w:rPr>
          <w:rFonts w:hint="eastAsia" w:ascii="宋体" w:hAnsi="宋体"/>
          <w:sz w:val="21"/>
          <w:szCs w:val="21"/>
        </w:rPr>
        <w:t>（5）本基金持有的同一(指同一信用级别)资产支持证券的比例，不得超过该资产支持证券规模的10％；</w:t>
      </w:r>
    </w:p>
    <w:p w14:paraId="168A0BC1">
      <w:pPr>
        <w:snapToGrid w:val="0"/>
        <w:spacing w:line="360" w:lineRule="auto"/>
        <w:ind w:firstLine="420" w:firstLineChars="200"/>
        <w:rPr>
          <w:rFonts w:hint="eastAsia" w:ascii="宋体" w:hAnsi="宋体"/>
          <w:sz w:val="21"/>
          <w:szCs w:val="21"/>
        </w:rPr>
      </w:pPr>
      <w:r>
        <w:rPr>
          <w:rFonts w:hint="eastAsia" w:ascii="宋体" w:hAnsi="宋体"/>
          <w:sz w:val="21"/>
          <w:szCs w:val="21"/>
        </w:rPr>
        <w:t>（6）本基金管理人管理的全部基金投资于同一原始权益人的各类资产支持证券，不得超过其各类资产支持证券合计规模的10％；</w:t>
      </w:r>
    </w:p>
    <w:p w14:paraId="3B382013">
      <w:pPr>
        <w:snapToGrid w:val="0"/>
        <w:spacing w:line="360" w:lineRule="auto"/>
        <w:ind w:firstLine="420" w:firstLineChars="200"/>
        <w:rPr>
          <w:rFonts w:hint="eastAsia" w:ascii="宋体" w:hAnsi="宋体"/>
          <w:sz w:val="21"/>
          <w:szCs w:val="21"/>
        </w:rPr>
      </w:pPr>
      <w:r>
        <w:rPr>
          <w:rFonts w:hint="eastAsia" w:ascii="宋体" w:hAnsi="宋体"/>
          <w:sz w:val="21"/>
          <w:szCs w:val="21"/>
        </w:rPr>
        <w:t>（7）本基金应投资于信用级别评级为BBB以上(含BBB)的资产支持证券。基金持有资产支持证券期间，如果其信用等级下降、不再符合投资标准，应在评级报告发布之日起3个月内予以全部卖出；</w:t>
      </w:r>
    </w:p>
    <w:p w14:paraId="215B6E1A">
      <w:pPr>
        <w:snapToGrid w:val="0"/>
        <w:spacing w:line="360" w:lineRule="auto"/>
        <w:ind w:firstLine="420" w:firstLineChars="200"/>
        <w:rPr>
          <w:rFonts w:hint="eastAsia" w:ascii="宋体" w:hAnsi="宋体"/>
          <w:sz w:val="21"/>
          <w:szCs w:val="21"/>
        </w:rPr>
      </w:pPr>
      <w:r>
        <w:rPr>
          <w:rFonts w:hint="eastAsia" w:ascii="宋体" w:hAnsi="宋体"/>
          <w:sz w:val="21"/>
          <w:szCs w:val="21"/>
        </w:rPr>
        <w:t>（8）基金财产参与股票发行申购，本基金所申报的金额不超过本基金的总资产，本基金所申报的股票数量不超过拟发行股票公司本次发行股票的总量；</w:t>
      </w:r>
    </w:p>
    <w:p w14:paraId="3A58855B">
      <w:pPr>
        <w:snapToGrid w:val="0"/>
        <w:spacing w:line="360" w:lineRule="auto"/>
        <w:ind w:firstLine="420" w:firstLineChars="200"/>
        <w:rPr>
          <w:rFonts w:hint="eastAsia" w:ascii="宋体" w:hAnsi="宋体"/>
          <w:sz w:val="21"/>
          <w:szCs w:val="21"/>
        </w:rPr>
      </w:pPr>
      <w:r>
        <w:rPr>
          <w:rFonts w:hint="eastAsia" w:ascii="宋体" w:hAnsi="宋体"/>
          <w:sz w:val="21"/>
          <w:szCs w:val="21"/>
        </w:rPr>
        <w:t>（9）本基金资产总值不得超过基金资产净值的140%；</w:t>
      </w:r>
    </w:p>
    <w:p w14:paraId="48F39986">
      <w:pPr>
        <w:snapToGrid w:val="0"/>
        <w:spacing w:line="360" w:lineRule="auto"/>
        <w:ind w:firstLine="420" w:firstLineChars="200"/>
        <w:rPr>
          <w:rFonts w:hint="eastAsia" w:ascii="宋体" w:hAnsi="宋体"/>
          <w:sz w:val="21"/>
          <w:szCs w:val="21"/>
        </w:rPr>
      </w:pPr>
      <w:r>
        <w:rPr>
          <w:rFonts w:hint="eastAsia" w:ascii="宋体" w:hAnsi="宋体"/>
          <w:sz w:val="21"/>
          <w:szCs w:val="21"/>
        </w:rPr>
        <w:t>（10）本基金参与融资的，在任何交易日日终，本基金持有的融资买入股票与其他有价证券市值之和，不得超过基金资产净值的95%；</w:t>
      </w:r>
    </w:p>
    <w:p w14:paraId="406222AC">
      <w:pPr>
        <w:snapToGrid w:val="0"/>
        <w:spacing w:line="360" w:lineRule="auto"/>
        <w:ind w:firstLine="420" w:firstLineChars="200"/>
        <w:rPr>
          <w:rFonts w:hint="eastAsia" w:ascii="宋体" w:hAnsi="宋体"/>
          <w:sz w:val="21"/>
          <w:szCs w:val="21"/>
        </w:rPr>
      </w:pPr>
      <w:r>
        <w:rPr>
          <w:rFonts w:hint="eastAsia" w:ascii="宋体" w:hAnsi="宋体"/>
          <w:sz w:val="21"/>
          <w:szCs w:val="21"/>
        </w:rPr>
        <w:t>（11）本基金参与转融通证券出借交易应当符合以下要求：</w:t>
      </w:r>
    </w:p>
    <w:p w14:paraId="5A4E489C">
      <w:pPr>
        <w:snapToGrid w:val="0"/>
        <w:spacing w:line="360" w:lineRule="auto"/>
        <w:ind w:firstLine="420" w:firstLineChars="200"/>
        <w:rPr>
          <w:rFonts w:hint="eastAsia" w:ascii="宋体" w:hAnsi="宋体"/>
          <w:sz w:val="21"/>
          <w:szCs w:val="21"/>
        </w:rPr>
      </w:pPr>
      <w:r>
        <w:rPr>
          <w:rFonts w:hint="eastAsia" w:ascii="宋体" w:hAnsi="宋体"/>
          <w:sz w:val="21"/>
          <w:szCs w:val="21"/>
        </w:rPr>
        <w:t>1）出借证券资产不得超过基金资产净值的30%，出借期限在10个交易日以上的出借证券应纳入《流动性风险管理规定》所述流动性受限证券的范围；</w:t>
      </w:r>
    </w:p>
    <w:p w14:paraId="47BDBFAD">
      <w:pPr>
        <w:snapToGrid w:val="0"/>
        <w:spacing w:line="360" w:lineRule="auto"/>
        <w:ind w:firstLine="420" w:firstLineChars="200"/>
        <w:rPr>
          <w:rFonts w:hint="eastAsia" w:ascii="宋体" w:hAnsi="宋体"/>
          <w:sz w:val="21"/>
          <w:szCs w:val="21"/>
        </w:rPr>
      </w:pPr>
      <w:r>
        <w:rPr>
          <w:rFonts w:hint="eastAsia" w:ascii="宋体" w:hAnsi="宋体"/>
          <w:sz w:val="21"/>
          <w:szCs w:val="21"/>
        </w:rPr>
        <w:t>2）参与出借业务的单只证券不得超过基金持有该证券总量的30%；</w:t>
      </w:r>
    </w:p>
    <w:p w14:paraId="1B0BF7DA">
      <w:pPr>
        <w:snapToGrid w:val="0"/>
        <w:spacing w:line="360" w:lineRule="auto"/>
        <w:ind w:firstLine="420" w:firstLineChars="200"/>
        <w:rPr>
          <w:rFonts w:hint="eastAsia" w:ascii="宋体" w:hAnsi="宋体"/>
          <w:sz w:val="21"/>
          <w:szCs w:val="21"/>
        </w:rPr>
      </w:pPr>
      <w:r>
        <w:rPr>
          <w:rFonts w:hint="eastAsia" w:ascii="宋体" w:hAnsi="宋体"/>
          <w:sz w:val="21"/>
          <w:szCs w:val="21"/>
        </w:rPr>
        <w:t>3）最近6个月内日均基金资产净值不得低于2亿元；</w:t>
      </w:r>
    </w:p>
    <w:p w14:paraId="73812AE8">
      <w:pPr>
        <w:snapToGrid w:val="0"/>
        <w:spacing w:line="360" w:lineRule="auto"/>
        <w:ind w:firstLine="420" w:firstLineChars="200"/>
        <w:rPr>
          <w:rFonts w:hint="eastAsia" w:ascii="宋体" w:hAnsi="宋体"/>
          <w:sz w:val="21"/>
          <w:szCs w:val="21"/>
        </w:rPr>
      </w:pPr>
      <w:r>
        <w:rPr>
          <w:rFonts w:hint="eastAsia" w:ascii="宋体" w:hAnsi="宋体"/>
          <w:sz w:val="21"/>
          <w:szCs w:val="21"/>
        </w:rPr>
        <w:t>4）证券出借的平均剩余期限不得超过30天，平均剩余期限按照市值加权平均计算；</w:t>
      </w:r>
    </w:p>
    <w:p w14:paraId="298CCCE6">
      <w:pPr>
        <w:snapToGrid w:val="0"/>
        <w:spacing w:line="360" w:lineRule="auto"/>
        <w:ind w:firstLine="420" w:firstLineChars="200"/>
        <w:rPr>
          <w:rFonts w:hint="eastAsia" w:ascii="宋体" w:hAnsi="宋体"/>
          <w:sz w:val="21"/>
          <w:szCs w:val="21"/>
        </w:rPr>
      </w:pPr>
      <w:r>
        <w:rPr>
          <w:rFonts w:hint="eastAsia" w:ascii="宋体" w:hAnsi="宋体"/>
          <w:sz w:val="21"/>
          <w:szCs w:val="21"/>
        </w:rPr>
        <w:t>因证券市场波动、上市公司合并、基金规模变动等基金管理人之外的因素致使基金投资不符合上述规定的，基金管理人不得新增出借业务；</w:t>
      </w:r>
    </w:p>
    <w:p w14:paraId="524064F5">
      <w:pPr>
        <w:snapToGrid w:val="0"/>
        <w:spacing w:line="360" w:lineRule="auto"/>
        <w:ind w:firstLine="420" w:firstLineChars="200"/>
        <w:rPr>
          <w:rFonts w:hint="eastAsia" w:ascii="宋体" w:hAnsi="宋体"/>
          <w:sz w:val="21"/>
          <w:szCs w:val="21"/>
        </w:rPr>
      </w:pPr>
      <w:r>
        <w:rPr>
          <w:rFonts w:hint="eastAsia" w:ascii="宋体" w:hAnsi="宋体"/>
          <w:sz w:val="21"/>
          <w:szCs w:val="21"/>
        </w:rPr>
        <w:t>（12）本基金参与股指期货、国债期货交易的，应当依据下列标准建构组合：</w:t>
      </w:r>
    </w:p>
    <w:p w14:paraId="202874C5">
      <w:pPr>
        <w:snapToGrid w:val="0"/>
        <w:spacing w:line="360" w:lineRule="auto"/>
        <w:ind w:firstLine="420" w:firstLineChars="200"/>
        <w:rPr>
          <w:rFonts w:hint="eastAsia" w:ascii="宋体" w:hAnsi="宋体"/>
          <w:sz w:val="21"/>
          <w:szCs w:val="21"/>
        </w:rPr>
      </w:pPr>
      <w:r>
        <w:rPr>
          <w:rFonts w:hint="eastAsia" w:ascii="宋体" w:hAnsi="宋体"/>
          <w:sz w:val="21"/>
          <w:szCs w:val="21"/>
        </w:rPr>
        <w:t>1）在任何交易日日终，持有的买入股指期货合约价值，不得超过基金资产净值的10%；在任何交易日日终，持有的买入国债期货合约价值，不得超过基金资产净值的15%；</w:t>
      </w:r>
    </w:p>
    <w:p w14:paraId="718E6C96">
      <w:pPr>
        <w:snapToGrid w:val="0"/>
        <w:spacing w:line="360" w:lineRule="auto"/>
        <w:ind w:firstLine="420" w:firstLineChars="200"/>
        <w:rPr>
          <w:rFonts w:hint="eastAsia" w:ascii="宋体" w:hAnsi="宋体"/>
          <w:sz w:val="21"/>
          <w:szCs w:val="21"/>
        </w:rPr>
      </w:pPr>
      <w:r>
        <w:rPr>
          <w:rFonts w:hint="eastAsia" w:ascii="宋体" w:hAnsi="宋体"/>
          <w:sz w:val="21"/>
          <w:szCs w:val="21"/>
        </w:rPr>
        <w:t>2）在任何交易日日终，持有的买入期货合约价值与有价证券市值之和，不得超过基金资产净值的100%，其中，有价证券指股票、债券（不含到期日在一年以内的政府债券）、资产支持证券、买入返售金融资产（不含质押式回购）等；</w:t>
      </w:r>
    </w:p>
    <w:p w14:paraId="446B6EBF">
      <w:pPr>
        <w:snapToGrid w:val="0"/>
        <w:spacing w:line="360" w:lineRule="auto"/>
        <w:ind w:firstLine="420" w:firstLineChars="200"/>
        <w:rPr>
          <w:rFonts w:hint="eastAsia" w:ascii="宋体" w:hAnsi="宋体"/>
          <w:sz w:val="21"/>
          <w:szCs w:val="21"/>
        </w:rPr>
      </w:pPr>
      <w:r>
        <w:rPr>
          <w:rFonts w:hint="eastAsia" w:ascii="宋体" w:hAnsi="宋体"/>
          <w:sz w:val="21"/>
          <w:szCs w:val="21"/>
        </w:rPr>
        <w:t>3）在任何交易日日终，持有的卖出股指期货合约价值不得超过基金持有的股票总市值的20%；在任何交易日日终，持有的卖出国债期货合约价值不得超过基金持有的债券总市值的30%；</w:t>
      </w:r>
    </w:p>
    <w:p w14:paraId="1E2FFD14">
      <w:pPr>
        <w:snapToGrid w:val="0"/>
        <w:spacing w:line="360" w:lineRule="auto"/>
        <w:ind w:firstLine="420" w:firstLineChars="200"/>
        <w:rPr>
          <w:rFonts w:hint="eastAsia" w:ascii="宋体" w:hAnsi="宋体"/>
          <w:sz w:val="21"/>
          <w:szCs w:val="21"/>
        </w:rPr>
      </w:pPr>
      <w:r>
        <w:rPr>
          <w:rFonts w:hint="eastAsia" w:ascii="宋体" w:hAnsi="宋体"/>
          <w:sz w:val="21"/>
          <w:szCs w:val="21"/>
        </w:rPr>
        <w:t>4）在任何交易日内交易（不包括平仓）的股指期货合约的成交金额不得超过上一交易日基金资产净值的20%；在任何交易日内交易（不包括平仓）的国债期货合约的成交金额不得超过上一交易日基金资产净值的30%；</w:t>
      </w:r>
    </w:p>
    <w:p w14:paraId="20B60100">
      <w:pPr>
        <w:snapToGrid w:val="0"/>
        <w:spacing w:line="360" w:lineRule="auto"/>
        <w:ind w:firstLine="420" w:firstLineChars="200"/>
        <w:rPr>
          <w:rFonts w:hint="eastAsia" w:ascii="宋体" w:hAnsi="宋体"/>
          <w:sz w:val="21"/>
          <w:szCs w:val="21"/>
        </w:rPr>
      </w:pPr>
      <w:r>
        <w:rPr>
          <w:rFonts w:hint="eastAsia" w:ascii="宋体" w:hAnsi="宋体"/>
          <w:sz w:val="21"/>
          <w:szCs w:val="21"/>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088F00A5">
      <w:pPr>
        <w:snapToGrid w:val="0"/>
        <w:spacing w:line="360" w:lineRule="auto"/>
        <w:ind w:firstLine="420" w:firstLineChars="200"/>
        <w:rPr>
          <w:rFonts w:hint="eastAsia" w:ascii="宋体" w:hAnsi="宋体"/>
          <w:sz w:val="21"/>
          <w:szCs w:val="21"/>
        </w:rPr>
      </w:pPr>
      <w:r>
        <w:rPr>
          <w:rFonts w:hint="eastAsia" w:ascii="宋体" w:hAnsi="宋体"/>
          <w:sz w:val="21"/>
          <w:szCs w:val="21"/>
        </w:rPr>
        <w:t>（13）本基金投资股票期权应当符合以下要求：</w:t>
      </w:r>
    </w:p>
    <w:p w14:paraId="5128B9D9">
      <w:pPr>
        <w:snapToGrid w:val="0"/>
        <w:spacing w:line="360" w:lineRule="auto"/>
        <w:ind w:firstLine="420" w:firstLineChars="200"/>
        <w:rPr>
          <w:rFonts w:hint="eastAsia" w:ascii="宋体" w:hAnsi="宋体"/>
          <w:sz w:val="21"/>
          <w:szCs w:val="21"/>
        </w:rPr>
      </w:pPr>
      <w:r>
        <w:rPr>
          <w:rFonts w:hint="eastAsia" w:ascii="宋体" w:hAnsi="宋体"/>
          <w:sz w:val="21"/>
          <w:szCs w:val="21"/>
        </w:rPr>
        <w:t>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w:t>
      </w:r>
    </w:p>
    <w:p w14:paraId="301D0296">
      <w:pPr>
        <w:snapToGrid w:val="0"/>
        <w:spacing w:line="360" w:lineRule="auto"/>
        <w:ind w:firstLine="420" w:firstLineChars="200"/>
        <w:rPr>
          <w:rFonts w:hint="eastAsia" w:ascii="宋体" w:hAnsi="宋体"/>
          <w:sz w:val="21"/>
          <w:szCs w:val="21"/>
        </w:rPr>
      </w:pPr>
      <w:r>
        <w:rPr>
          <w:rFonts w:hint="eastAsia" w:ascii="宋体" w:hAnsi="宋体"/>
          <w:sz w:val="21"/>
          <w:szCs w:val="21"/>
        </w:rPr>
        <w:t>（14）本基金投资流通受限证券，基金管理人应制订严格的投资决策流程和风险控制制度，防范流动性风险、法律风险和操作风险等各种风险；</w:t>
      </w:r>
    </w:p>
    <w:p w14:paraId="071A9D78">
      <w:pPr>
        <w:snapToGrid w:val="0"/>
        <w:spacing w:line="360" w:lineRule="auto"/>
        <w:ind w:firstLine="420" w:firstLineChars="200"/>
        <w:rPr>
          <w:rFonts w:hint="eastAsia" w:ascii="宋体" w:hAnsi="宋体"/>
          <w:sz w:val="21"/>
          <w:szCs w:val="21"/>
        </w:rPr>
      </w:pPr>
      <w:r>
        <w:rPr>
          <w:rFonts w:hint="eastAsia" w:ascii="宋体" w:hAnsi="宋体"/>
          <w:sz w:val="21"/>
          <w:szCs w:val="21"/>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6B5D188C">
      <w:pPr>
        <w:snapToGrid w:val="0"/>
        <w:spacing w:line="360" w:lineRule="auto"/>
        <w:ind w:firstLine="420" w:firstLineChars="200"/>
        <w:rPr>
          <w:rFonts w:hint="eastAsia" w:ascii="宋体" w:hAnsi="宋体"/>
          <w:sz w:val="21"/>
          <w:szCs w:val="21"/>
        </w:rPr>
      </w:pPr>
      <w:r>
        <w:rPr>
          <w:rFonts w:hint="eastAsia" w:ascii="宋体" w:hAnsi="宋体"/>
          <w:sz w:val="21"/>
          <w:szCs w:val="21"/>
        </w:rPr>
        <w:t>（16）本基金与私募类证券资管产品及中国证监会认定的其他主体为交易对手开展逆回购交易的，可接受质押品的资质要求应当与本基金合同约定的投资范围保持一致；</w:t>
      </w:r>
    </w:p>
    <w:p w14:paraId="47ECDBC6">
      <w:pPr>
        <w:snapToGrid w:val="0"/>
        <w:spacing w:line="360" w:lineRule="auto"/>
        <w:ind w:firstLine="420" w:firstLineChars="200"/>
        <w:rPr>
          <w:rFonts w:hint="eastAsia" w:ascii="宋体" w:hAnsi="宋体"/>
          <w:sz w:val="21"/>
          <w:szCs w:val="21"/>
        </w:rPr>
      </w:pPr>
      <w:r>
        <w:rPr>
          <w:rFonts w:hint="eastAsia" w:ascii="宋体" w:hAnsi="宋体"/>
          <w:sz w:val="21"/>
          <w:szCs w:val="21"/>
        </w:rPr>
        <w:t>（17）本基金投资存托凭证的比例限制依照境内上市交易的股票执行，与境内上市交易的股票合并计算；</w:t>
      </w:r>
    </w:p>
    <w:p w14:paraId="6CAC8DC2">
      <w:pPr>
        <w:snapToGrid w:val="0"/>
        <w:spacing w:line="360" w:lineRule="auto"/>
        <w:ind w:firstLine="420" w:firstLineChars="200"/>
        <w:rPr>
          <w:rFonts w:hint="eastAsia" w:ascii="宋体" w:hAnsi="宋体"/>
          <w:sz w:val="21"/>
          <w:szCs w:val="21"/>
        </w:rPr>
      </w:pPr>
      <w:r>
        <w:rPr>
          <w:rFonts w:hint="eastAsia" w:ascii="宋体" w:hAnsi="宋体"/>
          <w:sz w:val="21"/>
          <w:szCs w:val="21"/>
        </w:rPr>
        <w:t>（18）法律法规及中国证监会规定的和《基金合同》约定的其他投资限制。</w:t>
      </w:r>
    </w:p>
    <w:p w14:paraId="7B103E11">
      <w:pPr>
        <w:snapToGrid w:val="0"/>
        <w:spacing w:line="360" w:lineRule="auto"/>
        <w:ind w:firstLine="420" w:firstLineChars="200"/>
        <w:rPr>
          <w:rFonts w:hint="eastAsia" w:ascii="宋体" w:hAnsi="宋体"/>
          <w:sz w:val="21"/>
          <w:szCs w:val="21"/>
        </w:rPr>
      </w:pPr>
      <w:r>
        <w:rPr>
          <w:rFonts w:hint="eastAsia" w:ascii="宋体" w:hAnsi="宋体"/>
          <w:sz w:val="21"/>
          <w:szCs w:val="21"/>
        </w:rPr>
        <w:t>除第（2）、（7）、（11）、（15）、（16）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6C02A087">
      <w:pPr>
        <w:snapToGrid w:val="0"/>
        <w:spacing w:line="360" w:lineRule="auto"/>
        <w:ind w:firstLine="420" w:firstLineChars="200"/>
        <w:rPr>
          <w:rFonts w:hint="eastAsia" w:ascii="宋体" w:hAnsi="宋体"/>
          <w:sz w:val="21"/>
          <w:szCs w:val="21"/>
        </w:rPr>
      </w:pPr>
      <w:r>
        <w:rPr>
          <w:rFonts w:hint="eastAsia" w:ascii="宋体" w:hAnsi="宋体"/>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7FCB9F93">
      <w:pPr>
        <w:snapToGrid w:val="0"/>
        <w:spacing w:line="360" w:lineRule="auto"/>
        <w:ind w:firstLine="420" w:firstLineChars="200"/>
        <w:rPr>
          <w:rFonts w:hint="eastAsia" w:ascii="宋体" w:hAnsi="宋体"/>
          <w:sz w:val="21"/>
          <w:szCs w:val="21"/>
        </w:rPr>
      </w:pPr>
      <w:r>
        <w:rPr>
          <w:rFonts w:hint="eastAsia" w:ascii="宋体" w:hAnsi="宋体"/>
          <w:sz w:val="21"/>
          <w:szCs w:val="21"/>
        </w:rPr>
        <w:t>法律法规或监管部门取消或调整上述限制，如适用于本基金，基金管理人在与基金托管人协商一致并履行适当程序后，则本基金投资不再受相关限制或按照调整后的规定执行。</w:t>
      </w:r>
    </w:p>
    <w:p w14:paraId="28308C91">
      <w:pPr>
        <w:snapToGrid w:val="0"/>
        <w:spacing w:line="360" w:lineRule="auto"/>
        <w:ind w:firstLine="420" w:firstLineChars="200"/>
        <w:rPr>
          <w:rFonts w:hint="eastAsia" w:ascii="宋体" w:hAnsi="宋体"/>
          <w:sz w:val="21"/>
          <w:szCs w:val="21"/>
        </w:rPr>
      </w:pPr>
      <w:r>
        <w:rPr>
          <w:rFonts w:hint="eastAsia" w:ascii="宋体" w:hAnsi="宋体"/>
          <w:sz w:val="21"/>
          <w:szCs w:val="21"/>
        </w:rPr>
        <w:t>2、禁止行为</w:t>
      </w:r>
    </w:p>
    <w:p w14:paraId="752BE36C">
      <w:pPr>
        <w:snapToGrid w:val="0"/>
        <w:spacing w:line="360" w:lineRule="auto"/>
        <w:ind w:firstLine="420" w:firstLineChars="200"/>
        <w:rPr>
          <w:rFonts w:hint="eastAsia" w:ascii="宋体" w:hAnsi="宋体"/>
          <w:sz w:val="21"/>
          <w:szCs w:val="21"/>
        </w:rPr>
      </w:pPr>
      <w:r>
        <w:rPr>
          <w:rFonts w:hint="eastAsia" w:ascii="宋体" w:hAnsi="宋体"/>
          <w:sz w:val="21"/>
          <w:szCs w:val="21"/>
        </w:rPr>
        <w:t>为维护基金份额持有人的合法权益，基金财产不得用于下列投资或者活动：</w:t>
      </w:r>
    </w:p>
    <w:p w14:paraId="1DCF7432">
      <w:pPr>
        <w:snapToGrid w:val="0"/>
        <w:spacing w:line="360" w:lineRule="auto"/>
        <w:ind w:firstLine="420" w:firstLineChars="200"/>
        <w:rPr>
          <w:rFonts w:hint="eastAsia" w:ascii="宋体" w:hAnsi="宋体"/>
          <w:sz w:val="21"/>
          <w:szCs w:val="21"/>
        </w:rPr>
      </w:pPr>
      <w:r>
        <w:rPr>
          <w:rFonts w:hint="eastAsia" w:ascii="宋体" w:hAnsi="宋体"/>
          <w:sz w:val="21"/>
          <w:szCs w:val="21"/>
        </w:rPr>
        <w:t>（1）承销证券；</w:t>
      </w:r>
    </w:p>
    <w:p w14:paraId="745B0583">
      <w:pPr>
        <w:snapToGrid w:val="0"/>
        <w:spacing w:line="360" w:lineRule="auto"/>
        <w:ind w:firstLine="420" w:firstLineChars="200"/>
        <w:rPr>
          <w:rFonts w:hint="eastAsia" w:ascii="宋体" w:hAnsi="宋体"/>
          <w:sz w:val="21"/>
          <w:szCs w:val="21"/>
        </w:rPr>
      </w:pPr>
      <w:r>
        <w:rPr>
          <w:rFonts w:hint="eastAsia" w:ascii="宋体" w:hAnsi="宋体"/>
          <w:sz w:val="21"/>
          <w:szCs w:val="21"/>
        </w:rPr>
        <w:t>（2）违反规定向他人贷款或者提供担保；</w:t>
      </w:r>
    </w:p>
    <w:p w14:paraId="5C71BBDA">
      <w:pPr>
        <w:snapToGrid w:val="0"/>
        <w:spacing w:line="360" w:lineRule="auto"/>
        <w:ind w:firstLine="420" w:firstLineChars="200"/>
        <w:rPr>
          <w:rFonts w:hint="eastAsia" w:ascii="宋体" w:hAnsi="宋体"/>
          <w:sz w:val="21"/>
          <w:szCs w:val="21"/>
        </w:rPr>
      </w:pPr>
      <w:r>
        <w:rPr>
          <w:rFonts w:hint="eastAsia" w:ascii="宋体" w:hAnsi="宋体"/>
          <w:sz w:val="21"/>
          <w:szCs w:val="21"/>
        </w:rPr>
        <w:t>（3）从事承担无限责任的投资；</w:t>
      </w:r>
    </w:p>
    <w:p w14:paraId="4CFDA759">
      <w:pPr>
        <w:snapToGrid w:val="0"/>
        <w:spacing w:line="360" w:lineRule="auto"/>
        <w:ind w:firstLine="420" w:firstLineChars="200"/>
        <w:rPr>
          <w:rFonts w:hint="eastAsia" w:ascii="宋体" w:hAnsi="宋体"/>
          <w:sz w:val="21"/>
          <w:szCs w:val="21"/>
        </w:rPr>
      </w:pPr>
      <w:r>
        <w:rPr>
          <w:rFonts w:hint="eastAsia" w:ascii="宋体" w:hAnsi="宋体"/>
          <w:sz w:val="21"/>
          <w:szCs w:val="21"/>
        </w:rPr>
        <w:t>（4）买卖其他基金份额，但是中国证监会另有规定的除外；</w:t>
      </w:r>
    </w:p>
    <w:p w14:paraId="31074E09">
      <w:pPr>
        <w:snapToGrid w:val="0"/>
        <w:spacing w:line="360" w:lineRule="auto"/>
        <w:ind w:firstLine="420" w:firstLineChars="200"/>
        <w:rPr>
          <w:rFonts w:hint="eastAsia" w:ascii="宋体" w:hAnsi="宋体"/>
          <w:sz w:val="21"/>
          <w:szCs w:val="21"/>
        </w:rPr>
      </w:pPr>
      <w:r>
        <w:rPr>
          <w:rFonts w:hint="eastAsia" w:ascii="宋体" w:hAnsi="宋体"/>
          <w:sz w:val="21"/>
          <w:szCs w:val="21"/>
        </w:rPr>
        <w:t>（5）向其基金管理人、基金托管人出资；</w:t>
      </w:r>
    </w:p>
    <w:p w14:paraId="3CF88471">
      <w:pPr>
        <w:snapToGrid w:val="0"/>
        <w:spacing w:line="360" w:lineRule="auto"/>
        <w:ind w:firstLine="420" w:firstLineChars="200"/>
        <w:rPr>
          <w:rFonts w:hint="eastAsia" w:ascii="宋体" w:hAnsi="宋体"/>
          <w:sz w:val="21"/>
          <w:szCs w:val="21"/>
        </w:rPr>
      </w:pPr>
      <w:r>
        <w:rPr>
          <w:rFonts w:hint="eastAsia" w:ascii="宋体" w:hAnsi="宋体"/>
          <w:sz w:val="21"/>
          <w:szCs w:val="21"/>
        </w:rPr>
        <w:t>（6）从事内幕交易、操纵证券交易价格及其他不正当的证券交易活动；</w:t>
      </w:r>
    </w:p>
    <w:p w14:paraId="63588DC2">
      <w:pPr>
        <w:snapToGrid w:val="0"/>
        <w:spacing w:line="360" w:lineRule="auto"/>
        <w:ind w:firstLine="420" w:firstLineChars="200"/>
        <w:rPr>
          <w:rFonts w:hint="eastAsia" w:ascii="宋体" w:hAnsi="宋体"/>
          <w:sz w:val="21"/>
          <w:szCs w:val="21"/>
        </w:rPr>
      </w:pPr>
      <w:r>
        <w:rPr>
          <w:rFonts w:hint="eastAsia" w:ascii="宋体" w:hAnsi="宋体"/>
          <w:sz w:val="21"/>
          <w:szCs w:val="21"/>
        </w:rPr>
        <w:t>（7）法律、行政法规和中国证监会规定禁止的其他活动。</w:t>
      </w:r>
    </w:p>
    <w:p w14:paraId="10BB1322">
      <w:pPr>
        <w:snapToGrid w:val="0"/>
        <w:spacing w:line="360" w:lineRule="auto"/>
        <w:ind w:firstLine="420" w:firstLineChars="200"/>
        <w:rPr>
          <w:rFonts w:hint="eastAsia" w:ascii="宋体" w:hAnsi="宋体"/>
          <w:sz w:val="21"/>
          <w:szCs w:val="21"/>
        </w:rPr>
      </w:pPr>
      <w:r>
        <w:rPr>
          <w:rFonts w:hint="eastAsia" w:ascii="宋体" w:hAnsi="宋体"/>
          <w:sz w:val="21"/>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7354D6C">
      <w:pPr>
        <w:snapToGrid w:val="0"/>
        <w:spacing w:line="360" w:lineRule="auto"/>
        <w:ind w:firstLine="420" w:firstLineChars="200"/>
        <w:rPr>
          <w:rFonts w:hint="eastAsia" w:ascii="宋体" w:hAnsi="宋体"/>
          <w:sz w:val="21"/>
          <w:szCs w:val="21"/>
        </w:rPr>
      </w:pPr>
      <w:r>
        <w:rPr>
          <w:rFonts w:hint="eastAsia" w:ascii="宋体" w:hAnsi="宋体"/>
          <w:sz w:val="21"/>
          <w:szCs w:val="21"/>
        </w:rPr>
        <w:t>法律、行政法规或监管部门取消或调整上述限制，如适用于本基金，基金管理人在履行适当程序后，则本基金投资不再受相关限制或按照调整后的规定执行。</w:t>
      </w:r>
    </w:p>
    <w:p w14:paraId="47485DDB">
      <w:pPr>
        <w:snapToGrid w:val="0"/>
        <w:spacing w:line="360" w:lineRule="auto"/>
        <w:ind w:firstLine="420" w:firstLineChars="200"/>
        <w:rPr>
          <w:rFonts w:ascii="宋体" w:hAnsi="宋体"/>
          <w:sz w:val="21"/>
          <w:szCs w:val="21"/>
        </w:rPr>
      </w:pPr>
      <w:r>
        <w:rPr>
          <w:rFonts w:hint="eastAsia" w:ascii="宋体" w:hAnsi="宋体"/>
          <w:sz w:val="21"/>
          <w:szCs w:val="21"/>
        </w:rPr>
        <w:t>六、基金资产净值的计算方法和公告方式</w:t>
      </w:r>
    </w:p>
    <w:p w14:paraId="491A3089">
      <w:pPr>
        <w:snapToGrid w:val="0"/>
        <w:spacing w:line="360" w:lineRule="auto"/>
        <w:ind w:firstLine="420" w:firstLineChars="200"/>
        <w:rPr>
          <w:rFonts w:ascii="宋体" w:hAnsi="宋体"/>
          <w:sz w:val="21"/>
          <w:szCs w:val="21"/>
        </w:rPr>
      </w:pPr>
      <w:r>
        <w:rPr>
          <w:rFonts w:hint="eastAsia" w:ascii="宋体" w:hAnsi="宋体"/>
          <w:sz w:val="21"/>
          <w:szCs w:val="21"/>
        </w:rPr>
        <w:t>（一）基金资产净值的计算方式</w:t>
      </w:r>
    </w:p>
    <w:p w14:paraId="6D82D6A0">
      <w:pPr>
        <w:snapToGrid w:val="0"/>
        <w:spacing w:line="360" w:lineRule="auto"/>
        <w:ind w:firstLine="420" w:firstLineChars="200"/>
        <w:rPr>
          <w:rFonts w:ascii="宋体" w:hAnsi="宋体"/>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基金资产净值是指基金资产总值减去基金负债后的价值。</w:t>
      </w:r>
    </w:p>
    <w:p w14:paraId="277DCEEB">
      <w:pPr>
        <w:snapToGrid w:val="0"/>
        <w:spacing w:line="360" w:lineRule="auto"/>
        <w:ind w:firstLine="420" w:firstLineChars="200"/>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w:t>
      </w:r>
      <w:r>
        <w:rPr>
          <w:rFonts w:hint="eastAsia" w:ascii="宋体" w:hAnsi="宋体"/>
          <w:sz w:val="21"/>
          <w:szCs w:val="21"/>
        </w:rPr>
        <w:t>估值方法</w:t>
      </w:r>
    </w:p>
    <w:p w14:paraId="01709E93">
      <w:pPr>
        <w:snapToGrid w:val="0"/>
        <w:spacing w:line="360" w:lineRule="auto"/>
        <w:ind w:firstLine="420" w:firstLineChars="200"/>
        <w:rPr>
          <w:rFonts w:hint="eastAsia" w:ascii="宋体" w:hAnsi="宋体"/>
          <w:sz w:val="21"/>
          <w:szCs w:val="21"/>
        </w:rPr>
      </w:pPr>
      <w:r>
        <w:rPr>
          <w:rFonts w:hint="eastAsia" w:ascii="宋体" w:hAnsi="宋体"/>
          <w:sz w:val="21"/>
          <w:szCs w:val="21"/>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C52F31C">
      <w:pPr>
        <w:snapToGrid w:val="0"/>
        <w:spacing w:line="360" w:lineRule="auto"/>
        <w:ind w:firstLine="420" w:firstLineChars="200"/>
        <w:rPr>
          <w:rFonts w:hint="eastAsia" w:ascii="宋体" w:hAnsi="宋体"/>
          <w:sz w:val="21"/>
          <w:szCs w:val="21"/>
        </w:rPr>
      </w:pPr>
      <w:r>
        <w:rPr>
          <w:rFonts w:hint="eastAsia" w:ascii="宋体" w:hAnsi="宋体"/>
          <w:sz w:val="21"/>
          <w:szCs w:val="21"/>
        </w:rPr>
        <w:t>2、对于已上市或已挂牌转让的不含权固定收益品种，选取估值日第三方估值基准服务机构提供的相应品种当日的估值全价进行估值。</w:t>
      </w:r>
    </w:p>
    <w:p w14:paraId="2DB24996">
      <w:pPr>
        <w:snapToGrid w:val="0"/>
        <w:spacing w:line="360" w:lineRule="auto"/>
        <w:ind w:firstLine="420" w:firstLineChars="200"/>
        <w:rPr>
          <w:rFonts w:hint="eastAsia" w:ascii="宋体" w:hAnsi="宋体"/>
          <w:sz w:val="21"/>
          <w:szCs w:val="21"/>
        </w:rPr>
      </w:pPr>
      <w:r>
        <w:rPr>
          <w:rFonts w:hint="eastAsia" w:ascii="宋体" w:hAnsi="宋体"/>
          <w:sz w:val="21"/>
          <w:szCs w:val="21"/>
        </w:rPr>
        <w:t>3、对于已上市或已挂牌转让的含权固定收益品种，选取估值日第三方估值基准服务机构提供的相应品种当日的唯一估值全价或推荐估值全价进行估值。</w:t>
      </w:r>
    </w:p>
    <w:p w14:paraId="6C5E3961">
      <w:pPr>
        <w:snapToGrid w:val="0"/>
        <w:spacing w:line="360" w:lineRule="auto"/>
        <w:ind w:firstLine="420" w:firstLineChars="200"/>
        <w:rPr>
          <w:rFonts w:hint="eastAsia" w:ascii="宋体" w:hAnsi="宋体"/>
          <w:sz w:val="21"/>
          <w:szCs w:val="21"/>
        </w:rPr>
      </w:pPr>
      <w:r>
        <w:rPr>
          <w:rFonts w:hint="eastAsia" w:ascii="宋体" w:hAnsi="宋体"/>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6013E51">
      <w:pPr>
        <w:snapToGrid w:val="0"/>
        <w:spacing w:line="360" w:lineRule="auto"/>
        <w:ind w:firstLine="420" w:firstLineChars="200"/>
        <w:rPr>
          <w:rFonts w:hint="eastAsia" w:ascii="宋体" w:hAnsi="宋体"/>
          <w:sz w:val="21"/>
          <w:szCs w:val="21"/>
        </w:rPr>
      </w:pPr>
      <w:r>
        <w:rPr>
          <w:rFonts w:hint="eastAsia" w:ascii="宋体" w:hAnsi="宋体"/>
          <w:sz w:val="21"/>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A03D7AB">
      <w:pPr>
        <w:snapToGrid w:val="0"/>
        <w:spacing w:line="360" w:lineRule="auto"/>
        <w:ind w:firstLine="420" w:firstLineChars="200"/>
        <w:rPr>
          <w:rFonts w:hint="eastAsia" w:ascii="宋体" w:hAnsi="宋体"/>
          <w:sz w:val="21"/>
          <w:szCs w:val="21"/>
        </w:rPr>
      </w:pPr>
      <w:r>
        <w:rPr>
          <w:rFonts w:hint="eastAsia" w:ascii="宋体" w:hAnsi="宋体"/>
          <w:sz w:val="21"/>
          <w:szCs w:val="21"/>
        </w:rPr>
        <w:t>5、对于未上市或未挂牌转让且不存在活跃市场的固定收益品种，应采用在当前情况下适用并且有足够可利用数据和其他信息支持的估值技术确定其公允价值。</w:t>
      </w:r>
    </w:p>
    <w:p w14:paraId="0847E4DF">
      <w:pPr>
        <w:snapToGrid w:val="0"/>
        <w:spacing w:line="360" w:lineRule="auto"/>
        <w:ind w:firstLine="420" w:firstLineChars="200"/>
        <w:rPr>
          <w:rFonts w:hint="eastAsia" w:ascii="宋体" w:hAnsi="宋体"/>
          <w:sz w:val="21"/>
          <w:szCs w:val="21"/>
        </w:rPr>
      </w:pPr>
      <w:r>
        <w:rPr>
          <w:rFonts w:hint="eastAsia" w:ascii="宋体" w:hAnsi="宋体"/>
          <w:sz w:val="21"/>
          <w:szCs w:val="21"/>
        </w:rPr>
        <w:t>6、处于未上市期间的有价证券应区分如下情况处理：</w:t>
      </w:r>
    </w:p>
    <w:p w14:paraId="2083C7A3">
      <w:pPr>
        <w:snapToGrid w:val="0"/>
        <w:spacing w:line="360" w:lineRule="auto"/>
        <w:ind w:firstLine="420" w:firstLineChars="200"/>
        <w:rPr>
          <w:rFonts w:hint="eastAsia" w:ascii="宋体" w:hAnsi="宋体"/>
          <w:sz w:val="21"/>
          <w:szCs w:val="21"/>
        </w:rPr>
      </w:pPr>
      <w:r>
        <w:rPr>
          <w:rFonts w:hint="eastAsia" w:ascii="宋体" w:hAnsi="宋体"/>
          <w:sz w:val="21"/>
          <w:szCs w:val="21"/>
        </w:rPr>
        <w:t>（1）送股、转增股、配股和公开增发的新股，按估值日在证券交易所挂牌的同一股票的估值方法估值；该日无交易的，以最近一日的市价（收盘价）估值；</w:t>
      </w:r>
    </w:p>
    <w:p w14:paraId="79E0A109">
      <w:pPr>
        <w:snapToGrid w:val="0"/>
        <w:spacing w:line="360" w:lineRule="auto"/>
        <w:ind w:firstLine="420" w:firstLineChars="200"/>
        <w:rPr>
          <w:rFonts w:hint="eastAsia" w:ascii="宋体" w:hAnsi="宋体"/>
          <w:sz w:val="21"/>
          <w:szCs w:val="21"/>
        </w:rPr>
      </w:pPr>
      <w:r>
        <w:rPr>
          <w:rFonts w:hint="eastAsia" w:ascii="宋体" w:hAnsi="宋体"/>
          <w:sz w:val="21"/>
          <w:szCs w:val="21"/>
        </w:rPr>
        <w:t>（2）首次公开发行未上市的股票，采用估值技术确定公允价值；</w:t>
      </w:r>
    </w:p>
    <w:p w14:paraId="708B28A8">
      <w:pPr>
        <w:snapToGrid w:val="0"/>
        <w:spacing w:line="360" w:lineRule="auto"/>
        <w:ind w:firstLine="420" w:firstLineChars="200"/>
        <w:rPr>
          <w:rFonts w:hint="eastAsia" w:ascii="宋体" w:hAnsi="宋体"/>
          <w:sz w:val="21"/>
          <w:szCs w:val="21"/>
        </w:rPr>
      </w:pPr>
      <w:r>
        <w:rPr>
          <w:rFonts w:hint="eastAsia" w:ascii="宋体" w:hAnsi="宋体"/>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89290A5">
      <w:pPr>
        <w:snapToGrid w:val="0"/>
        <w:spacing w:line="360" w:lineRule="auto"/>
        <w:ind w:firstLine="420" w:firstLineChars="200"/>
        <w:rPr>
          <w:rFonts w:hint="eastAsia" w:ascii="宋体" w:hAnsi="宋体"/>
          <w:sz w:val="21"/>
          <w:szCs w:val="21"/>
        </w:rPr>
      </w:pPr>
      <w:r>
        <w:rPr>
          <w:rFonts w:hint="eastAsia" w:ascii="宋体" w:hAnsi="宋体"/>
          <w:sz w:val="21"/>
          <w:szCs w:val="21"/>
        </w:rPr>
        <w:t>7、本基金投资存托凭证的估值核算，依照境内上市交易的股票执行。</w:t>
      </w:r>
    </w:p>
    <w:p w14:paraId="288B6533">
      <w:pPr>
        <w:snapToGrid w:val="0"/>
        <w:spacing w:line="360" w:lineRule="auto"/>
        <w:ind w:firstLine="420" w:firstLineChars="200"/>
        <w:rPr>
          <w:rFonts w:hint="eastAsia" w:ascii="宋体" w:hAnsi="宋体"/>
          <w:sz w:val="21"/>
          <w:szCs w:val="21"/>
        </w:rPr>
      </w:pPr>
      <w:r>
        <w:rPr>
          <w:rFonts w:hint="eastAsia" w:ascii="宋体" w:hAnsi="宋体"/>
          <w:sz w:val="21"/>
          <w:szCs w:val="21"/>
        </w:rPr>
        <w:t>8、同一证券同时在两个或两个以上市场交易的，按证券所处的市场分别估值。</w:t>
      </w:r>
    </w:p>
    <w:p w14:paraId="40991D7A">
      <w:pPr>
        <w:snapToGrid w:val="0"/>
        <w:spacing w:line="360" w:lineRule="auto"/>
        <w:ind w:firstLine="420" w:firstLineChars="200"/>
        <w:rPr>
          <w:rFonts w:hint="eastAsia" w:ascii="宋体" w:hAnsi="宋体"/>
          <w:sz w:val="21"/>
          <w:szCs w:val="21"/>
        </w:rPr>
      </w:pPr>
      <w:r>
        <w:rPr>
          <w:rFonts w:hint="eastAsia" w:ascii="宋体" w:hAnsi="宋体"/>
          <w:sz w:val="21"/>
          <w:szCs w:val="21"/>
        </w:rPr>
        <w:t>9、本基金参与股指期货、国债期货合约交易，一般以估值当日结算价确定公允价值，估值当日无结算价的，且最近交易日后未发生影响公允价值计量的重大事件的，采用最近交易日结算价估值。</w:t>
      </w:r>
    </w:p>
    <w:p w14:paraId="19C5170A">
      <w:pPr>
        <w:snapToGrid w:val="0"/>
        <w:spacing w:line="360" w:lineRule="auto"/>
        <w:ind w:firstLine="420" w:firstLineChars="200"/>
        <w:rPr>
          <w:rFonts w:hint="eastAsia" w:ascii="宋体" w:hAnsi="宋体"/>
          <w:sz w:val="21"/>
          <w:szCs w:val="21"/>
        </w:rPr>
      </w:pPr>
      <w:r>
        <w:rPr>
          <w:rFonts w:hint="eastAsia" w:ascii="宋体" w:hAnsi="宋体"/>
          <w:sz w:val="21"/>
          <w:szCs w:val="21"/>
        </w:rPr>
        <w:t>10、本基金投资股票期权，根据相关法律法规以及监管部门的规定估值。</w:t>
      </w:r>
    </w:p>
    <w:p w14:paraId="0CEE90D6">
      <w:pPr>
        <w:snapToGrid w:val="0"/>
        <w:spacing w:line="360" w:lineRule="auto"/>
        <w:ind w:firstLine="420" w:firstLineChars="200"/>
        <w:rPr>
          <w:rFonts w:hint="eastAsia" w:ascii="宋体" w:hAnsi="宋体"/>
          <w:sz w:val="21"/>
          <w:szCs w:val="21"/>
        </w:rPr>
      </w:pPr>
      <w:r>
        <w:rPr>
          <w:rFonts w:hint="eastAsia" w:ascii="宋体" w:hAnsi="宋体"/>
          <w:sz w:val="21"/>
          <w:szCs w:val="21"/>
        </w:rPr>
        <w:t>11、本基金参与融资及转融通证券出借业务的，应参照法律法规及行业协会的相关规定进行估值。</w:t>
      </w:r>
    </w:p>
    <w:p w14:paraId="3E982B5C">
      <w:pPr>
        <w:snapToGrid w:val="0"/>
        <w:spacing w:line="360" w:lineRule="auto"/>
        <w:ind w:firstLine="420" w:firstLineChars="200"/>
        <w:rPr>
          <w:rFonts w:hint="eastAsia" w:ascii="宋体" w:hAnsi="宋体"/>
          <w:sz w:val="21"/>
          <w:szCs w:val="21"/>
        </w:rPr>
      </w:pPr>
      <w:r>
        <w:rPr>
          <w:rFonts w:hint="eastAsia" w:ascii="宋体" w:hAnsi="宋体"/>
          <w:sz w:val="21"/>
          <w:szCs w:val="21"/>
        </w:rPr>
        <w:t>12、本基金可以采用第三方估值机构按照上述公允价值确定原则提供的估值价格数据。如有确凿证据表明按上述方法进行估值不能客观反映其公允价值的，基金管理人可根据具体情况与基金托管人商定后，按最能反映公允价值的方法估值。</w:t>
      </w:r>
    </w:p>
    <w:p w14:paraId="2CFC2C36">
      <w:pPr>
        <w:snapToGrid w:val="0"/>
        <w:spacing w:line="360" w:lineRule="auto"/>
        <w:ind w:firstLine="420" w:firstLineChars="200"/>
        <w:rPr>
          <w:rFonts w:hint="eastAsia" w:ascii="宋体" w:hAnsi="宋体"/>
          <w:sz w:val="21"/>
          <w:szCs w:val="21"/>
        </w:rPr>
      </w:pPr>
      <w:r>
        <w:rPr>
          <w:rFonts w:hint="eastAsia" w:ascii="宋体" w:hAnsi="宋体"/>
          <w:sz w:val="21"/>
          <w:szCs w:val="21"/>
        </w:rPr>
        <w:t>13、相关法律法规以及监管部门有强制规定的，从其规定。如有新增事项，按国家最新规定估值。</w:t>
      </w:r>
    </w:p>
    <w:p w14:paraId="1F51416D">
      <w:pPr>
        <w:snapToGrid w:val="0"/>
        <w:spacing w:line="360" w:lineRule="auto"/>
        <w:ind w:firstLine="420" w:firstLineChars="200"/>
        <w:rPr>
          <w:rFonts w:hint="eastAsia" w:ascii="宋体" w:hAnsi="宋体"/>
          <w:sz w:val="21"/>
          <w:szCs w:val="21"/>
        </w:rPr>
      </w:pPr>
      <w:r>
        <w:rPr>
          <w:rFonts w:hint="eastAsia" w:ascii="宋体" w:hAnsi="宋体"/>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0DCA85E5">
      <w:pPr>
        <w:snapToGrid w:val="0"/>
        <w:spacing w:line="360" w:lineRule="auto"/>
        <w:ind w:firstLine="420" w:firstLineChars="200"/>
        <w:rPr>
          <w:rFonts w:ascii="宋体" w:hAnsi="宋体"/>
          <w:sz w:val="21"/>
          <w:szCs w:val="21"/>
        </w:rPr>
      </w:pPr>
      <w:r>
        <w:rPr>
          <w:rFonts w:hint="eastAsia" w:ascii="宋体" w:hAnsi="宋体"/>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7904865">
      <w:pPr>
        <w:snapToGrid w:val="0"/>
        <w:spacing w:line="360" w:lineRule="auto"/>
        <w:ind w:firstLine="420" w:firstLineChars="200"/>
        <w:rPr>
          <w:rFonts w:ascii="宋体" w:hAnsi="宋体"/>
          <w:sz w:val="21"/>
          <w:szCs w:val="21"/>
        </w:rPr>
      </w:pPr>
      <w:r>
        <w:rPr>
          <w:rFonts w:hint="eastAsia" w:ascii="宋体" w:hAnsi="宋体"/>
          <w:sz w:val="21"/>
          <w:szCs w:val="21"/>
        </w:rPr>
        <w:t>（三）基金净值信息</w:t>
      </w:r>
    </w:p>
    <w:p w14:paraId="0E776D7F">
      <w:pPr>
        <w:spacing w:line="360" w:lineRule="auto"/>
        <w:ind w:firstLine="420" w:firstLineChars="200"/>
        <w:rPr>
          <w:bCs/>
          <w:sz w:val="21"/>
          <w:szCs w:val="21"/>
        </w:rPr>
      </w:pPr>
      <w:r>
        <w:rPr>
          <w:bCs/>
          <w:sz w:val="21"/>
          <w:szCs w:val="21"/>
        </w:rPr>
        <w:t>《基金合同》生效后，在</w:t>
      </w:r>
      <w:r>
        <w:rPr>
          <w:rFonts w:hint="eastAsia"/>
          <w:bCs/>
          <w:sz w:val="21"/>
          <w:szCs w:val="21"/>
        </w:rPr>
        <w:t>基金份额上市交易前且</w:t>
      </w:r>
      <w:r>
        <w:rPr>
          <w:bCs/>
          <w:sz w:val="21"/>
          <w:szCs w:val="21"/>
        </w:rPr>
        <w:t>开始办理基金份额申购或者赎回前，基金管理人应当至少每周</w:t>
      </w:r>
      <w:r>
        <w:rPr>
          <w:rFonts w:hint="eastAsia"/>
          <w:bCs/>
          <w:sz w:val="21"/>
          <w:szCs w:val="21"/>
        </w:rPr>
        <w:t>在规定网站披露一次基金份额净值和基金份额累计净值</w:t>
      </w:r>
      <w:r>
        <w:rPr>
          <w:bCs/>
          <w:sz w:val="21"/>
          <w:szCs w:val="21"/>
        </w:rPr>
        <w:t>。</w:t>
      </w:r>
    </w:p>
    <w:p w14:paraId="635B2729">
      <w:pPr>
        <w:spacing w:line="360" w:lineRule="auto"/>
        <w:ind w:firstLine="420" w:firstLineChars="200"/>
        <w:rPr>
          <w:bCs/>
          <w:sz w:val="21"/>
          <w:szCs w:val="21"/>
        </w:rPr>
      </w:pPr>
      <w:r>
        <w:rPr>
          <w:bCs/>
          <w:sz w:val="21"/>
          <w:szCs w:val="21"/>
        </w:rPr>
        <w:t>在</w:t>
      </w:r>
      <w:r>
        <w:rPr>
          <w:rFonts w:hint="eastAsia"/>
          <w:bCs/>
          <w:sz w:val="21"/>
          <w:szCs w:val="21"/>
        </w:rPr>
        <w:t>基金份额上市交易或</w:t>
      </w:r>
      <w:r>
        <w:rPr>
          <w:bCs/>
          <w:sz w:val="21"/>
          <w:szCs w:val="21"/>
        </w:rPr>
        <w:t>开始办理基金份额申购或者赎回后，基金管理人应当</w:t>
      </w:r>
      <w:r>
        <w:rPr>
          <w:szCs w:val="21"/>
        </w:rPr>
        <w:t>在</w:t>
      </w:r>
      <w:r>
        <w:rPr>
          <w:rFonts w:hint="eastAsia"/>
          <w:bCs/>
          <w:sz w:val="21"/>
          <w:szCs w:val="21"/>
        </w:rPr>
        <w:t>不晚于每个开放日的次日，通过规定网站、基金销售机构网站或者营业网点</w:t>
      </w:r>
      <w:r>
        <w:rPr>
          <w:bCs/>
          <w:sz w:val="21"/>
          <w:szCs w:val="21"/>
        </w:rPr>
        <w:t>披露开放日的基金份额净值和基金份额累计净值。</w:t>
      </w:r>
    </w:p>
    <w:p w14:paraId="5F26AE13">
      <w:pPr>
        <w:spacing w:line="360" w:lineRule="auto"/>
        <w:ind w:firstLine="420" w:firstLineChars="200"/>
        <w:rPr>
          <w:bCs/>
          <w:sz w:val="21"/>
          <w:szCs w:val="21"/>
        </w:rPr>
      </w:pPr>
      <w:r>
        <w:rPr>
          <w:bCs/>
          <w:sz w:val="21"/>
          <w:szCs w:val="21"/>
        </w:rPr>
        <w:t>基金管理人应当</w:t>
      </w:r>
      <w:r>
        <w:rPr>
          <w:rFonts w:hint="eastAsia"/>
          <w:bCs/>
          <w:sz w:val="21"/>
          <w:szCs w:val="21"/>
        </w:rPr>
        <w:t>在不晚于半年度和年度最后一日的次日，在规定网站披露半年度和年度最后一日的基金份额净值和基金份额累计净值。</w:t>
      </w:r>
    </w:p>
    <w:p w14:paraId="02137F67">
      <w:pPr>
        <w:snapToGrid w:val="0"/>
        <w:spacing w:line="360" w:lineRule="auto"/>
        <w:ind w:firstLine="420" w:firstLineChars="200"/>
        <w:rPr>
          <w:rFonts w:ascii="宋体" w:hAnsi="宋体"/>
          <w:sz w:val="21"/>
          <w:szCs w:val="21"/>
        </w:rPr>
      </w:pPr>
      <w:r>
        <w:rPr>
          <w:rFonts w:hint="eastAsia" w:ascii="宋体" w:hAnsi="宋体"/>
          <w:sz w:val="21"/>
          <w:szCs w:val="21"/>
        </w:rPr>
        <w:t>七、</w:t>
      </w:r>
      <w:r>
        <w:rPr>
          <w:rFonts w:ascii="宋体" w:hAnsi="宋体"/>
          <w:sz w:val="21"/>
          <w:szCs w:val="21"/>
        </w:rPr>
        <w:t>基金合同的变更、终止与基金财产的清算</w:t>
      </w:r>
    </w:p>
    <w:p w14:paraId="42FE369A">
      <w:pPr>
        <w:snapToGrid w:val="0"/>
        <w:spacing w:line="360" w:lineRule="auto"/>
        <w:ind w:firstLine="420" w:firstLineChars="200"/>
        <w:rPr>
          <w:rFonts w:ascii="宋体" w:hAnsi="宋体"/>
          <w:sz w:val="21"/>
          <w:szCs w:val="21"/>
        </w:rPr>
      </w:pPr>
      <w:r>
        <w:rPr>
          <w:rFonts w:hint="eastAsia" w:ascii="宋体" w:hAnsi="宋体"/>
          <w:sz w:val="21"/>
          <w:szCs w:val="21"/>
        </w:rPr>
        <w:t>（一）《基金合同》的变更</w:t>
      </w:r>
    </w:p>
    <w:p w14:paraId="36B188C3">
      <w:pPr>
        <w:snapToGrid w:val="0"/>
        <w:spacing w:line="360" w:lineRule="auto"/>
        <w:ind w:firstLine="420" w:firstLineChars="200"/>
        <w:rPr>
          <w:rFonts w:hint="eastAsia" w:ascii="宋体" w:hAnsi="宋体"/>
          <w:sz w:val="21"/>
          <w:szCs w:val="21"/>
        </w:rPr>
      </w:pPr>
      <w:r>
        <w:rPr>
          <w:rFonts w:hint="eastAsia" w:ascii="宋体" w:hAnsi="宋体"/>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35FE84FC">
      <w:pPr>
        <w:snapToGrid w:val="0"/>
        <w:spacing w:line="360" w:lineRule="auto"/>
        <w:ind w:firstLine="420" w:firstLineChars="200"/>
        <w:rPr>
          <w:rFonts w:hint="eastAsia" w:ascii="宋体" w:hAnsi="宋体"/>
          <w:sz w:val="21"/>
          <w:szCs w:val="21"/>
        </w:rPr>
      </w:pPr>
      <w:r>
        <w:rPr>
          <w:rFonts w:hint="eastAsia" w:ascii="宋体" w:hAnsi="宋体"/>
          <w:sz w:val="21"/>
          <w:szCs w:val="21"/>
        </w:rPr>
        <w:t>2、关于《基金合同》变更的基金份额持有人大会决议自生效后方可执行，自决议生效后按规定在规定媒介公告。</w:t>
      </w:r>
    </w:p>
    <w:p w14:paraId="64D7447B">
      <w:pPr>
        <w:snapToGrid w:val="0"/>
        <w:spacing w:line="360" w:lineRule="auto"/>
        <w:ind w:firstLine="420" w:firstLineChars="200"/>
        <w:rPr>
          <w:rFonts w:ascii="宋体" w:hAnsi="宋体"/>
          <w:sz w:val="21"/>
          <w:szCs w:val="21"/>
        </w:rPr>
      </w:pPr>
      <w:r>
        <w:rPr>
          <w:rFonts w:hint="eastAsia" w:ascii="宋体" w:hAnsi="宋体"/>
          <w:sz w:val="21"/>
          <w:szCs w:val="21"/>
        </w:rPr>
        <w:t>（二）《基金合同》的终止事由</w:t>
      </w:r>
    </w:p>
    <w:p w14:paraId="631EE763">
      <w:pPr>
        <w:snapToGrid w:val="0"/>
        <w:spacing w:line="360" w:lineRule="auto"/>
        <w:ind w:firstLine="420" w:firstLineChars="200"/>
        <w:rPr>
          <w:rFonts w:hint="eastAsia" w:ascii="宋体" w:hAnsi="宋体"/>
          <w:sz w:val="21"/>
          <w:szCs w:val="21"/>
        </w:rPr>
      </w:pPr>
      <w:r>
        <w:rPr>
          <w:rFonts w:hint="eastAsia" w:ascii="宋体" w:hAnsi="宋体"/>
          <w:sz w:val="21"/>
          <w:szCs w:val="21"/>
        </w:rPr>
        <w:t>有下列情形之一的，经履行相关程序后，《基金合同》应当终止：</w:t>
      </w:r>
    </w:p>
    <w:p w14:paraId="0EFDB282">
      <w:pPr>
        <w:snapToGrid w:val="0"/>
        <w:spacing w:line="360" w:lineRule="auto"/>
        <w:ind w:firstLine="420" w:firstLineChars="200"/>
        <w:rPr>
          <w:rFonts w:hint="eastAsia" w:ascii="宋体" w:hAnsi="宋体"/>
          <w:sz w:val="21"/>
          <w:szCs w:val="21"/>
        </w:rPr>
      </w:pPr>
      <w:r>
        <w:rPr>
          <w:rFonts w:hint="eastAsia" w:ascii="宋体" w:hAnsi="宋体"/>
          <w:sz w:val="21"/>
          <w:szCs w:val="21"/>
        </w:rPr>
        <w:t>1、基金份额持有人大会决定终止的；</w:t>
      </w:r>
    </w:p>
    <w:p w14:paraId="54C9C10F">
      <w:pPr>
        <w:snapToGrid w:val="0"/>
        <w:spacing w:line="360" w:lineRule="auto"/>
        <w:ind w:firstLine="420" w:firstLineChars="200"/>
        <w:rPr>
          <w:rFonts w:hint="eastAsia" w:ascii="宋体" w:hAnsi="宋体"/>
          <w:sz w:val="21"/>
          <w:szCs w:val="21"/>
        </w:rPr>
      </w:pPr>
      <w:r>
        <w:rPr>
          <w:rFonts w:hint="eastAsia" w:ascii="宋体" w:hAnsi="宋体"/>
          <w:sz w:val="21"/>
          <w:szCs w:val="21"/>
        </w:rPr>
        <w:t>2、基金管理人、基金托管人职责终止，在6个月内没有新基金管理人、新基金托管人承接的；</w:t>
      </w:r>
    </w:p>
    <w:p w14:paraId="44998713">
      <w:pPr>
        <w:snapToGrid w:val="0"/>
        <w:spacing w:line="360" w:lineRule="auto"/>
        <w:ind w:firstLine="420" w:firstLineChars="200"/>
        <w:rPr>
          <w:rFonts w:hint="eastAsia" w:ascii="宋体" w:hAnsi="宋体"/>
          <w:sz w:val="21"/>
          <w:szCs w:val="21"/>
        </w:rPr>
      </w:pPr>
      <w:r>
        <w:rPr>
          <w:rFonts w:hint="eastAsia" w:ascii="宋体" w:hAnsi="宋体"/>
          <w:sz w:val="21"/>
          <w:szCs w:val="21"/>
        </w:rPr>
        <w:t>3、出现标的指数不符合法律法规及监管要求（因成份股价格波动等指数编制方法变动之外的因素致使标的指数不符合要求的情形除外）、指数编制机构退出等情形，基金管理人召集基金份额持有人大会对解决方案进行表决，基金份额持有人大会未成功召开或就上述事项表决未通过的；</w:t>
      </w:r>
    </w:p>
    <w:p w14:paraId="6F2DDCE3">
      <w:pPr>
        <w:snapToGrid w:val="0"/>
        <w:spacing w:line="360" w:lineRule="auto"/>
        <w:ind w:firstLine="420" w:firstLineChars="200"/>
        <w:rPr>
          <w:rFonts w:hint="eastAsia" w:ascii="宋体" w:hAnsi="宋体"/>
          <w:sz w:val="21"/>
          <w:szCs w:val="21"/>
        </w:rPr>
      </w:pPr>
      <w:r>
        <w:rPr>
          <w:rFonts w:hint="eastAsia" w:ascii="宋体" w:hAnsi="宋体"/>
          <w:sz w:val="21"/>
          <w:szCs w:val="21"/>
        </w:rPr>
        <w:t>4、《基金合同》约定的其他情形；</w:t>
      </w:r>
    </w:p>
    <w:p w14:paraId="1EF72806">
      <w:pPr>
        <w:snapToGrid w:val="0"/>
        <w:spacing w:line="360" w:lineRule="auto"/>
        <w:ind w:firstLine="420" w:firstLineChars="200"/>
        <w:rPr>
          <w:rFonts w:hint="eastAsia" w:ascii="宋体" w:hAnsi="宋体"/>
          <w:sz w:val="21"/>
          <w:szCs w:val="21"/>
        </w:rPr>
      </w:pPr>
      <w:r>
        <w:rPr>
          <w:rFonts w:hint="eastAsia" w:ascii="宋体" w:hAnsi="宋体"/>
          <w:sz w:val="21"/>
          <w:szCs w:val="21"/>
        </w:rPr>
        <w:t>5、相关法律法规和中国证监会规定的其他情况。</w:t>
      </w:r>
    </w:p>
    <w:p w14:paraId="4450B27F">
      <w:pPr>
        <w:snapToGrid w:val="0"/>
        <w:spacing w:line="360" w:lineRule="auto"/>
        <w:ind w:firstLine="420" w:firstLineChars="200"/>
        <w:rPr>
          <w:rFonts w:ascii="宋体" w:hAnsi="宋体"/>
          <w:sz w:val="21"/>
          <w:szCs w:val="21"/>
        </w:rPr>
      </w:pPr>
      <w:r>
        <w:rPr>
          <w:rFonts w:hint="eastAsia" w:ascii="宋体" w:hAnsi="宋体"/>
          <w:sz w:val="21"/>
          <w:szCs w:val="21"/>
        </w:rPr>
        <w:t>（三）基金财产的清算</w:t>
      </w:r>
    </w:p>
    <w:p w14:paraId="5AB46215">
      <w:pPr>
        <w:snapToGrid w:val="0"/>
        <w:spacing w:line="360" w:lineRule="auto"/>
        <w:ind w:firstLine="420" w:firstLineChars="200"/>
        <w:rPr>
          <w:rFonts w:hint="eastAsia" w:ascii="宋体" w:hAnsi="宋体"/>
          <w:sz w:val="21"/>
          <w:szCs w:val="21"/>
        </w:rPr>
      </w:pPr>
      <w:r>
        <w:rPr>
          <w:rFonts w:hint="eastAsia" w:ascii="宋体" w:hAnsi="宋体"/>
          <w:sz w:val="21"/>
          <w:szCs w:val="21"/>
        </w:rPr>
        <w:t>1、基金财产清算小组：自出现《基金合同》终止事由之日起30个工作日内成立基金财产清算小组，基金管理人组织基金财产清算小组并在中国证监会的监督下进行基金清算。</w:t>
      </w:r>
    </w:p>
    <w:p w14:paraId="3D374779">
      <w:pPr>
        <w:snapToGrid w:val="0"/>
        <w:spacing w:line="360" w:lineRule="auto"/>
        <w:ind w:firstLine="420" w:firstLineChars="200"/>
        <w:rPr>
          <w:rFonts w:hint="eastAsia" w:ascii="宋体" w:hAnsi="宋体"/>
          <w:sz w:val="21"/>
          <w:szCs w:val="21"/>
        </w:rPr>
      </w:pPr>
      <w:r>
        <w:rPr>
          <w:rFonts w:hint="eastAsia" w:ascii="宋体" w:hAnsi="宋体"/>
          <w:sz w:val="21"/>
          <w:szCs w:val="21"/>
        </w:rPr>
        <w:t>2、在基金财产清算小组接管基金财产之前，基金管理人和基金托管人应按照《基金合同》和托管协议的规定继续履行保护基金财产安全的职责。</w:t>
      </w:r>
    </w:p>
    <w:p w14:paraId="04462904">
      <w:pPr>
        <w:snapToGrid w:val="0"/>
        <w:spacing w:line="360" w:lineRule="auto"/>
        <w:ind w:firstLine="420" w:firstLineChars="200"/>
        <w:rPr>
          <w:rFonts w:hint="eastAsia" w:ascii="宋体" w:hAnsi="宋体"/>
          <w:sz w:val="21"/>
          <w:szCs w:val="21"/>
        </w:rPr>
      </w:pPr>
      <w:r>
        <w:rPr>
          <w:rFonts w:hint="eastAsia" w:ascii="宋体" w:hAnsi="宋体"/>
          <w:sz w:val="21"/>
          <w:szCs w:val="21"/>
        </w:rPr>
        <w:t>3、基金财产清算小组组成：基金财产清算小组成员由基金管理人、基金托管人、符合《证券法》规定的注册会计师、律师以及中国证监会指定的人员组成。基金财产清算小组可以聘用必要的工作人员。</w:t>
      </w:r>
    </w:p>
    <w:p w14:paraId="5E7F9603">
      <w:pPr>
        <w:snapToGrid w:val="0"/>
        <w:spacing w:line="360" w:lineRule="auto"/>
        <w:ind w:firstLine="420" w:firstLineChars="200"/>
        <w:rPr>
          <w:rFonts w:hint="eastAsia" w:ascii="宋体" w:hAnsi="宋体"/>
          <w:sz w:val="21"/>
          <w:szCs w:val="21"/>
        </w:rPr>
      </w:pPr>
      <w:r>
        <w:rPr>
          <w:rFonts w:hint="eastAsia" w:ascii="宋体" w:hAnsi="宋体"/>
          <w:sz w:val="21"/>
          <w:szCs w:val="21"/>
        </w:rPr>
        <w:t>4、基金财产清算小组职责：基金财产清算小组负责基金财产的保管、清理、估价、变现和分配。基金财产清算小组可以依法进行必要的民事活动。</w:t>
      </w:r>
    </w:p>
    <w:p w14:paraId="694F7E89">
      <w:pPr>
        <w:snapToGrid w:val="0"/>
        <w:spacing w:line="360" w:lineRule="auto"/>
        <w:ind w:firstLine="420" w:firstLineChars="200"/>
        <w:rPr>
          <w:rFonts w:hint="eastAsia" w:ascii="宋体" w:hAnsi="宋体"/>
          <w:sz w:val="21"/>
          <w:szCs w:val="21"/>
        </w:rPr>
      </w:pPr>
      <w:r>
        <w:rPr>
          <w:rFonts w:hint="eastAsia" w:ascii="宋体" w:hAnsi="宋体"/>
          <w:sz w:val="21"/>
          <w:szCs w:val="21"/>
        </w:rPr>
        <w:t>5、在基金财产清算过程中，基金管理人和基金托管人应各自履行职责，继续忠实、勤勉、尽责地履行基金合同和托管协议规定的义务，维护基金份额持有人的合法权益。</w:t>
      </w:r>
    </w:p>
    <w:p w14:paraId="11F47321">
      <w:pPr>
        <w:snapToGrid w:val="0"/>
        <w:spacing w:line="360" w:lineRule="auto"/>
        <w:ind w:firstLine="420" w:firstLineChars="200"/>
        <w:rPr>
          <w:rFonts w:hint="eastAsia" w:ascii="宋体" w:hAnsi="宋体"/>
          <w:sz w:val="21"/>
          <w:szCs w:val="21"/>
        </w:rPr>
      </w:pPr>
      <w:r>
        <w:rPr>
          <w:rFonts w:hint="eastAsia" w:ascii="宋体" w:hAnsi="宋体"/>
          <w:sz w:val="21"/>
          <w:szCs w:val="21"/>
        </w:rPr>
        <w:t>6、基金财产清算程序：</w:t>
      </w:r>
    </w:p>
    <w:p w14:paraId="5F8E82F4">
      <w:pPr>
        <w:snapToGrid w:val="0"/>
        <w:spacing w:line="360" w:lineRule="auto"/>
        <w:ind w:firstLine="420" w:firstLineChars="200"/>
        <w:rPr>
          <w:rFonts w:hint="eastAsia" w:ascii="宋体" w:hAnsi="宋体"/>
          <w:sz w:val="21"/>
          <w:szCs w:val="21"/>
        </w:rPr>
      </w:pPr>
      <w:r>
        <w:rPr>
          <w:rFonts w:hint="eastAsia" w:ascii="宋体" w:hAnsi="宋体"/>
          <w:sz w:val="21"/>
          <w:szCs w:val="21"/>
        </w:rPr>
        <w:t>（1）《基金合同》终止情形出现时，由基金财产清算小组统一接管基金；</w:t>
      </w:r>
    </w:p>
    <w:p w14:paraId="3E84F42A">
      <w:pPr>
        <w:snapToGrid w:val="0"/>
        <w:spacing w:line="360" w:lineRule="auto"/>
        <w:ind w:firstLine="420" w:firstLineChars="200"/>
        <w:rPr>
          <w:rFonts w:hint="eastAsia" w:ascii="宋体" w:hAnsi="宋体"/>
          <w:sz w:val="21"/>
          <w:szCs w:val="21"/>
        </w:rPr>
      </w:pPr>
      <w:r>
        <w:rPr>
          <w:rFonts w:hint="eastAsia" w:ascii="宋体" w:hAnsi="宋体"/>
          <w:sz w:val="21"/>
          <w:szCs w:val="21"/>
        </w:rPr>
        <w:t>（2）对基金财产和债权债务进行清理和确认；</w:t>
      </w:r>
    </w:p>
    <w:p w14:paraId="16BEC3D4">
      <w:pPr>
        <w:snapToGrid w:val="0"/>
        <w:spacing w:line="360" w:lineRule="auto"/>
        <w:ind w:firstLine="420" w:firstLineChars="200"/>
        <w:rPr>
          <w:rFonts w:hint="eastAsia" w:ascii="宋体" w:hAnsi="宋体"/>
          <w:sz w:val="21"/>
          <w:szCs w:val="21"/>
        </w:rPr>
      </w:pPr>
      <w:r>
        <w:rPr>
          <w:rFonts w:hint="eastAsia" w:ascii="宋体" w:hAnsi="宋体"/>
          <w:sz w:val="21"/>
          <w:szCs w:val="21"/>
        </w:rPr>
        <w:t>（3）对基金财产进行估值和变现；</w:t>
      </w:r>
    </w:p>
    <w:p w14:paraId="498C5DB3">
      <w:pPr>
        <w:snapToGrid w:val="0"/>
        <w:spacing w:line="360" w:lineRule="auto"/>
        <w:ind w:firstLine="420" w:firstLineChars="200"/>
        <w:rPr>
          <w:rFonts w:hint="eastAsia" w:ascii="宋体" w:hAnsi="宋体"/>
          <w:sz w:val="21"/>
          <w:szCs w:val="21"/>
        </w:rPr>
      </w:pPr>
      <w:r>
        <w:rPr>
          <w:rFonts w:hint="eastAsia" w:ascii="宋体" w:hAnsi="宋体"/>
          <w:sz w:val="21"/>
          <w:szCs w:val="21"/>
        </w:rPr>
        <w:t>（4）制作清算报告；</w:t>
      </w:r>
    </w:p>
    <w:p w14:paraId="5F067DB9">
      <w:pPr>
        <w:snapToGrid w:val="0"/>
        <w:spacing w:line="360" w:lineRule="auto"/>
        <w:ind w:firstLine="420" w:firstLineChars="200"/>
        <w:rPr>
          <w:rFonts w:hint="eastAsia" w:ascii="宋体" w:hAnsi="宋体"/>
          <w:sz w:val="21"/>
          <w:szCs w:val="21"/>
        </w:rPr>
      </w:pPr>
      <w:r>
        <w:rPr>
          <w:rFonts w:hint="eastAsia" w:ascii="宋体" w:hAnsi="宋体"/>
          <w:sz w:val="21"/>
          <w:szCs w:val="21"/>
        </w:rPr>
        <w:t>（5）聘请符合《证券法》规定的会计师事务所对清算报告进行外部审计，聘请律师事务所对清算报告出具法律意见书；</w:t>
      </w:r>
    </w:p>
    <w:p w14:paraId="0C990472">
      <w:pPr>
        <w:snapToGrid w:val="0"/>
        <w:spacing w:line="360" w:lineRule="auto"/>
        <w:ind w:firstLine="420" w:firstLineChars="200"/>
        <w:rPr>
          <w:rFonts w:hint="eastAsia" w:ascii="宋体" w:hAnsi="宋体"/>
          <w:sz w:val="21"/>
          <w:szCs w:val="21"/>
        </w:rPr>
      </w:pPr>
      <w:r>
        <w:rPr>
          <w:rFonts w:hint="eastAsia" w:ascii="宋体" w:hAnsi="宋体"/>
          <w:sz w:val="21"/>
          <w:szCs w:val="21"/>
        </w:rPr>
        <w:t>（6）将清算报告报中国证监会备案并公告；</w:t>
      </w:r>
    </w:p>
    <w:p w14:paraId="3A2AAA93">
      <w:pPr>
        <w:snapToGrid w:val="0"/>
        <w:spacing w:line="360" w:lineRule="auto"/>
        <w:ind w:firstLine="420" w:firstLineChars="200"/>
        <w:rPr>
          <w:rFonts w:hint="eastAsia" w:ascii="宋体" w:hAnsi="宋体"/>
          <w:sz w:val="21"/>
          <w:szCs w:val="21"/>
        </w:rPr>
      </w:pPr>
      <w:r>
        <w:rPr>
          <w:rFonts w:hint="eastAsia" w:ascii="宋体" w:hAnsi="宋体"/>
          <w:sz w:val="21"/>
          <w:szCs w:val="21"/>
        </w:rPr>
        <w:t>（7）对基金剩余财产进行分配。</w:t>
      </w:r>
    </w:p>
    <w:p w14:paraId="4A4F84D1">
      <w:pPr>
        <w:snapToGrid w:val="0"/>
        <w:spacing w:line="360" w:lineRule="auto"/>
        <w:ind w:firstLine="420" w:firstLineChars="200"/>
        <w:rPr>
          <w:rFonts w:hint="eastAsia" w:ascii="宋体" w:hAnsi="宋体"/>
          <w:sz w:val="21"/>
          <w:szCs w:val="21"/>
        </w:rPr>
      </w:pPr>
      <w:r>
        <w:rPr>
          <w:rFonts w:hint="eastAsia" w:ascii="宋体" w:hAnsi="宋体"/>
          <w:sz w:val="21"/>
          <w:szCs w:val="21"/>
        </w:rPr>
        <w:t>7、基金财产清算的期限为6个月，但因本基金所持证券的流动性受到限制而不能及时变现的，清算期限相应顺延。</w:t>
      </w:r>
    </w:p>
    <w:p w14:paraId="31BB2992">
      <w:pPr>
        <w:snapToGrid w:val="0"/>
        <w:spacing w:line="360" w:lineRule="auto"/>
        <w:ind w:firstLine="420" w:firstLineChars="200"/>
        <w:rPr>
          <w:rFonts w:ascii="宋体" w:hAnsi="宋体"/>
          <w:sz w:val="21"/>
          <w:szCs w:val="21"/>
        </w:rPr>
      </w:pPr>
      <w:r>
        <w:rPr>
          <w:rFonts w:hint="eastAsia" w:ascii="宋体" w:hAnsi="宋体"/>
          <w:sz w:val="21"/>
          <w:szCs w:val="21"/>
        </w:rPr>
        <w:t>（四）清算费用</w:t>
      </w:r>
    </w:p>
    <w:p w14:paraId="27DAB99C">
      <w:pPr>
        <w:snapToGrid w:val="0"/>
        <w:spacing w:line="360" w:lineRule="auto"/>
        <w:ind w:firstLine="420" w:firstLineChars="200"/>
        <w:rPr>
          <w:rFonts w:ascii="宋体" w:hAnsi="宋体"/>
          <w:sz w:val="21"/>
          <w:szCs w:val="21"/>
        </w:rPr>
      </w:pPr>
      <w:r>
        <w:rPr>
          <w:rFonts w:hint="eastAsia" w:asciiTheme="minorEastAsia" w:hAnsiTheme="minorEastAsia"/>
          <w:sz w:val="21"/>
          <w:szCs w:val="21"/>
        </w:rPr>
        <w:t>清算费用是指基金财产清算小组在进行基金财产清算过程中发生的所有合理费用，清算费用由基金财产清算小组优先从基金剩余财产中支付。</w:t>
      </w:r>
    </w:p>
    <w:p w14:paraId="453286CA">
      <w:pPr>
        <w:snapToGrid w:val="0"/>
        <w:spacing w:line="360" w:lineRule="auto"/>
        <w:ind w:firstLine="420" w:firstLineChars="200"/>
        <w:rPr>
          <w:rFonts w:ascii="宋体" w:hAnsi="宋体"/>
          <w:sz w:val="21"/>
          <w:szCs w:val="21"/>
        </w:rPr>
      </w:pPr>
      <w:r>
        <w:rPr>
          <w:rFonts w:hint="eastAsia" w:ascii="宋体" w:hAnsi="宋体"/>
          <w:sz w:val="21"/>
          <w:szCs w:val="21"/>
        </w:rPr>
        <w:t>（五）基金财产清算剩余资产的分配</w:t>
      </w:r>
    </w:p>
    <w:p w14:paraId="084159A0">
      <w:pPr>
        <w:snapToGrid w:val="0"/>
        <w:spacing w:line="360" w:lineRule="auto"/>
        <w:ind w:firstLine="420" w:firstLineChars="200"/>
        <w:rPr>
          <w:rFonts w:ascii="宋体" w:hAnsi="宋体"/>
          <w:sz w:val="21"/>
          <w:szCs w:val="21"/>
        </w:rPr>
      </w:pPr>
      <w:r>
        <w:rPr>
          <w:rFonts w:hint="eastAsia" w:asciiTheme="minorEastAsia" w:hAnsiTheme="minor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6C9007C7">
      <w:pPr>
        <w:snapToGrid w:val="0"/>
        <w:spacing w:line="360" w:lineRule="auto"/>
        <w:ind w:firstLine="420" w:firstLineChars="200"/>
        <w:rPr>
          <w:rFonts w:ascii="宋体" w:hAnsi="宋体"/>
          <w:sz w:val="21"/>
          <w:szCs w:val="21"/>
        </w:rPr>
      </w:pPr>
      <w:r>
        <w:rPr>
          <w:rFonts w:hint="eastAsia" w:ascii="宋体" w:hAnsi="宋体"/>
          <w:sz w:val="21"/>
          <w:szCs w:val="21"/>
        </w:rPr>
        <w:t>（六）基金财产清算的公告</w:t>
      </w:r>
    </w:p>
    <w:p w14:paraId="33A4A901">
      <w:pPr>
        <w:snapToGrid w:val="0"/>
        <w:spacing w:line="360" w:lineRule="auto"/>
        <w:ind w:firstLine="420" w:firstLineChars="200"/>
        <w:rPr>
          <w:rFonts w:hint="eastAsia" w:ascii="宋体" w:hAnsi="宋体"/>
          <w:sz w:val="21"/>
          <w:szCs w:val="21"/>
        </w:rPr>
      </w:pPr>
      <w:r>
        <w:rPr>
          <w:rFonts w:hint="eastAsia" w:ascii="宋体" w:hAnsi="宋体"/>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680FDA75">
      <w:pPr>
        <w:snapToGrid w:val="0"/>
        <w:spacing w:line="360" w:lineRule="auto"/>
        <w:ind w:firstLine="420" w:firstLineChars="200"/>
        <w:rPr>
          <w:rFonts w:ascii="宋体" w:hAnsi="宋体"/>
          <w:sz w:val="21"/>
          <w:szCs w:val="21"/>
        </w:rPr>
      </w:pPr>
      <w:r>
        <w:rPr>
          <w:rFonts w:hint="eastAsia" w:ascii="宋体" w:hAnsi="宋体"/>
          <w:sz w:val="21"/>
          <w:szCs w:val="21"/>
        </w:rPr>
        <w:t>（七）基金财产清算账册及文件的保存</w:t>
      </w:r>
    </w:p>
    <w:p w14:paraId="6034EC2A">
      <w:pPr>
        <w:snapToGrid w:val="0"/>
        <w:spacing w:line="360" w:lineRule="auto"/>
        <w:ind w:firstLine="420" w:firstLineChars="200"/>
        <w:rPr>
          <w:rFonts w:ascii="宋体" w:hAnsi="宋体"/>
          <w:sz w:val="21"/>
          <w:szCs w:val="21"/>
        </w:rPr>
      </w:pPr>
      <w:r>
        <w:rPr>
          <w:rFonts w:hint="eastAsia" w:asciiTheme="minorEastAsia" w:hAnsiTheme="minorEastAsia"/>
          <w:sz w:val="21"/>
          <w:szCs w:val="21"/>
        </w:rPr>
        <w:t>基金财产清算账册及有关文件由基金托管人保存，保存期限按照法律法规的规定执行。</w:t>
      </w:r>
    </w:p>
    <w:p w14:paraId="6AC22CD6">
      <w:pPr>
        <w:snapToGrid w:val="0"/>
        <w:spacing w:line="360" w:lineRule="auto"/>
        <w:ind w:firstLine="420" w:firstLineChars="200"/>
        <w:rPr>
          <w:rFonts w:ascii="宋体" w:hAnsi="宋体"/>
          <w:sz w:val="21"/>
          <w:szCs w:val="21"/>
        </w:rPr>
      </w:pPr>
      <w:r>
        <w:rPr>
          <w:rFonts w:hint="eastAsia" w:ascii="宋体" w:hAnsi="宋体"/>
          <w:sz w:val="21"/>
          <w:szCs w:val="21"/>
        </w:rPr>
        <w:t>八、争议的处理</w:t>
      </w:r>
    </w:p>
    <w:p w14:paraId="33FFAF15">
      <w:pPr>
        <w:snapToGrid w:val="0"/>
        <w:spacing w:line="360" w:lineRule="auto"/>
        <w:ind w:firstLine="420" w:firstLineChars="200"/>
        <w:rPr>
          <w:rFonts w:hint="eastAsia" w:ascii="宋体" w:hAnsi="宋体"/>
          <w:sz w:val="21"/>
          <w:szCs w:val="21"/>
        </w:rPr>
      </w:pPr>
      <w:r>
        <w:rPr>
          <w:rFonts w:hint="eastAsia" w:ascii="宋体" w:hAnsi="宋体"/>
          <w:sz w:val="21"/>
          <w:szCs w:val="21"/>
        </w:rPr>
        <w:t>各方当事人同意，因《基金合同》而产生的或与《基金合同》有关的一切争议，如不愿或者不能通过协商、调解解决的，应提交上海国际经济贸易仲裁委员会（上海国际仲裁中心），根据该会届时有效的仲裁规则进行仲裁。仲裁地点为上海市。仲裁裁决是终局的，对各方当事人均有约束力。除非仲裁裁决另有规定，仲裁费由败诉方承担。</w:t>
      </w:r>
    </w:p>
    <w:p w14:paraId="753AFB37">
      <w:pPr>
        <w:snapToGrid w:val="0"/>
        <w:spacing w:line="360" w:lineRule="auto"/>
        <w:ind w:firstLine="420" w:firstLineChars="200"/>
        <w:rPr>
          <w:rFonts w:hint="eastAsia" w:ascii="宋体" w:hAnsi="宋体"/>
          <w:sz w:val="21"/>
          <w:szCs w:val="21"/>
        </w:rPr>
      </w:pPr>
      <w:r>
        <w:rPr>
          <w:rFonts w:hint="eastAsia" w:ascii="宋体" w:hAnsi="宋体"/>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7214D9AB">
      <w:pPr>
        <w:snapToGrid w:val="0"/>
        <w:spacing w:line="360" w:lineRule="auto"/>
        <w:ind w:firstLine="420" w:firstLineChars="200"/>
        <w:rPr>
          <w:rFonts w:hint="eastAsia" w:ascii="宋体" w:hAnsi="宋体"/>
          <w:sz w:val="21"/>
          <w:szCs w:val="21"/>
        </w:rPr>
      </w:pPr>
      <w:r>
        <w:rPr>
          <w:rFonts w:hint="eastAsia" w:ascii="宋体" w:hAnsi="宋体"/>
          <w:sz w:val="21"/>
          <w:szCs w:val="21"/>
        </w:rPr>
        <w:t>《基金合同》受中国法律（为本基金合同之目的，在此不包括香港、澳门特别行政区法律和台湾地区的有关规定）管辖并从其解释。</w:t>
      </w:r>
    </w:p>
    <w:p w14:paraId="209A0280">
      <w:pPr>
        <w:snapToGrid w:val="0"/>
        <w:spacing w:line="360" w:lineRule="auto"/>
        <w:ind w:firstLine="420" w:firstLineChars="200"/>
        <w:rPr>
          <w:rFonts w:ascii="宋体" w:hAnsi="宋体"/>
          <w:sz w:val="21"/>
          <w:szCs w:val="21"/>
        </w:rPr>
      </w:pPr>
      <w:r>
        <w:rPr>
          <w:rFonts w:hint="eastAsia" w:ascii="宋体" w:hAnsi="宋体"/>
          <w:sz w:val="21"/>
          <w:szCs w:val="21"/>
        </w:rPr>
        <w:t>九、基金合同存放地和投资者取得合同的方式</w:t>
      </w:r>
    </w:p>
    <w:p w14:paraId="397A5A3B">
      <w:pPr>
        <w:snapToGrid w:val="0"/>
        <w:spacing w:line="360" w:lineRule="auto"/>
        <w:ind w:firstLine="420" w:firstLineChars="200"/>
        <w:rPr>
          <w:rFonts w:ascii="宋体" w:hAnsi="宋体"/>
          <w:sz w:val="21"/>
          <w:szCs w:val="21"/>
        </w:rPr>
      </w:pPr>
      <w:r>
        <w:rPr>
          <w:rFonts w:ascii="宋体" w:hAnsi="宋体"/>
          <w:sz w:val="21"/>
          <w:szCs w:val="21"/>
        </w:rPr>
        <w:t>本基金合同</w:t>
      </w:r>
      <w:r>
        <w:rPr>
          <w:rFonts w:hint="eastAsia" w:ascii="宋体" w:hAnsi="宋体"/>
          <w:sz w:val="21"/>
          <w:szCs w:val="21"/>
        </w:rPr>
        <w:t>可印制成册，供</w:t>
      </w:r>
      <w:r>
        <w:rPr>
          <w:rFonts w:ascii="宋体" w:hAnsi="宋体"/>
          <w:sz w:val="21"/>
          <w:szCs w:val="21"/>
        </w:rPr>
        <w:t>投资人</w:t>
      </w:r>
      <w:r>
        <w:rPr>
          <w:rFonts w:hint="eastAsia" w:ascii="宋体" w:hAnsi="宋体"/>
          <w:sz w:val="21"/>
          <w:szCs w:val="21"/>
        </w:rPr>
        <w:t>在基金管理人、基金托管人、</w:t>
      </w:r>
      <w:r>
        <w:rPr>
          <w:rFonts w:ascii="宋体" w:hAnsi="宋体"/>
          <w:sz w:val="21"/>
          <w:szCs w:val="21"/>
        </w:rPr>
        <w:t>代销</w:t>
      </w:r>
      <w:r>
        <w:rPr>
          <w:rFonts w:hint="eastAsia" w:ascii="宋体" w:hAnsi="宋体"/>
          <w:sz w:val="21"/>
          <w:szCs w:val="21"/>
        </w:rPr>
        <w:t>机构</w:t>
      </w:r>
      <w:r>
        <w:rPr>
          <w:rFonts w:ascii="宋体" w:hAnsi="宋体"/>
          <w:sz w:val="21"/>
          <w:szCs w:val="21"/>
        </w:rPr>
        <w:t>和登记机构</w:t>
      </w:r>
      <w:r>
        <w:rPr>
          <w:rFonts w:hint="eastAsia" w:ascii="宋体" w:hAnsi="宋体"/>
          <w:sz w:val="21"/>
          <w:szCs w:val="21"/>
        </w:rPr>
        <w:t>办公场所查阅。</w:t>
      </w:r>
    </w:p>
    <w:p w14:paraId="1A46837D">
      <w:pPr>
        <w:pStyle w:val="9"/>
        <w:spacing w:before="0" w:beforeAutospacing="0" w:after="0" w:afterAutospacing="0" w:line="360" w:lineRule="auto"/>
        <w:ind w:firstLine="420" w:firstLineChars="200"/>
        <w:jc w:val="both"/>
        <w:rPr>
          <w:rFonts w:hint="eastAsia" w:ascii="宋体" w:hAnsi="宋体" w:eastAsia="宋体" w:cs="宋体"/>
          <w:kern w:val="0"/>
          <w:sz w:val="21"/>
          <w:szCs w:val="21"/>
          <w:highlight w:val="lightGray"/>
        </w:rPr>
      </w:pPr>
    </w:p>
    <w:p w14:paraId="119232D7"/>
    <w:p w14:paraId="6E0A57C6"/>
    <w:p w14:paraId="099D4690"/>
    <w:sectPr>
      <w:headerReference r:id="rId6" w:type="default"/>
      <w:footerReference r:id="rId7"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D400A">
    <w:pPr>
      <w:pStyle w:val="6"/>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w:t>
    </w:r>
    <w:r>
      <w:fldChar w:fldCharType="end"/>
    </w:r>
    <w:r>
      <w:rPr>
        <w:rFonts w:hint="eastAsia"/>
      </w:rPr>
      <w:t>页 共</w:t>
    </w:r>
    <w:r>
      <w:fldChar w:fldCharType="begin"/>
    </w:r>
    <w:r>
      <w:instrText xml:space="preserve"> NumPages \* MERGEFORMAT </w:instrText>
    </w:r>
    <w:r>
      <w:fldChar w:fldCharType="separate"/>
    </w:r>
    <w:r>
      <w:t>51</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51C6B">
    <w:pPr>
      <w:pStyle w:val="6"/>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w:t>
    </w:r>
    <w:r>
      <w:fldChar w:fldCharType="end"/>
    </w:r>
    <w:r>
      <w:rPr>
        <w:rFonts w:hint="eastAsia"/>
      </w:rPr>
      <w:t>页 共</w:t>
    </w:r>
    <w:r>
      <w:fldChar w:fldCharType="begin"/>
    </w:r>
    <w:r>
      <w:instrText xml:space="preserve"> NumPages \* MERGEFORMAT </w:instrText>
    </w:r>
    <w:r>
      <w:fldChar w:fldCharType="separate"/>
    </w:r>
    <w:r>
      <w:t>51</w:t>
    </w:r>
    <w:r>
      <w:fldChar w:fldCharType="end"/>
    </w:r>
    <w:r>
      <w:rPr>
        <w:rFonts w:hint="eastAsia"/>
      </w:rPr>
      <w:t>页</w:t>
    </w:r>
  </w:p>
  <w:p w14:paraId="464E191D">
    <w:pPr>
      <w:pStyle w:val="6"/>
      <w:jc w:val="center"/>
      <w:rPr>
        <w:rFonts w:ascii="Arial" w:hAnsi="Arial" w:cs="Arial"/>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7A7DC">
    <w:pPr>
      <w:pStyle w:val="7"/>
      <w:pBdr>
        <w:bottom w:val="none" w:color="auto" w:sz="0" w:space="1"/>
      </w:pBdr>
      <w:jc w:val="right"/>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8B8C6">
    <w:pPr>
      <w:pStyle w:val="7"/>
      <w:jc w:val="right"/>
      <w:rPr>
        <w:rFonts w:hint="eastAsia" w:eastAsiaTheme="minorEastAsia"/>
        <w:lang w:eastAsia="zh-CN"/>
      </w:rPr>
    </w:pPr>
    <w:r>
      <w:rPr>
        <w:rFonts w:hint="eastAsia"/>
        <w:lang w:eastAsia="zh-CN"/>
      </w:rPr>
      <w:t>博时中证有色金属矿业主题交易型开放式指数证券投资基金</w:t>
    </w:r>
    <w:r>
      <w:rPr>
        <w:rFonts w:hint="eastAsia"/>
      </w:rPr>
      <w:t>上市交易公告书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E0338">
    <w:pPr>
      <w:pStyle w:val="7"/>
      <w:jc w:val="right"/>
    </w:pPr>
    <w:r>
      <w:rPr>
        <w:rFonts w:hint="eastAsia"/>
      </w:rPr>
      <w:t>博时中证有色金属矿业主题交易型开放式指数证券投资基金基金合同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9B0B23"/>
    <w:multiLevelType w:val="singleLevel"/>
    <w:tmpl w:val="889B0B23"/>
    <w:lvl w:ilvl="0" w:tentative="0">
      <w:start w:val="3"/>
      <w:numFmt w:val="chineseCounting"/>
      <w:suff w:val="nothing"/>
      <w:lvlText w:val="%1、"/>
      <w:lvlJc w:val="left"/>
      <w:rPr>
        <w:rFonts w:hint="eastAsia"/>
      </w:rPr>
    </w:lvl>
  </w:abstractNum>
  <w:abstractNum w:abstractNumId="1">
    <w:nsid w:val="95229859"/>
    <w:multiLevelType w:val="singleLevel"/>
    <w:tmpl w:val="95229859"/>
    <w:lvl w:ilvl="0" w:tentative="0">
      <w:start w:val="1"/>
      <w:numFmt w:val="chineseCounting"/>
      <w:suff w:val="nothing"/>
      <w:lvlText w:val="（%1）"/>
      <w:lvlJc w:val="left"/>
      <w:rPr>
        <w:rFonts w:hint="eastAsia"/>
      </w:rPr>
    </w:lvl>
  </w:abstractNum>
  <w:abstractNum w:abstractNumId="2">
    <w:nsid w:val="A7A649CA"/>
    <w:multiLevelType w:val="singleLevel"/>
    <w:tmpl w:val="A7A649CA"/>
    <w:lvl w:ilvl="0" w:tentative="0">
      <w:start w:val="5"/>
      <w:numFmt w:val="decimal"/>
      <w:suff w:val="nothing"/>
      <w:lvlText w:val="%1、"/>
      <w:lvlJc w:val="left"/>
    </w:lvl>
  </w:abstractNum>
  <w:abstractNum w:abstractNumId="3">
    <w:nsid w:val="AD4BCBEB"/>
    <w:multiLevelType w:val="singleLevel"/>
    <w:tmpl w:val="AD4BCBEB"/>
    <w:lvl w:ilvl="0" w:tentative="0">
      <w:start w:val="2"/>
      <w:numFmt w:val="chineseCounting"/>
      <w:suff w:val="nothing"/>
      <w:lvlText w:val="（%1）"/>
      <w:lvlJc w:val="left"/>
      <w:rPr>
        <w:rFonts w:hint="eastAsia"/>
      </w:rPr>
    </w:lvl>
  </w:abstractNum>
  <w:abstractNum w:abstractNumId="4">
    <w:nsid w:val="E972191C"/>
    <w:multiLevelType w:val="singleLevel"/>
    <w:tmpl w:val="E972191C"/>
    <w:lvl w:ilvl="0" w:tentative="0">
      <w:start w:val="9"/>
      <w:numFmt w:val="chineseCounting"/>
      <w:suff w:val="nothing"/>
      <w:lvlText w:val="（%1）"/>
      <w:lvlJc w:val="left"/>
      <w:rPr>
        <w:rFonts w:hint="eastAsia"/>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196"/>
    <w:rsid w:val="0000010D"/>
    <w:rsid w:val="0002596A"/>
    <w:rsid w:val="00027E3E"/>
    <w:rsid w:val="00061331"/>
    <w:rsid w:val="0009589A"/>
    <w:rsid w:val="000A673F"/>
    <w:rsid w:val="000D4D5C"/>
    <w:rsid w:val="000E12FA"/>
    <w:rsid w:val="000E4A1F"/>
    <w:rsid w:val="00100E17"/>
    <w:rsid w:val="00134196"/>
    <w:rsid w:val="00171C23"/>
    <w:rsid w:val="0018679A"/>
    <w:rsid w:val="001C773F"/>
    <w:rsid w:val="001F7003"/>
    <w:rsid w:val="00260AE1"/>
    <w:rsid w:val="00263411"/>
    <w:rsid w:val="002729FC"/>
    <w:rsid w:val="0029040B"/>
    <w:rsid w:val="002924D0"/>
    <w:rsid w:val="002C5962"/>
    <w:rsid w:val="00313946"/>
    <w:rsid w:val="003219EE"/>
    <w:rsid w:val="003239CA"/>
    <w:rsid w:val="00371CF0"/>
    <w:rsid w:val="00396962"/>
    <w:rsid w:val="003C2E63"/>
    <w:rsid w:val="003E1559"/>
    <w:rsid w:val="003F12CF"/>
    <w:rsid w:val="00400C84"/>
    <w:rsid w:val="00401F2E"/>
    <w:rsid w:val="0047581E"/>
    <w:rsid w:val="00487FCE"/>
    <w:rsid w:val="004A479D"/>
    <w:rsid w:val="004B194F"/>
    <w:rsid w:val="004B5A6B"/>
    <w:rsid w:val="0051629E"/>
    <w:rsid w:val="005341BA"/>
    <w:rsid w:val="00594717"/>
    <w:rsid w:val="005F15AB"/>
    <w:rsid w:val="00674928"/>
    <w:rsid w:val="006A1BC2"/>
    <w:rsid w:val="006D0E36"/>
    <w:rsid w:val="006E2432"/>
    <w:rsid w:val="006E2EE7"/>
    <w:rsid w:val="006F1399"/>
    <w:rsid w:val="00722ACA"/>
    <w:rsid w:val="007371DD"/>
    <w:rsid w:val="0077580E"/>
    <w:rsid w:val="007818B1"/>
    <w:rsid w:val="0079609A"/>
    <w:rsid w:val="0079747D"/>
    <w:rsid w:val="007C18A1"/>
    <w:rsid w:val="00827CDC"/>
    <w:rsid w:val="00871D54"/>
    <w:rsid w:val="00876E8F"/>
    <w:rsid w:val="008C5059"/>
    <w:rsid w:val="008D3BC8"/>
    <w:rsid w:val="008E2D07"/>
    <w:rsid w:val="008F0DDC"/>
    <w:rsid w:val="008F6999"/>
    <w:rsid w:val="009106B4"/>
    <w:rsid w:val="00987B9E"/>
    <w:rsid w:val="0099188E"/>
    <w:rsid w:val="0099374E"/>
    <w:rsid w:val="009C00B4"/>
    <w:rsid w:val="009C1FC1"/>
    <w:rsid w:val="009F1215"/>
    <w:rsid w:val="009F404B"/>
    <w:rsid w:val="00A015ED"/>
    <w:rsid w:val="00A028F0"/>
    <w:rsid w:val="00A8346F"/>
    <w:rsid w:val="00A95D3E"/>
    <w:rsid w:val="00AC00CD"/>
    <w:rsid w:val="00AF56CC"/>
    <w:rsid w:val="00B3407F"/>
    <w:rsid w:val="00B67E73"/>
    <w:rsid w:val="00BB35F3"/>
    <w:rsid w:val="00C03241"/>
    <w:rsid w:val="00C153EE"/>
    <w:rsid w:val="00C556E1"/>
    <w:rsid w:val="00C760AE"/>
    <w:rsid w:val="00C86CE5"/>
    <w:rsid w:val="00CD4852"/>
    <w:rsid w:val="00CD5400"/>
    <w:rsid w:val="00D17E48"/>
    <w:rsid w:val="00DA7151"/>
    <w:rsid w:val="00E168F5"/>
    <w:rsid w:val="00E36C49"/>
    <w:rsid w:val="00E36CC6"/>
    <w:rsid w:val="00E54F02"/>
    <w:rsid w:val="00E92B60"/>
    <w:rsid w:val="00EA217C"/>
    <w:rsid w:val="00EA27CB"/>
    <w:rsid w:val="00EA6CE8"/>
    <w:rsid w:val="00ED55BC"/>
    <w:rsid w:val="00F0454D"/>
    <w:rsid w:val="00F22A21"/>
    <w:rsid w:val="00F42FBA"/>
    <w:rsid w:val="00F87159"/>
    <w:rsid w:val="00F938B1"/>
    <w:rsid w:val="00F96B9F"/>
    <w:rsid w:val="00FF03B8"/>
    <w:rsid w:val="01184F34"/>
    <w:rsid w:val="01295C3B"/>
    <w:rsid w:val="01361A93"/>
    <w:rsid w:val="013D1795"/>
    <w:rsid w:val="017C7C14"/>
    <w:rsid w:val="01C32272"/>
    <w:rsid w:val="01E811AC"/>
    <w:rsid w:val="023C66B8"/>
    <w:rsid w:val="03190625"/>
    <w:rsid w:val="032E7E6F"/>
    <w:rsid w:val="035C032D"/>
    <w:rsid w:val="039713C7"/>
    <w:rsid w:val="03A54ED2"/>
    <w:rsid w:val="03AC57BC"/>
    <w:rsid w:val="03AD5615"/>
    <w:rsid w:val="03F72C51"/>
    <w:rsid w:val="040334DE"/>
    <w:rsid w:val="04185410"/>
    <w:rsid w:val="04360E90"/>
    <w:rsid w:val="043D1681"/>
    <w:rsid w:val="047F2F94"/>
    <w:rsid w:val="04AD0690"/>
    <w:rsid w:val="04C715E5"/>
    <w:rsid w:val="050D387B"/>
    <w:rsid w:val="057F16A6"/>
    <w:rsid w:val="05FB30A1"/>
    <w:rsid w:val="064A73D7"/>
    <w:rsid w:val="066B7E24"/>
    <w:rsid w:val="06C57B04"/>
    <w:rsid w:val="06CA486E"/>
    <w:rsid w:val="06E23AB3"/>
    <w:rsid w:val="06E92564"/>
    <w:rsid w:val="072843AA"/>
    <w:rsid w:val="07780B4E"/>
    <w:rsid w:val="07A2676C"/>
    <w:rsid w:val="07BA233A"/>
    <w:rsid w:val="07CC1898"/>
    <w:rsid w:val="0804612B"/>
    <w:rsid w:val="08A90D2D"/>
    <w:rsid w:val="09511A59"/>
    <w:rsid w:val="09673BFD"/>
    <w:rsid w:val="097A15AD"/>
    <w:rsid w:val="09AF3FF1"/>
    <w:rsid w:val="09B40952"/>
    <w:rsid w:val="09E3055C"/>
    <w:rsid w:val="09FC40F0"/>
    <w:rsid w:val="0A0D0BA8"/>
    <w:rsid w:val="0A397185"/>
    <w:rsid w:val="0B0D2CD4"/>
    <w:rsid w:val="0B2009CF"/>
    <w:rsid w:val="0B25137C"/>
    <w:rsid w:val="0B66796B"/>
    <w:rsid w:val="0B6912F6"/>
    <w:rsid w:val="0B815345"/>
    <w:rsid w:val="0B984927"/>
    <w:rsid w:val="0BB6683D"/>
    <w:rsid w:val="0C1F5A2F"/>
    <w:rsid w:val="0C5B1651"/>
    <w:rsid w:val="0CCF3C1F"/>
    <w:rsid w:val="0DB645AA"/>
    <w:rsid w:val="0F444E21"/>
    <w:rsid w:val="0FE07C99"/>
    <w:rsid w:val="0FF61EB6"/>
    <w:rsid w:val="100E07B1"/>
    <w:rsid w:val="108F0808"/>
    <w:rsid w:val="10B7227A"/>
    <w:rsid w:val="10E375F3"/>
    <w:rsid w:val="114836DA"/>
    <w:rsid w:val="11750DDE"/>
    <w:rsid w:val="11883AE7"/>
    <w:rsid w:val="118C2FE9"/>
    <w:rsid w:val="11C467C0"/>
    <w:rsid w:val="11EB3172"/>
    <w:rsid w:val="11F0177A"/>
    <w:rsid w:val="12065420"/>
    <w:rsid w:val="128C697D"/>
    <w:rsid w:val="12C83462"/>
    <w:rsid w:val="12DA0C7B"/>
    <w:rsid w:val="12E85A12"/>
    <w:rsid w:val="12FF7803"/>
    <w:rsid w:val="13437311"/>
    <w:rsid w:val="1399374C"/>
    <w:rsid w:val="13CC3966"/>
    <w:rsid w:val="14B5526A"/>
    <w:rsid w:val="14BD2115"/>
    <w:rsid w:val="14F1166B"/>
    <w:rsid w:val="15127621"/>
    <w:rsid w:val="15CA457D"/>
    <w:rsid w:val="15D20959"/>
    <w:rsid w:val="162E3271"/>
    <w:rsid w:val="168205E3"/>
    <w:rsid w:val="16C7752A"/>
    <w:rsid w:val="17093E07"/>
    <w:rsid w:val="185773FE"/>
    <w:rsid w:val="1920657C"/>
    <w:rsid w:val="19A60D94"/>
    <w:rsid w:val="19AE6CD8"/>
    <w:rsid w:val="19D01DE3"/>
    <w:rsid w:val="1A2A2B7C"/>
    <w:rsid w:val="1A9F256A"/>
    <w:rsid w:val="1AB67501"/>
    <w:rsid w:val="1AE55CD1"/>
    <w:rsid w:val="1B2E1125"/>
    <w:rsid w:val="1BB340C4"/>
    <w:rsid w:val="1C530F07"/>
    <w:rsid w:val="1C6564EA"/>
    <w:rsid w:val="1CF21D0A"/>
    <w:rsid w:val="1CF81B63"/>
    <w:rsid w:val="1D5B5880"/>
    <w:rsid w:val="1D86257E"/>
    <w:rsid w:val="1E764308"/>
    <w:rsid w:val="1F455FAF"/>
    <w:rsid w:val="200E0DCE"/>
    <w:rsid w:val="200F29A4"/>
    <w:rsid w:val="202A5715"/>
    <w:rsid w:val="20322091"/>
    <w:rsid w:val="20415C7A"/>
    <w:rsid w:val="20A4605A"/>
    <w:rsid w:val="211557A3"/>
    <w:rsid w:val="214C385F"/>
    <w:rsid w:val="21D92814"/>
    <w:rsid w:val="21E140A1"/>
    <w:rsid w:val="22945014"/>
    <w:rsid w:val="22BC69FE"/>
    <w:rsid w:val="22CE25B1"/>
    <w:rsid w:val="230131C6"/>
    <w:rsid w:val="2318468D"/>
    <w:rsid w:val="234671EC"/>
    <w:rsid w:val="235734A3"/>
    <w:rsid w:val="244254CA"/>
    <w:rsid w:val="247B3126"/>
    <w:rsid w:val="249C1D1C"/>
    <w:rsid w:val="24A312E6"/>
    <w:rsid w:val="25DE436B"/>
    <w:rsid w:val="25E2137E"/>
    <w:rsid w:val="25EB7E37"/>
    <w:rsid w:val="25FC1FD6"/>
    <w:rsid w:val="26611895"/>
    <w:rsid w:val="269E134D"/>
    <w:rsid w:val="26D12FC0"/>
    <w:rsid w:val="26EF06E2"/>
    <w:rsid w:val="28950EC1"/>
    <w:rsid w:val="28CA0B7C"/>
    <w:rsid w:val="290F01F1"/>
    <w:rsid w:val="29194CBB"/>
    <w:rsid w:val="292000D1"/>
    <w:rsid w:val="29750DDC"/>
    <w:rsid w:val="29AB0FAD"/>
    <w:rsid w:val="2AD640D4"/>
    <w:rsid w:val="2B14257A"/>
    <w:rsid w:val="2B994A59"/>
    <w:rsid w:val="2BE86BDC"/>
    <w:rsid w:val="2C4B74B9"/>
    <w:rsid w:val="2C8B07C0"/>
    <w:rsid w:val="2CB86F50"/>
    <w:rsid w:val="2EA81517"/>
    <w:rsid w:val="2F4F1437"/>
    <w:rsid w:val="2FED371A"/>
    <w:rsid w:val="3006055A"/>
    <w:rsid w:val="300F498A"/>
    <w:rsid w:val="30A61108"/>
    <w:rsid w:val="30E8308A"/>
    <w:rsid w:val="31427C32"/>
    <w:rsid w:val="31523460"/>
    <w:rsid w:val="31DC6E5B"/>
    <w:rsid w:val="31E33F4A"/>
    <w:rsid w:val="31F90095"/>
    <w:rsid w:val="322A0A77"/>
    <w:rsid w:val="3281224F"/>
    <w:rsid w:val="32A54325"/>
    <w:rsid w:val="330630C5"/>
    <w:rsid w:val="33522861"/>
    <w:rsid w:val="33F26783"/>
    <w:rsid w:val="343A21BD"/>
    <w:rsid w:val="354E1BB5"/>
    <w:rsid w:val="358B3002"/>
    <w:rsid w:val="35A07F01"/>
    <w:rsid w:val="360B0709"/>
    <w:rsid w:val="3639291E"/>
    <w:rsid w:val="363C6B3B"/>
    <w:rsid w:val="36A3184F"/>
    <w:rsid w:val="36D45384"/>
    <w:rsid w:val="38685B24"/>
    <w:rsid w:val="3883262C"/>
    <w:rsid w:val="38CF4326"/>
    <w:rsid w:val="390D70E6"/>
    <w:rsid w:val="39232AE3"/>
    <w:rsid w:val="39770218"/>
    <w:rsid w:val="39F50E2C"/>
    <w:rsid w:val="3A31575B"/>
    <w:rsid w:val="3A4E0551"/>
    <w:rsid w:val="3A840F8D"/>
    <w:rsid w:val="3A9167AE"/>
    <w:rsid w:val="3ABC62D2"/>
    <w:rsid w:val="3BC94229"/>
    <w:rsid w:val="3BFC347F"/>
    <w:rsid w:val="3C6C46B1"/>
    <w:rsid w:val="3CD704DD"/>
    <w:rsid w:val="3D54332A"/>
    <w:rsid w:val="3D7B6D79"/>
    <w:rsid w:val="3DA114ED"/>
    <w:rsid w:val="3DA8317E"/>
    <w:rsid w:val="3E643409"/>
    <w:rsid w:val="3E8F30B2"/>
    <w:rsid w:val="3F507121"/>
    <w:rsid w:val="403A7E28"/>
    <w:rsid w:val="40A2464F"/>
    <w:rsid w:val="40F612A2"/>
    <w:rsid w:val="410924C1"/>
    <w:rsid w:val="41361A58"/>
    <w:rsid w:val="41443930"/>
    <w:rsid w:val="41A007B1"/>
    <w:rsid w:val="41D8232D"/>
    <w:rsid w:val="4203114E"/>
    <w:rsid w:val="42180F91"/>
    <w:rsid w:val="42354D79"/>
    <w:rsid w:val="42775F1B"/>
    <w:rsid w:val="429554CB"/>
    <w:rsid w:val="43142597"/>
    <w:rsid w:val="439A580C"/>
    <w:rsid w:val="440367EE"/>
    <w:rsid w:val="44626D0C"/>
    <w:rsid w:val="44C97D5C"/>
    <w:rsid w:val="44CB4A40"/>
    <w:rsid w:val="452841EB"/>
    <w:rsid w:val="453B6B56"/>
    <w:rsid w:val="460F7B7D"/>
    <w:rsid w:val="465B2BE0"/>
    <w:rsid w:val="46707F9C"/>
    <w:rsid w:val="467576A4"/>
    <w:rsid w:val="47E349BA"/>
    <w:rsid w:val="47F17296"/>
    <w:rsid w:val="48194E0F"/>
    <w:rsid w:val="485E2A48"/>
    <w:rsid w:val="48C42A3E"/>
    <w:rsid w:val="493D4634"/>
    <w:rsid w:val="4984133C"/>
    <w:rsid w:val="4A642072"/>
    <w:rsid w:val="4AAC154C"/>
    <w:rsid w:val="4B540A03"/>
    <w:rsid w:val="4BC77042"/>
    <w:rsid w:val="4BEC649C"/>
    <w:rsid w:val="4C105929"/>
    <w:rsid w:val="4C523EBC"/>
    <w:rsid w:val="4C566E0B"/>
    <w:rsid w:val="4C5E3D47"/>
    <w:rsid w:val="4CCA59AA"/>
    <w:rsid w:val="4CCE2312"/>
    <w:rsid w:val="4CF01E5B"/>
    <w:rsid w:val="4D467EC5"/>
    <w:rsid w:val="4D686C8D"/>
    <w:rsid w:val="4D847AF6"/>
    <w:rsid w:val="4D876B3D"/>
    <w:rsid w:val="4E0F71D8"/>
    <w:rsid w:val="4E1C7A36"/>
    <w:rsid w:val="4E9068B5"/>
    <w:rsid w:val="4E9317DB"/>
    <w:rsid w:val="4EB64CD9"/>
    <w:rsid w:val="4EBD75BF"/>
    <w:rsid w:val="4EF8069D"/>
    <w:rsid w:val="4EF97CB9"/>
    <w:rsid w:val="4F292709"/>
    <w:rsid w:val="505E2185"/>
    <w:rsid w:val="510D1231"/>
    <w:rsid w:val="5148131A"/>
    <w:rsid w:val="515F7957"/>
    <w:rsid w:val="517B5A7B"/>
    <w:rsid w:val="517E5911"/>
    <w:rsid w:val="51833481"/>
    <w:rsid w:val="51935A63"/>
    <w:rsid w:val="51BD0E26"/>
    <w:rsid w:val="51E03964"/>
    <w:rsid w:val="526A5E71"/>
    <w:rsid w:val="52BE77B3"/>
    <w:rsid w:val="531C58EA"/>
    <w:rsid w:val="534E3B3B"/>
    <w:rsid w:val="53776891"/>
    <w:rsid w:val="53940A2C"/>
    <w:rsid w:val="53C23470"/>
    <w:rsid w:val="53D572C4"/>
    <w:rsid w:val="547F47B3"/>
    <w:rsid w:val="54B41D77"/>
    <w:rsid w:val="5583158B"/>
    <w:rsid w:val="55ED0F84"/>
    <w:rsid w:val="56937497"/>
    <w:rsid w:val="56CD00D3"/>
    <w:rsid w:val="571406EC"/>
    <w:rsid w:val="5716066D"/>
    <w:rsid w:val="57871C26"/>
    <w:rsid w:val="57B44BB5"/>
    <w:rsid w:val="581E09E5"/>
    <w:rsid w:val="589D2742"/>
    <w:rsid w:val="58A85581"/>
    <w:rsid w:val="58DA1640"/>
    <w:rsid w:val="58F74BDB"/>
    <w:rsid w:val="59234ECA"/>
    <w:rsid w:val="59EB6FC2"/>
    <w:rsid w:val="5A031FBA"/>
    <w:rsid w:val="5A3D154B"/>
    <w:rsid w:val="5AD964CD"/>
    <w:rsid w:val="5B3F1217"/>
    <w:rsid w:val="5B931E25"/>
    <w:rsid w:val="5BB9653E"/>
    <w:rsid w:val="5C324336"/>
    <w:rsid w:val="5C367226"/>
    <w:rsid w:val="5C55730B"/>
    <w:rsid w:val="5C630774"/>
    <w:rsid w:val="5C9D1C07"/>
    <w:rsid w:val="5D54142D"/>
    <w:rsid w:val="5D731CE1"/>
    <w:rsid w:val="5D7551E4"/>
    <w:rsid w:val="5D786169"/>
    <w:rsid w:val="5DE01011"/>
    <w:rsid w:val="5DFC3DD2"/>
    <w:rsid w:val="5E115063"/>
    <w:rsid w:val="5E612863"/>
    <w:rsid w:val="5E790851"/>
    <w:rsid w:val="607F4DDC"/>
    <w:rsid w:val="60A4759A"/>
    <w:rsid w:val="61161E58"/>
    <w:rsid w:val="6134091C"/>
    <w:rsid w:val="61965C29"/>
    <w:rsid w:val="61AC454A"/>
    <w:rsid w:val="61C30450"/>
    <w:rsid w:val="620A3ED7"/>
    <w:rsid w:val="621D25FA"/>
    <w:rsid w:val="62240D43"/>
    <w:rsid w:val="623E7711"/>
    <w:rsid w:val="629C76D5"/>
    <w:rsid w:val="62F200E4"/>
    <w:rsid w:val="63E853DA"/>
    <w:rsid w:val="641C5084"/>
    <w:rsid w:val="646C7D20"/>
    <w:rsid w:val="651F1D1E"/>
    <w:rsid w:val="65D4120E"/>
    <w:rsid w:val="65ED6CD8"/>
    <w:rsid w:val="66651A1B"/>
    <w:rsid w:val="66FF1E88"/>
    <w:rsid w:val="67517E8F"/>
    <w:rsid w:val="67706CC4"/>
    <w:rsid w:val="67994E76"/>
    <w:rsid w:val="67F0485E"/>
    <w:rsid w:val="68685BD7"/>
    <w:rsid w:val="68A839E0"/>
    <w:rsid w:val="69A022B3"/>
    <w:rsid w:val="6A5D2165"/>
    <w:rsid w:val="6A945605"/>
    <w:rsid w:val="6BA0669E"/>
    <w:rsid w:val="6C587073"/>
    <w:rsid w:val="6C982FFE"/>
    <w:rsid w:val="6C9F2CF6"/>
    <w:rsid w:val="6CF6233D"/>
    <w:rsid w:val="6D2163F1"/>
    <w:rsid w:val="6D900673"/>
    <w:rsid w:val="6DA90E3C"/>
    <w:rsid w:val="6E3D7FE4"/>
    <w:rsid w:val="6E8E404B"/>
    <w:rsid w:val="6E931328"/>
    <w:rsid w:val="6EA34655"/>
    <w:rsid w:val="6EC60678"/>
    <w:rsid w:val="6F6E001D"/>
    <w:rsid w:val="705D49DF"/>
    <w:rsid w:val="70CE7620"/>
    <w:rsid w:val="71130F39"/>
    <w:rsid w:val="714314E5"/>
    <w:rsid w:val="71EA2A02"/>
    <w:rsid w:val="723621D9"/>
    <w:rsid w:val="729546DD"/>
    <w:rsid w:val="72C37A54"/>
    <w:rsid w:val="73406EE2"/>
    <w:rsid w:val="742B4593"/>
    <w:rsid w:val="748C40F3"/>
    <w:rsid w:val="75DF4815"/>
    <w:rsid w:val="76401F90"/>
    <w:rsid w:val="766E39D9"/>
    <w:rsid w:val="768F36B2"/>
    <w:rsid w:val="76A622B6"/>
    <w:rsid w:val="78A13CF9"/>
    <w:rsid w:val="792C3D02"/>
    <w:rsid w:val="7A495727"/>
    <w:rsid w:val="7A880C87"/>
    <w:rsid w:val="7A952665"/>
    <w:rsid w:val="7AFB77FA"/>
    <w:rsid w:val="7AFC51D8"/>
    <w:rsid w:val="7B3926B8"/>
    <w:rsid w:val="7B8D48EC"/>
    <w:rsid w:val="7BA07C27"/>
    <w:rsid w:val="7C38530D"/>
    <w:rsid w:val="7C4C7499"/>
    <w:rsid w:val="7C6B4F43"/>
    <w:rsid w:val="7C9809DF"/>
    <w:rsid w:val="7CD10878"/>
    <w:rsid w:val="7D1629EF"/>
    <w:rsid w:val="7D2E7EB7"/>
    <w:rsid w:val="7D9E733F"/>
    <w:rsid w:val="7E1626EC"/>
    <w:rsid w:val="7E383819"/>
    <w:rsid w:val="7E441A66"/>
    <w:rsid w:val="7E5A355A"/>
    <w:rsid w:val="7EB950F3"/>
    <w:rsid w:val="7F132988"/>
    <w:rsid w:val="7F7B3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5"/>
    <w:semiHidden/>
    <w:unhideWhenUsed/>
    <w:qFormat/>
    <w:uiPriority w:val="99"/>
    <w:pPr>
      <w:jc w:val="left"/>
    </w:pPr>
  </w:style>
  <w:style w:type="paragraph" w:styleId="4">
    <w:name w:val="Date"/>
    <w:basedOn w:val="1"/>
    <w:next w:val="1"/>
    <w:link w:val="28"/>
    <w:semiHidden/>
    <w:unhideWhenUsed/>
    <w:qFormat/>
    <w:uiPriority w:val="99"/>
    <w:pPr>
      <w:ind w:left="100" w:leftChars="2500"/>
    </w:pPr>
  </w:style>
  <w:style w:type="paragraph" w:styleId="5">
    <w:name w:val="Balloon Text"/>
    <w:basedOn w:val="1"/>
    <w:link w:val="27"/>
    <w:semiHidden/>
    <w:unhideWhenUsed/>
    <w:qFormat/>
    <w:uiPriority w:val="99"/>
    <w:rPr>
      <w:sz w:val="18"/>
      <w:szCs w:val="18"/>
    </w:rPr>
  </w:style>
  <w:style w:type="paragraph" w:styleId="6">
    <w:name w:val="footer"/>
    <w:basedOn w:val="1"/>
    <w:link w:val="24"/>
    <w:unhideWhenUsed/>
    <w:qFormat/>
    <w:uiPriority w:val="99"/>
    <w:pPr>
      <w:tabs>
        <w:tab w:val="center" w:pos="4153"/>
        <w:tab w:val="right" w:pos="8306"/>
      </w:tabs>
      <w:snapToGrid w:val="0"/>
      <w:jc w:val="left"/>
    </w:pPr>
    <w:rPr>
      <w:sz w:val="18"/>
      <w:szCs w:val="18"/>
    </w:rPr>
  </w:style>
  <w:style w:type="paragraph" w:styleId="7">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2"/>
    <w:basedOn w:val="1"/>
    <w:next w:val="1"/>
    <w:unhideWhenUsed/>
    <w:qFormat/>
    <w:uiPriority w:val="39"/>
    <w:pPr>
      <w:ind w:left="420" w:leftChars="200"/>
    </w:p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annotation subject"/>
    <w:basedOn w:val="3"/>
    <w:next w:val="3"/>
    <w:link w:val="26"/>
    <w:semiHidden/>
    <w:unhideWhenUsed/>
    <w:qFormat/>
    <w:uiPriority w:val="99"/>
    <w:rPr>
      <w:b/>
      <w:bCs/>
    </w:rPr>
  </w:style>
  <w:style w:type="character" w:styleId="13">
    <w:name w:val="Strong"/>
    <w:basedOn w:val="12"/>
    <w:qFormat/>
    <w:uiPriority w:val="22"/>
    <w:rPr>
      <w:b/>
      <w:bCs/>
    </w:rPr>
  </w:style>
  <w:style w:type="character" w:styleId="14">
    <w:name w:val="FollowedHyperlink"/>
    <w:basedOn w:val="12"/>
    <w:semiHidden/>
    <w:unhideWhenUsed/>
    <w:qFormat/>
    <w:uiPriority w:val="99"/>
    <w:rPr>
      <w:color w:val="333333"/>
      <w:u w:val="none"/>
    </w:rPr>
  </w:style>
  <w:style w:type="character" w:styleId="15">
    <w:name w:val="Emphasis"/>
    <w:basedOn w:val="12"/>
    <w:qFormat/>
    <w:uiPriority w:val="20"/>
    <w:rPr>
      <w:color w:val="D70C19"/>
    </w:rPr>
  </w:style>
  <w:style w:type="character" w:styleId="16">
    <w:name w:val="HTML Definition"/>
    <w:basedOn w:val="12"/>
    <w:semiHidden/>
    <w:unhideWhenUsed/>
    <w:qFormat/>
    <w:uiPriority w:val="99"/>
    <w:rPr>
      <w:i/>
      <w:iCs/>
    </w:rPr>
  </w:style>
  <w:style w:type="character" w:styleId="17">
    <w:name w:val="Hyperlink"/>
    <w:basedOn w:val="12"/>
    <w:unhideWhenUsed/>
    <w:qFormat/>
    <w:uiPriority w:val="99"/>
    <w:rPr>
      <w:color w:val="0000FF" w:themeColor="hyperlink"/>
      <w:u w:val="single"/>
      <w14:textFill>
        <w14:solidFill>
          <w14:schemeClr w14:val="hlink"/>
        </w14:solidFill>
      </w14:textFill>
    </w:rPr>
  </w:style>
  <w:style w:type="character" w:styleId="18">
    <w:name w:val="HTML Code"/>
    <w:basedOn w:val="12"/>
    <w:semiHidden/>
    <w:unhideWhenUsed/>
    <w:qFormat/>
    <w:uiPriority w:val="99"/>
    <w:rPr>
      <w:rFonts w:ascii="monospace" w:hAnsi="monospace" w:eastAsia="monospace" w:cs="monospace"/>
      <w:sz w:val="21"/>
      <w:szCs w:val="21"/>
    </w:rPr>
  </w:style>
  <w:style w:type="character" w:styleId="19">
    <w:name w:val="annotation reference"/>
    <w:basedOn w:val="12"/>
    <w:semiHidden/>
    <w:unhideWhenUsed/>
    <w:qFormat/>
    <w:uiPriority w:val="99"/>
    <w:rPr>
      <w:sz w:val="21"/>
      <w:szCs w:val="21"/>
    </w:rPr>
  </w:style>
  <w:style w:type="character" w:styleId="20">
    <w:name w:val="HTML Keyboard"/>
    <w:basedOn w:val="12"/>
    <w:semiHidden/>
    <w:unhideWhenUsed/>
    <w:qFormat/>
    <w:uiPriority w:val="99"/>
    <w:rPr>
      <w:rFonts w:hint="default" w:ascii="monospace" w:hAnsi="monospace" w:eastAsia="monospace" w:cs="monospace"/>
      <w:sz w:val="21"/>
      <w:szCs w:val="21"/>
    </w:rPr>
  </w:style>
  <w:style w:type="character" w:styleId="21">
    <w:name w:val="HTML Sample"/>
    <w:basedOn w:val="12"/>
    <w:semiHidden/>
    <w:unhideWhenUsed/>
    <w:qFormat/>
    <w:uiPriority w:val="99"/>
    <w:rPr>
      <w:rFonts w:hint="default" w:ascii="monospace" w:hAnsi="monospace" w:eastAsia="monospace" w:cs="monospace"/>
      <w:sz w:val="21"/>
      <w:szCs w:val="21"/>
    </w:rPr>
  </w:style>
  <w:style w:type="character" w:customStyle="1" w:styleId="22">
    <w:name w:val="标题 2 字符"/>
    <w:basedOn w:val="12"/>
    <w:link w:val="2"/>
    <w:qFormat/>
    <w:uiPriority w:val="9"/>
    <w:rPr>
      <w:rFonts w:asciiTheme="majorHAnsi" w:hAnsiTheme="majorHAnsi" w:eastAsiaTheme="majorEastAsia" w:cstheme="majorBidi"/>
      <w:b/>
      <w:bCs/>
      <w:sz w:val="32"/>
      <w:szCs w:val="32"/>
    </w:rPr>
  </w:style>
  <w:style w:type="character" w:customStyle="1" w:styleId="23">
    <w:name w:val="页眉 字符"/>
    <w:basedOn w:val="12"/>
    <w:link w:val="7"/>
    <w:qFormat/>
    <w:uiPriority w:val="99"/>
    <w:rPr>
      <w:sz w:val="18"/>
      <w:szCs w:val="18"/>
    </w:rPr>
  </w:style>
  <w:style w:type="character" w:customStyle="1" w:styleId="24">
    <w:name w:val="页脚 字符"/>
    <w:basedOn w:val="12"/>
    <w:link w:val="6"/>
    <w:qFormat/>
    <w:uiPriority w:val="99"/>
    <w:rPr>
      <w:sz w:val="18"/>
      <w:szCs w:val="18"/>
    </w:rPr>
  </w:style>
  <w:style w:type="character" w:customStyle="1" w:styleId="25">
    <w:name w:val="批注文字 字符"/>
    <w:basedOn w:val="12"/>
    <w:link w:val="3"/>
    <w:semiHidden/>
    <w:qFormat/>
    <w:uiPriority w:val="99"/>
  </w:style>
  <w:style w:type="character" w:customStyle="1" w:styleId="26">
    <w:name w:val="批注主题 字符"/>
    <w:basedOn w:val="25"/>
    <w:link w:val="10"/>
    <w:semiHidden/>
    <w:qFormat/>
    <w:uiPriority w:val="99"/>
    <w:rPr>
      <w:b/>
      <w:bCs/>
    </w:rPr>
  </w:style>
  <w:style w:type="character" w:customStyle="1" w:styleId="27">
    <w:name w:val="批注框文本 字符"/>
    <w:basedOn w:val="12"/>
    <w:link w:val="5"/>
    <w:semiHidden/>
    <w:qFormat/>
    <w:uiPriority w:val="99"/>
    <w:rPr>
      <w:sz w:val="18"/>
      <w:szCs w:val="18"/>
    </w:rPr>
  </w:style>
  <w:style w:type="character" w:customStyle="1" w:styleId="28">
    <w:name w:val="日期 字符"/>
    <w:basedOn w:val="12"/>
    <w:link w:val="4"/>
    <w:semiHidden/>
    <w:qFormat/>
    <w:uiPriority w:val="99"/>
  </w:style>
  <w:style w:type="paragraph" w:customStyle="1" w:styleId="29">
    <w:name w:val="List Paragraph"/>
    <w:basedOn w:val="1"/>
    <w:qFormat/>
    <w:uiPriority w:val="0"/>
    <w:pPr>
      <w:ind w:firstLine="420" w:firstLineChars="200"/>
    </w:pPr>
  </w:style>
  <w:style w:type="character" w:customStyle="1" w:styleId="30">
    <w:name w:val="error"/>
    <w:basedOn w:val="12"/>
    <w:qFormat/>
    <w:uiPriority w:val="0"/>
  </w:style>
  <w:style w:type="character" w:customStyle="1" w:styleId="31">
    <w:name w:val="error1"/>
    <w:basedOn w:val="12"/>
    <w:qFormat/>
    <w:uiPriority w:val="0"/>
  </w:style>
  <w:style w:type="character" w:customStyle="1" w:styleId="32">
    <w:name w:val="error2"/>
    <w:basedOn w:val="12"/>
    <w:qFormat/>
    <w:uiPriority w:val="0"/>
    <w:rPr>
      <w:color w:val="D70C19"/>
      <w:sz w:val="12"/>
      <w:szCs w:val="12"/>
    </w:rPr>
  </w:style>
  <w:style w:type="paragraph" w:customStyle="1" w:styleId="33">
    <w:name w:val="正文文本 21"/>
    <w:basedOn w:val="1"/>
    <w:qFormat/>
    <w:uiPriority w:val="99"/>
    <w:pPr>
      <w:spacing w:line="360" w:lineRule="auto"/>
    </w:pPr>
    <w:rPr>
      <w:sz w:val="24"/>
      <w:szCs w:val="24"/>
    </w:rPr>
  </w:style>
  <w:style w:type="paragraph" w:customStyle="1" w:styleId="34">
    <w:name w:val="正文121"/>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F88FF-16CF-4E57-969A-953575BB8878}">
  <ds:schemaRefs/>
</ds:datastoreItem>
</file>

<file path=docProps/app.xml><?xml version="1.0" encoding="utf-8"?>
<Properties xmlns="http://schemas.openxmlformats.org/officeDocument/2006/extended-properties" xmlns:vt="http://schemas.openxmlformats.org/officeDocument/2006/docPropsVTypes">
  <Template>Normal.dotm</Template>
  <Company>mycompany</Company>
  <Pages>50</Pages>
  <Words>34592</Words>
  <Characters>35876</Characters>
  <Lines>275</Lines>
  <Paragraphs>77</Paragraphs>
  <TotalTime>1</TotalTime>
  <ScaleCrop>false</ScaleCrop>
  <LinksUpToDate>false</LinksUpToDate>
  <CharactersWithSpaces>36106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2022-07-06T07:39:00Z</dcterms:created>
  <dc:creator>BSKMadminDev</dc:creator>
  <cp:lastModifiedBy>liuf0714</cp:lastModifiedBy>
  <cp:lastPrinted>2026-09-16T03:06:00Z</cp:lastPrinted>
  <dcterms:modified xsi:type="dcterms:W3CDTF">2026-09-21T05:50:42Z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7CD710C10A8D488F956272A6323A56F8</vt:lpwstr>
  </property>
</Properties>
</file>