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E76CEE">
      <w:pPr>
        <w:pStyle w:val="31"/>
        <w:rPr>
          <w:rFonts w:hint="eastAsia" w:ascii="宋体" w:hAnsi="宋体" w:eastAsia="宋体"/>
          <w:lang w:eastAsia="zh-CN"/>
        </w:rPr>
      </w:pPr>
      <w:r>
        <w:rPr>
          <w:rFonts w:ascii="宋体" w:hAnsi="宋体" w:eastAsia="宋体"/>
          <w:lang w:eastAsia="zh-CN"/>
        </w:rPr>
        <w:t>博时基金管理有限公司关于博时恒生港股通高股息率交易型开放式指数证券投资基金发起式联接基金变更基金名称及修订基金合同和托管协议的公告</w:t>
      </w:r>
    </w:p>
    <w:p w14:paraId="14EBCA9D">
      <w:pPr>
        <w:ind w:firstLine="440"/>
        <w:rPr>
          <w:lang w:eastAsia="zh-CN"/>
        </w:rPr>
      </w:pPr>
      <w:r>
        <w:rPr>
          <w:rFonts w:cs="Times New Roman"/>
          <w:lang w:eastAsia="zh-CN"/>
        </w:rPr>
        <w:t>根据恒生指数有限公司于2026年8月24日发布的指数通告，自2026年9月14日起，“恒生港股通高股息率指数”将更名为“恒生港股通红利指数”。根据《公开募集证券投资基金信息披露管理办法》等法律法规及本基金基金合同的规定，经与基金托管人中国国际金融股份有限公司协商一致，博时基金管理有限公司（以下简称“基金管理人”）决定自2026年9月14日起，将“博时恒生港股通高股息率交易型开放式指数证券投资基金发起式联接基金”变更为“博时恒生港股通红利交易型开放式指数证券投资基金发起式联接基金”，并对基金合同、托管协议有关条款进行修订。现将相关事项公告如下：</w:t>
      </w:r>
    </w:p>
    <w:p w14:paraId="0D8000D0">
      <w:pPr>
        <w:keepNext/>
        <w:spacing w:before="160" w:after="40"/>
        <w:rPr>
          <w:lang w:eastAsia="zh-CN"/>
        </w:rPr>
      </w:pPr>
      <w:r>
        <w:rPr>
          <w:rFonts w:cs="Times New Roman"/>
          <w:b/>
          <w:lang w:eastAsia="zh-CN"/>
        </w:rPr>
        <w:t>一、基金名称变更</w:t>
      </w:r>
    </w:p>
    <w:p w14:paraId="63A9B934">
      <w:pPr>
        <w:ind w:firstLine="440"/>
        <w:rPr>
          <w:lang w:eastAsia="zh-CN"/>
        </w:rPr>
      </w:pPr>
      <w:r>
        <w:rPr>
          <w:rFonts w:cs="Times New Roman"/>
          <w:lang w:eastAsia="zh-CN"/>
        </w:rPr>
        <w:t>自2026年9月14日起，“博时恒生港股通高股息率交易型开放式指数证券投资基金发起式联接基金”变更为“博时恒生港股通红利交易型开放式指数证券投资基金发起式联接基金”，基金简称由“博时恒生高股息ETF发起式联接”变更为“博时港股红利ETF发起式联接”</w:t>
      </w:r>
      <w:r>
        <w:rPr>
          <w:rFonts w:hint="eastAsia"/>
          <w:lang w:eastAsia="zh-CN"/>
        </w:rPr>
        <w:t xml:space="preserve"> </w:t>
      </w:r>
      <w:r>
        <w:rPr>
          <w:rFonts w:cs="Times New Roman"/>
          <w:lang w:eastAsia="zh-CN"/>
        </w:rPr>
        <w:t>（A类基金简称：博时港股红利ETF发起式联接A</w:t>
      </w:r>
      <w:r>
        <w:rPr>
          <w:rFonts w:hint="eastAsia" w:cs="Times New Roman"/>
          <w:lang w:eastAsia="zh-CN"/>
        </w:rPr>
        <w:t>；</w:t>
      </w:r>
      <w:r>
        <w:rPr>
          <w:rFonts w:cs="Times New Roman"/>
          <w:lang w:eastAsia="zh-CN"/>
        </w:rPr>
        <w:t>C类基金简称：博时港股红利ETF发起式联接C），基金主代码014519（A类：014519，C类：014520）保持不变。本基金目标ETF相应由“博时恒生港股通高股息率交易型开放式指数证券投资基金”更名为“博时恒生港股通红利交易型开放式指数证券投资基金”。</w:t>
      </w:r>
    </w:p>
    <w:p w14:paraId="19A4BAFB">
      <w:pPr>
        <w:keepNext/>
        <w:spacing w:before="160" w:after="40"/>
        <w:rPr>
          <w:lang w:eastAsia="zh-CN"/>
        </w:rPr>
      </w:pPr>
      <w:r>
        <w:rPr>
          <w:rFonts w:cs="Times New Roman"/>
          <w:b/>
          <w:lang w:eastAsia="zh-CN"/>
        </w:rPr>
        <w:t>二、业绩比较基准变更</w:t>
      </w:r>
    </w:p>
    <w:p w14:paraId="0E5EA5F8">
      <w:pPr>
        <w:ind w:firstLine="440"/>
        <w:rPr>
          <w:lang w:eastAsia="zh-CN"/>
        </w:rPr>
      </w:pPr>
      <w:r>
        <w:rPr>
          <w:rFonts w:cs="Times New Roman"/>
          <w:lang w:eastAsia="zh-CN"/>
        </w:rPr>
        <w:t>自2026年9月14日起，本基金的业绩比较基准由“恒生港股通高股息率指数收益率（经估值汇率调整后）×95%+银行活期存款利率（税后）×5%”变更为“恒生港股通红利指数（港元）收益率×95%+活期存款基准利率×5%”。</w:t>
      </w:r>
    </w:p>
    <w:p w14:paraId="5C927636">
      <w:pPr>
        <w:keepNext/>
        <w:spacing w:before="160" w:after="40"/>
        <w:rPr>
          <w:lang w:eastAsia="zh-CN"/>
        </w:rPr>
      </w:pPr>
      <w:r>
        <w:rPr>
          <w:rFonts w:cs="Times New Roman"/>
          <w:b/>
          <w:lang w:eastAsia="zh-CN"/>
        </w:rPr>
        <w:t>三、基金合同和托管协议的修订情况</w:t>
      </w:r>
    </w:p>
    <w:p w14:paraId="0462AE24">
      <w:pPr>
        <w:ind w:firstLine="440"/>
        <w:rPr>
          <w:lang w:eastAsia="zh-CN"/>
        </w:rPr>
      </w:pPr>
      <w:r>
        <w:rPr>
          <w:rFonts w:cs="Times New Roman"/>
          <w:lang w:eastAsia="zh-CN"/>
        </w:rPr>
        <w:t>除上述基金名称、目标ETF名称、标的指数名称及业绩比较基准的相关表述外，本次修订还包括：补充业绩比较基准设定原因、要素基本信息、计算方法、跟踪偏离控制及未来变更程序；更新基金管理人和基金托管人的法定代表人、基金托管人经营范围。具体修订内容见本公告附件。</w:t>
      </w:r>
    </w:p>
    <w:p w14:paraId="66FEAE49">
      <w:pPr>
        <w:ind w:firstLine="440"/>
        <w:rPr>
          <w:rFonts w:cs="Times New Roman"/>
          <w:lang w:eastAsia="zh-CN"/>
        </w:rPr>
      </w:pPr>
      <w:r>
        <w:rPr>
          <w:rFonts w:hint="eastAsia" w:cs="Times New Roman"/>
          <w:lang w:eastAsia="zh-CN"/>
        </w:rPr>
        <w:t>基金合同、托管协议的修订符合相关法律法规的规定，对基金份额持有人利益无实质性不利影响，</w:t>
      </w:r>
      <w:r>
        <w:rPr>
          <w:rFonts w:cs="Times New Roman"/>
          <w:lang w:eastAsia="zh-CN"/>
        </w:rPr>
        <w:t>且基金管理人已履行规定程序。基金管理人将相应更新本基金的招募说明书、基金产品资料概要等法律文件。</w:t>
      </w:r>
    </w:p>
    <w:p w14:paraId="4BDB79C4">
      <w:pPr>
        <w:keepNext/>
        <w:spacing w:before="160" w:after="40"/>
        <w:rPr>
          <w:lang w:eastAsia="zh-CN"/>
        </w:rPr>
      </w:pPr>
      <w:r>
        <w:rPr>
          <w:rFonts w:cs="Times New Roman"/>
          <w:b/>
          <w:lang w:eastAsia="zh-CN"/>
        </w:rPr>
        <w:t>四、修订文件的生效及查阅</w:t>
      </w:r>
    </w:p>
    <w:p w14:paraId="70096BBC">
      <w:pPr>
        <w:ind w:firstLine="440"/>
      </w:pPr>
      <w:r>
        <w:rPr>
          <w:rFonts w:cs="Times New Roman"/>
        </w:rPr>
        <w:t>修订后的基金合同和托管协议自2026年9月14日起生效，并将登载于基金管理人网站（www.bosera.com）及中国证监会基金电子披露网站（http://eid.csrc.gov.cn/fund）。</w:t>
      </w:r>
    </w:p>
    <w:p w14:paraId="7F612E62">
      <w:pPr>
        <w:keepNext/>
        <w:spacing w:before="160" w:after="40"/>
        <w:rPr>
          <w:lang w:eastAsia="zh-CN"/>
        </w:rPr>
      </w:pPr>
      <w:r>
        <w:rPr>
          <w:rFonts w:cs="Times New Roman"/>
          <w:b/>
          <w:lang w:eastAsia="zh-CN"/>
        </w:rPr>
        <w:t>五、重要提示</w:t>
      </w:r>
    </w:p>
    <w:p w14:paraId="26D4CBED">
      <w:pPr>
        <w:ind w:firstLine="720" w:firstLineChars="0"/>
        <w:rPr>
          <w:lang w:eastAsia="zh-CN"/>
        </w:rPr>
      </w:pPr>
      <w:r>
        <w:rPr>
          <w:rFonts w:cs="Times New Roman"/>
          <w:lang w:eastAsia="zh-CN"/>
        </w:rPr>
        <w:t>1、本公告仅对基金变更名称、标的指数名称及修订法律文件等有关事项予以说明。投资者欲了解本基金的详细情况，请认真阅读修订后的基金合同、招募说明书和基金产品资料概要等法律文件。</w:t>
      </w:r>
    </w:p>
    <w:p w14:paraId="5E22B3EC">
      <w:pPr>
        <w:ind w:firstLine="720" w:firstLineChars="0"/>
        <w:rPr>
          <w:lang w:eastAsia="zh-CN"/>
        </w:rPr>
      </w:pPr>
      <w:r>
        <w:rPr>
          <w:rFonts w:cs="Times New Roman"/>
          <w:lang w:eastAsia="zh-CN"/>
        </w:rPr>
        <w:t>2、投资者可通过以下途径咨询有关详情：</w:t>
      </w:r>
    </w:p>
    <w:p w14:paraId="06712AF5">
      <w:pPr>
        <w:ind w:firstLine="720" w:firstLineChars="0"/>
        <w:rPr>
          <w:lang w:eastAsia="zh-CN"/>
        </w:rPr>
      </w:pPr>
      <w:r>
        <w:rPr>
          <w:rFonts w:cs="Times New Roman"/>
          <w:lang w:eastAsia="zh-CN"/>
        </w:rPr>
        <w:t>（1）本公司客户服务电话：95105568（全国免长途话费）；</w:t>
      </w:r>
    </w:p>
    <w:p w14:paraId="3F47E199">
      <w:pPr>
        <w:ind w:firstLine="720" w:firstLineChars="0"/>
      </w:pPr>
      <w:r>
        <w:rPr>
          <w:rFonts w:cs="Times New Roman"/>
        </w:rPr>
        <w:t>（2）本公司网址：www.bosera.com。</w:t>
      </w:r>
    </w:p>
    <w:p w14:paraId="3510636F">
      <w:pPr>
        <w:ind w:firstLine="720" w:firstLineChars="0"/>
        <w:rPr>
          <w:rFonts w:hint="eastAsia" w:cs="Times New Roman"/>
          <w:lang w:eastAsia="zh-CN"/>
        </w:rPr>
      </w:pPr>
      <w:r>
        <w:rPr>
          <w:rFonts w:cs="Times New Roman"/>
          <w:lang w:eastAsia="zh-CN"/>
        </w:rPr>
        <w:t>3、风险提示：基金管理人承诺以诚实信用、勤勉尽责的原则管理和运用基金资产，但不保证基金一定盈利，也不保证最低收益。销售机构根据法规要求对投资者类别、风险承受能力和基金的风险等级进行划分，并提出适当性匹配意见。投资者在投资基金前应认真阅读基金合同、招募说明书和基金产品资料概要等基金法律文件，全面认识基金产品的风险收益特征，在了解产品情况及销售机构适当性意见的基础上，根据自身的风险承受能力、投资期限和投资目标，对基金投资作出独立决策，选择合适的基金产品。</w:t>
      </w:r>
    </w:p>
    <w:p w14:paraId="220E18FB">
      <w:pPr>
        <w:spacing w:before="280"/>
        <w:rPr>
          <w:rFonts w:cs="Times New Roman"/>
          <w:lang w:eastAsia="zh-CN"/>
        </w:rPr>
      </w:pPr>
      <w:r>
        <w:rPr>
          <w:rFonts w:cs="Times New Roman"/>
          <w:lang w:eastAsia="zh-CN"/>
        </w:rPr>
        <w:t>特此公告。</w:t>
      </w:r>
    </w:p>
    <w:p w14:paraId="2C8DA011">
      <w:pPr>
        <w:spacing w:before="280"/>
        <w:rPr>
          <w:rFonts w:cs="Times New Roman"/>
          <w:lang w:eastAsia="zh-CN"/>
        </w:rPr>
      </w:pPr>
    </w:p>
    <w:p w14:paraId="5184ABE2">
      <w:pPr>
        <w:spacing w:before="280"/>
        <w:rPr>
          <w:lang w:eastAsia="zh-CN"/>
        </w:rPr>
      </w:pPr>
    </w:p>
    <w:p w14:paraId="358B5B84">
      <w:pPr>
        <w:spacing w:before="280"/>
        <w:rPr>
          <w:rFonts w:hint="eastAsia"/>
          <w:lang w:eastAsia="zh-CN"/>
        </w:rPr>
      </w:pPr>
    </w:p>
    <w:p w14:paraId="15886B29">
      <w:pPr>
        <w:spacing w:before="360"/>
        <w:ind w:right="200"/>
        <w:jc w:val="right"/>
        <w:rPr>
          <w:lang w:eastAsia="zh-CN"/>
        </w:rPr>
      </w:pPr>
      <w:r>
        <w:rPr>
          <w:rFonts w:cs="Times New Roman"/>
          <w:lang w:eastAsia="zh-CN"/>
        </w:rPr>
        <w:t>博时基金管理有限公司</w:t>
      </w:r>
    </w:p>
    <w:p w14:paraId="33EAB3C5">
      <w:pPr>
        <w:ind w:right="200"/>
        <w:jc w:val="right"/>
        <w:rPr>
          <w:lang w:eastAsia="zh-CN"/>
        </w:rPr>
        <w:sectPr>
          <w:footerReference r:id="rId5" w:type="default"/>
          <w:pgSz w:w="11906" w:h="16838"/>
          <w:pgMar w:top="1440" w:right="1800" w:bottom="1440" w:left="1800" w:header="864" w:footer="792" w:gutter="0"/>
          <w:cols w:space="720" w:num="1"/>
          <w:docGrid w:linePitch="360" w:charSpace="0"/>
        </w:sectPr>
      </w:pPr>
      <w:r>
        <w:rPr>
          <w:rFonts w:cs="Times New Roman"/>
          <w:lang w:eastAsia="zh-CN"/>
        </w:rPr>
        <w:t>2026年9月</w:t>
      </w:r>
      <w:r>
        <w:rPr>
          <w:rFonts w:hint="eastAsia" w:cs="Times New Roman"/>
          <w:lang w:eastAsia="zh-CN"/>
        </w:rPr>
        <w:t>1</w:t>
      </w:r>
      <w:r>
        <w:rPr>
          <w:rFonts w:hint="eastAsia" w:cs="Times New Roman"/>
          <w:lang w:val="en-US" w:eastAsia="zh-CN"/>
        </w:rPr>
        <w:t>1</w:t>
      </w:r>
      <w:r>
        <w:rPr>
          <w:rFonts w:cs="Times New Roman"/>
          <w:lang w:eastAsia="zh-CN"/>
        </w:rPr>
        <w:t>日</w:t>
      </w:r>
    </w:p>
    <w:p w14:paraId="216EC36F">
      <w:pPr>
        <w:spacing w:after="160"/>
        <w:jc w:val="both"/>
        <w:rPr>
          <w:rFonts w:hint="eastAsia"/>
          <w:lang w:eastAsia="zh-CN"/>
        </w:rPr>
      </w:pPr>
      <w:r>
        <w:rPr>
          <w:b/>
          <w:sz w:val="30"/>
          <w:lang w:eastAsia="zh-CN"/>
        </w:rPr>
        <w:t>附件：基金合同、托管协议修改对照表</w:t>
      </w:r>
    </w:p>
    <w:p w14:paraId="2FCD5033">
      <w:pPr>
        <w:spacing w:before="80" w:after="80"/>
        <w:rPr>
          <w:rFonts w:hint="eastAsia"/>
        </w:rPr>
      </w:pPr>
      <w:r>
        <w:rPr>
          <w:b/>
          <w:sz w:val="22"/>
        </w:rPr>
        <w:t>1、基金合同</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4195"/>
        <w:gridCol w:w="4195"/>
      </w:tblGrid>
      <w:tr w14:paraId="34568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275" w:type="dxa"/>
            <w:shd w:val="clear" w:color="auto" w:fill="E7E6E6"/>
            <w:tcMar>
              <w:top w:w="70" w:type="dxa"/>
              <w:left w:w="80" w:type="dxa"/>
              <w:bottom w:w="70" w:type="dxa"/>
              <w:right w:w="80" w:type="dxa"/>
            </w:tcMar>
            <w:vAlign w:val="center"/>
          </w:tcPr>
          <w:p w14:paraId="629A3F63">
            <w:pPr>
              <w:spacing w:after="0" w:line="240" w:lineRule="auto"/>
              <w:jc w:val="center"/>
              <w:rPr>
                <w:rFonts w:hint="eastAsia"/>
              </w:rPr>
            </w:pPr>
            <w:r>
              <w:rPr>
                <w:b/>
                <w:sz w:val="20"/>
              </w:rPr>
              <w:t>章节</w:t>
            </w:r>
          </w:p>
        </w:tc>
        <w:tc>
          <w:tcPr>
            <w:tcW w:w="4195" w:type="dxa"/>
            <w:shd w:val="clear" w:color="auto" w:fill="E7E6E6"/>
            <w:tcMar>
              <w:top w:w="70" w:type="dxa"/>
              <w:left w:w="80" w:type="dxa"/>
              <w:bottom w:w="70" w:type="dxa"/>
              <w:right w:w="80" w:type="dxa"/>
            </w:tcMar>
            <w:vAlign w:val="center"/>
          </w:tcPr>
          <w:p w14:paraId="506C60E6">
            <w:pPr>
              <w:spacing w:after="0" w:line="240" w:lineRule="auto"/>
              <w:jc w:val="center"/>
              <w:rPr>
                <w:rFonts w:hint="eastAsia"/>
              </w:rPr>
            </w:pPr>
            <w:r>
              <w:rPr>
                <w:b/>
                <w:sz w:val="20"/>
              </w:rPr>
              <w:t>修订前</w:t>
            </w:r>
          </w:p>
        </w:tc>
        <w:tc>
          <w:tcPr>
            <w:tcW w:w="4195" w:type="dxa"/>
            <w:shd w:val="clear" w:color="auto" w:fill="E7E6E6"/>
            <w:tcMar>
              <w:top w:w="70" w:type="dxa"/>
              <w:left w:w="80" w:type="dxa"/>
              <w:bottom w:w="70" w:type="dxa"/>
              <w:right w:w="80" w:type="dxa"/>
            </w:tcMar>
            <w:vAlign w:val="center"/>
          </w:tcPr>
          <w:p w14:paraId="1C4522F3">
            <w:pPr>
              <w:spacing w:after="0" w:line="240" w:lineRule="auto"/>
              <w:jc w:val="center"/>
              <w:rPr>
                <w:rFonts w:hint="eastAsia"/>
              </w:rPr>
            </w:pPr>
            <w:r>
              <w:rPr>
                <w:b/>
                <w:sz w:val="20"/>
              </w:rPr>
              <w:t>修订后</w:t>
            </w:r>
          </w:p>
        </w:tc>
      </w:tr>
      <w:tr w14:paraId="114FB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04AD6241">
            <w:pPr>
              <w:spacing w:after="0" w:line="240" w:lineRule="auto"/>
              <w:jc w:val="center"/>
              <w:rPr>
                <w:rFonts w:hint="eastAsia"/>
              </w:rPr>
            </w:pPr>
            <w:r>
              <w:rPr>
                <w:b/>
              </w:rPr>
              <w:t>第一部分 前言</w:t>
            </w:r>
          </w:p>
        </w:tc>
        <w:tc>
          <w:tcPr>
            <w:tcW w:w="4195" w:type="dxa"/>
            <w:tcMar>
              <w:top w:w="70" w:type="dxa"/>
              <w:left w:w="80" w:type="dxa"/>
              <w:bottom w:w="70" w:type="dxa"/>
              <w:right w:w="80" w:type="dxa"/>
            </w:tcMar>
          </w:tcPr>
          <w:p w14:paraId="2C7FB9DD">
            <w:pPr>
              <w:spacing w:after="60" w:line="264" w:lineRule="auto"/>
              <w:rPr>
                <w:rFonts w:hint="eastAsia"/>
                <w:lang w:eastAsia="zh-CN"/>
              </w:rPr>
            </w:pPr>
            <w:r>
              <w:rPr>
                <w:lang w:eastAsia="zh-CN"/>
              </w:rPr>
              <w:t>三、博时恒生港股通高股息率交易型开放式指数证券投资基金发起式联接基金（以下简称“基金”或“本基金”）由基金管理人依照《基金法》、基金合同及其他有关规定募集，并经中国证券监督管理委员会(以下简称“中国证监会”)注册。</w:t>
            </w:r>
          </w:p>
        </w:tc>
        <w:tc>
          <w:tcPr>
            <w:tcW w:w="4195" w:type="dxa"/>
            <w:tcMar>
              <w:top w:w="70" w:type="dxa"/>
              <w:left w:w="80" w:type="dxa"/>
              <w:bottom w:w="70" w:type="dxa"/>
              <w:right w:w="80" w:type="dxa"/>
            </w:tcMar>
          </w:tcPr>
          <w:p w14:paraId="3877DE21">
            <w:pPr>
              <w:spacing w:after="60" w:line="264" w:lineRule="auto"/>
              <w:rPr>
                <w:rFonts w:hint="eastAsia"/>
                <w:lang w:eastAsia="zh-CN"/>
              </w:rPr>
            </w:pPr>
            <w:r>
              <w:rPr>
                <w:lang w:eastAsia="zh-CN"/>
              </w:rPr>
              <w:t>三、</w:t>
            </w:r>
            <w:r>
              <w:rPr>
                <w:b/>
                <w:lang w:eastAsia="zh-CN"/>
              </w:rPr>
              <w:t>博时恒生港股通红利交易型开放式指数证券投资基金发起式联接基金由博时恒生港股通高股息率交易型开放式指数证券投资基金发起式联接基金更名而来。</w:t>
            </w:r>
            <w:r>
              <w:rPr>
                <w:lang w:eastAsia="zh-CN"/>
              </w:rPr>
              <w:t>博时恒生港股通高股息率交易型开放式指数证券投资基金发起式联接基金（以下简称“基金”或“本基金”）由基金管理人依照《基金法》、基金合同及其他有关规定募集，并经中国证券监督管理委员会(以下简称“中国证监会”)注册。</w:t>
            </w:r>
          </w:p>
        </w:tc>
      </w:tr>
      <w:tr w14:paraId="3C4EF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1D2E5A1C">
            <w:pPr>
              <w:spacing w:after="0" w:line="240" w:lineRule="auto"/>
              <w:jc w:val="center"/>
              <w:rPr>
                <w:rFonts w:hint="eastAsia"/>
              </w:rPr>
            </w:pPr>
            <w:r>
              <w:rPr>
                <w:b/>
              </w:rPr>
              <w:t>第二部分 释义</w:t>
            </w:r>
          </w:p>
        </w:tc>
        <w:tc>
          <w:tcPr>
            <w:tcW w:w="4195" w:type="dxa"/>
            <w:tcMar>
              <w:top w:w="70" w:type="dxa"/>
              <w:left w:w="80" w:type="dxa"/>
              <w:bottom w:w="70" w:type="dxa"/>
              <w:right w:w="80" w:type="dxa"/>
            </w:tcMar>
          </w:tcPr>
          <w:p w14:paraId="3E9EE6A7">
            <w:pPr>
              <w:spacing w:after="60" w:line="264" w:lineRule="auto"/>
              <w:rPr>
                <w:rFonts w:hint="eastAsia"/>
                <w:lang w:eastAsia="zh-CN"/>
              </w:rPr>
            </w:pPr>
            <w:r>
              <w:rPr>
                <w:lang w:eastAsia="zh-CN"/>
              </w:rPr>
              <w:t>1.基金或本基金：指博时</w:t>
            </w:r>
            <w:r>
              <w:rPr>
                <w:strike/>
                <w:lang w:eastAsia="zh-CN"/>
              </w:rPr>
              <w:t>恒生港股通高股息率</w:t>
            </w:r>
            <w:r>
              <w:rPr>
                <w:lang w:eastAsia="zh-CN"/>
              </w:rPr>
              <w:t>交易型开放式指数证券投资基金发起式联接基金</w:t>
            </w:r>
          </w:p>
          <w:p w14:paraId="7A2ABFDC">
            <w:pPr>
              <w:spacing w:after="60" w:line="264" w:lineRule="auto"/>
              <w:rPr>
                <w:rFonts w:hint="eastAsia"/>
                <w:lang w:eastAsia="zh-CN"/>
              </w:rPr>
            </w:pPr>
            <w:r>
              <w:rPr>
                <w:lang w:eastAsia="zh-CN"/>
              </w:rPr>
              <w:t>4.基金合同或本基金合同：指《博时</w:t>
            </w:r>
            <w:r>
              <w:rPr>
                <w:strike/>
                <w:lang w:eastAsia="zh-CN"/>
              </w:rPr>
              <w:t>恒生港股通高股息率</w:t>
            </w:r>
            <w:r>
              <w:rPr>
                <w:lang w:eastAsia="zh-CN"/>
              </w:rPr>
              <w:t>交易型开放式指数证券投资基金发起式联接基金基金合同》及对本基金合同的任何有效修订和补充</w:t>
            </w:r>
          </w:p>
          <w:p w14:paraId="7EBB7A7E">
            <w:pPr>
              <w:spacing w:after="60" w:line="264" w:lineRule="auto"/>
              <w:rPr>
                <w:rFonts w:hint="eastAsia"/>
                <w:lang w:eastAsia="zh-CN"/>
              </w:rPr>
            </w:pPr>
            <w:r>
              <w:rPr>
                <w:lang w:eastAsia="zh-CN"/>
              </w:rPr>
              <w:t>5.托管协议：指基金管理人与基金托管人就本基金签订之《博时</w:t>
            </w:r>
            <w:r>
              <w:rPr>
                <w:strike/>
                <w:lang w:eastAsia="zh-CN"/>
              </w:rPr>
              <w:t>恒生港股通高股息率</w:t>
            </w:r>
            <w:r>
              <w:rPr>
                <w:lang w:eastAsia="zh-CN"/>
              </w:rPr>
              <w:t>交易型开放式指数证券投资基金发起式联接基金托管协议》及对该托管协议的任何有效修订和补充</w:t>
            </w:r>
          </w:p>
          <w:p w14:paraId="16FB7D6E">
            <w:pPr>
              <w:spacing w:after="60" w:line="264" w:lineRule="auto"/>
              <w:rPr>
                <w:rFonts w:hint="eastAsia"/>
                <w:lang w:eastAsia="zh-CN"/>
              </w:rPr>
            </w:pPr>
            <w:r>
              <w:rPr>
                <w:lang w:eastAsia="zh-CN"/>
              </w:rPr>
              <w:t>6.招募说明书：指《博时</w:t>
            </w:r>
            <w:r>
              <w:rPr>
                <w:strike/>
                <w:lang w:eastAsia="zh-CN"/>
              </w:rPr>
              <w:t>恒生港股通高股息率</w:t>
            </w:r>
            <w:r>
              <w:rPr>
                <w:lang w:eastAsia="zh-CN"/>
              </w:rPr>
              <w:t>交易型开放式指数证券投资基金发起式联接基金招募说明书》及其更新</w:t>
            </w:r>
          </w:p>
          <w:p w14:paraId="5799846F">
            <w:pPr>
              <w:spacing w:after="60" w:line="264" w:lineRule="auto"/>
              <w:rPr>
                <w:rFonts w:hint="eastAsia"/>
                <w:lang w:eastAsia="zh-CN"/>
              </w:rPr>
            </w:pPr>
            <w:r>
              <w:rPr>
                <w:lang w:eastAsia="zh-CN"/>
              </w:rPr>
              <w:t>7、基金产品资料概要：指《博时</w:t>
            </w:r>
            <w:r>
              <w:rPr>
                <w:strike/>
                <w:lang w:eastAsia="zh-CN"/>
              </w:rPr>
              <w:t>恒生港股通高股息率</w:t>
            </w:r>
            <w:r>
              <w:rPr>
                <w:lang w:eastAsia="zh-CN"/>
              </w:rPr>
              <w:t>交易型开放式指数证券投资基金发起式联接基金基金产品资料概要》及其更新</w:t>
            </w:r>
          </w:p>
          <w:p w14:paraId="79197F4D">
            <w:pPr>
              <w:spacing w:after="60" w:line="264" w:lineRule="auto"/>
              <w:rPr>
                <w:rFonts w:hint="eastAsia"/>
                <w:lang w:eastAsia="zh-CN"/>
              </w:rPr>
            </w:pPr>
            <w:r>
              <w:rPr>
                <w:lang w:eastAsia="zh-CN"/>
              </w:rPr>
              <w:t>57.标的指数：指恒生指数有限公司编制并发布的</w:t>
            </w:r>
            <w:r>
              <w:rPr>
                <w:strike/>
                <w:lang w:eastAsia="zh-CN"/>
              </w:rPr>
              <w:t>恒生港股通高股息率</w:t>
            </w:r>
            <w:r>
              <w:rPr>
                <w:lang w:eastAsia="zh-CN"/>
              </w:rPr>
              <w:t>指数及其未来可能发生的变更</w:t>
            </w:r>
          </w:p>
          <w:p w14:paraId="58A53EB3">
            <w:pPr>
              <w:spacing w:after="60" w:line="264" w:lineRule="auto"/>
              <w:rPr>
                <w:rFonts w:hint="eastAsia"/>
                <w:lang w:eastAsia="zh-CN"/>
              </w:rPr>
            </w:pPr>
            <w:r>
              <w:rPr>
                <w:lang w:eastAsia="zh-CN"/>
              </w:rPr>
              <w:t>58.联接基金：指本基金，即将绝大部分基金财产投资于博时</w:t>
            </w:r>
            <w:r>
              <w:rPr>
                <w:strike/>
                <w:lang w:eastAsia="zh-CN"/>
              </w:rPr>
              <w:t>恒生港股通高股息率</w:t>
            </w:r>
            <w:r>
              <w:rPr>
                <w:lang w:eastAsia="zh-CN"/>
              </w:rPr>
              <w:t>交易型开放式指数证券投资基金（目标ETF），紧密跟踪标的指数表现，追求跟踪偏离度和跟踪误差最小化，采用开放式运作方式的基金</w:t>
            </w:r>
          </w:p>
          <w:p w14:paraId="01BF53C2">
            <w:pPr>
              <w:spacing w:after="60" w:line="264" w:lineRule="auto"/>
              <w:rPr>
                <w:rFonts w:hint="eastAsia"/>
                <w:lang w:eastAsia="zh-CN"/>
              </w:rPr>
            </w:pPr>
            <w:r>
              <w:rPr>
                <w:lang w:eastAsia="zh-CN"/>
              </w:rPr>
              <w:t>59.目标ETF：博时</w:t>
            </w:r>
            <w:r>
              <w:rPr>
                <w:strike/>
                <w:lang w:eastAsia="zh-CN"/>
              </w:rPr>
              <w:t>恒生港股通高股息率</w:t>
            </w:r>
            <w:r>
              <w:rPr>
                <w:lang w:eastAsia="zh-CN"/>
              </w:rPr>
              <w:t>交易型开放式指数证券投资基金</w:t>
            </w:r>
          </w:p>
        </w:tc>
        <w:tc>
          <w:tcPr>
            <w:tcW w:w="4195" w:type="dxa"/>
            <w:tcMar>
              <w:top w:w="70" w:type="dxa"/>
              <w:left w:w="80" w:type="dxa"/>
              <w:bottom w:w="70" w:type="dxa"/>
              <w:right w:w="80" w:type="dxa"/>
            </w:tcMar>
          </w:tcPr>
          <w:p w14:paraId="056C1854">
            <w:pPr>
              <w:spacing w:after="60" w:line="264" w:lineRule="auto"/>
              <w:rPr>
                <w:rFonts w:hint="eastAsia"/>
                <w:lang w:eastAsia="zh-CN"/>
              </w:rPr>
            </w:pPr>
            <w:r>
              <w:rPr>
                <w:lang w:eastAsia="zh-CN"/>
              </w:rPr>
              <w:t>1.基金或本基金：指博时</w:t>
            </w:r>
            <w:r>
              <w:rPr>
                <w:b/>
                <w:lang w:eastAsia="zh-CN"/>
              </w:rPr>
              <w:t>恒生港股通红利</w:t>
            </w:r>
            <w:r>
              <w:rPr>
                <w:lang w:eastAsia="zh-CN"/>
              </w:rPr>
              <w:t>交易型开放式指数证券投资基金发起式联接基金</w:t>
            </w:r>
            <w:r>
              <w:rPr>
                <w:b/>
                <w:lang w:eastAsia="zh-CN"/>
              </w:rPr>
              <w:t>，博时恒生港股通红利交易型开放式指数证券投资基金发起式联接基金由博时恒生港股通高股息率交易型开放式指数证券投资基金发起式联接基金更名而来</w:t>
            </w:r>
          </w:p>
          <w:p w14:paraId="38D6EA8D">
            <w:pPr>
              <w:spacing w:after="60" w:line="264" w:lineRule="auto"/>
              <w:rPr>
                <w:rFonts w:hint="eastAsia"/>
                <w:lang w:eastAsia="zh-CN"/>
              </w:rPr>
            </w:pPr>
            <w:r>
              <w:rPr>
                <w:lang w:eastAsia="zh-CN"/>
              </w:rPr>
              <w:t>4.基金合同或本基金合同：指《博时</w:t>
            </w:r>
            <w:r>
              <w:rPr>
                <w:b/>
                <w:lang w:eastAsia="zh-CN"/>
              </w:rPr>
              <w:t>恒生港股通红利</w:t>
            </w:r>
            <w:r>
              <w:rPr>
                <w:lang w:eastAsia="zh-CN"/>
              </w:rPr>
              <w:t>交易型开放式指数证券投资基金发起式联接基金基金合同》及对本基金合同的任何有效修订和补充</w:t>
            </w:r>
            <w:r>
              <w:rPr>
                <w:b/>
                <w:lang w:eastAsia="zh-CN"/>
              </w:rPr>
              <w:t>，本基金合同由《博时恒生港股通高股息率交易型开放式指数证券投资基金发起式联接基金基金合同》修订而来</w:t>
            </w:r>
          </w:p>
          <w:p w14:paraId="1C19873B">
            <w:pPr>
              <w:spacing w:after="60" w:line="264" w:lineRule="auto"/>
              <w:rPr>
                <w:rFonts w:hint="eastAsia"/>
                <w:lang w:eastAsia="zh-CN"/>
              </w:rPr>
            </w:pPr>
            <w:r>
              <w:rPr>
                <w:lang w:eastAsia="zh-CN"/>
              </w:rPr>
              <w:t>5.托管协议：指基金管理人与基金托管人就本基金签订之《博时</w:t>
            </w:r>
            <w:r>
              <w:rPr>
                <w:b/>
                <w:lang w:eastAsia="zh-CN"/>
              </w:rPr>
              <w:t>恒生港股通红利</w:t>
            </w:r>
            <w:r>
              <w:rPr>
                <w:lang w:eastAsia="zh-CN"/>
              </w:rPr>
              <w:t>交易型开放式指数证券投资基金发起式联接基金托管协议》及对该托管协议的任何有效修订和补充</w:t>
            </w:r>
            <w:r>
              <w:rPr>
                <w:b/>
                <w:lang w:eastAsia="zh-CN"/>
              </w:rPr>
              <w:t>，该托管协议由《博时恒生港股通高股息率交易型开放式指数证券投资基金发起式联接基金托管协议》修订而来</w:t>
            </w:r>
          </w:p>
          <w:p w14:paraId="652281FC">
            <w:pPr>
              <w:spacing w:after="60" w:line="264" w:lineRule="auto"/>
              <w:rPr>
                <w:rFonts w:hint="eastAsia"/>
                <w:lang w:eastAsia="zh-CN"/>
              </w:rPr>
            </w:pPr>
            <w:r>
              <w:rPr>
                <w:lang w:eastAsia="zh-CN"/>
              </w:rPr>
              <w:t>6.招募说明书：指《博时</w:t>
            </w:r>
            <w:r>
              <w:rPr>
                <w:b/>
                <w:lang w:eastAsia="zh-CN"/>
              </w:rPr>
              <w:t>恒生港股通红利</w:t>
            </w:r>
            <w:r>
              <w:rPr>
                <w:lang w:eastAsia="zh-CN"/>
              </w:rPr>
              <w:t>交易型开放式指数证券投资基金发起式联接基金招募说明书》及其更新</w:t>
            </w:r>
          </w:p>
          <w:p w14:paraId="335E49DD">
            <w:pPr>
              <w:spacing w:after="60" w:line="264" w:lineRule="auto"/>
              <w:rPr>
                <w:rFonts w:hint="eastAsia"/>
                <w:lang w:eastAsia="zh-CN"/>
              </w:rPr>
            </w:pPr>
            <w:r>
              <w:rPr>
                <w:lang w:eastAsia="zh-CN"/>
              </w:rPr>
              <w:t>7、基金产品资料概要：指《博时</w:t>
            </w:r>
            <w:r>
              <w:rPr>
                <w:b/>
                <w:lang w:eastAsia="zh-CN"/>
              </w:rPr>
              <w:t>恒生港股通红利</w:t>
            </w:r>
            <w:r>
              <w:rPr>
                <w:lang w:eastAsia="zh-CN"/>
              </w:rPr>
              <w:t>交易型开放式指数证券投资基金发起式联接基金基金产品资料概要》及其更新</w:t>
            </w:r>
          </w:p>
          <w:p w14:paraId="3C0B4B42">
            <w:pPr>
              <w:spacing w:after="60" w:line="264" w:lineRule="auto"/>
              <w:rPr>
                <w:rFonts w:hint="eastAsia"/>
                <w:lang w:eastAsia="zh-CN"/>
              </w:rPr>
            </w:pPr>
            <w:r>
              <w:rPr>
                <w:lang w:eastAsia="zh-CN"/>
              </w:rPr>
              <w:t>57.标的指数：指恒生指数有限公司编制并发布的</w:t>
            </w:r>
            <w:r>
              <w:rPr>
                <w:b/>
                <w:lang w:eastAsia="zh-CN"/>
              </w:rPr>
              <w:t>恒生港股通红利</w:t>
            </w:r>
            <w:r>
              <w:rPr>
                <w:lang w:eastAsia="zh-CN"/>
              </w:rPr>
              <w:t>指数及其未来可能发生的变更</w:t>
            </w:r>
          </w:p>
          <w:p w14:paraId="64F0B955">
            <w:pPr>
              <w:spacing w:after="60" w:line="264" w:lineRule="auto"/>
              <w:rPr>
                <w:rFonts w:hint="eastAsia"/>
                <w:lang w:eastAsia="zh-CN"/>
              </w:rPr>
            </w:pPr>
            <w:r>
              <w:rPr>
                <w:lang w:eastAsia="zh-CN"/>
              </w:rPr>
              <w:t>58.联接基金：指本基金，即将绝大部分基金财产投资于博时</w:t>
            </w:r>
            <w:r>
              <w:rPr>
                <w:b/>
                <w:lang w:eastAsia="zh-CN"/>
              </w:rPr>
              <w:t>恒生港股通红利</w:t>
            </w:r>
            <w:r>
              <w:rPr>
                <w:lang w:eastAsia="zh-CN"/>
              </w:rPr>
              <w:t>交易型开放式指数证券投资基金（目标ETF），紧密跟踪标的指数表现，追求跟踪偏离度和跟踪误差最小化，采用开放式运作方式的基金</w:t>
            </w:r>
          </w:p>
          <w:p w14:paraId="4C24BBBB">
            <w:pPr>
              <w:spacing w:after="60" w:line="264" w:lineRule="auto"/>
              <w:rPr>
                <w:rFonts w:hint="eastAsia"/>
                <w:lang w:eastAsia="zh-CN"/>
              </w:rPr>
            </w:pPr>
            <w:r>
              <w:rPr>
                <w:lang w:eastAsia="zh-CN"/>
              </w:rPr>
              <w:t>59.目标ETF：博时</w:t>
            </w:r>
            <w:r>
              <w:rPr>
                <w:b/>
                <w:lang w:eastAsia="zh-CN"/>
              </w:rPr>
              <w:t>恒生港股通红利</w:t>
            </w:r>
            <w:r>
              <w:rPr>
                <w:lang w:eastAsia="zh-CN"/>
              </w:rPr>
              <w:t>交易型开放式指数证券投资基金</w:t>
            </w:r>
          </w:p>
        </w:tc>
      </w:tr>
      <w:tr w14:paraId="58AC8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59373024">
            <w:pPr>
              <w:spacing w:after="0" w:line="240" w:lineRule="auto"/>
              <w:jc w:val="center"/>
              <w:rPr>
                <w:rFonts w:hint="eastAsia"/>
                <w:lang w:eastAsia="zh-CN"/>
              </w:rPr>
            </w:pPr>
            <w:r>
              <w:rPr>
                <w:b/>
                <w:lang w:eastAsia="zh-CN"/>
              </w:rPr>
              <w:t>第三部分 基金的基本情况</w:t>
            </w:r>
          </w:p>
        </w:tc>
        <w:tc>
          <w:tcPr>
            <w:tcW w:w="4195" w:type="dxa"/>
            <w:tcMar>
              <w:top w:w="70" w:type="dxa"/>
              <w:left w:w="80" w:type="dxa"/>
              <w:bottom w:w="70" w:type="dxa"/>
              <w:right w:w="80" w:type="dxa"/>
            </w:tcMar>
          </w:tcPr>
          <w:p w14:paraId="1AA36742">
            <w:pPr>
              <w:spacing w:after="40" w:line="264" w:lineRule="auto"/>
              <w:rPr>
                <w:rFonts w:hint="eastAsia"/>
                <w:lang w:eastAsia="zh-CN"/>
              </w:rPr>
            </w:pPr>
            <w:r>
              <w:rPr>
                <w:lang w:eastAsia="zh-CN"/>
              </w:rPr>
              <w:t>一、基金的名称</w:t>
            </w:r>
          </w:p>
          <w:p w14:paraId="2D8B7237">
            <w:pPr>
              <w:spacing w:after="60" w:line="264" w:lineRule="auto"/>
              <w:rPr>
                <w:rFonts w:hint="eastAsia"/>
                <w:lang w:eastAsia="zh-CN"/>
              </w:rPr>
            </w:pPr>
            <w:r>
              <w:rPr>
                <w:lang w:eastAsia="zh-CN"/>
              </w:rPr>
              <w:t>博时</w:t>
            </w:r>
            <w:r>
              <w:rPr>
                <w:strike/>
                <w:lang w:eastAsia="zh-CN"/>
              </w:rPr>
              <w:t>恒生港股通高股息率</w:t>
            </w:r>
            <w:r>
              <w:rPr>
                <w:lang w:eastAsia="zh-CN"/>
              </w:rPr>
              <w:t>交易型开放式指数证券投资基金发起式联接基金</w:t>
            </w:r>
          </w:p>
          <w:p w14:paraId="2ED56E9F">
            <w:pPr>
              <w:spacing w:after="40" w:line="264" w:lineRule="auto"/>
              <w:rPr>
                <w:rFonts w:hint="eastAsia"/>
                <w:lang w:eastAsia="zh-CN"/>
              </w:rPr>
            </w:pPr>
            <w:r>
              <w:rPr>
                <w:lang w:eastAsia="zh-CN"/>
              </w:rPr>
              <w:t>五、基金的投资目标</w:t>
            </w:r>
          </w:p>
          <w:p w14:paraId="40174367">
            <w:pPr>
              <w:spacing w:after="60" w:line="264" w:lineRule="auto"/>
              <w:rPr>
                <w:rFonts w:hint="eastAsia"/>
                <w:lang w:eastAsia="zh-CN"/>
              </w:rPr>
            </w:pPr>
            <w:r>
              <w:rPr>
                <w:lang w:eastAsia="zh-CN"/>
              </w:rPr>
              <w:t>通过主要投资于目标ETF，紧密跟踪标的指数即</w:t>
            </w:r>
            <w:r>
              <w:rPr>
                <w:strike/>
                <w:lang w:eastAsia="zh-CN"/>
              </w:rPr>
              <w:t>恒生港股通高股息率</w:t>
            </w:r>
            <w:r>
              <w:rPr>
                <w:lang w:eastAsia="zh-CN"/>
              </w:rPr>
              <w:t>指数的表现，追求跟踪偏离度和跟踪误差的最小化。</w:t>
            </w:r>
          </w:p>
          <w:p w14:paraId="40F6E468">
            <w:pPr>
              <w:spacing w:after="40" w:line="264" w:lineRule="auto"/>
              <w:rPr>
                <w:rFonts w:hint="eastAsia"/>
                <w:lang w:eastAsia="zh-CN"/>
              </w:rPr>
            </w:pPr>
            <w:r>
              <w:rPr>
                <w:lang w:eastAsia="zh-CN"/>
              </w:rPr>
              <w:t>九、基金的标的指数</w:t>
            </w:r>
          </w:p>
          <w:p w14:paraId="247A9E09">
            <w:pPr>
              <w:spacing w:after="60" w:line="264" w:lineRule="auto"/>
              <w:rPr>
                <w:rFonts w:hint="eastAsia"/>
                <w:lang w:eastAsia="zh-CN"/>
              </w:rPr>
            </w:pPr>
            <w:r>
              <w:rPr>
                <w:strike/>
                <w:lang w:eastAsia="zh-CN"/>
              </w:rPr>
              <w:t>恒生港股通高股息率</w:t>
            </w:r>
            <w:r>
              <w:rPr>
                <w:lang w:eastAsia="zh-CN"/>
              </w:rPr>
              <w:t>指数</w:t>
            </w:r>
          </w:p>
          <w:p w14:paraId="6FB6FA0B">
            <w:pPr>
              <w:spacing w:after="60" w:line="264" w:lineRule="auto"/>
              <w:rPr>
                <w:rFonts w:hint="eastAsia"/>
                <w:lang w:eastAsia="zh-CN"/>
              </w:rPr>
            </w:pPr>
            <w:r>
              <w:rPr>
                <w:lang w:eastAsia="zh-CN"/>
              </w:rPr>
              <w:t>十一、本基金与博时</w:t>
            </w:r>
            <w:r>
              <w:rPr>
                <w:strike/>
                <w:lang w:eastAsia="zh-CN"/>
              </w:rPr>
              <w:t>恒生港股通高股息率</w:t>
            </w:r>
            <w:r>
              <w:rPr>
                <w:lang w:eastAsia="zh-CN"/>
              </w:rPr>
              <w:t>交易型开放式指数证券投资基金的联系与区别</w:t>
            </w:r>
          </w:p>
          <w:p w14:paraId="4B6DF742">
            <w:pPr>
              <w:spacing w:after="60" w:line="264" w:lineRule="auto"/>
              <w:rPr>
                <w:lang w:eastAsia="zh-CN"/>
              </w:rPr>
            </w:pPr>
            <w:r>
              <w:rPr>
                <w:lang w:eastAsia="zh-CN"/>
              </w:rPr>
              <w:t>在投资方法和交易方式等方面，本基金与博时</w:t>
            </w:r>
            <w:r>
              <w:rPr>
                <w:strike/>
                <w:lang w:eastAsia="zh-CN"/>
              </w:rPr>
              <w:t>恒生港股通高股息率</w:t>
            </w:r>
            <w:r>
              <w:rPr>
                <w:lang w:eastAsia="zh-CN"/>
              </w:rPr>
              <w:t>交易型开放式指数证券投资基金的联系与区别主要体现在以下几个方面：</w:t>
            </w:r>
          </w:p>
          <w:p w14:paraId="0BBD42CB">
            <w:pPr>
              <w:spacing w:after="60" w:line="264" w:lineRule="auto"/>
              <w:rPr>
                <w:rFonts w:hint="eastAsia"/>
                <w:lang w:eastAsia="zh-CN"/>
              </w:rPr>
            </w:pPr>
            <w:r>
              <w:rPr>
                <w:rFonts w:hint="eastAsia"/>
                <w:lang w:eastAsia="zh-CN"/>
              </w:rPr>
              <w:t>联系：</w:t>
            </w:r>
          </w:p>
          <w:p w14:paraId="4F31A70E">
            <w:pPr>
              <w:spacing w:after="60" w:line="264" w:lineRule="auto"/>
              <w:rPr>
                <w:rFonts w:hint="eastAsia"/>
                <w:lang w:eastAsia="zh-CN"/>
              </w:rPr>
            </w:pPr>
            <w:r>
              <w:rPr>
                <w:rFonts w:hint="eastAsia"/>
                <w:lang w:eastAsia="zh-CN"/>
              </w:rPr>
              <w:t>1.</w:t>
            </w:r>
            <w:r>
              <w:rPr>
                <w:lang w:eastAsia="zh-CN"/>
              </w:rPr>
              <w:t>两只基金跟踪同一个标的指数即</w:t>
            </w:r>
            <w:r>
              <w:rPr>
                <w:strike/>
                <w:lang w:eastAsia="zh-CN"/>
              </w:rPr>
              <w:t>恒生港股通高股息率</w:t>
            </w:r>
            <w:r>
              <w:rPr>
                <w:lang w:eastAsia="zh-CN"/>
              </w:rPr>
              <w:t>指数。</w:t>
            </w:r>
          </w:p>
          <w:p w14:paraId="282860CA">
            <w:pPr>
              <w:spacing w:after="60" w:line="264" w:lineRule="auto"/>
              <w:rPr>
                <w:rFonts w:hint="eastAsia"/>
                <w:lang w:eastAsia="zh-CN"/>
              </w:rPr>
            </w:pPr>
            <w:r>
              <w:rPr>
                <w:rFonts w:hint="eastAsia"/>
                <w:lang w:eastAsia="zh-CN"/>
              </w:rPr>
              <w:t>2.</w:t>
            </w:r>
            <w:r>
              <w:rPr>
                <w:lang w:eastAsia="zh-CN"/>
              </w:rPr>
              <w:t>两只基金的投资目标均为紧密跟踪标的指数即</w:t>
            </w:r>
            <w:r>
              <w:rPr>
                <w:strike/>
                <w:lang w:eastAsia="zh-CN"/>
              </w:rPr>
              <w:t>恒生港股通高股息率</w:t>
            </w:r>
            <w:r>
              <w:rPr>
                <w:lang w:eastAsia="zh-CN"/>
              </w:rPr>
              <w:t>指数的表现，追求跟踪偏离度和跟踪误差的最小化。</w:t>
            </w:r>
          </w:p>
          <w:p w14:paraId="53654680">
            <w:pPr>
              <w:spacing w:after="60" w:line="264" w:lineRule="auto"/>
              <w:rPr>
                <w:lang w:eastAsia="zh-CN"/>
              </w:rPr>
            </w:pPr>
            <w:r>
              <w:rPr>
                <w:rFonts w:hint="eastAsia"/>
                <w:lang w:eastAsia="zh-CN"/>
              </w:rPr>
              <w:t>4.</w:t>
            </w:r>
            <w:r>
              <w:rPr>
                <w:lang w:eastAsia="zh-CN"/>
              </w:rPr>
              <w:t>博时</w:t>
            </w:r>
            <w:r>
              <w:rPr>
                <w:strike/>
                <w:lang w:eastAsia="zh-CN"/>
              </w:rPr>
              <w:t>恒生港股通高股息率</w:t>
            </w:r>
            <w:r>
              <w:rPr>
                <w:lang w:eastAsia="zh-CN"/>
              </w:rPr>
              <w:t>交易型开放式指数证券投资基金是本基金的主要投资对象。</w:t>
            </w:r>
          </w:p>
          <w:p w14:paraId="687B3186">
            <w:pPr>
              <w:spacing w:after="60" w:line="264" w:lineRule="auto"/>
              <w:rPr>
                <w:rFonts w:hint="eastAsia"/>
                <w:lang w:eastAsia="zh-CN"/>
              </w:rPr>
            </w:pPr>
            <w:r>
              <w:rPr>
                <w:rFonts w:hint="eastAsia"/>
                <w:lang w:eastAsia="zh-CN"/>
              </w:rPr>
              <w:t>区别</w:t>
            </w:r>
          </w:p>
          <w:p w14:paraId="7FAA851B">
            <w:pPr>
              <w:spacing w:after="60" w:line="264" w:lineRule="auto"/>
              <w:rPr>
                <w:rFonts w:hint="eastAsia"/>
                <w:lang w:eastAsia="zh-CN"/>
              </w:rPr>
            </w:pPr>
            <w:r>
              <w:rPr>
                <w:rFonts w:hint="eastAsia"/>
                <w:lang w:eastAsia="zh-CN"/>
              </w:rPr>
              <w:t>1.</w:t>
            </w:r>
            <w:r>
              <w:rPr>
                <w:lang w:eastAsia="zh-CN"/>
              </w:rPr>
              <w:t>基金的投资管理方式不同：博时</w:t>
            </w:r>
            <w:r>
              <w:rPr>
                <w:strike/>
                <w:lang w:eastAsia="zh-CN"/>
              </w:rPr>
              <w:t>恒生港股通高股息率</w:t>
            </w:r>
            <w:r>
              <w:rPr>
                <w:lang w:eastAsia="zh-CN"/>
              </w:rPr>
              <w:t>交易型开放式指数证券投资基金通过直接买卖标的指数成份股和备选成份股等，直接跟踪复制标的指数的表现；而本基金则是通过将绝大部分基金财产投资于目标ETF，间接跟踪标的指数的表现。</w:t>
            </w:r>
          </w:p>
          <w:p w14:paraId="6CD388FC">
            <w:pPr>
              <w:spacing w:after="60" w:line="264" w:lineRule="auto"/>
              <w:rPr>
                <w:rFonts w:hint="eastAsia"/>
                <w:lang w:eastAsia="zh-CN"/>
              </w:rPr>
            </w:pPr>
            <w:r>
              <w:rPr>
                <w:rFonts w:hint="eastAsia"/>
                <w:lang w:eastAsia="zh-CN"/>
              </w:rPr>
              <w:t>2.</w:t>
            </w:r>
            <w:r>
              <w:rPr>
                <w:lang w:eastAsia="zh-CN"/>
              </w:rPr>
              <w:t>基金是否挂牌交易不同：博时</w:t>
            </w:r>
            <w:r>
              <w:rPr>
                <w:strike/>
                <w:lang w:eastAsia="zh-CN"/>
              </w:rPr>
              <w:t>恒生港股通高股息率</w:t>
            </w:r>
            <w:r>
              <w:rPr>
                <w:lang w:eastAsia="zh-CN"/>
              </w:rPr>
              <w:t>交易型开放式指数证券投资基金在上交所挂牌交易；而本基金则不上市交易。</w:t>
            </w:r>
          </w:p>
          <w:p w14:paraId="7476B51E">
            <w:pPr>
              <w:spacing w:after="60" w:line="264" w:lineRule="auto"/>
              <w:rPr>
                <w:rFonts w:hint="eastAsia"/>
                <w:lang w:eastAsia="zh-CN"/>
              </w:rPr>
            </w:pPr>
            <w:r>
              <w:rPr>
                <w:rFonts w:hint="eastAsia"/>
                <w:lang w:eastAsia="zh-CN"/>
              </w:rPr>
              <w:t>3.</w:t>
            </w:r>
            <w:r>
              <w:rPr>
                <w:lang w:eastAsia="zh-CN"/>
              </w:rPr>
              <w:t>价格揭示机制不同：博时</w:t>
            </w:r>
            <w:r>
              <w:rPr>
                <w:strike/>
                <w:lang w:eastAsia="zh-CN"/>
              </w:rPr>
              <w:t>恒生港股通高股息率</w:t>
            </w:r>
            <w:r>
              <w:rPr>
                <w:lang w:eastAsia="zh-CN"/>
              </w:rPr>
              <w:t>交易型开放式指数证券投资基金有实时市场交易价格和每日基金份额净值；而本基金只揭示每日基金份额净值。</w:t>
            </w:r>
          </w:p>
          <w:p w14:paraId="6B3B79B8">
            <w:pPr>
              <w:spacing w:after="60" w:line="264" w:lineRule="auto"/>
              <w:rPr>
                <w:rFonts w:hint="eastAsia"/>
                <w:lang w:eastAsia="zh-CN"/>
              </w:rPr>
            </w:pPr>
            <w:r>
              <w:rPr>
                <w:rFonts w:hint="eastAsia"/>
                <w:lang w:eastAsia="zh-CN"/>
              </w:rPr>
              <w:t>4.</w:t>
            </w:r>
            <w:r>
              <w:rPr>
                <w:lang w:eastAsia="zh-CN"/>
              </w:rPr>
              <w:t>投资人申购赎回基金的程序不同：博时</w:t>
            </w:r>
            <w:r>
              <w:rPr>
                <w:strike/>
                <w:lang w:eastAsia="zh-CN"/>
              </w:rPr>
              <w:t>恒生港股通高股息率</w:t>
            </w:r>
            <w:r>
              <w:rPr>
                <w:lang w:eastAsia="zh-CN"/>
              </w:rPr>
              <w:t>交易型开放式指数证券投资基金通过指定场内申购赎回代理券商或场外销售机构办理基金的申购与赎回；而本基金则通过银行等场外销售机构办理基金的申购与赎回。</w:t>
            </w:r>
          </w:p>
          <w:p w14:paraId="0DC8F613">
            <w:pPr>
              <w:spacing w:after="60" w:line="264" w:lineRule="auto"/>
              <w:rPr>
                <w:rFonts w:hint="eastAsia"/>
                <w:lang w:eastAsia="zh-CN"/>
              </w:rPr>
            </w:pPr>
            <w:r>
              <w:rPr>
                <w:lang w:eastAsia="zh-CN"/>
              </w:rPr>
              <w:t>十二、本基金与博时</w:t>
            </w:r>
            <w:r>
              <w:rPr>
                <w:strike/>
                <w:lang w:eastAsia="zh-CN"/>
              </w:rPr>
              <w:t>恒生港股通高股息率</w:t>
            </w:r>
            <w:r>
              <w:rPr>
                <w:lang w:eastAsia="zh-CN"/>
              </w:rPr>
              <w:t>交易型开放式指数证券投资基金业绩表现的差异</w:t>
            </w:r>
          </w:p>
          <w:p w14:paraId="4805112D">
            <w:pPr>
              <w:spacing w:after="60" w:line="264" w:lineRule="auto"/>
              <w:rPr>
                <w:rFonts w:hint="eastAsia"/>
                <w:lang w:eastAsia="zh-CN"/>
              </w:rPr>
            </w:pPr>
            <w:r>
              <w:rPr>
                <w:lang w:eastAsia="zh-CN"/>
              </w:rPr>
              <w:t>本基金的业绩表现与博时</w:t>
            </w:r>
            <w:r>
              <w:rPr>
                <w:strike/>
                <w:lang w:eastAsia="zh-CN"/>
              </w:rPr>
              <w:t>恒生港股通高股息率</w:t>
            </w:r>
            <w:r>
              <w:rPr>
                <w:lang w:eastAsia="zh-CN"/>
              </w:rPr>
              <w:t>交易型开放式指数证券投资基金的业绩表现可能会出现差异，差异产生的主要原因有以下几个方面：</w:t>
            </w:r>
          </w:p>
          <w:p w14:paraId="426B4BF5">
            <w:pPr>
              <w:spacing w:after="60" w:line="264" w:lineRule="auto"/>
              <w:rPr>
                <w:rFonts w:hint="eastAsia"/>
                <w:lang w:eastAsia="zh-CN"/>
              </w:rPr>
            </w:pPr>
            <w:r>
              <w:rPr>
                <w:rFonts w:hint="eastAsia"/>
                <w:lang w:eastAsia="zh-CN"/>
              </w:rPr>
              <w:t>3.</w:t>
            </w:r>
            <w:r>
              <w:rPr>
                <w:lang w:eastAsia="zh-CN"/>
              </w:rPr>
              <w:t>基金规模、投资成本、各种费用与税收的不同，会导致两只基金的业绩有差异。由于两只基金的投资对象和投资范围不同，投资管理方式不同，基金规模也可能不同，所以，本基金的投资成本、各种费用及税收可能不同于博时</w:t>
            </w:r>
            <w:r>
              <w:rPr>
                <w:strike/>
                <w:lang w:eastAsia="zh-CN"/>
              </w:rPr>
              <w:t>恒生港股通高股息率</w:t>
            </w:r>
            <w:r>
              <w:rPr>
                <w:lang w:eastAsia="zh-CN"/>
              </w:rPr>
              <w:t>交易型开放式指数证券投资基金。</w:t>
            </w:r>
          </w:p>
          <w:p w14:paraId="5B693C73">
            <w:pPr>
              <w:spacing w:after="60" w:line="264" w:lineRule="auto"/>
              <w:rPr>
                <w:rFonts w:hint="eastAsia"/>
                <w:lang w:eastAsia="zh-CN"/>
              </w:rPr>
            </w:pPr>
            <w:r>
              <w:rPr>
                <w:rFonts w:hint="eastAsia"/>
                <w:lang w:eastAsia="zh-CN"/>
              </w:rPr>
              <w:t>4.</w:t>
            </w:r>
            <w:r>
              <w:rPr>
                <w:lang w:eastAsia="zh-CN"/>
              </w:rPr>
              <w:t>现金比例及现金管理方式的不同，会导致两只基金的业绩有差异。本基金须每个交易日日终在扣除国债期货、股指期货和股票期权合约需缴纳的交易保证金后，对现金或者到期日在一年以内的政府债券的投资比例不低于基金资产净值的5%，而博时</w:t>
            </w:r>
            <w:r>
              <w:rPr>
                <w:strike/>
                <w:lang w:eastAsia="zh-CN"/>
              </w:rPr>
              <w:t>恒生港股通高股息率</w:t>
            </w:r>
            <w:r>
              <w:rPr>
                <w:lang w:eastAsia="zh-CN"/>
              </w:rPr>
              <w:t>交易型开放式指数证券投资基金则没有这项规定。</w:t>
            </w:r>
          </w:p>
        </w:tc>
        <w:tc>
          <w:tcPr>
            <w:tcW w:w="4195" w:type="dxa"/>
            <w:tcMar>
              <w:top w:w="70" w:type="dxa"/>
              <w:left w:w="80" w:type="dxa"/>
              <w:bottom w:w="70" w:type="dxa"/>
              <w:right w:w="80" w:type="dxa"/>
            </w:tcMar>
          </w:tcPr>
          <w:p w14:paraId="0EC64EA7">
            <w:pPr>
              <w:spacing w:after="40" w:line="264" w:lineRule="auto"/>
              <w:rPr>
                <w:rFonts w:hint="eastAsia"/>
                <w:lang w:eastAsia="zh-CN"/>
              </w:rPr>
            </w:pPr>
            <w:r>
              <w:rPr>
                <w:lang w:eastAsia="zh-CN"/>
              </w:rPr>
              <w:t>一、基金的名称</w:t>
            </w:r>
          </w:p>
          <w:p w14:paraId="41871EE0">
            <w:pPr>
              <w:spacing w:after="60" w:line="264" w:lineRule="auto"/>
              <w:rPr>
                <w:rFonts w:hint="eastAsia"/>
                <w:lang w:eastAsia="zh-CN"/>
              </w:rPr>
            </w:pPr>
            <w:r>
              <w:rPr>
                <w:lang w:eastAsia="zh-CN"/>
              </w:rPr>
              <w:t>博时</w:t>
            </w:r>
            <w:r>
              <w:rPr>
                <w:b/>
                <w:lang w:eastAsia="zh-CN"/>
              </w:rPr>
              <w:t>恒生港股通红利</w:t>
            </w:r>
            <w:r>
              <w:rPr>
                <w:lang w:eastAsia="zh-CN"/>
              </w:rPr>
              <w:t>交易型开放式指数证券投资基金发起式联接基金</w:t>
            </w:r>
          </w:p>
          <w:p w14:paraId="6AFB5C23">
            <w:pPr>
              <w:spacing w:after="40" w:line="264" w:lineRule="auto"/>
              <w:rPr>
                <w:rFonts w:hint="eastAsia"/>
                <w:lang w:eastAsia="zh-CN"/>
              </w:rPr>
            </w:pPr>
            <w:r>
              <w:rPr>
                <w:lang w:eastAsia="zh-CN"/>
              </w:rPr>
              <w:t>五、基金的投资目标</w:t>
            </w:r>
          </w:p>
          <w:p w14:paraId="69AF51A1">
            <w:pPr>
              <w:spacing w:after="60" w:line="264" w:lineRule="auto"/>
              <w:rPr>
                <w:rFonts w:hint="eastAsia"/>
                <w:lang w:eastAsia="zh-CN"/>
              </w:rPr>
            </w:pPr>
            <w:r>
              <w:rPr>
                <w:lang w:eastAsia="zh-CN"/>
              </w:rPr>
              <w:t>通过主要投资于目标ETF，紧密跟踪标的指数即</w:t>
            </w:r>
            <w:r>
              <w:rPr>
                <w:b/>
                <w:lang w:eastAsia="zh-CN"/>
              </w:rPr>
              <w:t>恒生港股通红利</w:t>
            </w:r>
            <w:r>
              <w:rPr>
                <w:lang w:eastAsia="zh-CN"/>
              </w:rPr>
              <w:t>指数的表现，追求跟踪偏离度和跟踪误差的最小化。</w:t>
            </w:r>
          </w:p>
          <w:p w14:paraId="219834CB">
            <w:pPr>
              <w:spacing w:after="40" w:line="264" w:lineRule="auto"/>
              <w:rPr>
                <w:rFonts w:hint="eastAsia"/>
                <w:lang w:eastAsia="zh-CN"/>
              </w:rPr>
            </w:pPr>
            <w:r>
              <w:rPr>
                <w:lang w:eastAsia="zh-CN"/>
              </w:rPr>
              <w:t>九、基金的标的指数</w:t>
            </w:r>
          </w:p>
          <w:p w14:paraId="52F0AE81">
            <w:pPr>
              <w:spacing w:after="60" w:line="264" w:lineRule="auto"/>
              <w:rPr>
                <w:rFonts w:hint="eastAsia"/>
                <w:lang w:eastAsia="zh-CN"/>
              </w:rPr>
            </w:pPr>
            <w:r>
              <w:rPr>
                <w:b/>
                <w:lang w:eastAsia="zh-CN"/>
              </w:rPr>
              <w:t>恒生港股通红利</w:t>
            </w:r>
            <w:r>
              <w:rPr>
                <w:lang w:eastAsia="zh-CN"/>
              </w:rPr>
              <w:t>指数</w:t>
            </w:r>
          </w:p>
          <w:p w14:paraId="0BD5DB71">
            <w:pPr>
              <w:spacing w:after="60" w:line="264" w:lineRule="auto"/>
              <w:rPr>
                <w:rFonts w:hint="eastAsia"/>
                <w:lang w:eastAsia="zh-CN"/>
              </w:rPr>
            </w:pPr>
            <w:r>
              <w:rPr>
                <w:lang w:eastAsia="zh-CN"/>
              </w:rPr>
              <w:t>十一、本基金与博时</w:t>
            </w:r>
            <w:r>
              <w:rPr>
                <w:b/>
                <w:lang w:eastAsia="zh-CN"/>
              </w:rPr>
              <w:t>恒生港股通红利</w:t>
            </w:r>
            <w:r>
              <w:rPr>
                <w:lang w:eastAsia="zh-CN"/>
              </w:rPr>
              <w:t>交易型开放式指数证券投资基金的联系与区别</w:t>
            </w:r>
          </w:p>
          <w:p w14:paraId="6A921C0F">
            <w:pPr>
              <w:spacing w:after="60" w:line="264" w:lineRule="auto"/>
              <w:rPr>
                <w:lang w:eastAsia="zh-CN"/>
              </w:rPr>
            </w:pPr>
            <w:r>
              <w:rPr>
                <w:lang w:eastAsia="zh-CN"/>
              </w:rPr>
              <w:t>在投资方法和交易方式等方面，本基金与博时</w:t>
            </w:r>
            <w:r>
              <w:rPr>
                <w:b/>
                <w:lang w:eastAsia="zh-CN"/>
              </w:rPr>
              <w:t>恒生港股通红利</w:t>
            </w:r>
            <w:r>
              <w:rPr>
                <w:lang w:eastAsia="zh-CN"/>
              </w:rPr>
              <w:t>交易型开放式指数证券投资基金的联系与区别主要体现在以下几个方面：</w:t>
            </w:r>
          </w:p>
          <w:p w14:paraId="1915A674">
            <w:pPr>
              <w:spacing w:after="60" w:line="264" w:lineRule="auto"/>
              <w:rPr>
                <w:rFonts w:hint="eastAsia"/>
                <w:lang w:eastAsia="zh-CN"/>
              </w:rPr>
            </w:pPr>
            <w:r>
              <w:rPr>
                <w:rFonts w:hint="eastAsia"/>
                <w:lang w:eastAsia="zh-CN"/>
              </w:rPr>
              <w:t>联系：</w:t>
            </w:r>
          </w:p>
          <w:p w14:paraId="101F0917">
            <w:pPr>
              <w:spacing w:after="60" w:line="264" w:lineRule="auto"/>
              <w:rPr>
                <w:rFonts w:hint="eastAsia"/>
                <w:lang w:eastAsia="zh-CN"/>
              </w:rPr>
            </w:pPr>
            <w:r>
              <w:rPr>
                <w:rFonts w:hint="eastAsia"/>
                <w:lang w:eastAsia="zh-CN"/>
              </w:rPr>
              <w:t>1.</w:t>
            </w:r>
            <w:r>
              <w:rPr>
                <w:lang w:eastAsia="zh-CN"/>
              </w:rPr>
              <w:t>两只基金跟踪同一个标的指数即</w:t>
            </w:r>
            <w:r>
              <w:rPr>
                <w:b/>
                <w:lang w:eastAsia="zh-CN"/>
              </w:rPr>
              <w:t>恒生港股通红利</w:t>
            </w:r>
            <w:r>
              <w:rPr>
                <w:lang w:eastAsia="zh-CN"/>
              </w:rPr>
              <w:t>指数。</w:t>
            </w:r>
          </w:p>
          <w:p w14:paraId="4EFA5DC1">
            <w:pPr>
              <w:spacing w:after="60" w:line="264" w:lineRule="auto"/>
              <w:rPr>
                <w:rFonts w:hint="eastAsia"/>
                <w:lang w:eastAsia="zh-CN"/>
              </w:rPr>
            </w:pPr>
            <w:r>
              <w:rPr>
                <w:rFonts w:hint="eastAsia"/>
                <w:lang w:eastAsia="zh-CN"/>
              </w:rPr>
              <w:t>2.</w:t>
            </w:r>
            <w:r>
              <w:rPr>
                <w:lang w:eastAsia="zh-CN"/>
              </w:rPr>
              <w:t>两只基金的投资目标均为紧密跟踪标的指数即</w:t>
            </w:r>
            <w:r>
              <w:rPr>
                <w:b/>
                <w:lang w:eastAsia="zh-CN"/>
              </w:rPr>
              <w:t>恒生港股通红利</w:t>
            </w:r>
            <w:r>
              <w:rPr>
                <w:lang w:eastAsia="zh-CN"/>
              </w:rPr>
              <w:t>指数的表现，追求跟踪偏离度和跟踪误差的最小化。</w:t>
            </w:r>
          </w:p>
          <w:p w14:paraId="1E8BC4DC">
            <w:pPr>
              <w:spacing w:after="60" w:line="264" w:lineRule="auto"/>
              <w:rPr>
                <w:lang w:eastAsia="zh-CN"/>
              </w:rPr>
            </w:pPr>
            <w:r>
              <w:rPr>
                <w:rFonts w:hint="eastAsia"/>
                <w:lang w:eastAsia="zh-CN"/>
              </w:rPr>
              <w:t>4.</w:t>
            </w:r>
            <w:r>
              <w:rPr>
                <w:lang w:eastAsia="zh-CN"/>
              </w:rPr>
              <w:t>博时</w:t>
            </w:r>
            <w:r>
              <w:rPr>
                <w:b/>
                <w:lang w:eastAsia="zh-CN"/>
              </w:rPr>
              <w:t>恒生港股通红利</w:t>
            </w:r>
            <w:r>
              <w:rPr>
                <w:lang w:eastAsia="zh-CN"/>
              </w:rPr>
              <w:t>交易型开放式指数证券投资基金是本基金的主要投资对象。</w:t>
            </w:r>
          </w:p>
          <w:p w14:paraId="54141F8E">
            <w:pPr>
              <w:spacing w:after="60" w:line="264" w:lineRule="auto"/>
              <w:rPr>
                <w:rFonts w:hint="eastAsia"/>
                <w:lang w:eastAsia="zh-CN"/>
              </w:rPr>
            </w:pPr>
            <w:r>
              <w:rPr>
                <w:rFonts w:hint="eastAsia"/>
                <w:lang w:eastAsia="zh-CN"/>
              </w:rPr>
              <w:t>区别</w:t>
            </w:r>
          </w:p>
          <w:p w14:paraId="7D630930">
            <w:pPr>
              <w:spacing w:after="60" w:line="264" w:lineRule="auto"/>
              <w:rPr>
                <w:rFonts w:hint="eastAsia"/>
                <w:lang w:eastAsia="zh-CN"/>
              </w:rPr>
            </w:pPr>
            <w:r>
              <w:rPr>
                <w:rFonts w:hint="eastAsia"/>
                <w:lang w:eastAsia="zh-CN"/>
              </w:rPr>
              <w:t>1.</w:t>
            </w:r>
            <w:r>
              <w:rPr>
                <w:lang w:eastAsia="zh-CN"/>
              </w:rPr>
              <w:t>基金的投资管理方式不同：博时</w:t>
            </w:r>
            <w:r>
              <w:rPr>
                <w:b/>
                <w:lang w:eastAsia="zh-CN"/>
              </w:rPr>
              <w:t>恒生港股通红利</w:t>
            </w:r>
            <w:r>
              <w:rPr>
                <w:lang w:eastAsia="zh-CN"/>
              </w:rPr>
              <w:t>交易型开放式指数证券投资基金通过直接买卖标的指数成份股和备选成份股等，直接跟踪复制标的指数的表现；而本基金则是通过将绝大部分基金财产投资于目标ETF，间接跟踪标的指数的表现。</w:t>
            </w:r>
          </w:p>
          <w:p w14:paraId="1BB7F8A9">
            <w:pPr>
              <w:spacing w:after="60" w:line="264" w:lineRule="auto"/>
              <w:rPr>
                <w:rFonts w:hint="eastAsia"/>
                <w:lang w:eastAsia="zh-CN"/>
              </w:rPr>
            </w:pPr>
            <w:r>
              <w:rPr>
                <w:rFonts w:hint="eastAsia"/>
                <w:lang w:eastAsia="zh-CN"/>
              </w:rPr>
              <w:t>2.</w:t>
            </w:r>
            <w:r>
              <w:rPr>
                <w:lang w:eastAsia="zh-CN"/>
              </w:rPr>
              <w:t>基金是否挂牌交易不同：博时</w:t>
            </w:r>
            <w:r>
              <w:rPr>
                <w:b/>
                <w:lang w:eastAsia="zh-CN"/>
              </w:rPr>
              <w:t>恒生港股通红利</w:t>
            </w:r>
            <w:r>
              <w:rPr>
                <w:lang w:eastAsia="zh-CN"/>
              </w:rPr>
              <w:t>交易型开放式指数证券投资基金在上交所挂牌交易；而本基金则不上市交易。</w:t>
            </w:r>
          </w:p>
          <w:p w14:paraId="0E166518">
            <w:pPr>
              <w:spacing w:after="60" w:line="264" w:lineRule="auto"/>
              <w:rPr>
                <w:rFonts w:hint="eastAsia"/>
                <w:lang w:eastAsia="zh-CN"/>
              </w:rPr>
            </w:pPr>
            <w:r>
              <w:rPr>
                <w:rFonts w:hint="eastAsia"/>
                <w:lang w:eastAsia="zh-CN"/>
              </w:rPr>
              <w:t>3.</w:t>
            </w:r>
            <w:r>
              <w:rPr>
                <w:lang w:eastAsia="zh-CN"/>
              </w:rPr>
              <w:t>价格揭示机制不同：博时</w:t>
            </w:r>
            <w:r>
              <w:rPr>
                <w:b/>
                <w:lang w:eastAsia="zh-CN"/>
              </w:rPr>
              <w:t>恒生港股通红利</w:t>
            </w:r>
            <w:r>
              <w:rPr>
                <w:lang w:eastAsia="zh-CN"/>
              </w:rPr>
              <w:t>交易型开放式指数证券投资基金有实时市场交易价格和每日基金份额净值；而本基金只揭示每日基金份额净值。</w:t>
            </w:r>
          </w:p>
          <w:p w14:paraId="4E49FD3E">
            <w:pPr>
              <w:spacing w:after="60" w:line="264" w:lineRule="auto"/>
              <w:rPr>
                <w:rFonts w:hint="eastAsia"/>
                <w:lang w:eastAsia="zh-CN"/>
              </w:rPr>
            </w:pPr>
            <w:r>
              <w:rPr>
                <w:rFonts w:hint="eastAsia"/>
                <w:lang w:eastAsia="zh-CN"/>
              </w:rPr>
              <w:t>4.</w:t>
            </w:r>
            <w:r>
              <w:rPr>
                <w:lang w:eastAsia="zh-CN"/>
              </w:rPr>
              <w:t>投资人申购赎回基金的程序不同：博时</w:t>
            </w:r>
            <w:r>
              <w:rPr>
                <w:b/>
                <w:lang w:eastAsia="zh-CN"/>
              </w:rPr>
              <w:t>恒生港股通红利</w:t>
            </w:r>
            <w:r>
              <w:rPr>
                <w:lang w:eastAsia="zh-CN"/>
              </w:rPr>
              <w:t>交易型开放式指数证券投资基金通过指定场内申购赎回代理券商或场外销售机构办理基金的申购与赎回；而本基金则通过银行等场外销售机构办理基金的申购与赎回。</w:t>
            </w:r>
          </w:p>
          <w:p w14:paraId="076FF347">
            <w:pPr>
              <w:spacing w:after="60" w:line="264" w:lineRule="auto"/>
              <w:rPr>
                <w:rFonts w:hint="eastAsia"/>
                <w:lang w:eastAsia="zh-CN"/>
              </w:rPr>
            </w:pPr>
            <w:r>
              <w:rPr>
                <w:lang w:eastAsia="zh-CN"/>
              </w:rPr>
              <w:t>十二、本基金与博时</w:t>
            </w:r>
            <w:r>
              <w:rPr>
                <w:b/>
                <w:lang w:eastAsia="zh-CN"/>
              </w:rPr>
              <w:t>恒生港股通红利</w:t>
            </w:r>
            <w:r>
              <w:rPr>
                <w:lang w:eastAsia="zh-CN"/>
              </w:rPr>
              <w:t>交易型开放式指数证券投资基金业绩表现的差异</w:t>
            </w:r>
          </w:p>
          <w:p w14:paraId="0CD0F2A4">
            <w:pPr>
              <w:spacing w:after="60" w:line="264" w:lineRule="auto"/>
              <w:rPr>
                <w:rFonts w:hint="eastAsia"/>
                <w:lang w:eastAsia="zh-CN"/>
              </w:rPr>
            </w:pPr>
            <w:r>
              <w:rPr>
                <w:lang w:eastAsia="zh-CN"/>
              </w:rPr>
              <w:t>本基金的业绩表现与博时</w:t>
            </w:r>
            <w:r>
              <w:rPr>
                <w:b/>
                <w:lang w:eastAsia="zh-CN"/>
              </w:rPr>
              <w:t>恒生港股通红利</w:t>
            </w:r>
            <w:r>
              <w:rPr>
                <w:lang w:eastAsia="zh-CN"/>
              </w:rPr>
              <w:t>交易型开放式指数证券投资基金的业绩表现可能会出现差异，差异产生的主要原因有以下几个方面：</w:t>
            </w:r>
          </w:p>
          <w:p w14:paraId="0733B44E">
            <w:pPr>
              <w:spacing w:after="60" w:line="264" w:lineRule="auto"/>
              <w:rPr>
                <w:rFonts w:hint="eastAsia"/>
                <w:lang w:eastAsia="zh-CN"/>
              </w:rPr>
            </w:pPr>
            <w:r>
              <w:rPr>
                <w:rFonts w:hint="eastAsia"/>
                <w:lang w:eastAsia="zh-CN"/>
              </w:rPr>
              <w:t>3.</w:t>
            </w:r>
            <w:r>
              <w:rPr>
                <w:lang w:eastAsia="zh-CN"/>
              </w:rPr>
              <w:t>基金规模、投资成本、各种费用与税收的不同，会导致两只基金的业绩有差异。由于两只基金的投资对象和投资范围不同，投资管理方式不同，基金规模也可能不同，所以，本基金的投资成本、各种费用及税收可能不同于博时</w:t>
            </w:r>
            <w:r>
              <w:rPr>
                <w:b/>
                <w:lang w:eastAsia="zh-CN"/>
              </w:rPr>
              <w:t>恒生港股通红利</w:t>
            </w:r>
            <w:r>
              <w:rPr>
                <w:lang w:eastAsia="zh-CN"/>
              </w:rPr>
              <w:t>交易型开放式指数证券投资基金。</w:t>
            </w:r>
          </w:p>
          <w:p w14:paraId="31B86EE1">
            <w:pPr>
              <w:spacing w:after="60" w:line="264" w:lineRule="auto"/>
              <w:rPr>
                <w:rFonts w:hint="eastAsia"/>
                <w:lang w:eastAsia="zh-CN"/>
              </w:rPr>
            </w:pPr>
            <w:r>
              <w:rPr>
                <w:rFonts w:hint="eastAsia"/>
                <w:lang w:eastAsia="zh-CN"/>
              </w:rPr>
              <w:t>4.</w:t>
            </w:r>
            <w:r>
              <w:rPr>
                <w:lang w:eastAsia="zh-CN"/>
              </w:rPr>
              <w:t>现金比例及现金管理方式的不同，会导致两只基金的业绩有差异。本基金须每个交易日日终在扣除国债期货、股指期货和股票期权合约需缴纳的交易保证金后，对现金或者到期日在一年以内的政府债券的投资比例不低于基金资产净值的5%，而博时</w:t>
            </w:r>
            <w:r>
              <w:rPr>
                <w:b/>
                <w:lang w:eastAsia="zh-CN"/>
              </w:rPr>
              <w:t>恒生港股通红利</w:t>
            </w:r>
            <w:r>
              <w:rPr>
                <w:lang w:eastAsia="zh-CN"/>
              </w:rPr>
              <w:t>交易型开放式指数证券投资基金则没有这项规定。</w:t>
            </w:r>
          </w:p>
        </w:tc>
      </w:tr>
      <w:tr w14:paraId="7764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7432B3EE">
            <w:pPr>
              <w:spacing w:after="0" w:line="240" w:lineRule="auto"/>
              <w:jc w:val="center"/>
              <w:rPr>
                <w:rFonts w:hint="eastAsia"/>
                <w:lang w:eastAsia="zh-CN"/>
              </w:rPr>
            </w:pPr>
            <w:r>
              <w:rPr>
                <w:b/>
                <w:lang w:eastAsia="zh-CN"/>
              </w:rPr>
              <w:t>第七部分 基金合同当事人及权利义务</w:t>
            </w:r>
          </w:p>
        </w:tc>
        <w:tc>
          <w:tcPr>
            <w:tcW w:w="4195" w:type="dxa"/>
            <w:tcMar>
              <w:top w:w="70" w:type="dxa"/>
              <w:left w:w="80" w:type="dxa"/>
              <w:bottom w:w="70" w:type="dxa"/>
              <w:right w:w="80" w:type="dxa"/>
            </w:tcMar>
          </w:tcPr>
          <w:p w14:paraId="3645BA94">
            <w:pPr>
              <w:spacing w:after="40" w:line="264" w:lineRule="auto"/>
              <w:rPr>
                <w:rFonts w:hint="eastAsia"/>
                <w:lang w:eastAsia="zh-CN"/>
              </w:rPr>
            </w:pPr>
            <w:r>
              <w:rPr>
                <w:lang w:eastAsia="zh-CN"/>
              </w:rPr>
              <w:t>一、基金管理人</w:t>
            </w:r>
          </w:p>
          <w:p w14:paraId="08D86AEE">
            <w:pPr>
              <w:spacing w:after="40" w:line="264" w:lineRule="auto"/>
              <w:rPr>
                <w:rFonts w:hint="eastAsia"/>
                <w:lang w:eastAsia="zh-CN"/>
              </w:rPr>
            </w:pPr>
            <w:r>
              <w:rPr>
                <w:lang w:eastAsia="zh-CN"/>
              </w:rPr>
              <w:t>（一）</w:t>
            </w:r>
            <w:r>
              <w:rPr>
                <w:lang w:eastAsia="zh-CN"/>
              </w:rPr>
              <w:tab/>
            </w:r>
            <w:r>
              <w:rPr>
                <w:lang w:eastAsia="zh-CN"/>
              </w:rPr>
              <w:t>基金管理人简况</w:t>
            </w:r>
          </w:p>
          <w:p w14:paraId="7A44E01E">
            <w:pPr>
              <w:spacing w:after="60" w:line="264" w:lineRule="auto"/>
              <w:rPr>
                <w:rFonts w:hint="eastAsia"/>
                <w:lang w:eastAsia="zh-CN"/>
              </w:rPr>
            </w:pPr>
            <w:r>
              <w:rPr>
                <w:lang w:eastAsia="zh-CN"/>
              </w:rPr>
              <w:t>法定代表人：</w:t>
            </w:r>
            <w:r>
              <w:rPr>
                <w:strike/>
                <w:lang w:eastAsia="zh-CN"/>
              </w:rPr>
              <w:t>江向阳</w:t>
            </w:r>
          </w:p>
          <w:p w14:paraId="4E57A3EB">
            <w:pPr>
              <w:spacing w:after="40" w:line="264" w:lineRule="auto"/>
              <w:rPr>
                <w:rFonts w:hint="eastAsia"/>
                <w:lang w:eastAsia="zh-CN"/>
              </w:rPr>
            </w:pPr>
            <w:r>
              <w:rPr>
                <w:lang w:eastAsia="zh-CN"/>
              </w:rPr>
              <w:t>二、基金托管人</w:t>
            </w:r>
          </w:p>
          <w:p w14:paraId="5BB32763">
            <w:pPr>
              <w:spacing w:after="40" w:line="264" w:lineRule="auto"/>
              <w:rPr>
                <w:rFonts w:hint="eastAsia"/>
                <w:lang w:eastAsia="zh-CN"/>
              </w:rPr>
            </w:pPr>
            <w:r>
              <w:rPr>
                <w:lang w:eastAsia="zh-CN"/>
              </w:rPr>
              <w:t>（一）</w:t>
            </w:r>
            <w:r>
              <w:rPr>
                <w:lang w:eastAsia="zh-CN"/>
              </w:rPr>
              <w:tab/>
            </w:r>
            <w:r>
              <w:rPr>
                <w:lang w:eastAsia="zh-CN"/>
              </w:rPr>
              <w:t>基金托管人简况</w:t>
            </w:r>
          </w:p>
          <w:p w14:paraId="53E62418">
            <w:pPr>
              <w:spacing w:after="60" w:line="264" w:lineRule="auto"/>
              <w:rPr>
                <w:rFonts w:hint="eastAsia"/>
                <w:lang w:eastAsia="zh-CN"/>
              </w:rPr>
            </w:pPr>
            <w:r>
              <w:rPr>
                <w:lang w:eastAsia="zh-CN"/>
              </w:rPr>
              <w:t>法定代表人：</w:t>
            </w:r>
            <w:r>
              <w:rPr>
                <w:strike/>
                <w:lang w:eastAsia="zh-CN"/>
              </w:rPr>
              <w:t>沈如军</w:t>
            </w:r>
            <w:r>
              <w:rPr>
                <w:lang w:eastAsia="zh-CN"/>
              </w:rPr>
              <w:t xml:space="preserve"> </w:t>
            </w:r>
          </w:p>
        </w:tc>
        <w:tc>
          <w:tcPr>
            <w:tcW w:w="4195" w:type="dxa"/>
            <w:tcMar>
              <w:top w:w="70" w:type="dxa"/>
              <w:left w:w="80" w:type="dxa"/>
              <w:bottom w:w="70" w:type="dxa"/>
              <w:right w:w="80" w:type="dxa"/>
            </w:tcMar>
          </w:tcPr>
          <w:p w14:paraId="2C6A9EC5">
            <w:pPr>
              <w:spacing w:after="40" w:line="264" w:lineRule="auto"/>
              <w:rPr>
                <w:rFonts w:hint="eastAsia"/>
                <w:lang w:eastAsia="zh-CN"/>
              </w:rPr>
            </w:pPr>
            <w:r>
              <w:rPr>
                <w:lang w:eastAsia="zh-CN"/>
              </w:rPr>
              <w:t>一、基金管理人</w:t>
            </w:r>
          </w:p>
          <w:p w14:paraId="15BF8858">
            <w:pPr>
              <w:spacing w:after="40" w:line="264" w:lineRule="auto"/>
              <w:rPr>
                <w:rFonts w:hint="eastAsia"/>
                <w:lang w:eastAsia="zh-CN"/>
              </w:rPr>
            </w:pPr>
            <w:r>
              <w:rPr>
                <w:lang w:eastAsia="zh-CN"/>
              </w:rPr>
              <w:t>（一）</w:t>
            </w:r>
            <w:r>
              <w:rPr>
                <w:lang w:eastAsia="zh-CN"/>
              </w:rPr>
              <w:tab/>
            </w:r>
            <w:r>
              <w:rPr>
                <w:lang w:eastAsia="zh-CN"/>
              </w:rPr>
              <w:t>基金管理人简况</w:t>
            </w:r>
          </w:p>
          <w:p w14:paraId="2C3E5E4A">
            <w:pPr>
              <w:spacing w:after="60" w:line="264" w:lineRule="auto"/>
              <w:rPr>
                <w:rFonts w:hint="eastAsia"/>
                <w:lang w:eastAsia="zh-CN"/>
              </w:rPr>
            </w:pPr>
            <w:r>
              <w:rPr>
                <w:lang w:eastAsia="zh-CN"/>
              </w:rPr>
              <w:t>法定代表人：</w:t>
            </w:r>
            <w:r>
              <w:rPr>
                <w:b/>
                <w:lang w:eastAsia="zh-CN"/>
              </w:rPr>
              <w:t>张东</w:t>
            </w:r>
          </w:p>
          <w:p w14:paraId="583F6C04">
            <w:pPr>
              <w:spacing w:after="40" w:line="264" w:lineRule="auto"/>
              <w:rPr>
                <w:rFonts w:hint="eastAsia"/>
                <w:lang w:eastAsia="zh-CN"/>
              </w:rPr>
            </w:pPr>
            <w:r>
              <w:rPr>
                <w:lang w:eastAsia="zh-CN"/>
              </w:rPr>
              <w:t>二、基金托管人</w:t>
            </w:r>
          </w:p>
          <w:p w14:paraId="61AAF9F1">
            <w:pPr>
              <w:spacing w:after="40" w:line="264" w:lineRule="auto"/>
              <w:rPr>
                <w:rFonts w:hint="eastAsia"/>
                <w:lang w:eastAsia="zh-CN"/>
              </w:rPr>
            </w:pPr>
            <w:r>
              <w:rPr>
                <w:lang w:eastAsia="zh-CN"/>
              </w:rPr>
              <w:t>（一）</w:t>
            </w:r>
            <w:r>
              <w:rPr>
                <w:lang w:eastAsia="zh-CN"/>
              </w:rPr>
              <w:tab/>
            </w:r>
            <w:r>
              <w:rPr>
                <w:lang w:eastAsia="zh-CN"/>
              </w:rPr>
              <w:t>基金托管人简况</w:t>
            </w:r>
          </w:p>
          <w:p w14:paraId="42D31984">
            <w:pPr>
              <w:spacing w:after="60" w:line="264" w:lineRule="auto"/>
              <w:rPr>
                <w:rFonts w:hint="eastAsia"/>
                <w:lang w:eastAsia="zh-CN"/>
              </w:rPr>
            </w:pPr>
            <w:r>
              <w:rPr>
                <w:lang w:eastAsia="zh-CN"/>
              </w:rPr>
              <w:t>法定代表人：</w:t>
            </w:r>
            <w:r>
              <w:rPr>
                <w:b/>
                <w:lang w:eastAsia="zh-CN"/>
              </w:rPr>
              <w:t>陈亮</w:t>
            </w:r>
            <w:r>
              <w:rPr>
                <w:lang w:eastAsia="zh-CN"/>
              </w:rPr>
              <w:t xml:space="preserve"> </w:t>
            </w:r>
          </w:p>
        </w:tc>
      </w:tr>
      <w:tr w14:paraId="5C687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2D3CB571">
            <w:pPr>
              <w:spacing w:after="0" w:line="240" w:lineRule="auto"/>
              <w:jc w:val="center"/>
              <w:rPr>
                <w:rFonts w:hint="eastAsia"/>
                <w:lang w:eastAsia="zh-CN"/>
              </w:rPr>
            </w:pPr>
            <w:r>
              <w:rPr>
                <w:b/>
                <w:lang w:eastAsia="zh-CN"/>
              </w:rPr>
              <w:t>第十二部分 基金的投资</w:t>
            </w:r>
          </w:p>
        </w:tc>
        <w:tc>
          <w:tcPr>
            <w:tcW w:w="4195" w:type="dxa"/>
            <w:tcMar>
              <w:top w:w="70" w:type="dxa"/>
              <w:left w:w="80" w:type="dxa"/>
              <w:bottom w:w="70" w:type="dxa"/>
              <w:right w:w="80" w:type="dxa"/>
            </w:tcMar>
          </w:tcPr>
          <w:p w14:paraId="17973C68">
            <w:pPr>
              <w:spacing w:after="40" w:line="264" w:lineRule="auto"/>
              <w:rPr>
                <w:rFonts w:hint="eastAsia"/>
                <w:lang w:eastAsia="zh-CN"/>
              </w:rPr>
            </w:pPr>
            <w:r>
              <w:rPr>
                <w:lang w:eastAsia="zh-CN"/>
              </w:rPr>
              <w:t>一、投资目标</w:t>
            </w:r>
          </w:p>
          <w:p w14:paraId="73812ACC">
            <w:pPr>
              <w:spacing w:after="60" w:line="264" w:lineRule="auto"/>
              <w:rPr>
                <w:rFonts w:hint="eastAsia"/>
                <w:lang w:eastAsia="zh-CN"/>
              </w:rPr>
            </w:pPr>
            <w:r>
              <w:rPr>
                <w:lang w:eastAsia="zh-CN"/>
              </w:rPr>
              <w:t>通过主要投资于目标ETF，紧密跟踪标的指数即</w:t>
            </w:r>
            <w:r>
              <w:rPr>
                <w:strike/>
                <w:lang w:eastAsia="zh-CN"/>
              </w:rPr>
              <w:t>恒生港股通高股息率</w:t>
            </w:r>
            <w:r>
              <w:rPr>
                <w:lang w:eastAsia="zh-CN"/>
              </w:rPr>
              <w:t>指数的表现，追求跟踪偏离度和跟踪误差的最小化。</w:t>
            </w:r>
          </w:p>
          <w:p w14:paraId="5C65926F">
            <w:pPr>
              <w:spacing w:after="40" w:line="264" w:lineRule="auto"/>
              <w:rPr>
                <w:rFonts w:hint="eastAsia"/>
                <w:lang w:eastAsia="zh-CN"/>
              </w:rPr>
            </w:pPr>
            <w:r>
              <w:rPr>
                <w:lang w:eastAsia="zh-CN"/>
              </w:rPr>
              <w:t>二、投资范围</w:t>
            </w:r>
          </w:p>
          <w:p w14:paraId="5DB2E82F">
            <w:pPr>
              <w:spacing w:after="60" w:line="264" w:lineRule="auto"/>
              <w:rPr>
                <w:rFonts w:hint="eastAsia"/>
                <w:lang w:eastAsia="zh-CN"/>
              </w:rPr>
            </w:pPr>
            <w:r>
              <w:rPr>
                <w:lang w:eastAsia="zh-CN"/>
              </w:rPr>
              <w:t>本基金主要投资于目标ETF、标的指数即</w:t>
            </w:r>
            <w:r>
              <w:rPr>
                <w:strike/>
                <w:lang w:eastAsia="zh-CN"/>
              </w:rPr>
              <w:t>恒生港股通高股息率</w:t>
            </w:r>
            <w:r>
              <w:rPr>
                <w:lang w:eastAsia="zh-CN"/>
              </w:rPr>
              <w:t>指数成份股和备选成份股票（含存托凭证），为更好地实现基金的投资目标，本基金可能会少量投资于依法发行或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5B8EED12">
            <w:pPr>
              <w:spacing w:after="60" w:line="264" w:lineRule="auto"/>
              <w:rPr>
                <w:rFonts w:hint="eastAsia"/>
                <w:lang w:eastAsia="zh-CN"/>
              </w:rPr>
            </w:pPr>
            <w:r>
              <w:rPr>
                <w:strike/>
                <w:lang w:eastAsia="zh-CN"/>
              </w:rPr>
              <w:t>三、标的指数</w:t>
            </w:r>
          </w:p>
          <w:p w14:paraId="3A78F168">
            <w:pPr>
              <w:spacing w:after="60" w:line="264" w:lineRule="auto"/>
              <w:rPr>
                <w:rFonts w:hint="eastAsia"/>
                <w:lang w:eastAsia="zh-CN"/>
              </w:rPr>
            </w:pPr>
            <w:r>
              <w:rPr>
                <w:strike/>
                <w:lang w:eastAsia="zh-CN"/>
              </w:rPr>
              <w:t>恒生港股通高股息率指数。</w:t>
            </w:r>
          </w:p>
          <w:p w14:paraId="6251B8B2">
            <w:pPr>
              <w:spacing w:after="60" w:line="264" w:lineRule="auto"/>
              <w:rPr>
                <w:rFonts w:hint="eastAsia"/>
                <w:lang w:eastAsia="zh-CN"/>
              </w:rPr>
            </w:pPr>
            <w:r>
              <w:rPr>
                <w:strike/>
                <w:lang w:eastAsia="zh-CN"/>
              </w:rPr>
              <w:t>未来若出现标的指数不符合要求（因成份股价格波动等指数编制方法变动之外的因素致使标的指数不符合要求以及法律法规、监管机构另有规定的情形除外）、指数编制机构退出等情形，除法律法规、监管机构另有规定或基金合同另有规定除外，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本基金合同终止。</w:t>
            </w:r>
          </w:p>
          <w:p w14:paraId="7D4B0215">
            <w:pPr>
              <w:spacing w:after="60" w:line="264" w:lineRule="auto"/>
              <w:rPr>
                <w:rFonts w:hint="eastAsia"/>
                <w:lang w:eastAsia="zh-CN"/>
              </w:rPr>
            </w:pPr>
            <w:r>
              <w:rPr>
                <w:strike/>
                <w:lang w:eastAsia="zh-CN"/>
              </w:rPr>
              <w:t>自指数编制机构停止标的指数的编制及发布至解决方案确定期间，基金管理人应按照指数编制机构提供的最近一个交易日的指数信息遵循基金份额持有人利益优先原则维持基金投资运作。</w:t>
            </w:r>
          </w:p>
          <w:p w14:paraId="563FA015">
            <w:pPr>
              <w:spacing w:after="60" w:line="264" w:lineRule="auto"/>
              <w:rPr>
                <w:rFonts w:hint="eastAsia"/>
                <w:lang w:eastAsia="zh-CN"/>
              </w:rPr>
            </w:pPr>
            <w:r>
              <w:rPr>
                <w:strike/>
                <w:lang w:eastAsia="zh-CN"/>
              </w:rPr>
              <w:t>四</w:t>
            </w:r>
            <w:r>
              <w:rPr>
                <w:lang w:eastAsia="zh-CN"/>
              </w:rPr>
              <w:t>、投资策略</w:t>
            </w:r>
          </w:p>
          <w:p w14:paraId="20EAE11D">
            <w:pPr>
              <w:spacing w:after="60" w:line="264" w:lineRule="auto"/>
              <w:rPr>
                <w:rFonts w:hint="eastAsia"/>
                <w:lang w:eastAsia="zh-CN"/>
              </w:rPr>
            </w:pPr>
            <w:r>
              <w:rPr>
                <w:strike/>
                <w:lang w:eastAsia="zh-CN"/>
              </w:rPr>
              <w:t>五</w:t>
            </w:r>
            <w:r>
              <w:rPr>
                <w:lang w:eastAsia="zh-CN"/>
              </w:rPr>
              <w:t>、投资禁止行为与限制</w:t>
            </w:r>
          </w:p>
          <w:p w14:paraId="6B231BAE">
            <w:pPr>
              <w:spacing w:after="60" w:line="264" w:lineRule="auto"/>
              <w:rPr>
                <w:rFonts w:hint="eastAsia"/>
                <w:lang w:eastAsia="zh-CN"/>
              </w:rPr>
            </w:pPr>
            <w:r>
              <w:rPr>
                <w:strike/>
                <w:lang w:eastAsia="zh-CN"/>
              </w:rPr>
              <w:t>六</w:t>
            </w:r>
            <w:r>
              <w:rPr>
                <w:lang w:eastAsia="zh-CN"/>
              </w:rPr>
              <w:t>、业绩比较基准</w:t>
            </w:r>
          </w:p>
          <w:p w14:paraId="6CF28ABC">
            <w:pPr>
              <w:spacing w:after="60" w:line="264" w:lineRule="auto"/>
              <w:rPr>
                <w:rFonts w:hint="eastAsia"/>
                <w:lang w:eastAsia="zh-CN"/>
              </w:rPr>
            </w:pPr>
            <w:r>
              <w:rPr>
                <w:strike/>
                <w:lang w:eastAsia="zh-CN"/>
              </w:rPr>
              <w:t>本基金的业绩比较基准为：恒生港股通高股息率指数收益率（经估值汇率调整后）×95%+银行活期存款利率(税后)×5%。</w:t>
            </w:r>
          </w:p>
          <w:p w14:paraId="34503E44">
            <w:pPr>
              <w:spacing w:after="60" w:line="264" w:lineRule="auto"/>
              <w:rPr>
                <w:rFonts w:hint="eastAsia"/>
                <w:lang w:eastAsia="zh-CN"/>
              </w:rPr>
            </w:pPr>
            <w:r>
              <w:rPr>
                <w:strike/>
                <w:lang w:eastAsia="zh-CN"/>
              </w:rPr>
              <w:t>恒生港股通高股息率指数由恒生指数有限公司编制，旨在反映可通过港股通买卖的香港上市且拥有高股息证券的整体表现。</w:t>
            </w:r>
          </w:p>
          <w:p w14:paraId="3BE64689">
            <w:pPr>
              <w:spacing w:after="60" w:line="264" w:lineRule="auto"/>
              <w:rPr>
                <w:rFonts w:hint="eastAsia"/>
                <w:lang w:eastAsia="zh-CN"/>
              </w:rPr>
            </w:pPr>
            <w:r>
              <w:rPr>
                <w:strike/>
                <w:lang w:eastAsia="zh-CN"/>
              </w:rPr>
              <w:t>七</w:t>
            </w:r>
            <w:r>
              <w:rPr>
                <w:lang w:eastAsia="zh-CN"/>
              </w:rPr>
              <w:t>、风险收益特征</w:t>
            </w:r>
          </w:p>
          <w:p w14:paraId="21BF0C48">
            <w:pPr>
              <w:spacing w:after="60" w:line="264" w:lineRule="auto"/>
              <w:rPr>
                <w:rFonts w:hint="eastAsia"/>
                <w:lang w:eastAsia="zh-CN"/>
              </w:rPr>
            </w:pPr>
            <w:r>
              <w:rPr>
                <w:lang w:eastAsia="zh-CN"/>
              </w:rPr>
              <w:t>同时，本基金为被动式投资的股票指数基金，跟踪</w:t>
            </w:r>
            <w:r>
              <w:rPr>
                <w:strike/>
                <w:lang w:eastAsia="zh-CN"/>
              </w:rPr>
              <w:t>恒生港股通高股息率</w:t>
            </w:r>
            <w:r>
              <w:rPr>
                <w:lang w:eastAsia="zh-CN"/>
              </w:rPr>
              <w:t>指数，其预期风险与预期收益高于债券型基金、混合型基金、货币市场基金。</w:t>
            </w:r>
          </w:p>
          <w:p w14:paraId="0F901967">
            <w:pPr>
              <w:spacing w:after="60" w:line="264" w:lineRule="auto"/>
              <w:rPr>
                <w:rFonts w:hint="eastAsia"/>
                <w:lang w:eastAsia="zh-CN"/>
              </w:rPr>
            </w:pPr>
            <w:r>
              <w:rPr>
                <w:strike/>
                <w:lang w:eastAsia="zh-CN"/>
              </w:rPr>
              <w:t>八</w:t>
            </w:r>
            <w:r>
              <w:rPr>
                <w:lang w:eastAsia="zh-CN"/>
              </w:rPr>
              <w:t>、目标ETF发生相关变更情形时的处理</w:t>
            </w:r>
          </w:p>
          <w:p w14:paraId="08912781">
            <w:pPr>
              <w:spacing w:after="60" w:line="264" w:lineRule="auto"/>
              <w:rPr>
                <w:rFonts w:hint="eastAsia"/>
                <w:lang w:eastAsia="zh-CN"/>
              </w:rPr>
            </w:pPr>
            <w:r>
              <w:rPr>
                <w:strike/>
                <w:lang w:eastAsia="zh-CN"/>
              </w:rPr>
              <w:t>九</w:t>
            </w:r>
            <w:r>
              <w:rPr>
                <w:lang w:eastAsia="zh-CN"/>
              </w:rPr>
              <w:t>、基金管理人代表基金行使股东或债权人权利的处理原则及方法</w:t>
            </w:r>
          </w:p>
        </w:tc>
        <w:tc>
          <w:tcPr>
            <w:tcW w:w="4195" w:type="dxa"/>
            <w:tcMar>
              <w:top w:w="70" w:type="dxa"/>
              <w:left w:w="80" w:type="dxa"/>
              <w:bottom w:w="70" w:type="dxa"/>
              <w:right w:w="80" w:type="dxa"/>
            </w:tcMar>
          </w:tcPr>
          <w:p w14:paraId="319DAE82">
            <w:pPr>
              <w:spacing w:after="40" w:line="264" w:lineRule="auto"/>
              <w:rPr>
                <w:rFonts w:hint="eastAsia"/>
                <w:lang w:eastAsia="zh-CN"/>
              </w:rPr>
            </w:pPr>
            <w:r>
              <w:rPr>
                <w:lang w:eastAsia="zh-CN"/>
              </w:rPr>
              <w:t>一、投资目标</w:t>
            </w:r>
          </w:p>
          <w:p w14:paraId="76CFE2AC">
            <w:pPr>
              <w:spacing w:after="60" w:line="264" w:lineRule="auto"/>
              <w:rPr>
                <w:rFonts w:hint="eastAsia"/>
                <w:lang w:eastAsia="zh-CN"/>
              </w:rPr>
            </w:pPr>
            <w:r>
              <w:rPr>
                <w:lang w:eastAsia="zh-CN"/>
              </w:rPr>
              <w:t>通过主要投资于目标ETF，紧密跟踪标的指数即</w:t>
            </w:r>
            <w:r>
              <w:rPr>
                <w:b/>
                <w:lang w:eastAsia="zh-CN"/>
              </w:rPr>
              <w:t>恒生港股通红利</w:t>
            </w:r>
            <w:r>
              <w:rPr>
                <w:lang w:eastAsia="zh-CN"/>
              </w:rPr>
              <w:t>指数的表现，追求跟踪偏离度和跟踪误差的最小化。</w:t>
            </w:r>
          </w:p>
          <w:p w14:paraId="5EBBC05D">
            <w:pPr>
              <w:spacing w:after="40" w:line="264" w:lineRule="auto"/>
              <w:rPr>
                <w:rFonts w:hint="eastAsia"/>
                <w:lang w:eastAsia="zh-CN"/>
              </w:rPr>
            </w:pPr>
            <w:r>
              <w:rPr>
                <w:lang w:eastAsia="zh-CN"/>
              </w:rPr>
              <w:t>二、投资范围</w:t>
            </w:r>
          </w:p>
          <w:p w14:paraId="3524D921">
            <w:pPr>
              <w:spacing w:after="60" w:line="264" w:lineRule="auto"/>
              <w:rPr>
                <w:rFonts w:hint="eastAsia"/>
                <w:lang w:eastAsia="zh-CN"/>
              </w:rPr>
            </w:pPr>
            <w:r>
              <w:rPr>
                <w:lang w:eastAsia="zh-CN"/>
              </w:rPr>
              <w:t>本基金主要投资于目标ETF、标的指数即</w:t>
            </w:r>
            <w:r>
              <w:rPr>
                <w:b/>
                <w:lang w:eastAsia="zh-CN"/>
              </w:rPr>
              <w:t>恒生港股通红利</w:t>
            </w:r>
            <w:r>
              <w:rPr>
                <w:lang w:eastAsia="zh-CN"/>
              </w:rPr>
              <w:t>指数成份股和备选成份股票（含存托凭证），为更好地实现基金的投资目标，本基金可能会少量投资于依法发行或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1F12569E">
            <w:pPr>
              <w:spacing w:after="60" w:line="264" w:lineRule="auto"/>
              <w:rPr>
                <w:rFonts w:hint="eastAsia"/>
                <w:lang w:eastAsia="zh-CN"/>
              </w:rPr>
            </w:pPr>
          </w:p>
          <w:p w14:paraId="4BCA44D1">
            <w:pPr>
              <w:spacing w:after="60" w:line="264" w:lineRule="auto"/>
              <w:rPr>
                <w:rFonts w:hint="eastAsia"/>
                <w:lang w:eastAsia="zh-CN"/>
              </w:rPr>
            </w:pPr>
            <w:r>
              <w:rPr>
                <w:b/>
                <w:lang w:eastAsia="zh-CN"/>
              </w:rPr>
              <w:t>三、</w:t>
            </w:r>
            <w:r>
              <w:rPr>
                <w:lang w:eastAsia="zh-CN"/>
              </w:rPr>
              <w:t>投资策略</w:t>
            </w:r>
          </w:p>
          <w:p w14:paraId="558DD4BE">
            <w:pPr>
              <w:spacing w:after="60" w:line="264" w:lineRule="auto"/>
              <w:rPr>
                <w:rFonts w:hint="eastAsia"/>
                <w:lang w:eastAsia="zh-CN"/>
              </w:rPr>
            </w:pPr>
            <w:r>
              <w:rPr>
                <w:b/>
                <w:lang w:eastAsia="zh-CN"/>
              </w:rPr>
              <w:t>四</w:t>
            </w:r>
            <w:r>
              <w:rPr>
                <w:lang w:eastAsia="zh-CN"/>
              </w:rPr>
              <w:t>、投资禁止行为与限制</w:t>
            </w:r>
          </w:p>
          <w:p w14:paraId="1C483FED">
            <w:pPr>
              <w:spacing w:after="60" w:line="264" w:lineRule="auto"/>
              <w:rPr>
                <w:rFonts w:hint="eastAsia"/>
                <w:lang w:eastAsia="zh-CN"/>
              </w:rPr>
            </w:pPr>
            <w:r>
              <w:rPr>
                <w:b/>
                <w:lang w:eastAsia="zh-CN"/>
              </w:rPr>
              <w:t>五</w:t>
            </w:r>
            <w:r>
              <w:rPr>
                <w:lang w:eastAsia="zh-CN"/>
              </w:rPr>
              <w:t>、</w:t>
            </w:r>
            <w:r>
              <w:rPr>
                <w:b/>
                <w:lang w:eastAsia="zh-CN"/>
              </w:rPr>
              <w:t>标的指数和</w:t>
            </w:r>
            <w:r>
              <w:rPr>
                <w:lang w:eastAsia="zh-CN"/>
              </w:rPr>
              <w:t>业绩比较基准</w:t>
            </w:r>
          </w:p>
          <w:p w14:paraId="4753F843">
            <w:pPr>
              <w:spacing w:after="60" w:line="264" w:lineRule="auto"/>
              <w:rPr>
                <w:rFonts w:hint="eastAsia"/>
                <w:lang w:eastAsia="zh-CN"/>
              </w:rPr>
            </w:pPr>
            <w:r>
              <w:rPr>
                <w:b/>
                <w:lang w:eastAsia="zh-CN"/>
              </w:rPr>
              <w:t>本基金的标的指数为恒生港股通红利指数。</w:t>
            </w:r>
          </w:p>
          <w:p w14:paraId="6CAB1E81">
            <w:pPr>
              <w:spacing w:after="60" w:line="264" w:lineRule="auto"/>
              <w:rPr>
                <w:rFonts w:hint="eastAsia"/>
                <w:lang w:eastAsia="zh-CN"/>
              </w:rPr>
            </w:pPr>
            <w:r>
              <w:rPr>
                <w:b/>
                <w:lang w:eastAsia="zh-CN"/>
              </w:rPr>
              <w:t>本基金的业绩比较基准为：恒生港股通红利指数（港元）收益率×95%+活期存款基准利率×5%</w:t>
            </w:r>
          </w:p>
          <w:p w14:paraId="1B5CCB8A">
            <w:pPr>
              <w:spacing w:after="60" w:line="264" w:lineRule="auto"/>
              <w:rPr>
                <w:rFonts w:hint="eastAsia"/>
                <w:lang w:eastAsia="zh-CN"/>
              </w:rPr>
            </w:pPr>
            <w:r>
              <w:rPr>
                <w:b/>
                <w:lang w:eastAsia="zh-CN"/>
              </w:rPr>
              <w:t>1、业绩比较基准设定的原因</w:t>
            </w:r>
          </w:p>
          <w:p w14:paraId="1B2ACBEF">
            <w:pPr>
              <w:spacing w:after="60" w:line="264" w:lineRule="auto"/>
              <w:rPr>
                <w:rFonts w:hint="eastAsia"/>
                <w:lang w:eastAsia="zh-CN"/>
              </w:rPr>
            </w:pPr>
            <w:r>
              <w:rPr>
                <w:b/>
                <w:lang w:eastAsia="zh-CN"/>
              </w:rPr>
              <w:t>本基金为股票型ETF联接基金,主要投资于目标ETF即博时恒生港股通红利交易型开放式指数证券投资基金，以“紧密跟踪标的指数即恒生港股通红利指数的表现，追求跟踪偏离度和跟踪误差的最小化”为投资目标，在投资中将不低于基金资产净值的90%，且不低于非现金基金资产的80%的资产投资于目标ETF。本基金的标的指数为恒生港股通红利指数，相应选取恒生港股通红利指数和活期存款基准利率作为基准要素，同时将恒生港股通红利指数的基准要素权重设置为95%；选取活期存款基准利率作为流动性管理部分的业绩比较基准，同时将活期存款基准利率的基准要素权重设置为5%。</w:t>
            </w:r>
          </w:p>
          <w:p w14:paraId="12EE16FE">
            <w:pPr>
              <w:spacing w:after="60" w:line="264" w:lineRule="auto"/>
              <w:rPr>
                <w:rFonts w:hint="eastAsia"/>
                <w:lang w:eastAsia="zh-CN"/>
              </w:rPr>
            </w:pPr>
            <w:r>
              <w:rPr>
                <w:b/>
                <w:lang w:eastAsia="zh-CN"/>
              </w:rPr>
              <w:t>综上，本基金选取的业绩比较基准与基金投资目标、投资范围、投资策略、投资比例限制相匹配。</w:t>
            </w:r>
          </w:p>
          <w:p w14:paraId="12FAE71D">
            <w:pPr>
              <w:spacing w:after="60" w:line="264" w:lineRule="auto"/>
              <w:rPr>
                <w:rFonts w:hint="eastAsia"/>
                <w:lang w:eastAsia="zh-CN"/>
              </w:rPr>
            </w:pPr>
            <w:r>
              <w:rPr>
                <w:b/>
                <w:lang w:eastAsia="zh-CN"/>
              </w:rPr>
              <w:t>2、业绩比较基准要素的基本信息</w:t>
            </w:r>
          </w:p>
          <w:p w14:paraId="7081E53D">
            <w:pPr>
              <w:spacing w:after="60" w:line="264" w:lineRule="auto"/>
              <w:rPr>
                <w:rFonts w:hint="eastAsia"/>
              </w:rPr>
            </w:pPr>
            <w:r>
              <w:rPr>
                <w:b/>
              </w:rPr>
              <w:t>恒生港股通红利指数由恒生指数有限公司编制发布，指数代码为HSSCHKY，具体信息详见恒生指数有限公司网站，网址：https://www.hsi.com.hk/schi。</w:t>
            </w:r>
          </w:p>
          <w:p w14:paraId="3CDB5F0F">
            <w:pPr>
              <w:spacing w:after="60" w:line="264" w:lineRule="auto"/>
              <w:rPr>
                <w:rFonts w:hint="eastAsia"/>
              </w:rPr>
            </w:pPr>
            <w:r>
              <w:rPr>
                <w:b/>
              </w:rPr>
              <w:t>活期存款基准利率由中国人民银行发布，具体信息详见中国人民银行网站，网址：www.pbc.gov.cn。</w:t>
            </w:r>
          </w:p>
          <w:p w14:paraId="6A520155">
            <w:pPr>
              <w:spacing w:after="60" w:line="264" w:lineRule="auto"/>
              <w:rPr>
                <w:rFonts w:hint="eastAsia"/>
                <w:lang w:eastAsia="zh-CN"/>
              </w:rPr>
            </w:pPr>
            <w:r>
              <w:rPr>
                <w:b/>
                <w:lang w:eastAsia="zh-CN"/>
              </w:rPr>
              <w:t>3、业绩比较基准的计算方法</w:t>
            </w:r>
          </w:p>
          <w:p w14:paraId="7B94E8D7">
            <w:pPr>
              <w:spacing w:after="60" w:line="264" w:lineRule="auto"/>
              <w:rPr>
                <w:rFonts w:hint="eastAsia"/>
                <w:lang w:eastAsia="zh-CN"/>
              </w:rPr>
            </w:pPr>
            <w:r>
              <w:rPr>
                <w:b/>
                <w:lang w:eastAsia="zh-CN"/>
              </w:rPr>
              <w:t>本基金业绩比较基准收益率的计算方法以每日收益率为基础，以时间加权为计算原则。本基金先分别计算业绩比较基准中恒生港股通红利指数（港元）和活期存款基准利率的每日收益率，再按照预设权重比例计算当日组合要素基准的日收益率，并连乘每日收益率。恒生港股通红利指数（港元）收益率采用估值汇率进行调整，由港元计价折算为人民币计价后，再纳入计算。</w:t>
            </w:r>
          </w:p>
          <w:p w14:paraId="178C7D6A">
            <w:pPr>
              <w:spacing w:after="60" w:line="264" w:lineRule="auto"/>
              <w:rPr>
                <w:rFonts w:hint="eastAsia"/>
                <w:lang w:eastAsia="zh-CN"/>
              </w:rPr>
            </w:pPr>
            <w:r>
              <w:rPr>
                <w:b/>
                <w:lang w:eastAsia="zh-CN"/>
              </w:rPr>
              <w:t>4、管理投资偏离业绩比较基准的定性或定量方法</w:t>
            </w:r>
          </w:p>
          <w:p w14:paraId="53DC5758">
            <w:pPr>
              <w:spacing w:after="60" w:line="264" w:lineRule="auto"/>
              <w:rPr>
                <w:rFonts w:hint="eastAsia"/>
                <w:lang w:eastAsia="zh-CN"/>
              </w:rPr>
            </w:pPr>
            <w:r>
              <w:rPr>
                <w:b/>
                <w:lang w:eastAsia="zh-CN"/>
              </w:rPr>
              <w:t>本基金主要通过投资于目标ETF，实现对指数的紧密跟踪。在正常市场情况下，本基金力争与业绩比较基准之间的日均跟踪偏离度的绝对值不超过0.35%，年化跟踪误差不超过4%。如因指数编制规则调整或其他因素导致跟踪误差超过上述范围，基金管理人应采取合理措施避免跟踪误差进一步扩大。</w:t>
            </w:r>
          </w:p>
          <w:p w14:paraId="384A8984">
            <w:pPr>
              <w:spacing w:after="60" w:line="264" w:lineRule="auto"/>
              <w:rPr>
                <w:rFonts w:hint="eastAsia"/>
                <w:lang w:eastAsia="zh-CN"/>
              </w:rPr>
            </w:pPr>
            <w:r>
              <w:rPr>
                <w:b/>
                <w:lang w:eastAsia="zh-CN"/>
              </w:rPr>
              <w:t>5、未来可能变更业绩比较基准的情况和程序</w:t>
            </w:r>
          </w:p>
          <w:p w14:paraId="6BCAFE07">
            <w:pPr>
              <w:spacing w:after="60" w:line="264" w:lineRule="auto"/>
              <w:rPr>
                <w:rFonts w:hint="eastAsia"/>
                <w:lang w:eastAsia="zh-CN"/>
              </w:rPr>
            </w:pPr>
            <w:r>
              <w:rPr>
                <w:b/>
                <w:lang w:eastAsia="zh-CN"/>
              </w:rPr>
              <w:t>若本基金调整业绩比较基准的要素权重，本基金将根据法律法规、中国证监会的规定和基金合同约定履行相关程序。</w:t>
            </w:r>
          </w:p>
          <w:p w14:paraId="63D6AB08">
            <w:pPr>
              <w:spacing w:after="60" w:line="264" w:lineRule="auto"/>
              <w:rPr>
                <w:rFonts w:hint="eastAsia"/>
                <w:lang w:eastAsia="zh-CN"/>
              </w:rPr>
            </w:pPr>
            <w:r>
              <w:rPr>
                <w:b/>
                <w:lang w:eastAsia="zh-CN"/>
              </w:rPr>
              <w:t>未来若出现标的指数不符合要求（因成份股价格波动等指数编制方法变动之外的因素致使标的指数不符合要求以及法律法规、监管机构另有规定的情形除外）、指数编制机构退出等情形，除法律法规、监管机构另有规定或基金合同另有规定除外，基金管理人应当自该情形发生之日起十个工作日内向中国证监会报告并提出解决方案，如转换运作方式、与其他基金合并或者终止基金合同等，并在6个月内召集基金份额持有人大会。</w:t>
            </w:r>
          </w:p>
          <w:p w14:paraId="3EF4A8FE">
            <w:pPr>
              <w:spacing w:after="60" w:line="264" w:lineRule="auto"/>
              <w:rPr>
                <w:rFonts w:hint="eastAsia"/>
                <w:lang w:eastAsia="zh-CN"/>
              </w:rPr>
            </w:pPr>
            <w:r>
              <w:rPr>
                <w:b/>
                <w:lang w:eastAsia="zh-CN"/>
              </w:rPr>
              <w:t>自指数编制机构停止标的指数的编制及发布至解决方案确定期间，基金管理人应按照指数编制机构提供的最近一个交易日的指数信息遵循基金份额持有人利益优先原则维持基金投资运作。</w:t>
            </w:r>
          </w:p>
          <w:p w14:paraId="42DEFAC6">
            <w:pPr>
              <w:spacing w:after="60" w:line="264" w:lineRule="auto"/>
              <w:rPr>
                <w:rFonts w:hint="eastAsia"/>
                <w:lang w:eastAsia="zh-CN"/>
              </w:rPr>
            </w:pPr>
            <w:r>
              <w:rPr>
                <w:b/>
                <w:lang w:eastAsia="zh-CN"/>
              </w:rPr>
              <w:t>法律法规或监管机构另有规定的，从其规定。</w:t>
            </w:r>
          </w:p>
          <w:p w14:paraId="1EADFDE4">
            <w:pPr>
              <w:spacing w:after="60" w:line="264" w:lineRule="auto"/>
              <w:rPr>
                <w:rFonts w:hint="eastAsia"/>
                <w:lang w:eastAsia="zh-CN"/>
              </w:rPr>
            </w:pPr>
          </w:p>
          <w:p w14:paraId="65B99ACF">
            <w:pPr>
              <w:spacing w:after="60" w:line="264" w:lineRule="auto"/>
              <w:rPr>
                <w:rFonts w:hint="eastAsia"/>
                <w:lang w:eastAsia="zh-CN"/>
              </w:rPr>
            </w:pPr>
            <w:r>
              <w:rPr>
                <w:b/>
                <w:lang w:eastAsia="zh-CN"/>
              </w:rPr>
              <w:t>六</w:t>
            </w:r>
            <w:r>
              <w:rPr>
                <w:lang w:eastAsia="zh-CN"/>
              </w:rPr>
              <w:t>、风险收益特征</w:t>
            </w:r>
          </w:p>
          <w:p w14:paraId="2599C063">
            <w:pPr>
              <w:spacing w:after="60" w:line="264" w:lineRule="auto"/>
              <w:rPr>
                <w:rFonts w:hint="eastAsia"/>
                <w:lang w:eastAsia="zh-CN"/>
              </w:rPr>
            </w:pPr>
            <w:r>
              <w:rPr>
                <w:lang w:eastAsia="zh-CN"/>
              </w:rPr>
              <w:t>同时，本基金为被动式投资的股票指数基金，跟踪</w:t>
            </w:r>
            <w:r>
              <w:rPr>
                <w:b/>
                <w:lang w:eastAsia="zh-CN"/>
              </w:rPr>
              <w:t>恒生港股通红利</w:t>
            </w:r>
            <w:r>
              <w:rPr>
                <w:lang w:eastAsia="zh-CN"/>
              </w:rPr>
              <w:t>指数，其预期风险与预期收益高于债券型基金、混合型基金、货币市场基金。</w:t>
            </w:r>
          </w:p>
          <w:p w14:paraId="205F177E">
            <w:pPr>
              <w:spacing w:after="60" w:line="264" w:lineRule="auto"/>
              <w:rPr>
                <w:rFonts w:hint="eastAsia"/>
                <w:lang w:eastAsia="zh-CN"/>
              </w:rPr>
            </w:pPr>
            <w:r>
              <w:rPr>
                <w:b/>
                <w:lang w:eastAsia="zh-CN"/>
              </w:rPr>
              <w:t>七</w:t>
            </w:r>
            <w:r>
              <w:rPr>
                <w:lang w:eastAsia="zh-CN"/>
              </w:rPr>
              <w:t>、目标ETF发生相关变更情形时的处理</w:t>
            </w:r>
          </w:p>
          <w:p w14:paraId="7648E676">
            <w:pPr>
              <w:spacing w:after="60" w:line="264" w:lineRule="auto"/>
              <w:rPr>
                <w:rFonts w:hint="eastAsia"/>
                <w:lang w:eastAsia="zh-CN"/>
              </w:rPr>
            </w:pPr>
            <w:r>
              <w:rPr>
                <w:b/>
                <w:lang w:eastAsia="zh-CN"/>
              </w:rPr>
              <w:t>八</w:t>
            </w:r>
            <w:r>
              <w:rPr>
                <w:lang w:eastAsia="zh-CN"/>
              </w:rPr>
              <w:t>、基金管理人代表基金行使股东或债权人权利的处理原则及方法</w:t>
            </w:r>
          </w:p>
        </w:tc>
      </w:tr>
      <w:tr w14:paraId="6A0B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13B7792B">
            <w:pPr>
              <w:spacing w:after="0" w:line="240" w:lineRule="auto"/>
              <w:jc w:val="center"/>
              <w:rPr>
                <w:rFonts w:hint="eastAsia"/>
              </w:rPr>
            </w:pPr>
            <w:r>
              <w:rPr>
                <w:b/>
              </w:rPr>
              <w:t>第二十四部分 基金合同摘要</w:t>
            </w:r>
          </w:p>
        </w:tc>
        <w:tc>
          <w:tcPr>
            <w:tcW w:w="4195" w:type="dxa"/>
            <w:tcMar>
              <w:top w:w="70" w:type="dxa"/>
              <w:left w:w="80" w:type="dxa"/>
              <w:bottom w:w="70" w:type="dxa"/>
              <w:right w:w="80" w:type="dxa"/>
            </w:tcMar>
          </w:tcPr>
          <w:p w14:paraId="161D7D50">
            <w:pPr>
              <w:spacing w:after="40" w:line="264" w:lineRule="auto"/>
              <w:rPr>
                <w:rFonts w:hint="eastAsia"/>
                <w:lang w:eastAsia="zh-CN"/>
              </w:rPr>
            </w:pPr>
            <w:r>
              <w:rPr>
                <w:lang w:eastAsia="zh-CN"/>
              </w:rPr>
              <w:t>五、基金资产的投资范围和投资限制</w:t>
            </w:r>
          </w:p>
          <w:p w14:paraId="29B764B4">
            <w:pPr>
              <w:spacing w:after="40" w:line="264" w:lineRule="auto"/>
              <w:rPr>
                <w:rFonts w:hint="eastAsia"/>
                <w:lang w:eastAsia="zh-CN"/>
              </w:rPr>
            </w:pPr>
            <w:r>
              <w:rPr>
                <w:lang w:eastAsia="zh-CN"/>
              </w:rPr>
              <w:t>（一）投资范围</w:t>
            </w:r>
          </w:p>
          <w:p w14:paraId="05A482C5">
            <w:pPr>
              <w:spacing w:after="60" w:line="264" w:lineRule="auto"/>
              <w:rPr>
                <w:rFonts w:hint="eastAsia"/>
                <w:lang w:eastAsia="zh-CN"/>
              </w:rPr>
            </w:pPr>
            <w:r>
              <w:rPr>
                <w:lang w:eastAsia="zh-CN"/>
              </w:rPr>
              <w:t>本基金主要投资于目标ETF、标的指数即</w:t>
            </w:r>
            <w:r>
              <w:rPr>
                <w:strike/>
                <w:lang w:eastAsia="zh-CN"/>
              </w:rPr>
              <w:t>恒生港股通高股息率</w:t>
            </w:r>
            <w:r>
              <w:rPr>
                <w:lang w:eastAsia="zh-CN"/>
              </w:rPr>
              <w:t>指数成份股和备选成份股票（含存托凭证），为更好地实现基金的投资目标，本基金可能会少量投资于依法发行或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550BE963">
            <w:pPr>
              <w:spacing w:after="60" w:line="264" w:lineRule="auto"/>
              <w:rPr>
                <w:rFonts w:hint="eastAsia"/>
              </w:rPr>
            </w:pPr>
          </w:p>
        </w:tc>
        <w:tc>
          <w:tcPr>
            <w:tcW w:w="4195" w:type="dxa"/>
            <w:tcMar>
              <w:top w:w="70" w:type="dxa"/>
              <w:left w:w="80" w:type="dxa"/>
              <w:bottom w:w="70" w:type="dxa"/>
              <w:right w:w="80" w:type="dxa"/>
            </w:tcMar>
          </w:tcPr>
          <w:p w14:paraId="5BD05C57">
            <w:pPr>
              <w:spacing w:after="40" w:line="264" w:lineRule="auto"/>
              <w:rPr>
                <w:rFonts w:hint="eastAsia"/>
                <w:lang w:eastAsia="zh-CN"/>
              </w:rPr>
            </w:pPr>
            <w:r>
              <w:rPr>
                <w:lang w:eastAsia="zh-CN"/>
              </w:rPr>
              <w:t>五、基金资产的投资范围和投资限制</w:t>
            </w:r>
          </w:p>
          <w:p w14:paraId="4E746E8E">
            <w:pPr>
              <w:spacing w:after="40" w:line="264" w:lineRule="auto"/>
              <w:rPr>
                <w:rFonts w:hint="eastAsia"/>
                <w:lang w:eastAsia="zh-CN"/>
              </w:rPr>
            </w:pPr>
            <w:r>
              <w:rPr>
                <w:lang w:eastAsia="zh-CN"/>
              </w:rPr>
              <w:t>（一）投资范围</w:t>
            </w:r>
          </w:p>
          <w:p w14:paraId="3D641A89">
            <w:pPr>
              <w:spacing w:after="60" w:line="264" w:lineRule="auto"/>
              <w:rPr>
                <w:rFonts w:hint="eastAsia"/>
                <w:lang w:eastAsia="zh-CN"/>
              </w:rPr>
            </w:pPr>
            <w:r>
              <w:rPr>
                <w:lang w:eastAsia="zh-CN"/>
              </w:rPr>
              <w:t>本基金主要投资于目标ETF、标的指数即</w:t>
            </w:r>
            <w:r>
              <w:rPr>
                <w:b/>
                <w:lang w:eastAsia="zh-CN"/>
              </w:rPr>
              <w:t>恒生港股通红利</w:t>
            </w:r>
            <w:r>
              <w:rPr>
                <w:lang w:eastAsia="zh-CN"/>
              </w:rPr>
              <w:t>指数成份股和备选成份股票（含存托凭证），为更好地实现基金的投资目标，本基金可能会少量投资于依法发行或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0FEB30F7">
            <w:pPr>
              <w:spacing w:after="60" w:line="264" w:lineRule="auto"/>
              <w:rPr>
                <w:rFonts w:hint="eastAsia"/>
                <w:lang w:eastAsia="zh-CN"/>
              </w:rPr>
            </w:pPr>
          </w:p>
        </w:tc>
      </w:tr>
    </w:tbl>
    <w:p w14:paraId="409D66D9">
      <w:pPr>
        <w:rPr>
          <w:rFonts w:hint="eastAsia"/>
          <w:lang w:eastAsia="zh-CN"/>
        </w:rPr>
      </w:pPr>
      <w:r>
        <w:rPr>
          <w:lang w:eastAsia="zh-CN"/>
        </w:rPr>
        <w:br w:type="textWrapping"/>
      </w:r>
    </w:p>
    <w:p w14:paraId="1D121FD9">
      <w:pPr>
        <w:spacing w:before="80" w:after="80"/>
        <w:rPr>
          <w:rFonts w:hint="eastAsia"/>
        </w:rPr>
      </w:pPr>
      <w:r>
        <w:rPr>
          <w:b/>
          <w:sz w:val="22"/>
        </w:rPr>
        <w:t>2、托管协议</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4195"/>
        <w:gridCol w:w="4195"/>
      </w:tblGrid>
      <w:tr w14:paraId="7E910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275" w:type="dxa"/>
            <w:shd w:val="clear" w:color="auto" w:fill="E7E6E6"/>
            <w:tcMar>
              <w:top w:w="70" w:type="dxa"/>
              <w:left w:w="80" w:type="dxa"/>
              <w:bottom w:w="70" w:type="dxa"/>
              <w:right w:w="80" w:type="dxa"/>
            </w:tcMar>
            <w:vAlign w:val="center"/>
          </w:tcPr>
          <w:p w14:paraId="175E961D">
            <w:pPr>
              <w:spacing w:after="0" w:line="240" w:lineRule="auto"/>
              <w:jc w:val="center"/>
              <w:rPr>
                <w:rFonts w:hint="eastAsia"/>
              </w:rPr>
            </w:pPr>
            <w:r>
              <w:rPr>
                <w:b/>
                <w:sz w:val="20"/>
              </w:rPr>
              <w:t>章节</w:t>
            </w:r>
          </w:p>
        </w:tc>
        <w:tc>
          <w:tcPr>
            <w:tcW w:w="4195" w:type="dxa"/>
            <w:shd w:val="clear" w:color="auto" w:fill="E7E6E6"/>
            <w:tcMar>
              <w:top w:w="70" w:type="dxa"/>
              <w:left w:w="80" w:type="dxa"/>
              <w:bottom w:w="70" w:type="dxa"/>
              <w:right w:w="80" w:type="dxa"/>
            </w:tcMar>
            <w:vAlign w:val="center"/>
          </w:tcPr>
          <w:p w14:paraId="1E458E58">
            <w:pPr>
              <w:spacing w:after="0" w:line="240" w:lineRule="auto"/>
              <w:jc w:val="center"/>
              <w:rPr>
                <w:rFonts w:hint="eastAsia"/>
              </w:rPr>
            </w:pPr>
            <w:r>
              <w:rPr>
                <w:b/>
                <w:sz w:val="20"/>
              </w:rPr>
              <w:t>修订前</w:t>
            </w:r>
          </w:p>
        </w:tc>
        <w:tc>
          <w:tcPr>
            <w:tcW w:w="4195" w:type="dxa"/>
            <w:shd w:val="clear" w:color="auto" w:fill="E7E6E6"/>
            <w:tcMar>
              <w:top w:w="70" w:type="dxa"/>
              <w:left w:w="80" w:type="dxa"/>
              <w:bottom w:w="70" w:type="dxa"/>
              <w:right w:w="80" w:type="dxa"/>
            </w:tcMar>
            <w:vAlign w:val="center"/>
          </w:tcPr>
          <w:p w14:paraId="2359AC39">
            <w:pPr>
              <w:spacing w:after="0" w:line="240" w:lineRule="auto"/>
              <w:jc w:val="center"/>
              <w:rPr>
                <w:rFonts w:hint="eastAsia"/>
              </w:rPr>
            </w:pPr>
            <w:r>
              <w:rPr>
                <w:b/>
                <w:sz w:val="20"/>
              </w:rPr>
              <w:t>修订后</w:t>
            </w:r>
          </w:p>
        </w:tc>
      </w:tr>
      <w:tr w14:paraId="5C851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0DBC550A">
            <w:pPr>
              <w:spacing w:after="0" w:line="240" w:lineRule="auto"/>
              <w:jc w:val="center"/>
              <w:rPr>
                <w:rFonts w:hint="eastAsia"/>
              </w:rPr>
            </w:pPr>
            <w:r>
              <w:rPr>
                <w:b/>
              </w:rPr>
              <w:t>前言</w:t>
            </w:r>
          </w:p>
        </w:tc>
        <w:tc>
          <w:tcPr>
            <w:tcW w:w="4195" w:type="dxa"/>
            <w:tcMar>
              <w:top w:w="70" w:type="dxa"/>
              <w:left w:w="80" w:type="dxa"/>
              <w:bottom w:w="70" w:type="dxa"/>
              <w:right w:w="80" w:type="dxa"/>
            </w:tcMar>
          </w:tcPr>
          <w:p w14:paraId="685EF1B9">
            <w:pPr>
              <w:spacing w:after="60" w:line="264" w:lineRule="auto"/>
              <w:rPr>
                <w:rFonts w:hint="eastAsia"/>
                <w:lang w:eastAsia="zh-CN"/>
              </w:rPr>
            </w:pPr>
            <w:r>
              <w:rPr>
                <w:lang w:eastAsia="zh-CN"/>
              </w:rPr>
              <w:t>鉴于博时基金管理有限公司系一家依照中国法律合法成立并有效存续的有限责任公司，按照相关法律法规的规定具备担任基金管理人的资格和能力，拟募集发行博时</w:t>
            </w:r>
            <w:r>
              <w:rPr>
                <w:strike/>
                <w:lang w:eastAsia="zh-CN"/>
              </w:rPr>
              <w:t>恒生港股通高股息率</w:t>
            </w:r>
            <w:r>
              <w:rPr>
                <w:lang w:eastAsia="zh-CN"/>
              </w:rPr>
              <w:t>交易型开放式指数证券投资基金发起式联接基金；</w:t>
            </w:r>
          </w:p>
          <w:p w14:paraId="7647ADAA">
            <w:pPr>
              <w:spacing w:after="60" w:line="264" w:lineRule="auto"/>
              <w:rPr>
                <w:rFonts w:hint="eastAsia"/>
                <w:lang w:eastAsia="zh-CN"/>
              </w:rPr>
            </w:pPr>
            <w:r>
              <w:rPr>
                <w:lang w:eastAsia="zh-CN"/>
              </w:rPr>
              <w:t>鉴于博时基金管理有限公司拟担任博时</w:t>
            </w:r>
            <w:r>
              <w:rPr>
                <w:strike/>
                <w:lang w:eastAsia="zh-CN"/>
              </w:rPr>
              <w:t>恒生港股通高股息率</w:t>
            </w:r>
            <w:r>
              <w:rPr>
                <w:lang w:eastAsia="zh-CN"/>
              </w:rPr>
              <w:t>交易型开放式指数证券投资基金发起式联接基金的基金管理人，中国国际金融股份有限公司拟担任博时</w:t>
            </w:r>
            <w:r>
              <w:rPr>
                <w:strike/>
                <w:lang w:eastAsia="zh-CN"/>
              </w:rPr>
              <w:t>恒生港股通高股息率</w:t>
            </w:r>
            <w:r>
              <w:rPr>
                <w:lang w:eastAsia="zh-CN"/>
              </w:rPr>
              <w:t>交易型开放式指数证券投资基金发起式联接基金的基金托管人；</w:t>
            </w:r>
          </w:p>
          <w:p w14:paraId="05612779">
            <w:pPr>
              <w:spacing w:after="60" w:line="264" w:lineRule="auto"/>
              <w:rPr>
                <w:rFonts w:hint="eastAsia"/>
                <w:lang w:eastAsia="zh-CN"/>
              </w:rPr>
            </w:pPr>
            <w:r>
              <w:rPr>
                <w:lang w:eastAsia="zh-CN"/>
              </w:rPr>
              <w:t>为明确博时</w:t>
            </w:r>
            <w:r>
              <w:rPr>
                <w:strike/>
                <w:lang w:eastAsia="zh-CN"/>
              </w:rPr>
              <w:t>恒生港股通高股息率</w:t>
            </w:r>
            <w:r>
              <w:rPr>
                <w:lang w:eastAsia="zh-CN"/>
              </w:rPr>
              <w:t>交易型开放式指数证券投资基金发起式联接基金的基金管理人和基金托管人之间的权利义务关系，特制订本托管协议。</w:t>
            </w:r>
          </w:p>
          <w:p w14:paraId="35FFE05C">
            <w:pPr>
              <w:spacing w:after="60" w:line="264" w:lineRule="auto"/>
              <w:rPr>
                <w:rFonts w:hint="eastAsia"/>
                <w:lang w:eastAsia="zh-CN"/>
              </w:rPr>
            </w:pPr>
            <w:r>
              <w:rPr>
                <w:lang w:eastAsia="zh-CN"/>
              </w:rPr>
              <w:t>除非另有约定，《博时</w:t>
            </w:r>
            <w:r>
              <w:rPr>
                <w:strike/>
                <w:lang w:eastAsia="zh-CN"/>
              </w:rPr>
              <w:t>恒生港股通高股息率</w:t>
            </w:r>
            <w:r>
              <w:rPr>
                <w:lang w:eastAsia="zh-CN"/>
              </w:rPr>
              <w:t>交易型开放式指数证券投资基金发起式联接基金基金合同》（以下简称“《基金合同》”）中定义的术语在用于本托管协议时应具有相同的含义；若有抵触应以《基金合同》为准，并依其条款解释。</w:t>
            </w:r>
          </w:p>
        </w:tc>
        <w:tc>
          <w:tcPr>
            <w:tcW w:w="4195" w:type="dxa"/>
            <w:tcMar>
              <w:top w:w="70" w:type="dxa"/>
              <w:left w:w="80" w:type="dxa"/>
              <w:bottom w:w="70" w:type="dxa"/>
              <w:right w:w="80" w:type="dxa"/>
            </w:tcMar>
          </w:tcPr>
          <w:p w14:paraId="4ADFCB6B">
            <w:pPr>
              <w:spacing w:after="60" w:line="264" w:lineRule="auto"/>
              <w:rPr>
                <w:rFonts w:hint="eastAsia"/>
                <w:lang w:eastAsia="zh-CN"/>
              </w:rPr>
            </w:pPr>
            <w:r>
              <w:rPr>
                <w:b/>
                <w:lang w:eastAsia="zh-CN"/>
              </w:rPr>
              <w:t>博时恒生港股通红利交易型开放式指数证券投资基金发起式联接基金是由博时恒生港股通高股息率交易型开放式指数证券投资基金发起式联接基金更名而来。</w:t>
            </w:r>
            <w:r>
              <w:rPr>
                <w:lang w:eastAsia="zh-CN"/>
              </w:rPr>
              <w:t>鉴于博时基金管理有限公司系一家依照中国法律合法成立并有效存续的有限责任公司，按照相关法律法规的规定具备担任基金管理人的资格和能力，拟募集发行博时</w:t>
            </w:r>
            <w:r>
              <w:rPr>
                <w:b/>
                <w:lang w:eastAsia="zh-CN"/>
              </w:rPr>
              <w:t>恒生港股通红利</w:t>
            </w:r>
            <w:r>
              <w:rPr>
                <w:lang w:eastAsia="zh-CN"/>
              </w:rPr>
              <w:t>交易型开放式指数证券投资基金发起式联接基金；</w:t>
            </w:r>
          </w:p>
          <w:p w14:paraId="6B02B11C">
            <w:pPr>
              <w:spacing w:after="60" w:line="264" w:lineRule="auto"/>
              <w:rPr>
                <w:rFonts w:hint="eastAsia"/>
                <w:lang w:eastAsia="zh-CN"/>
              </w:rPr>
            </w:pPr>
            <w:r>
              <w:rPr>
                <w:lang w:eastAsia="zh-CN"/>
              </w:rPr>
              <w:t>鉴于博时基金管理有限公司拟担任博时</w:t>
            </w:r>
            <w:r>
              <w:rPr>
                <w:b/>
                <w:lang w:eastAsia="zh-CN"/>
              </w:rPr>
              <w:t>恒生港股通红利</w:t>
            </w:r>
            <w:r>
              <w:rPr>
                <w:lang w:eastAsia="zh-CN"/>
              </w:rPr>
              <w:t>交易型开放式指数证券投资基金发起式联接基金的基金管理人，中国国际金融股份有限公司拟担任博时</w:t>
            </w:r>
            <w:r>
              <w:rPr>
                <w:b/>
                <w:lang w:eastAsia="zh-CN"/>
              </w:rPr>
              <w:t>恒生港股通红利</w:t>
            </w:r>
            <w:r>
              <w:rPr>
                <w:lang w:eastAsia="zh-CN"/>
              </w:rPr>
              <w:t>交易型开放式指数证券投资基金发起式联接基金的基金托管人；</w:t>
            </w:r>
          </w:p>
          <w:p w14:paraId="57892F4A">
            <w:pPr>
              <w:spacing w:after="60" w:line="264" w:lineRule="auto"/>
              <w:rPr>
                <w:rFonts w:hint="eastAsia"/>
                <w:lang w:eastAsia="zh-CN"/>
              </w:rPr>
            </w:pPr>
            <w:r>
              <w:rPr>
                <w:lang w:eastAsia="zh-CN"/>
              </w:rPr>
              <w:t>为明确博时</w:t>
            </w:r>
            <w:r>
              <w:rPr>
                <w:b/>
                <w:lang w:eastAsia="zh-CN"/>
              </w:rPr>
              <w:t>恒生港股通红利</w:t>
            </w:r>
            <w:r>
              <w:rPr>
                <w:lang w:eastAsia="zh-CN"/>
              </w:rPr>
              <w:t>交易型开放式指数证券投资基金发起式联接基金的基金管理人和基金托管人之间的权利义务关系，特制订本托管协议。</w:t>
            </w:r>
          </w:p>
          <w:p w14:paraId="2E868D7B">
            <w:pPr>
              <w:spacing w:after="60" w:line="264" w:lineRule="auto"/>
              <w:rPr>
                <w:rFonts w:hint="eastAsia"/>
                <w:lang w:eastAsia="zh-CN"/>
              </w:rPr>
            </w:pPr>
            <w:r>
              <w:rPr>
                <w:lang w:eastAsia="zh-CN"/>
              </w:rPr>
              <w:t>除非另有约定，《博时</w:t>
            </w:r>
            <w:r>
              <w:rPr>
                <w:b/>
                <w:lang w:eastAsia="zh-CN"/>
              </w:rPr>
              <w:t>恒生港股通红利</w:t>
            </w:r>
            <w:r>
              <w:rPr>
                <w:lang w:eastAsia="zh-CN"/>
              </w:rPr>
              <w:t>交易型开放式指</w:t>
            </w:r>
            <w:bookmarkStart w:id="0" w:name="_GoBack"/>
            <w:bookmarkEnd w:id="0"/>
            <w:r>
              <w:rPr>
                <w:lang w:eastAsia="zh-CN"/>
              </w:rPr>
              <w:t>数证券投资基金发起式联接基金基金合同》（以下简称“《基金合同》”）中定义的术语在用于本托管协议时应具有相同的含义；若有抵触应以《基金合同》为准，并依其条款解释。</w:t>
            </w:r>
          </w:p>
        </w:tc>
      </w:tr>
      <w:tr w14:paraId="347C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412EACB1">
            <w:pPr>
              <w:spacing w:after="0" w:line="240" w:lineRule="auto"/>
              <w:jc w:val="center"/>
              <w:rPr>
                <w:rFonts w:hint="eastAsia"/>
                <w:lang w:eastAsia="zh-CN"/>
              </w:rPr>
            </w:pPr>
            <w:r>
              <w:rPr>
                <w:b/>
                <w:lang w:eastAsia="zh-CN"/>
              </w:rPr>
              <w:t>第一部分 基金托管协议当事人</w:t>
            </w:r>
          </w:p>
        </w:tc>
        <w:tc>
          <w:tcPr>
            <w:tcW w:w="4195" w:type="dxa"/>
            <w:tcMar>
              <w:top w:w="70" w:type="dxa"/>
              <w:left w:w="80" w:type="dxa"/>
              <w:bottom w:w="70" w:type="dxa"/>
              <w:right w:w="80" w:type="dxa"/>
            </w:tcMar>
          </w:tcPr>
          <w:p w14:paraId="1D4780BE">
            <w:pPr>
              <w:spacing w:after="40" w:line="264" w:lineRule="auto"/>
              <w:rPr>
                <w:rFonts w:hint="eastAsia"/>
                <w:lang w:eastAsia="zh-CN"/>
              </w:rPr>
            </w:pPr>
            <w:r>
              <w:rPr>
                <w:lang w:eastAsia="zh-CN"/>
              </w:rPr>
              <w:t>（一）基金管理人</w:t>
            </w:r>
          </w:p>
          <w:p w14:paraId="511327F4">
            <w:pPr>
              <w:spacing w:after="60" w:line="264" w:lineRule="auto"/>
              <w:rPr>
                <w:strike/>
                <w:lang w:eastAsia="zh-CN"/>
              </w:rPr>
            </w:pPr>
            <w:r>
              <w:rPr>
                <w:lang w:eastAsia="zh-CN"/>
              </w:rPr>
              <w:t>法定代表人：</w:t>
            </w:r>
            <w:r>
              <w:rPr>
                <w:strike/>
                <w:lang w:eastAsia="zh-CN"/>
              </w:rPr>
              <w:t>江向阳</w:t>
            </w:r>
          </w:p>
          <w:p w14:paraId="6FA219A2">
            <w:pPr>
              <w:spacing w:after="60" w:line="264" w:lineRule="auto"/>
              <w:rPr>
                <w:rFonts w:hint="eastAsia"/>
                <w:strike w:val="0"/>
                <w:lang w:eastAsia="zh-CN"/>
              </w:rPr>
            </w:pPr>
            <w:r>
              <w:rPr>
                <w:rFonts w:hint="eastAsia"/>
                <w:strike w:val="0"/>
                <w:lang w:eastAsia="zh-CN"/>
              </w:rPr>
              <w:t>（二）基金托管人</w:t>
            </w:r>
          </w:p>
          <w:p w14:paraId="7F9AC0A1">
            <w:pPr>
              <w:spacing w:after="60" w:line="264" w:lineRule="auto"/>
              <w:rPr>
                <w:rFonts w:hint="eastAsia"/>
                <w:lang w:eastAsia="zh-CN"/>
              </w:rPr>
            </w:pPr>
            <w:r>
              <w:rPr>
                <w:lang w:eastAsia="zh-CN"/>
              </w:rPr>
              <w:t>法定代表人：</w:t>
            </w:r>
            <w:r>
              <w:rPr>
                <w:strike/>
                <w:lang w:eastAsia="zh-CN"/>
              </w:rPr>
              <w:t>沈如军</w:t>
            </w:r>
            <w:r>
              <w:rPr>
                <w:lang w:eastAsia="zh-CN"/>
              </w:rPr>
              <w:t xml:space="preserve"> </w:t>
            </w:r>
          </w:p>
          <w:p w14:paraId="33E14B3D">
            <w:pPr>
              <w:spacing w:after="60" w:line="264" w:lineRule="auto"/>
              <w:rPr>
                <w:rFonts w:hint="eastAsia"/>
              </w:rPr>
            </w:pPr>
            <w:r>
              <w:rPr>
                <w:lang w:eastAsia="zh-CN"/>
              </w:rPr>
              <w:t>经营范围：</w:t>
            </w:r>
            <w:r>
              <w:rPr>
                <w:strike/>
                <w:lang w:eastAsia="zh-CN"/>
              </w:rPr>
              <w:t>一、人民币特种股票、人民币普通股票、境外发行股票，境内外政府债券、公司债券和企业债券的经纪业务；二、人民币普通股票、人民币特种股票、境外发行股票，境内外政府债券、公司债券和企业债券的自营业务；三、人民币普通股票、人民币特种股票、境外发行股票，境内外政府债券、公司债券和企业债券的承销业务；四、基金的发起和管理；五、企业重组、收购与合并顾问；六、项目融资顾问；七、投资顾问及其他顾问业务；八、外汇买卖；九、境外企业、境内外商投资企业的外汇资产管理；十、同业拆借；十一、客户资产管理。十二、网上证券委托业务；十三、融资融券业务；十四、代销金融产品；十五、证券投资基金代销；十六、为期货公司提供中间介绍业务；十七、证券投资基金托管业务；十八、经金融监管机构批准的其他业务。（依法须经批准的项目，经相关部门批准后依批准的内容开展经营活动。</w:t>
            </w:r>
            <w:r>
              <w:rPr>
                <w:strike/>
              </w:rPr>
              <w:t>）</w:t>
            </w:r>
          </w:p>
        </w:tc>
        <w:tc>
          <w:tcPr>
            <w:tcW w:w="4195" w:type="dxa"/>
            <w:tcMar>
              <w:top w:w="70" w:type="dxa"/>
              <w:left w:w="80" w:type="dxa"/>
              <w:bottom w:w="70" w:type="dxa"/>
              <w:right w:w="80" w:type="dxa"/>
            </w:tcMar>
          </w:tcPr>
          <w:p w14:paraId="5391F974">
            <w:pPr>
              <w:spacing w:after="40" w:line="264" w:lineRule="auto"/>
              <w:rPr>
                <w:rFonts w:hint="eastAsia"/>
                <w:lang w:eastAsia="zh-CN"/>
              </w:rPr>
            </w:pPr>
            <w:r>
              <w:rPr>
                <w:lang w:eastAsia="zh-CN"/>
              </w:rPr>
              <w:t>（一）基金管理人</w:t>
            </w:r>
          </w:p>
          <w:p w14:paraId="662774C4">
            <w:pPr>
              <w:spacing w:after="60" w:line="264" w:lineRule="auto"/>
              <w:rPr>
                <w:b/>
                <w:lang w:eastAsia="zh-CN"/>
              </w:rPr>
            </w:pPr>
            <w:r>
              <w:rPr>
                <w:lang w:eastAsia="zh-CN"/>
              </w:rPr>
              <w:t>法定代表人：</w:t>
            </w:r>
            <w:r>
              <w:rPr>
                <w:b/>
                <w:lang w:eastAsia="zh-CN"/>
              </w:rPr>
              <w:t>张东</w:t>
            </w:r>
          </w:p>
          <w:p w14:paraId="35589530">
            <w:pPr>
              <w:spacing w:after="60" w:line="264" w:lineRule="auto"/>
              <w:rPr>
                <w:rFonts w:hint="eastAsia"/>
                <w:b w:val="0"/>
                <w:bCs/>
                <w:lang w:eastAsia="zh-CN"/>
              </w:rPr>
            </w:pPr>
            <w:r>
              <w:rPr>
                <w:rFonts w:hint="eastAsia"/>
                <w:b w:val="0"/>
                <w:bCs/>
                <w:lang w:eastAsia="zh-CN"/>
              </w:rPr>
              <w:t>（二）基金托管人</w:t>
            </w:r>
          </w:p>
          <w:p w14:paraId="4AC3F96D">
            <w:pPr>
              <w:spacing w:after="60" w:line="264" w:lineRule="auto"/>
              <w:rPr>
                <w:rFonts w:hint="eastAsia"/>
                <w:lang w:eastAsia="zh-CN"/>
              </w:rPr>
            </w:pPr>
            <w:r>
              <w:rPr>
                <w:lang w:eastAsia="zh-CN"/>
              </w:rPr>
              <w:t>法定代表人：</w:t>
            </w:r>
            <w:r>
              <w:rPr>
                <w:b/>
                <w:lang w:eastAsia="zh-CN"/>
              </w:rPr>
              <w:t>陈亮</w:t>
            </w:r>
            <w:r>
              <w:rPr>
                <w:lang w:eastAsia="zh-CN"/>
              </w:rPr>
              <w:t xml:space="preserve"> </w:t>
            </w:r>
          </w:p>
          <w:p w14:paraId="46D44D7B">
            <w:pPr>
              <w:spacing w:after="60" w:line="264" w:lineRule="auto"/>
              <w:rPr>
                <w:rFonts w:hint="eastAsia"/>
              </w:rPr>
            </w:pPr>
            <w:r>
              <w:rPr>
                <w:lang w:eastAsia="zh-CN"/>
              </w:rPr>
              <w:t>经营范围：</w:t>
            </w:r>
            <w:r>
              <w:rPr>
                <w:b/>
                <w:lang w:eastAsia="zh-CN"/>
              </w:rPr>
              <w:t>许可项目：证券业务；外汇业务；公募证券投资基金销售；证券公司为期货公司提供中间介绍业务；证券投资基金托管。（依法须经批准的项目，经相关部门批准后方可开展经营活动，具体经营项目以相关部门批准文件或许可证件为准）（不得从事国家和本市产业政策禁止和限制类项目的经营活动。</w:t>
            </w:r>
            <w:r>
              <w:rPr>
                <w:b/>
              </w:rPr>
              <w:t>）</w:t>
            </w:r>
          </w:p>
        </w:tc>
      </w:tr>
      <w:tr w14:paraId="08A6E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75" w:type="dxa"/>
            <w:tcMar>
              <w:top w:w="70" w:type="dxa"/>
              <w:left w:w="80" w:type="dxa"/>
              <w:bottom w:w="70" w:type="dxa"/>
              <w:right w:w="80" w:type="dxa"/>
            </w:tcMar>
            <w:vAlign w:val="center"/>
          </w:tcPr>
          <w:p w14:paraId="46477D57">
            <w:pPr>
              <w:spacing w:after="0" w:line="240" w:lineRule="auto"/>
              <w:jc w:val="center"/>
              <w:rPr>
                <w:rFonts w:hint="eastAsia"/>
                <w:lang w:eastAsia="zh-CN"/>
              </w:rPr>
            </w:pPr>
            <w:r>
              <w:rPr>
                <w:b/>
                <w:lang w:eastAsia="zh-CN"/>
              </w:rPr>
              <w:t>第三部分 基金托管人对基金管理人的业务监督和核查</w:t>
            </w:r>
          </w:p>
        </w:tc>
        <w:tc>
          <w:tcPr>
            <w:tcW w:w="4195" w:type="dxa"/>
            <w:tcMar>
              <w:top w:w="70" w:type="dxa"/>
              <w:left w:w="80" w:type="dxa"/>
              <w:bottom w:w="70" w:type="dxa"/>
              <w:right w:w="80" w:type="dxa"/>
            </w:tcMar>
          </w:tcPr>
          <w:p w14:paraId="154EE564">
            <w:pPr>
              <w:spacing w:after="40" w:line="264" w:lineRule="auto"/>
              <w:rPr>
                <w:rFonts w:hint="eastAsia"/>
                <w:lang w:eastAsia="zh-CN"/>
              </w:rPr>
            </w:pPr>
            <w:r>
              <w:rPr>
                <w:lang w:eastAsia="zh-CN"/>
              </w:rPr>
              <w:t>（一）</w:t>
            </w:r>
          </w:p>
          <w:p w14:paraId="51979299">
            <w:pPr>
              <w:spacing w:after="60" w:line="264" w:lineRule="auto"/>
              <w:rPr>
                <w:rFonts w:hint="eastAsia"/>
                <w:lang w:eastAsia="zh-CN"/>
              </w:rPr>
            </w:pPr>
            <w:r>
              <w:rPr>
                <w:lang w:eastAsia="zh-CN"/>
              </w:rPr>
              <w:t>本基金主要投资于目标ETF、标的指数即</w:t>
            </w:r>
            <w:r>
              <w:rPr>
                <w:strike/>
                <w:lang w:eastAsia="zh-CN"/>
              </w:rPr>
              <w:t>恒生港股通高股息率</w:t>
            </w:r>
            <w:r>
              <w:rPr>
                <w:lang w:eastAsia="zh-CN"/>
              </w:rPr>
              <w:t>指数成份股和备选成份股票（含存托凭证），为更好地实现基金的投资目标，本基金可能会少量投资于依法发行或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tc>
        <w:tc>
          <w:tcPr>
            <w:tcW w:w="4195" w:type="dxa"/>
            <w:tcMar>
              <w:top w:w="70" w:type="dxa"/>
              <w:left w:w="80" w:type="dxa"/>
              <w:bottom w:w="70" w:type="dxa"/>
              <w:right w:w="80" w:type="dxa"/>
            </w:tcMar>
          </w:tcPr>
          <w:p w14:paraId="18BBEAE3">
            <w:pPr>
              <w:spacing w:after="40" w:line="264" w:lineRule="auto"/>
              <w:rPr>
                <w:rFonts w:hint="eastAsia"/>
                <w:lang w:eastAsia="zh-CN"/>
              </w:rPr>
            </w:pPr>
            <w:r>
              <w:rPr>
                <w:lang w:eastAsia="zh-CN"/>
              </w:rPr>
              <w:t>（一）</w:t>
            </w:r>
          </w:p>
          <w:p w14:paraId="7CB45627">
            <w:pPr>
              <w:spacing w:after="60" w:line="264" w:lineRule="auto"/>
              <w:rPr>
                <w:rFonts w:hint="eastAsia"/>
                <w:lang w:eastAsia="zh-CN"/>
              </w:rPr>
            </w:pPr>
            <w:r>
              <w:rPr>
                <w:lang w:eastAsia="zh-CN"/>
              </w:rPr>
              <w:t>本基金主要投资于目标ETF、标的指数即</w:t>
            </w:r>
            <w:r>
              <w:rPr>
                <w:b/>
                <w:lang w:eastAsia="zh-CN"/>
              </w:rPr>
              <w:t>恒生港股通红利</w:t>
            </w:r>
            <w:r>
              <w:rPr>
                <w:lang w:eastAsia="zh-CN"/>
              </w:rPr>
              <w:t>指数成份股和备选成份股票（含存托凭证），为更好地实现基金的投资目标，本基金可能会少量投资于依法发行或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tc>
      </w:tr>
    </w:tbl>
    <w:p w14:paraId="7872D85C">
      <w:pPr>
        <w:rPr>
          <w:lang w:eastAsia="zh-CN"/>
        </w:rPr>
      </w:pPr>
    </w:p>
    <w:p w14:paraId="3AC8BADA">
      <w:pPr>
        <w:rPr>
          <w:lang w:eastAsia="zh-CN"/>
        </w:rPr>
      </w:pPr>
    </w:p>
    <w:sectPr>
      <w:footerReference r:id="rId6" w:type="default"/>
      <w:pgSz w:w="11906" w:h="16838"/>
      <w:pgMar w:top="907" w:right="822" w:bottom="907" w:left="822"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ＭＳ 明朝">
    <w:altName w:val="宋体"/>
    <w:panose1 w:val="00000000000000000000"/>
    <w:charset w:val="86"/>
    <w:family w:val="auto"/>
    <w:pitch w:val="default"/>
    <w:sig w:usb0="00000000" w:usb1="00000000" w:usb2="00000000" w:usb3="00000000" w:csb0="00000000" w:csb1="00000000"/>
  </w:font>
  <w:font w:name="ＭＳ 明朝">
    <w:altName w:val="宋体"/>
    <w:panose1 w:val="00000000000000000000"/>
    <w:charset w:val="86"/>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70409020205020404"/>
    <w:charset w:val="00"/>
    <w:family w:val="auto"/>
    <w:pitch w:val="default"/>
    <w:sig w:usb0="00000000" w:usb1="00000000" w:usb2="00000000" w:usb3="00000000" w:csb0="00000001"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59B8E">
    <w:pPr>
      <w:pStyle w:val="24"/>
      <w:jc w:val="center"/>
    </w:pPr>
    <w:r>
      <w:rPr>
        <w:rFonts w:cs="Times New Roman"/>
        <w:sz w:val="18"/>
      </w:rPr>
      <w:fldChar w:fldCharType="begin"/>
    </w:r>
    <w:r>
      <w:rPr>
        <w:rFonts w:cs="Times New Roman"/>
        <w:sz w:val="18"/>
      </w:rPr>
      <w:instrText xml:space="preserve"> PAGE </w:instrText>
    </w:r>
    <w:r>
      <w:rPr>
        <w:rFonts w:cs="Times New Roman"/>
        <w:sz w:val="18"/>
      </w:rPr>
      <w:fldChar w:fldCharType="separate"/>
    </w:r>
    <w:r>
      <w:rPr>
        <w:rFonts w:cs="Times New Roman"/>
        <w:sz w:val="18"/>
      </w:rPr>
      <w:t>1</w:t>
    </w:r>
    <w:r>
      <w:rPr>
        <w:rFonts w:cs="Times New Roman"/>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CF3E63">
    <w:pPr>
      <w:pStyle w:val="24"/>
      <w:jc w:val="center"/>
      <w:rPr>
        <w:rFonts w:hint="eastAsia"/>
      </w:rPr>
    </w:pPr>
    <w:r>
      <w:rPr>
        <w:sz w:val="17"/>
      </w:rPr>
      <w:t xml:space="preserve">— </w:t>
    </w:r>
    <w:r>
      <w:fldChar w:fldCharType="begin"/>
    </w:r>
    <w:r>
      <w:instrText xml:space="preserve">PAGE</w:instrText>
    </w:r>
    <w:r>
      <w:rPr>
        <w:rFonts w:hint="eastAsia"/>
      </w:rPr>
      <w:fldChar w:fldCharType="separate"/>
    </w:r>
    <w:r>
      <w:rPr>
        <w:rFonts w:hint="eastAsia"/>
      </w:rPr>
      <w:t>1</w:t>
    </w:r>
    <w:r>
      <w:fldChar w:fldCharType="end"/>
    </w:r>
    <w:r>
      <w:rPr>
        <w:sz w:val="17"/>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2B0EB7"/>
    <w:rsid w:val="00326F90"/>
    <w:rsid w:val="003927D6"/>
    <w:rsid w:val="003A5CFF"/>
    <w:rsid w:val="004D22D2"/>
    <w:rsid w:val="008C3CDD"/>
    <w:rsid w:val="0097469E"/>
    <w:rsid w:val="00A45340"/>
    <w:rsid w:val="00A679AD"/>
    <w:rsid w:val="00AA1D8D"/>
    <w:rsid w:val="00B47730"/>
    <w:rsid w:val="00BC5514"/>
    <w:rsid w:val="00BE4EE9"/>
    <w:rsid w:val="00C72585"/>
    <w:rsid w:val="00CB0664"/>
    <w:rsid w:val="00CC1688"/>
    <w:rsid w:val="00FC693F"/>
    <w:rsid w:val="0851537C"/>
    <w:rsid w:val="16F83DC9"/>
    <w:rsid w:val="22A738A1"/>
    <w:rsid w:val="44F44F34"/>
    <w:rsid w:val="4C3A4CA5"/>
    <w:rsid w:val="4FB96CA6"/>
    <w:rsid w:val="6A6708C5"/>
    <w:rsid w:val="7C544EC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0" w:line="360" w:lineRule="auto"/>
      <w:jc w:val="both"/>
    </w:pPr>
    <w:rPr>
      <w:rFonts w:ascii="Times New Roman" w:hAnsi="Times New Roman" w:eastAsia="宋体" w:cstheme="minorBidi"/>
      <w:color w:val="000000"/>
      <w:sz w:val="22"/>
      <w:szCs w:val="22"/>
      <w:lang w:val="en-US" w:eastAsia="en-US" w:bidi="ar-SA"/>
    </w:rPr>
  </w:style>
  <w:style w:type="paragraph" w:styleId="3">
    <w:name w:val="heading 1"/>
    <w:basedOn w:val="1"/>
    <w:next w:val="1"/>
    <w:link w:val="138"/>
    <w:qFormat/>
    <w:uiPriority w:val="9"/>
    <w:pPr>
      <w:keepNext/>
      <w:keepLines/>
      <w:spacing w:before="48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6"/>
    <w:unhideWhenUsed/>
    <w:qFormat/>
    <w:uiPriority w:val="99"/>
    <w:pPr>
      <w:tabs>
        <w:tab w:val="center" w:pos="4680"/>
        <w:tab w:val="right" w:pos="9360"/>
      </w:tabs>
      <w:spacing w:line="240" w:lineRule="auto"/>
    </w:pPr>
  </w:style>
  <w:style w:type="paragraph" w:styleId="25">
    <w:name w:val="header"/>
    <w:basedOn w:val="1"/>
    <w:link w:val="135"/>
    <w:unhideWhenUsed/>
    <w:qFormat/>
    <w:uiPriority w:val="99"/>
    <w:pPr>
      <w:tabs>
        <w:tab w:val="center" w:pos="4680"/>
        <w:tab w:val="right" w:pos="9360"/>
      </w:tabs>
      <w:spacing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spacing w:before="240" w:after="360"/>
      <w:contextualSpacing/>
      <w:jc w:val="center"/>
    </w:pPr>
    <w:rPr>
      <w:rFonts w:asciiTheme="majorHAnsi" w:hAnsiTheme="majorHAnsi" w:eastAsiaTheme="majorEastAsia" w:cstheme="majorBidi"/>
      <w:b/>
      <w:spacing w:val="5"/>
      <w:kern w:val="28"/>
      <w:sz w:val="3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StyleRowBandSize w:val="1"/>
      <w:tblStyleColBandSize w:val="1"/>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页眉 字符"/>
    <w:basedOn w:val="132"/>
    <w:link w:val="25"/>
    <w:qFormat/>
    <w:uiPriority w:val="99"/>
  </w:style>
  <w:style w:type="character" w:customStyle="1" w:styleId="136">
    <w:name w:val="页脚 字符"/>
    <w:basedOn w:val="132"/>
    <w:link w:val="24"/>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标题 1 字符"/>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标题 2 字符"/>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标题 3 字符"/>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标题 字符"/>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副标题 字符"/>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正文文本 字符"/>
    <w:basedOn w:val="132"/>
    <w:link w:val="19"/>
    <w:qFormat/>
    <w:uiPriority w:val="99"/>
  </w:style>
  <w:style w:type="character" w:customStyle="1" w:styleId="145">
    <w:name w:val="正文文本 2 字符"/>
    <w:basedOn w:val="132"/>
    <w:link w:val="28"/>
    <w:qFormat/>
    <w:uiPriority w:val="99"/>
  </w:style>
  <w:style w:type="character" w:customStyle="1" w:styleId="146">
    <w:name w:val="正文文本 3 字符"/>
    <w:basedOn w:val="132"/>
    <w:link w:val="17"/>
    <w:qFormat/>
    <w:uiPriority w:val="99"/>
    <w:rPr>
      <w:sz w:val="16"/>
      <w:szCs w:val="16"/>
    </w:rPr>
  </w:style>
  <w:style w:type="character" w:customStyle="1" w:styleId="147">
    <w:name w:val="宏文本 字符"/>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引用 字符"/>
    <w:basedOn w:val="132"/>
    <w:link w:val="148"/>
    <w:qFormat/>
    <w:uiPriority w:val="29"/>
    <w:rPr>
      <w:i/>
      <w:iCs/>
      <w:color w:val="000000" w:themeColor="text1"/>
      <w14:textFill>
        <w14:solidFill>
          <w14:schemeClr w14:val="tx1"/>
        </w14:solidFill>
      </w14:textFill>
    </w:rPr>
  </w:style>
  <w:style w:type="character" w:customStyle="1" w:styleId="150">
    <w:name w:val="标题 4 字符"/>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标题 5 字符"/>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2">
    <w:name w:val="标题 6 字符"/>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标题 7 字符"/>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标题 8 字符"/>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标题 9 字符"/>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明显引用 字符"/>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514</Words>
  <Characters>2931</Characters>
  <Lines>24</Lines>
  <Paragraphs>6</Paragraphs>
  <TotalTime>56</TotalTime>
  <ScaleCrop>false</ScaleCrop>
  <LinksUpToDate>false</LinksUpToDate>
  <CharactersWithSpaces>3439</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博时基金管理有限公司</dc:creator>
  <dc:description>generated by python-docx</dc:description>
  <cp:lastModifiedBy>licx382</cp:lastModifiedBy>
  <dcterms:modified xsi:type="dcterms:W3CDTF">2026-09-10T05:37:13Z</dcterms:modified>
  <dc:subject>基金变更名称及修订基金合同和托管协议公告</dc:subject>
  <dc:title>博时恒生港股通高股息率ETF发起式联接基金变更基金名称及修订法律文件公告-补充稿</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6119AE184A8B40CEB8F2DB95EEE12CF2_13</vt:lpwstr>
  </property>
</Properties>
</file>